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3"/>
      </w:pPr>
      <w:r/>
      <w:r/>
    </w:p>
    <w:p>
      <w:pPr>
        <w:pStyle w:val="963"/>
      </w:pPr>
      <w:r/>
      <w:r/>
    </w:p>
    <w:p>
      <w:pPr>
        <w:pStyle w:val="963"/>
      </w:pPr>
      <w:r/>
      <w:r/>
    </w:p>
    <w:p>
      <w:pPr>
        <w:pStyle w:val="963"/>
        <w:jc w:val="center"/>
        <w:rPr>
          <w:rFonts w:ascii="黑体" w:hAnsi="黑体" w:eastAsia="黑体"/>
          <w:b/>
          <w:sz w:val="84"/>
          <w:szCs w:val="84"/>
        </w:rPr>
      </w:pPr>
      <w:r>
        <w:rPr>
          <w:rFonts w:hint="eastAsia" w:ascii="黑体" w:hAnsi="黑体" w:eastAsia="黑体"/>
          <w:b/>
          <w:sz w:val="84"/>
          <w:szCs w:val="84"/>
        </w:rPr>
        <w:t xml:space="preserve">招　标　文　件</w:t>
      </w:r>
      <w:r>
        <w:rPr>
          <w:rFonts w:ascii="黑体" w:hAnsi="黑体" w:eastAsia="黑体"/>
          <w:b/>
          <w:sz w:val="84"/>
          <w:szCs w:val="84"/>
        </w:rPr>
      </w:r>
      <w:r/>
    </w:p>
    <w:p>
      <w:pPr>
        <w:pStyle w:val="963"/>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963"/>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963"/>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963"/>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963"/>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963"/>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963"/>
        <w:ind w:left="2866" w:hanging="1606"/>
        <w:spacing w:line="480" w:lineRule="auto"/>
        <w:rPr>
          <w:rFonts w:ascii="黑体" w:hAnsi="Arial" w:eastAsia="黑体"/>
          <w:b/>
          <w:color w:val="000000"/>
          <w:sz w:val="44"/>
          <w:szCs w:val="21"/>
        </w:rPr>
      </w:pPr>
      <w:r>
        <w:rPr>
          <w:rFonts w:hint="eastAsia" w:ascii="Arial" w:hAnsi="Arial"/>
          <w:b/>
          <w:bCs/>
          <w:color w:val="000000"/>
          <w:sz w:val="32"/>
          <w:szCs w:val="24"/>
        </w:rPr>
        <w:t xml:space="preserve">项目名称：连云港市生态环境监测监控设施管理维护和服务项目</w:t>
      </w:r>
      <w:r>
        <w:rPr>
          <w:rFonts w:ascii="黑体" w:hAnsi="Arial" w:eastAsia="黑体"/>
          <w:b/>
          <w:color w:val="000000"/>
          <w:sz w:val="44"/>
          <w:szCs w:val="21"/>
        </w:rPr>
      </w:r>
      <w:r/>
    </w:p>
    <w:p>
      <w:pPr>
        <w:pStyle w:val="963"/>
        <w:ind w:firstLine="1285"/>
        <w:spacing w:line="480" w:lineRule="auto"/>
        <w:rPr>
          <w:rFonts w:ascii="黑体" w:hAnsi="Arial" w:eastAsia="黑体"/>
          <w:b/>
          <w:color w:val="000000"/>
          <w:sz w:val="44"/>
          <w:szCs w:val="21"/>
        </w:rPr>
      </w:pPr>
      <w:r>
        <w:rPr>
          <w:rFonts w:hint="eastAsia" w:ascii="Arial" w:hAnsi="Arial"/>
          <w:b/>
          <w:bCs/>
          <w:sz w:val="32"/>
          <w:szCs w:val="24"/>
        </w:rPr>
        <w:t xml:space="preserve">项目编号：</w:t>
      </w:r>
      <w:r>
        <w:rPr>
          <w:rFonts w:ascii="Arial" w:hAnsi="Arial"/>
          <w:b/>
          <w:bCs/>
          <w:sz w:val="32"/>
          <w:szCs w:val="24"/>
        </w:rPr>
        <w:t xml:space="preserve">JSZC-320700-JZCG-G2024-0085</w:t>
      </w:r>
      <w:r>
        <w:rPr>
          <w:rFonts w:ascii="黑体" w:hAnsi="Arial" w:eastAsia="黑体"/>
          <w:b/>
          <w:color w:val="000000"/>
          <w:sz w:val="44"/>
          <w:szCs w:val="21"/>
        </w:rPr>
      </w:r>
      <w:r/>
    </w:p>
    <w:p>
      <w:pPr>
        <w:pStyle w:val="963"/>
        <w:jc w:val="left"/>
        <w:spacing w:line="480" w:lineRule="auto"/>
        <w:rPr>
          <w:rFonts w:ascii="黑体" w:hAnsi="Arial" w:eastAsia="黑体"/>
          <w:b/>
          <w:color w:val="000000"/>
          <w:sz w:val="44"/>
          <w:szCs w:val="21"/>
        </w:rPr>
      </w:pPr>
      <w:r>
        <w:rPr>
          <w:rFonts w:ascii="黑体" w:hAnsi="Arial" w:eastAsia="黑体"/>
          <w:b/>
          <w:color w:val="000000"/>
          <w:sz w:val="44"/>
          <w:szCs w:val="21"/>
        </w:rPr>
      </w:r>
      <w:r/>
    </w:p>
    <w:p>
      <w:pPr>
        <w:pStyle w:val="963"/>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963"/>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963"/>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连云港市公共资源交易中心</w:t>
      </w:r>
      <w:r>
        <w:rPr>
          <w:rFonts w:ascii="Arial" w:hAnsi="Arial"/>
          <w:b/>
          <w:bCs/>
          <w:color w:val="000000"/>
          <w:sz w:val="32"/>
          <w:szCs w:val="24"/>
        </w:rPr>
      </w:r>
      <w:r/>
    </w:p>
    <w:p>
      <w:pPr>
        <w:pStyle w:val="963"/>
        <w:jc w:val="center"/>
        <w:spacing w:before="120" w:after="120" w:line="360" w:lineRule="auto"/>
      </w:pPr>
      <w:r>
        <w:rPr>
          <w:rFonts w:hint="eastAsia" w:ascii="Arial" w:hAnsi="Arial"/>
          <w:b/>
          <w:bCs/>
          <w:color w:val="000000"/>
          <w:sz w:val="32"/>
          <w:szCs w:val="24"/>
        </w:rPr>
        <w:t xml:space="preserve">2024年</w:t>
      </w:r>
      <w:r>
        <w:rPr>
          <w:rFonts w:hint="eastAsia" w:ascii="Arial" w:hAnsi="Arial"/>
          <w:b/>
          <w:bCs/>
          <w:color w:val="000000"/>
          <w:sz w:val="32"/>
          <w:szCs w:val="24"/>
        </w:rPr>
        <w:t xml:space="preserve">7</w:t>
      </w:r>
      <w:r>
        <w:rPr>
          <w:rFonts w:hint="eastAsia" w:ascii="Arial" w:hAnsi="Arial"/>
          <w:b/>
          <w:bCs/>
          <w:color w:val="000000"/>
          <w:sz w:val="32"/>
          <w:szCs w:val="24"/>
        </w:rPr>
        <w:t xml:space="preserve">月</w:t>
      </w:r>
      <w:r>
        <w:br w:type="page" w:clear="all"/>
      </w:r>
      <w:r>
        <w:fldChar w:fldCharType="begin"/>
      </w:r>
      <w:r>
        <w:instrText xml:space="preserve"> TOC \o "1-1" \u </w:instrText>
      </w:r>
      <w:r>
        <w:fldChar w:fldCharType="separate"/>
      </w:r>
      <w:r/>
    </w:p>
    <w:p>
      <w:pPr>
        <w:pStyle w:val="964"/>
        <w:jc w:val="center"/>
        <w:spacing w:before="156" w:after="156" w:line="360" w:lineRule="auto"/>
        <w:rPr>
          <w:rFonts w:ascii="黑体" w:hAnsi="黑体" w:eastAsia="黑体"/>
          <w:b w:val="0"/>
        </w:rPr>
      </w:pPr>
      <w:r>
        <w:rPr>
          <w:rFonts w:hint="eastAsia" w:ascii="黑体" w:hAnsi="黑体" w:eastAsia="黑体"/>
          <w:b w:val="0"/>
        </w:rPr>
        <w:t xml:space="preserve">目  录</w:t>
      </w:r>
      <w:r>
        <w:rPr>
          <w:rFonts w:ascii="黑体" w:hAnsi="黑体" w:eastAsia="黑体"/>
          <w:b w:val="0"/>
        </w:rPr>
      </w:r>
      <w:r/>
    </w:p>
    <w:p>
      <w:pPr>
        <w:pStyle w:val="993"/>
        <w:tabs>
          <w:tab w:val="right" w:pos="8296" w:leader="dot"/>
        </w:tabs>
        <w:rPr>
          <w:sz w:val="32"/>
        </w:rPr>
      </w:pPr>
      <w:r>
        <w:rPr>
          <w:rFonts w:hint="eastAsia" w:ascii="黑体" w:hAnsi="黑体" w:eastAsia="黑体"/>
          <w:sz w:val="32"/>
        </w:rPr>
        <w:t xml:space="preserve">第一章</w:t>
      </w:r>
      <w:r>
        <w:rPr>
          <w:rFonts w:ascii="黑体" w:hAnsi="黑体" w:eastAsia="黑体"/>
          <w:sz w:val="32"/>
        </w:rPr>
        <w:t xml:space="preserve">  </w:t>
      </w:r>
      <w:r>
        <w:rPr>
          <w:rFonts w:hint="eastAsia" w:ascii="黑体" w:hAnsi="黑体" w:eastAsia="黑体"/>
          <w:sz w:val="32"/>
        </w:rPr>
        <w:t xml:space="preserve">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1</w:t>
      </w:r>
      <w:r>
        <w:rPr>
          <w:sz w:val="32"/>
        </w:rPr>
        <w:fldChar w:fldCharType="end"/>
      </w:r>
      <w:r>
        <w:rPr>
          <w:sz w:val="32"/>
        </w:rPr>
      </w:r>
      <w:r/>
    </w:p>
    <w:p>
      <w:pPr>
        <w:pStyle w:val="993"/>
        <w:tabs>
          <w:tab w:val="right" w:pos="8296" w:leader="dot"/>
        </w:tabs>
        <w:rPr>
          <w:sz w:val="32"/>
        </w:rPr>
      </w:pPr>
      <w:r>
        <w:rPr>
          <w:rFonts w:hint="eastAsia" w:ascii="黑体" w:hAnsi="黑体" w:eastAsia="黑体"/>
          <w:sz w:val="32"/>
        </w:rPr>
        <w:t xml:space="preserve">第二章</w:t>
      </w:r>
      <w:r>
        <w:rPr>
          <w:rFonts w:ascii="黑体" w:hAnsi="黑体" w:eastAsia="黑体"/>
          <w:sz w:val="32"/>
        </w:rPr>
        <w:t xml:space="preserve">  </w:t>
      </w:r>
      <w:r>
        <w:rPr>
          <w:rFonts w:hint="eastAsia" w:ascii="黑体" w:hAnsi="黑体" w:eastAsia="黑体"/>
          <w:sz w:val="32"/>
        </w:rPr>
        <w:t xml:space="preserve">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6</w:t>
      </w:r>
      <w:r>
        <w:rPr>
          <w:sz w:val="32"/>
        </w:rPr>
        <w:fldChar w:fldCharType="end"/>
      </w:r>
      <w:r>
        <w:rPr>
          <w:sz w:val="32"/>
        </w:rPr>
      </w:r>
      <w:r/>
    </w:p>
    <w:p>
      <w:pPr>
        <w:pStyle w:val="993"/>
        <w:tabs>
          <w:tab w:val="right" w:pos="8296" w:leader="dot"/>
        </w:tabs>
        <w:rPr>
          <w:sz w:val="32"/>
        </w:rPr>
      </w:pPr>
      <w:r>
        <w:rPr>
          <w:rFonts w:hint="eastAsia" w:ascii="黑体" w:hAnsi="黑体" w:eastAsia="黑体"/>
          <w:sz w:val="32"/>
        </w:rPr>
        <w:t xml:space="preserve">第三章</w:t>
      </w:r>
      <w:r>
        <w:rPr>
          <w:rFonts w:ascii="黑体" w:hAnsi="黑体" w:eastAsia="黑体"/>
          <w:sz w:val="32"/>
        </w:rPr>
        <w:t xml:space="preserve">  </w:t>
      </w:r>
      <w:r>
        <w:rPr>
          <w:rFonts w:hint="eastAsia" w:ascii="黑体" w:hAnsi="黑体" w:eastAsia="黑体"/>
          <w:sz w:val="32"/>
        </w:rPr>
        <w:t xml:space="preserve">合同文本</w:t>
      </w:r>
      <w:r>
        <w:rPr>
          <w:sz w:val="32"/>
        </w:rPr>
        <w:tab/>
      </w:r>
      <w:r>
        <w:rPr>
          <w:sz w:val="32"/>
        </w:rPr>
        <w:fldChar w:fldCharType="begin"/>
      </w:r>
      <w:r>
        <w:rPr>
          <w:sz w:val="32"/>
        </w:rPr>
        <w:instrText xml:space="preserve"> PAGEREF _Toc155796358 \h </w:instrText>
      </w:r>
      <w:r>
        <w:rPr>
          <w:sz w:val="32"/>
        </w:rPr>
        <w:fldChar w:fldCharType="separate"/>
      </w:r>
      <w:r>
        <w:rPr>
          <w:sz w:val="32"/>
        </w:rPr>
        <w:t xml:space="preserve">24</w:t>
      </w:r>
      <w:r>
        <w:rPr>
          <w:sz w:val="32"/>
        </w:rPr>
        <w:fldChar w:fldCharType="end"/>
      </w:r>
      <w:r>
        <w:rPr>
          <w:sz w:val="32"/>
        </w:rPr>
      </w:r>
      <w:r/>
    </w:p>
    <w:p>
      <w:pPr>
        <w:pStyle w:val="993"/>
        <w:tabs>
          <w:tab w:val="right" w:pos="8296" w:leader="dot"/>
        </w:tabs>
        <w:rPr>
          <w:sz w:val="32"/>
        </w:rPr>
      </w:pPr>
      <w:r>
        <w:rPr>
          <w:rFonts w:hint="eastAsia" w:ascii="黑体" w:hAnsi="黑体" w:eastAsia="黑体"/>
          <w:sz w:val="32"/>
        </w:rPr>
        <w:t xml:space="preserve">第四章</w:t>
      </w:r>
      <w:r>
        <w:rPr>
          <w:rFonts w:ascii="黑体" w:hAnsi="黑体" w:eastAsia="黑体"/>
          <w:sz w:val="32"/>
        </w:rPr>
        <w:t xml:space="preserve">  </w:t>
      </w:r>
      <w:r>
        <w:rPr>
          <w:rFonts w:hint="eastAsia" w:ascii="黑体" w:hAnsi="黑体" w:eastAsia="黑体"/>
          <w:sz w:val="32"/>
        </w:rPr>
        <w:t xml:space="preserve">采购需求</w:t>
      </w:r>
      <w:r>
        <w:rPr>
          <w:sz w:val="32"/>
        </w:rPr>
        <w:tab/>
      </w:r>
      <w:r>
        <w:rPr>
          <w:sz w:val="32"/>
        </w:rPr>
        <w:fldChar w:fldCharType="begin"/>
      </w:r>
      <w:r>
        <w:rPr>
          <w:sz w:val="32"/>
        </w:rPr>
        <w:instrText xml:space="preserve"> PAGEREF _Toc155796359 \h </w:instrText>
      </w:r>
      <w:r>
        <w:rPr>
          <w:sz w:val="32"/>
        </w:rPr>
        <w:fldChar w:fldCharType="separate"/>
      </w:r>
      <w:r>
        <w:rPr>
          <w:sz w:val="32"/>
        </w:rPr>
        <w:t xml:space="preserve">30</w:t>
      </w:r>
      <w:r>
        <w:rPr>
          <w:sz w:val="32"/>
        </w:rPr>
        <w:fldChar w:fldCharType="end"/>
      </w:r>
      <w:r>
        <w:rPr>
          <w:sz w:val="32"/>
        </w:rPr>
      </w:r>
      <w:r/>
    </w:p>
    <w:p>
      <w:pPr>
        <w:pStyle w:val="993"/>
        <w:tabs>
          <w:tab w:val="right" w:pos="8296" w:leader="dot"/>
        </w:tabs>
        <w:rPr>
          <w:sz w:val="32"/>
        </w:rPr>
      </w:pPr>
      <w:r>
        <w:rPr>
          <w:rFonts w:hint="eastAsia" w:ascii="黑体" w:hAnsi="黑体" w:eastAsia="黑体"/>
          <w:sz w:val="32"/>
        </w:rPr>
        <w:t xml:space="preserve">第五章</w:t>
      </w:r>
      <w:r>
        <w:rPr>
          <w:rFonts w:ascii="黑体" w:hAnsi="黑体" w:eastAsia="黑体"/>
          <w:sz w:val="32"/>
        </w:rPr>
        <w:t xml:space="preserve">  </w:t>
      </w:r>
      <w:r>
        <w:rPr>
          <w:rFonts w:hint="eastAsia" w:ascii="黑体" w:hAnsi="黑体" w:eastAsia="黑体"/>
          <w:sz w:val="32"/>
        </w:rPr>
        <w:t xml:space="preserve">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 xml:space="preserve">95</w:t>
      </w:r>
      <w:r>
        <w:rPr>
          <w:sz w:val="32"/>
        </w:rPr>
        <w:fldChar w:fldCharType="end"/>
      </w:r>
      <w:r>
        <w:rPr>
          <w:sz w:val="32"/>
        </w:rPr>
      </w:r>
      <w:r/>
    </w:p>
    <w:p>
      <w:pPr>
        <w:pStyle w:val="993"/>
        <w:tabs>
          <w:tab w:val="right" w:pos="8296" w:leader="dot"/>
        </w:tabs>
        <w:rPr>
          <w:sz w:val="32"/>
        </w:rPr>
      </w:pPr>
      <w:r>
        <w:rPr>
          <w:rFonts w:hint="eastAsia" w:ascii="黑体" w:hAnsi="黑体" w:eastAsia="黑体"/>
          <w:sz w:val="32"/>
        </w:rPr>
        <w:t xml:space="preserve">第六章</w:t>
      </w:r>
      <w:r>
        <w:rPr>
          <w:rFonts w:ascii="黑体" w:hAnsi="黑体" w:eastAsia="黑体"/>
          <w:sz w:val="32"/>
        </w:rPr>
        <w:t xml:space="preserve">  </w:t>
      </w:r>
      <w:r>
        <w:rPr>
          <w:rFonts w:hint="eastAsia" w:ascii="黑体" w:hAnsi="黑体" w:eastAsia="黑体"/>
          <w:sz w:val="32"/>
        </w:rPr>
        <w:t xml:space="preserve">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 xml:space="preserve">108</w:t>
      </w:r>
      <w:r>
        <w:rPr>
          <w:sz w:val="32"/>
        </w:rPr>
        <w:fldChar w:fldCharType="end"/>
      </w:r>
      <w:r>
        <w:rPr>
          <w:sz w:val="32"/>
        </w:rPr>
      </w:r>
      <w:r/>
    </w:p>
    <w:p>
      <w:pPr>
        <w:pStyle w:val="963"/>
        <w:jc w:val="left"/>
        <w:widowControl/>
      </w:pPr>
      <w:r>
        <w:fldChar w:fldCharType="end"/>
      </w:r>
      <w:r>
        <w:br w:type="page" w:clear="all"/>
      </w:r>
      <w:r/>
    </w:p>
    <w:p>
      <w:pPr>
        <w:pStyle w:val="964"/>
        <w:jc w:val="center"/>
        <w:spacing w:before="156" w:after="156"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bookmarkStart w:id="0" w:name="_Toc155796356"/>
      <w:r>
        <w:rPr>
          <w:rFonts w:ascii="黑体" w:hAnsi="黑体" w:eastAsia="黑体"/>
          <w:b w:val="0"/>
        </w:rPr>
      </w:r>
      <w:r/>
    </w:p>
    <w:p>
      <w:pPr>
        <w:pStyle w:val="964"/>
        <w:jc w:val="center"/>
        <w:spacing w:before="156" w:after="156" w:line="360" w:lineRule="auto"/>
        <w:rPr>
          <w:rFonts w:ascii="黑体" w:hAnsi="黑体" w:eastAsia="黑体"/>
          <w:b w:val="0"/>
        </w:rPr>
      </w:pPr>
      <w:r>
        <w:rPr>
          <w:rFonts w:ascii="黑体" w:hAnsi="黑体" w:eastAsia="黑体"/>
          <w:b w:val="0"/>
        </w:rPr>
      </w:r>
      <w:r/>
    </w:p>
    <w:p>
      <w:pPr>
        <w:pStyle w:val="964"/>
        <w:jc w:val="center"/>
        <w:spacing w:before="156" w:after="156" w:line="360" w:lineRule="auto"/>
        <w:rPr>
          <w:rFonts w:ascii="黑体" w:hAnsi="黑体" w:eastAsia="黑体"/>
          <w:b w:val="0"/>
        </w:rPr>
      </w:pPr>
      <w:r>
        <w:rPr>
          <w:rFonts w:hint="eastAsia" w:ascii="黑体" w:hAnsi="黑体" w:eastAsia="黑体"/>
          <w:b w:val="0"/>
        </w:rPr>
        <w:t xml:space="preserve">第一章  投标邀请</w:t>
      </w:r>
      <w:bookmarkEnd w:id="0"/>
      <w:r>
        <w:rPr>
          <w:rFonts w:ascii="黑体" w:hAnsi="黑体" w:eastAsia="黑体"/>
          <w:b w:val="0"/>
        </w:rPr>
      </w:r>
      <w:r/>
    </w:p>
    <w:p>
      <w:pPr>
        <w:pStyle w:val="963"/>
        <w:ind w:firstLine="480"/>
        <w:jc w:val="left"/>
        <w:spacing w:line="500" w:lineRule="exact"/>
        <w:rPr>
          <w:sz w:val="24"/>
          <w:szCs w:val="24"/>
        </w:rPr>
      </w:pPr>
      <w:r>
        <w:rPr>
          <w:rFonts w:hint="eastAsia"/>
          <w:sz w:val="24"/>
          <w:szCs w:val="24"/>
        </w:rPr>
        <w:t xml:space="preserve">受连云港市环境监测监控中心的委托，连云港市公共资源交易中心就连云港市生态环境监测监控设施管理维护和服务项目（</w:t>
      </w:r>
      <w:r>
        <w:rPr>
          <w:sz w:val="24"/>
          <w:szCs w:val="24"/>
        </w:rPr>
        <w:t xml:space="preserve">JSZC-320700-JZCG-G2024-0085</w:t>
      </w:r>
      <w:r>
        <w:rPr>
          <w:rFonts w:hint="eastAsia"/>
          <w:sz w:val="24"/>
          <w:szCs w:val="24"/>
        </w:rPr>
        <w:t xml:space="preserve">）进行公开招标采购，欢迎符合条件的供应商投标。</w:t>
      </w:r>
      <w:r>
        <w:rPr>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963"/>
              <w:jc w:val="left"/>
              <w:spacing w:line="500" w:lineRule="exact"/>
              <w:rPr>
                <w:sz w:val="24"/>
                <w:szCs w:val="24"/>
              </w:rPr>
            </w:pPr>
            <w:r>
              <w:rPr>
                <w:rFonts w:hint="eastAsia"/>
                <w:sz w:val="24"/>
                <w:szCs w:val="24"/>
              </w:rPr>
              <w:t xml:space="preserve">项目概况</w:t>
            </w:r>
            <w:r>
              <w:rPr>
                <w:sz w:val="24"/>
                <w:szCs w:val="24"/>
              </w:rPr>
            </w:r>
            <w:r/>
          </w:p>
          <w:p>
            <w:pPr>
              <w:pStyle w:val="963"/>
              <w:jc w:val="left"/>
              <w:spacing w:line="500" w:lineRule="exact"/>
              <w:rPr>
                <w:sz w:val="24"/>
                <w:szCs w:val="24"/>
              </w:rPr>
            </w:pPr>
            <w:r>
              <w:rPr>
                <w:rFonts w:hint="eastAsia"/>
                <w:sz w:val="24"/>
                <w:szCs w:val="24"/>
              </w:rPr>
              <w:t xml:space="preserve">连云港市生态环境监测监控设施管理维护和服务招标项目的潜在投标人应在江苏政府采购网自行免费下载招标文件，并于</w:t>
            </w:r>
            <w:r>
              <w:rPr>
                <w:rFonts w:hint="eastAsia"/>
                <w:sz w:val="24"/>
                <w:szCs w:val="24"/>
                <w:highlight w:val="yellow"/>
              </w:rPr>
              <w:t xml:space="preserve">2024年</w:t>
            </w:r>
            <w:r>
              <w:rPr>
                <w:rFonts w:hint="eastAsia"/>
                <w:sz w:val="24"/>
                <w:szCs w:val="24"/>
                <w:highlight w:val="yellow"/>
              </w:rPr>
              <w:t xml:space="preserve">7</w:t>
            </w:r>
            <w:r>
              <w:rPr>
                <w:rFonts w:hint="eastAsia"/>
                <w:sz w:val="24"/>
                <w:szCs w:val="24"/>
                <w:highlight w:val="yellow"/>
              </w:rPr>
              <w:t xml:space="preserve">月</w:t>
            </w:r>
            <w:r>
              <w:rPr>
                <w:rFonts w:hint="eastAsia"/>
                <w:sz w:val="24"/>
                <w:szCs w:val="24"/>
                <w:highlight w:val="yellow"/>
              </w:rPr>
              <w:t xml:space="preserve">31</w:t>
            </w:r>
            <w:r>
              <w:rPr>
                <w:rFonts w:hint="eastAsia"/>
                <w:sz w:val="24"/>
                <w:szCs w:val="24"/>
                <w:highlight w:val="yellow"/>
              </w:rPr>
              <w:t xml:space="preserve">日10:30:00</w:t>
            </w:r>
            <w:r>
              <w:rPr>
                <w:rFonts w:hint="eastAsia"/>
                <w:sz w:val="24"/>
                <w:szCs w:val="24"/>
              </w:rPr>
              <w:t xml:space="preserve">（北京时间）前递交（上传）投标文件。</w:t>
            </w:r>
            <w:r>
              <w:rPr>
                <w:sz w:val="24"/>
                <w:szCs w:val="24"/>
              </w:rPr>
            </w:r>
            <w:r/>
          </w:p>
        </w:tc>
      </w:tr>
    </w:tbl>
    <w:p>
      <w:pPr>
        <w:pStyle w:val="965"/>
        <w:spacing w:before="0" w:after="0" w:line="360" w:lineRule="auto"/>
        <w:rPr>
          <w:rFonts w:ascii="黑体" w:hAnsi="黑体" w:eastAsia="黑体"/>
          <w:b w:val="0"/>
        </w:rPr>
      </w:pPr>
      <w:r>
        <w:rPr>
          <w:rFonts w:hint="eastAsia" w:ascii="黑体" w:hAnsi="黑体" w:eastAsia="黑体"/>
          <w:b w:val="0"/>
        </w:rPr>
        <w:t xml:space="preserve">一、项目基本情况</w:t>
      </w:r>
      <w:r>
        <w:rPr>
          <w:rFonts w:ascii="黑体" w:hAnsi="黑体" w:eastAsia="黑体"/>
          <w:b w:val="0"/>
        </w:rPr>
      </w:r>
      <w:r/>
    </w:p>
    <w:p>
      <w:pPr>
        <w:pStyle w:val="963"/>
        <w:ind w:firstLine="480"/>
        <w:jc w:val="left"/>
        <w:spacing w:line="500" w:lineRule="exact"/>
        <w:rPr>
          <w:sz w:val="24"/>
          <w:szCs w:val="24"/>
        </w:rPr>
      </w:pPr>
      <w:r>
        <w:rPr>
          <w:rFonts w:hint="eastAsia"/>
          <w:sz w:val="24"/>
          <w:szCs w:val="24"/>
        </w:rPr>
        <w:t xml:space="preserve">项目编号：</w:t>
      </w:r>
      <w:r>
        <w:rPr>
          <w:sz w:val="24"/>
          <w:szCs w:val="24"/>
        </w:rPr>
        <w:t xml:space="preserve">JSZC-320700-JZCG-G2024-0085</w:t>
      </w:r>
      <w:r>
        <w:rPr>
          <w:sz w:val="24"/>
          <w:szCs w:val="24"/>
        </w:rPr>
      </w:r>
      <w:r/>
    </w:p>
    <w:p>
      <w:pPr>
        <w:pStyle w:val="963"/>
        <w:ind w:firstLine="480"/>
        <w:jc w:val="left"/>
        <w:spacing w:line="500" w:lineRule="exact"/>
        <w:rPr>
          <w:sz w:val="24"/>
          <w:szCs w:val="24"/>
        </w:rPr>
      </w:pPr>
      <w:r>
        <w:rPr>
          <w:rFonts w:hint="eastAsia"/>
          <w:sz w:val="24"/>
          <w:szCs w:val="24"/>
        </w:rPr>
        <w:t xml:space="preserve">项目名称：连云港市生态环境监测监控设施管理维护和服务</w:t>
      </w:r>
      <w:r>
        <w:rPr>
          <w:sz w:val="24"/>
          <w:szCs w:val="24"/>
        </w:rPr>
      </w:r>
      <w:r/>
    </w:p>
    <w:p>
      <w:pPr>
        <w:pStyle w:val="963"/>
        <w:ind w:firstLine="480"/>
        <w:jc w:val="left"/>
        <w:spacing w:line="500" w:lineRule="exact"/>
        <w:rPr>
          <w:sz w:val="24"/>
          <w:szCs w:val="24"/>
        </w:rPr>
      </w:pPr>
      <w:r>
        <w:rPr>
          <w:rFonts w:hint="eastAsia"/>
          <w:sz w:val="24"/>
          <w:szCs w:val="24"/>
        </w:rPr>
        <w:t xml:space="preserve">预算金额：</w:t>
      </w:r>
      <w:r>
        <w:rPr>
          <w:sz w:val="24"/>
          <w:szCs w:val="24"/>
        </w:rPr>
        <w:t xml:space="preserve">1,186 万元</w:t>
      </w:r>
      <w:r>
        <w:rPr>
          <w:rFonts w:hint="eastAsia"/>
          <w:sz w:val="24"/>
          <w:szCs w:val="24"/>
        </w:rPr>
        <w:t xml:space="preserve">（采购包1：941万元；采购包2：32万元；采购包3：22万元；采购包4：191万元）</w:t>
      </w:r>
      <w:r>
        <w:rPr>
          <w:sz w:val="24"/>
          <w:szCs w:val="24"/>
        </w:rPr>
      </w:r>
      <w:r/>
    </w:p>
    <w:p>
      <w:pPr>
        <w:pStyle w:val="963"/>
        <w:ind w:firstLine="480"/>
        <w:jc w:val="left"/>
        <w:spacing w:line="500" w:lineRule="exact"/>
        <w:rPr>
          <w:sz w:val="24"/>
          <w:szCs w:val="24"/>
        </w:rPr>
      </w:pPr>
      <w:r>
        <w:rPr>
          <w:rFonts w:hint="eastAsia"/>
          <w:sz w:val="24"/>
          <w:szCs w:val="24"/>
        </w:rPr>
        <w:t xml:space="preserve">最高限价：</w:t>
      </w:r>
      <w:r>
        <w:rPr>
          <w:sz w:val="24"/>
          <w:szCs w:val="24"/>
        </w:rPr>
        <w:t xml:space="preserve">1,186 万元</w:t>
      </w:r>
      <w:r>
        <w:rPr>
          <w:rFonts w:hint="eastAsia"/>
          <w:sz w:val="24"/>
          <w:szCs w:val="24"/>
        </w:rPr>
        <w:t xml:space="preserve">（采购包1：941万元；采购包2：32万元；采购包3：22万元；采购包4：191万元）</w:t>
      </w:r>
      <w:r>
        <w:rPr>
          <w:sz w:val="24"/>
          <w:szCs w:val="24"/>
        </w:rPr>
      </w:r>
      <w:r/>
    </w:p>
    <w:p>
      <w:pPr>
        <w:pStyle w:val="963"/>
        <w:ind w:firstLine="480"/>
        <w:jc w:val="left"/>
        <w:spacing w:line="500" w:lineRule="exact"/>
        <w:rPr>
          <w:sz w:val="24"/>
          <w:szCs w:val="24"/>
        </w:rPr>
      </w:pPr>
      <w:r>
        <w:rPr>
          <w:rFonts w:hint="eastAsia"/>
          <w:sz w:val="24"/>
          <w:szCs w:val="24"/>
        </w:rPr>
        <w:t xml:space="preserve">采购方式：公开招标</w:t>
      </w:r>
      <w:r>
        <w:rPr>
          <w:sz w:val="24"/>
          <w:szCs w:val="24"/>
        </w:rPr>
      </w:r>
      <w:r/>
    </w:p>
    <w:p>
      <w:pPr>
        <w:pStyle w:val="963"/>
        <w:ind w:firstLine="480"/>
        <w:jc w:val="left"/>
        <w:spacing w:line="500" w:lineRule="exact"/>
        <w:rPr>
          <w:sz w:val="24"/>
          <w:szCs w:val="24"/>
        </w:rPr>
      </w:pPr>
      <w:r>
        <w:rPr>
          <w:rFonts w:hint="eastAsia"/>
          <w:sz w:val="24"/>
          <w:szCs w:val="24"/>
        </w:rPr>
        <w:t xml:space="preserve">采购需求：</w:t>
      </w:r>
      <w:r>
        <w:rPr>
          <w:sz w:val="24"/>
          <w:szCs w:val="24"/>
        </w:rPr>
      </w:r>
      <w:r/>
    </w:p>
    <w:p>
      <w:pPr>
        <w:pStyle w:val="963"/>
        <w:ind w:firstLine="480"/>
        <w:jc w:val="left"/>
        <w:spacing w:line="500" w:lineRule="exact"/>
        <w:rPr>
          <w:rFonts w:ascii="宋体" w:hAnsi="宋体"/>
          <w:sz w:val="24"/>
          <w:szCs w:val="28"/>
        </w:rPr>
      </w:pPr>
      <w:r>
        <w:rPr>
          <w:rFonts w:hint="eastAsia"/>
          <w:sz w:val="24"/>
          <w:szCs w:val="24"/>
        </w:rPr>
        <w:t xml:space="preserve">采购包1：</w:t>
      </w:r>
      <w:r>
        <w:rPr>
          <w:rFonts w:ascii="宋体" w:hAnsi="宋体"/>
          <w:sz w:val="24"/>
          <w:szCs w:val="28"/>
        </w:rPr>
        <w:t xml:space="preserve">主要目标为实现对84个大气环境自动监测站、42个PM2.5站、5个TVOC自动监测站、2个VOCs自动监测站</w:t>
      </w:r>
      <w:r>
        <w:rPr>
          <w:rFonts w:hint="eastAsia" w:ascii="宋体" w:hAnsi="宋体"/>
          <w:sz w:val="24"/>
          <w:szCs w:val="28"/>
        </w:rPr>
        <w:t xml:space="preserve">、</w:t>
      </w:r>
      <w:r>
        <w:rPr>
          <w:rFonts w:ascii="宋体" w:hAnsi="宋体"/>
          <w:sz w:val="24"/>
          <w:szCs w:val="28"/>
        </w:rPr>
        <w:t xml:space="preserve">8个水质自动监测站、2套水污染预警溯源仪、1台生物毒性分析仪</w:t>
      </w:r>
      <w:r>
        <w:rPr>
          <w:rFonts w:hint="eastAsia" w:ascii="宋体" w:hAnsi="宋体"/>
          <w:sz w:val="24"/>
          <w:szCs w:val="28"/>
        </w:rPr>
        <w:t xml:space="preserve">、</w:t>
      </w:r>
      <w:r>
        <w:rPr>
          <w:rFonts w:ascii="宋体" w:hAnsi="宋体"/>
          <w:sz w:val="24"/>
          <w:szCs w:val="28"/>
        </w:rPr>
        <w:t xml:space="preserve">1套水质浮标在线监测系统</w:t>
      </w:r>
      <w:r>
        <w:rPr>
          <w:rFonts w:hint="eastAsia" w:ascii="宋体" w:hAnsi="宋体"/>
          <w:sz w:val="24"/>
          <w:szCs w:val="28"/>
        </w:rPr>
        <w:t xml:space="preserve">、</w:t>
      </w:r>
      <w:r>
        <w:rPr>
          <w:rFonts w:ascii="宋体" w:hAnsi="宋体"/>
          <w:sz w:val="24"/>
          <w:szCs w:val="28"/>
        </w:rPr>
        <w:t xml:space="preserve">1套大气颗粒物激光雷达走航监测设施、1套VOCs环境走航监测设施、10套固定式机动车尾气遥感监测设施</w:t>
      </w:r>
      <w:r>
        <w:rPr>
          <w:rFonts w:hint="eastAsia" w:ascii="宋体" w:hAnsi="宋体"/>
          <w:sz w:val="24"/>
          <w:szCs w:val="28"/>
        </w:rPr>
        <w:t xml:space="preserve">运</w:t>
      </w:r>
      <w:r>
        <w:rPr>
          <w:rFonts w:ascii="宋体" w:hAnsi="宋体"/>
          <w:sz w:val="24"/>
          <w:szCs w:val="28"/>
        </w:rPr>
        <w:t xml:space="preserve">和1套移动式机动车尾气遥感监测</w:t>
      </w:r>
      <w:r>
        <w:rPr>
          <w:rFonts w:hint="eastAsia" w:ascii="宋体" w:hAnsi="宋体"/>
          <w:sz w:val="24"/>
          <w:szCs w:val="28"/>
        </w:rPr>
        <w:t xml:space="preserve">设施维服务</w:t>
      </w:r>
      <w:r>
        <w:rPr>
          <w:rFonts w:ascii="宋体" w:hAnsi="宋体"/>
          <w:sz w:val="24"/>
          <w:szCs w:val="28"/>
        </w:rPr>
        <w:t xml:space="preserve">、定期维修、监测数据深度分析，保障设备运行正常，确保监测数据的</w:t>
      </w:r>
      <w:r>
        <w:rPr>
          <w:rFonts w:hint="eastAsia" w:ascii="宋体" w:hAnsi="宋体"/>
          <w:sz w:val="24"/>
          <w:szCs w:val="28"/>
        </w:rPr>
        <w:t xml:space="preserve">真实性、</w:t>
      </w:r>
      <w:r>
        <w:rPr>
          <w:rFonts w:ascii="宋体" w:hAnsi="宋体"/>
          <w:sz w:val="24"/>
          <w:szCs w:val="28"/>
        </w:rPr>
        <w:t xml:space="preserve">有效性、准确性</w:t>
      </w:r>
      <w:r>
        <w:rPr>
          <w:rFonts w:hint="eastAsia" w:ascii="宋体" w:hAnsi="宋体"/>
          <w:sz w:val="24"/>
          <w:szCs w:val="28"/>
        </w:rPr>
        <w:t xml:space="preserve">。</w:t>
      </w:r>
      <w:r>
        <w:rPr>
          <w:rFonts w:ascii="宋体" w:hAnsi="宋体"/>
          <w:sz w:val="24"/>
          <w:szCs w:val="28"/>
        </w:rPr>
      </w:r>
      <w:r/>
    </w:p>
    <w:p>
      <w:pPr>
        <w:pStyle w:val="963"/>
        <w:ind w:firstLine="480"/>
        <w:jc w:val="left"/>
        <w:spacing w:line="500" w:lineRule="exact"/>
        <w:rPr>
          <w:rFonts w:ascii="宋体" w:hAnsi="宋体"/>
          <w:color w:val="000000"/>
          <w:sz w:val="24"/>
        </w:rPr>
      </w:pPr>
      <w:r>
        <w:rPr>
          <w:rFonts w:hint="eastAsia" w:ascii="宋体" w:hAnsi="宋体"/>
          <w:sz w:val="24"/>
          <w:szCs w:val="28"/>
        </w:rPr>
        <w:t xml:space="preserve">采购包2：</w:t>
      </w:r>
      <w:r>
        <w:rPr>
          <w:rFonts w:hint="eastAsia" w:ascii="宋体" w:hAnsi="宋体"/>
          <w:color w:val="000000"/>
          <w:sz w:val="24"/>
        </w:rPr>
        <w:t xml:space="preserve">根据</w:t>
      </w:r>
      <w:r>
        <w:rPr>
          <w:rFonts w:ascii="宋体" w:hAnsi="宋体"/>
          <w:color w:val="000000"/>
          <w:sz w:val="24"/>
        </w:rPr>
        <w:t xml:space="preserve">《排污许可管理条例》《重点排污单位名录管理规定（试行）》《排污许可管理办法（试行）》等条例规定，</w:t>
      </w:r>
      <w:r>
        <w:rPr>
          <w:rFonts w:hint="eastAsia" w:ascii="宋体" w:hAnsi="宋体"/>
          <w:color w:val="000000"/>
          <w:sz w:val="24"/>
        </w:rPr>
        <w:t xml:space="preserve">需要对重点排污单位自动监控与基础数据库系统、江苏省污染源末端监控平台、连云港市污染源综合管理平台等监管平台运行维护及数据分析汇总，提供分析研判报告，加强排污单位自动监测监控，有效提升“非现场”监管能力。</w:t>
      </w:r>
      <w:r>
        <w:rPr>
          <w:rFonts w:ascii="宋体" w:hAnsi="宋体"/>
          <w:color w:val="000000"/>
          <w:sz w:val="24"/>
        </w:rPr>
      </w:r>
      <w:r/>
    </w:p>
    <w:p>
      <w:pPr>
        <w:pStyle w:val="963"/>
        <w:ind w:firstLine="480"/>
        <w:jc w:val="left"/>
        <w:spacing w:line="500" w:lineRule="exact"/>
        <w:rPr>
          <w:rFonts w:ascii="宋体" w:hAnsi="宋体"/>
          <w:color w:val="000000"/>
          <w:sz w:val="24"/>
          <w:szCs w:val="24"/>
        </w:rPr>
      </w:pPr>
      <w:r>
        <w:rPr>
          <w:rFonts w:hint="eastAsia" w:ascii="宋体" w:hAnsi="宋体"/>
          <w:sz w:val="24"/>
          <w:szCs w:val="28"/>
        </w:rPr>
        <w:t xml:space="preserve">采购包3：</w:t>
      </w:r>
      <w:r>
        <w:rPr>
          <w:rFonts w:hint="eastAsia" w:ascii="宋体" w:hAnsi="宋体"/>
          <w:color w:val="000000"/>
          <w:sz w:val="24"/>
          <w:szCs w:val="24"/>
        </w:rPr>
        <w:t xml:space="preserve">根据2021年4月22日江苏省生态环境厅关于印发《全省排污单位自动监测监控全覆盖（全联全控）工作方案》、《2021年排污单位自动监测监控联网工作计划》的通知（苏环办〔2021〕146号文）中的危废视频监控相关配套基础设施的要求，针对连云港市危险废物年产生量1000吨及以上的企业和全部危险废物利用处置单位的关键位置监控视频信息进行管理，并对部分重点企业贮存等环节的监控视频开展AI分析。</w:t>
      </w:r>
      <w:r>
        <w:rPr>
          <w:rFonts w:ascii="宋体" w:hAnsi="宋体"/>
          <w:color w:val="000000"/>
          <w:sz w:val="24"/>
          <w:szCs w:val="24"/>
        </w:rPr>
      </w:r>
      <w:r/>
    </w:p>
    <w:p>
      <w:pPr>
        <w:pStyle w:val="963"/>
        <w:ind w:firstLine="480"/>
        <w:jc w:val="left"/>
        <w:spacing w:line="500" w:lineRule="exact"/>
        <w:rPr>
          <w:rFonts w:ascii="宋体" w:hAnsi="宋体"/>
          <w:bCs/>
          <w:sz w:val="24"/>
        </w:rPr>
      </w:pPr>
      <w:r>
        <w:rPr>
          <w:rFonts w:hint="eastAsia" w:ascii="宋体" w:hAnsi="宋体"/>
          <w:bCs/>
          <w:sz w:val="24"/>
        </w:rPr>
        <w:t xml:space="preserve">采购包4：针对连云港市环境信息化暨监测控能力提升项目中建设完成的软件，包括系统软件、环境信息化应用软件子系统（包括大数据平台、场景化业务综合应用、生态环境大数据应用、政务服务应用）进行软件运维服务，服务期限一年。</w:t>
      </w:r>
      <w:r>
        <w:rPr>
          <w:rFonts w:ascii="宋体" w:hAnsi="宋体"/>
          <w:bCs/>
          <w:sz w:val="24"/>
        </w:rPr>
      </w:r>
      <w:r/>
    </w:p>
    <w:p>
      <w:pPr>
        <w:pStyle w:val="963"/>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rPr>
          <w:b/>
          <w:sz w:val="24"/>
          <w:szCs w:val="24"/>
        </w:rPr>
      </w:r>
      <w:r/>
    </w:p>
    <w:p>
      <w:pPr>
        <w:pStyle w:val="963"/>
        <w:ind w:firstLine="480"/>
        <w:jc w:val="left"/>
        <w:spacing w:line="500" w:lineRule="exact"/>
        <w:rPr>
          <w:sz w:val="24"/>
          <w:szCs w:val="24"/>
        </w:rPr>
      </w:pPr>
      <w:r>
        <w:rPr>
          <w:rFonts w:hint="eastAsia"/>
          <w:sz w:val="24"/>
          <w:szCs w:val="24"/>
        </w:rPr>
        <w:t xml:space="preserve">合同履行期限：一年（自合同签订之日起）。</w:t>
      </w:r>
      <w:r>
        <w:rPr>
          <w:sz w:val="24"/>
          <w:szCs w:val="24"/>
        </w:rPr>
      </w:r>
      <w:r/>
    </w:p>
    <w:p>
      <w:pPr>
        <w:pStyle w:val="963"/>
        <w:ind w:firstLine="480"/>
        <w:jc w:val="left"/>
        <w:spacing w:line="500" w:lineRule="exact"/>
        <w:rPr>
          <w:sz w:val="24"/>
          <w:szCs w:val="24"/>
        </w:rPr>
      </w:pPr>
      <w:r>
        <w:rPr>
          <w:rFonts w:hint="eastAsia"/>
          <w:b/>
          <w:sz w:val="24"/>
          <w:szCs w:val="24"/>
        </w:rPr>
        <w:t xml:space="preserve">本项目（是/否）接受联合体投标：</w:t>
      </w:r>
      <w:r>
        <w:rPr>
          <w:rFonts w:hint="eastAsia"/>
          <w:b/>
          <w:sz w:val="24"/>
          <w:szCs w:val="24"/>
        </w:rPr>
        <w:t xml:space="preserve">采购包1、3、4不接受联合体。采购包2接受联合体投标</w:t>
      </w:r>
      <w:r>
        <w:rPr>
          <w:rFonts w:hint="eastAsia"/>
          <w:b/>
          <w:sz w:val="24"/>
          <w:szCs w:val="24"/>
        </w:rPr>
        <w:t xml:space="preserve">。</w:t>
      </w:r>
      <w:r>
        <w:rPr>
          <w:sz w:val="24"/>
          <w:szCs w:val="24"/>
        </w:rPr>
      </w:r>
      <w:r/>
    </w:p>
    <w:p>
      <w:pPr>
        <w:pStyle w:val="965"/>
        <w:spacing w:before="0" w:after="0" w:line="360" w:lineRule="auto"/>
        <w:rPr>
          <w:rFonts w:ascii="黑体" w:hAnsi="黑体" w:eastAsia="黑体"/>
          <w:b w:val="0"/>
        </w:rPr>
      </w:pPr>
      <w:r>
        <w:rPr>
          <w:rFonts w:hint="eastAsia" w:ascii="黑体" w:hAnsi="黑体" w:eastAsia="黑体"/>
          <w:b w:val="0"/>
        </w:rPr>
        <w:t xml:space="preserve">二、</w:t>
      </w:r>
      <w:r>
        <w:rPr>
          <w:rFonts w:hint="eastAsia" w:ascii="黑体" w:hAnsi="黑体" w:eastAsia="黑体"/>
          <w:b w:val="0"/>
        </w:rPr>
        <w:t xml:space="preserve">采购包1至采购包4</w:t>
      </w:r>
      <w:r>
        <w:rPr>
          <w:rFonts w:hint="eastAsia" w:ascii="黑体" w:hAnsi="黑体" w:eastAsia="黑体"/>
          <w:b w:val="0"/>
        </w:rPr>
        <w:t xml:space="preserve">申请人</w:t>
      </w:r>
      <w:r>
        <w:rPr>
          <w:rFonts w:hint="eastAsia" w:ascii="黑体" w:hAnsi="黑体" w:eastAsia="黑体"/>
          <w:b w:val="0"/>
        </w:rPr>
        <w:t xml:space="preserve">的资格要求</w:t>
      </w:r>
      <w:r>
        <w:rPr>
          <w:rFonts w:ascii="黑体" w:hAnsi="黑体" w:eastAsia="黑体"/>
          <w:b w:val="0"/>
        </w:rPr>
      </w:r>
      <w:r/>
    </w:p>
    <w:p>
      <w:pPr>
        <w:pStyle w:val="963"/>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rPr>
          <w:rFonts w:hint="eastAsia"/>
          <w:b/>
          <w:sz w:val="24"/>
          <w:szCs w:val="24"/>
        </w:rPr>
        <w:t xml:space="preserve">（采购包2中</w:t>
      </w:r>
      <w:r>
        <w:rPr>
          <w:rFonts w:hint="eastAsia"/>
          <w:b/>
          <w:sz w:val="24"/>
          <w:szCs w:val="24"/>
        </w:rPr>
        <w:t xml:space="preserve">以联合体方式投标的投标人，联合体各方均提供</w:t>
      </w:r>
      <w:r>
        <w:rPr>
          <w:rFonts w:hint="eastAsia"/>
          <w:b/>
          <w:sz w:val="24"/>
          <w:szCs w:val="24"/>
        </w:rPr>
        <w:t xml:space="preserve">）</w:t>
      </w:r>
      <w:r>
        <w:rPr>
          <w:rFonts w:hint="eastAsia"/>
          <w:b/>
          <w:sz w:val="24"/>
          <w:szCs w:val="24"/>
        </w:rPr>
        <w:t xml:space="preserve">：</w:t>
      </w:r>
      <w:r>
        <w:rPr>
          <w:sz w:val="24"/>
          <w:szCs w:val="24"/>
        </w:rPr>
      </w:r>
      <w:r/>
    </w:p>
    <w:p>
      <w:pPr>
        <w:pStyle w:val="963"/>
        <w:ind w:firstLine="480"/>
        <w:jc w:val="left"/>
        <w:spacing w:line="500" w:lineRule="exact"/>
        <w:rPr>
          <w:sz w:val="24"/>
          <w:szCs w:val="24"/>
        </w:rPr>
      </w:pPr>
      <w:r>
        <w:rPr>
          <w:rFonts w:hint="eastAsia"/>
          <w:sz w:val="24"/>
          <w:szCs w:val="24"/>
        </w:rPr>
        <w:t xml:space="preserve">1.法人或者其他组织的营业执照等证明文件，自然人的身份证明；</w:t>
      </w:r>
      <w:r>
        <w:rPr>
          <w:sz w:val="24"/>
          <w:szCs w:val="24"/>
        </w:rPr>
      </w:r>
      <w:r/>
    </w:p>
    <w:p>
      <w:pPr>
        <w:pStyle w:val="963"/>
        <w:ind w:firstLine="480"/>
        <w:jc w:val="left"/>
        <w:spacing w:line="500" w:lineRule="exact"/>
        <w:rPr>
          <w:sz w:val="24"/>
          <w:szCs w:val="24"/>
        </w:rPr>
      </w:pPr>
      <w:r>
        <w:rPr>
          <w:rFonts w:hint="eastAsia"/>
          <w:sz w:val="24"/>
          <w:szCs w:val="24"/>
        </w:rPr>
        <w:t xml:space="preserve">2.上一年度的财务状况报告；（成立不满一年无需提供）</w:t>
      </w:r>
      <w:r>
        <w:rPr>
          <w:sz w:val="24"/>
          <w:szCs w:val="24"/>
        </w:rPr>
      </w:r>
      <w:r/>
    </w:p>
    <w:p>
      <w:pPr>
        <w:pStyle w:val="963"/>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sz w:val="24"/>
          <w:szCs w:val="24"/>
        </w:rPr>
      </w:r>
      <w:r/>
    </w:p>
    <w:p>
      <w:pPr>
        <w:pStyle w:val="963"/>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rPr>
          <w:sz w:val="24"/>
          <w:szCs w:val="24"/>
        </w:rPr>
      </w:r>
      <w:r/>
    </w:p>
    <w:p>
      <w:pPr>
        <w:pStyle w:val="963"/>
        <w:ind w:firstLine="480"/>
        <w:jc w:val="left"/>
        <w:spacing w:line="500" w:lineRule="exact"/>
        <w:rPr>
          <w:sz w:val="24"/>
          <w:szCs w:val="24"/>
        </w:rPr>
      </w:pPr>
      <w:r>
        <w:rPr>
          <w:rFonts w:hint="eastAsia"/>
          <w:sz w:val="24"/>
          <w:szCs w:val="24"/>
        </w:rPr>
        <w:t xml:space="preserve">4.具备履行合同所必需的设备和专业技术能力的声明及证明材料；</w:t>
      </w:r>
      <w:r>
        <w:rPr>
          <w:sz w:val="24"/>
          <w:szCs w:val="24"/>
        </w:rPr>
      </w:r>
      <w:r/>
    </w:p>
    <w:p>
      <w:pPr>
        <w:pStyle w:val="963"/>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rPr>
          <w:sz w:val="24"/>
          <w:szCs w:val="24"/>
        </w:rPr>
      </w:r>
      <w:r/>
    </w:p>
    <w:p>
      <w:pPr>
        <w:pStyle w:val="963"/>
        <w:ind w:firstLine="480"/>
        <w:jc w:val="left"/>
        <w:spacing w:line="500" w:lineRule="exact"/>
        <w:rPr>
          <w:sz w:val="24"/>
          <w:szCs w:val="24"/>
        </w:rPr>
      </w:pPr>
      <w:r>
        <w:rPr>
          <w:rFonts w:hint="eastAsia"/>
          <w:sz w:val="24"/>
          <w:szCs w:val="24"/>
        </w:rPr>
        <w:t xml:space="preserve">6.法律、行政法规规定的其他条件；（如有，请按要求提供）</w:t>
      </w:r>
      <w:r>
        <w:rPr>
          <w:sz w:val="24"/>
          <w:szCs w:val="24"/>
        </w:rPr>
      </w:r>
      <w:r/>
    </w:p>
    <w:p>
      <w:pPr>
        <w:pStyle w:val="963"/>
        <w:ind w:firstLine="480"/>
        <w:jc w:val="left"/>
        <w:spacing w:line="500" w:lineRule="exact"/>
        <w:rPr>
          <w:sz w:val="24"/>
          <w:szCs w:val="24"/>
        </w:rPr>
      </w:pPr>
      <w:r>
        <w:rPr>
          <w:rFonts w:hint="eastAsia"/>
          <w:sz w:val="24"/>
          <w:szCs w:val="24"/>
        </w:rPr>
        <w:t xml:space="preserve">7.资格审查现场查询信用中国、中国政府采购网，投标人被列入失信被执行人、</w:t>
      </w:r>
      <w:r>
        <w:rPr>
          <w:sz w:val="24"/>
          <w:szCs w:val="24"/>
        </w:rPr>
        <w:t xml:space="preserve">税收违法黑名单</w:t>
      </w:r>
      <w:r>
        <w:rPr>
          <w:rFonts w:hint="eastAsia"/>
          <w:sz w:val="24"/>
          <w:szCs w:val="24"/>
        </w:rPr>
        <w:t xml:space="preserve">、政府采购严重违法失信行为记录名单及具有其他不符合《中华人民共和国政府采购法》第二十二条规定情形的，拒绝其参与政府采购活动。（投标文件中无需提供证明材料）</w:t>
      </w:r>
      <w:r>
        <w:rPr>
          <w:sz w:val="24"/>
          <w:szCs w:val="24"/>
        </w:rPr>
      </w:r>
      <w:r/>
    </w:p>
    <w:p>
      <w:pPr>
        <w:pStyle w:val="963"/>
        <w:ind w:firstLine="480"/>
        <w:jc w:val="left"/>
        <w:spacing w:line="500" w:lineRule="exact"/>
        <w:rPr>
          <w:sz w:val="24"/>
          <w:szCs w:val="24"/>
        </w:rPr>
      </w:pPr>
      <w:r>
        <w:rPr>
          <w:rFonts w:hint="eastAsia"/>
          <w:sz w:val="24"/>
          <w:szCs w:val="24"/>
        </w:rPr>
        <w:t xml:space="preserve">（二）落实政府采购政策需满足的资格要求：</w:t>
      </w:r>
      <w:r>
        <w:rPr>
          <w:sz w:val="24"/>
          <w:szCs w:val="24"/>
        </w:rPr>
      </w:r>
      <w:r/>
    </w:p>
    <w:p>
      <w:pPr>
        <w:pStyle w:val="963"/>
        <w:ind w:firstLine="480"/>
        <w:jc w:val="left"/>
        <w:spacing w:line="500" w:lineRule="exact"/>
        <w:rPr>
          <w:sz w:val="24"/>
          <w:szCs w:val="24"/>
        </w:rPr>
      </w:pPr>
      <w:r>
        <w:rPr>
          <w:rFonts w:hint="eastAsia"/>
          <w:sz w:val="24"/>
          <w:szCs w:val="24"/>
        </w:rPr>
        <w:t xml:space="preserve">采购包1、2、3：专门面向中型企业、小型企业、微型企业、残疾人福利性单位、监狱企业采购</w:t>
      </w:r>
      <w:r>
        <w:rPr>
          <w:rFonts w:hint="eastAsia"/>
          <w:b/>
          <w:sz w:val="24"/>
          <w:szCs w:val="24"/>
        </w:rPr>
        <w:t xml:space="preserve">（采购包2以联合体名义参加投标的各方须为中型企业、小型企业、微型企业、残疾人福利性单位、监狱企业）</w:t>
      </w:r>
      <w:r>
        <w:rPr>
          <w:rFonts w:hint="eastAsia"/>
          <w:sz w:val="24"/>
          <w:szCs w:val="24"/>
        </w:rPr>
        <w:t xml:space="preserve">，</w:t>
      </w:r>
      <w:r>
        <w:rPr>
          <w:rFonts w:hint="eastAsia"/>
          <w:b/>
          <w:sz w:val="24"/>
          <w:szCs w:val="24"/>
          <w:highlight w:val="yellow"/>
        </w:rPr>
        <w:t xml:space="preserve">符合要求的投标人</w:t>
      </w:r>
      <w:r>
        <w:rPr>
          <w:rFonts w:hint="eastAsia"/>
          <w:b/>
          <w:sz w:val="24"/>
          <w:szCs w:val="24"/>
        </w:rPr>
        <w:t xml:space="preserve">（采购包2中联合体各方均提供）</w:t>
      </w:r>
      <w:r>
        <w:rPr>
          <w:rFonts w:hint="eastAsia"/>
          <w:sz w:val="24"/>
          <w:szCs w:val="24"/>
        </w:rPr>
        <w:t xml:space="preserve">须提供《中小企业声明函》（详见第六章 投标文件格式）或《残疾人福利性单位声明函》（详见第六章 投标文件格式）或属于监狱企业的证明文件，否则投标无效。</w:t>
      </w:r>
      <w:r>
        <w:rPr>
          <w:sz w:val="24"/>
          <w:szCs w:val="24"/>
        </w:rPr>
      </w:r>
      <w:r/>
    </w:p>
    <w:p>
      <w:pPr>
        <w:pStyle w:val="963"/>
        <w:ind w:firstLine="480"/>
        <w:jc w:val="left"/>
        <w:spacing w:line="500" w:lineRule="exact"/>
        <w:rPr>
          <w:sz w:val="24"/>
          <w:szCs w:val="24"/>
        </w:rPr>
      </w:pPr>
      <w:r>
        <w:rPr>
          <w:rFonts w:hint="eastAsia"/>
          <w:sz w:val="24"/>
          <w:szCs w:val="24"/>
        </w:rPr>
        <w:t xml:space="preserve">采购包4：无。</w:t>
      </w:r>
      <w:r>
        <w:rPr>
          <w:sz w:val="24"/>
          <w:szCs w:val="24"/>
        </w:rPr>
      </w:r>
      <w:r/>
    </w:p>
    <w:p>
      <w:pPr>
        <w:pStyle w:val="963"/>
        <w:ind w:firstLine="480"/>
        <w:jc w:val="left"/>
        <w:spacing w:line="500" w:lineRule="exact"/>
        <w:rPr>
          <w:sz w:val="24"/>
          <w:szCs w:val="24"/>
        </w:rPr>
      </w:pPr>
      <w:r>
        <w:rPr>
          <w:rFonts w:hint="eastAsia"/>
          <w:sz w:val="24"/>
          <w:szCs w:val="24"/>
        </w:rPr>
        <w:t xml:space="preserve">（三）本项目的特定资格要求：</w:t>
      </w:r>
      <w:r>
        <w:rPr>
          <w:rFonts w:hint="eastAsia"/>
          <w:sz w:val="24"/>
          <w:szCs w:val="24"/>
        </w:rPr>
        <w:t xml:space="preserve">以联合体形式参加政府采购活动的投标人</w:t>
      </w:r>
      <w:r>
        <w:rPr>
          <w:rFonts w:hint="eastAsia"/>
          <w:b/>
          <w:sz w:val="24"/>
          <w:szCs w:val="24"/>
        </w:rPr>
        <w:t xml:space="preserve">（仅限采购包2）</w:t>
      </w:r>
      <w:r>
        <w:rPr>
          <w:rFonts w:hint="eastAsia"/>
          <w:sz w:val="24"/>
          <w:szCs w:val="24"/>
        </w:rPr>
        <w:t xml:space="preserve">，</w:t>
      </w:r>
      <w:r>
        <w:rPr>
          <w:rFonts w:hint="eastAsia"/>
          <w:sz w:val="24"/>
          <w:szCs w:val="24"/>
        </w:rPr>
        <w:t xml:space="preserve">联合体成员数量不超过2家（含两家）</w:t>
      </w:r>
      <w:r>
        <w:rPr>
          <w:rFonts w:hint="eastAsia"/>
          <w:sz w:val="24"/>
          <w:szCs w:val="24"/>
        </w:rPr>
        <w:t xml:space="preserve">，</w:t>
      </w:r>
      <w:r>
        <w:rPr>
          <w:rFonts w:hint="eastAsia"/>
          <w:sz w:val="24"/>
          <w:szCs w:val="24"/>
        </w:rPr>
        <w:t xml:space="preserve">组成联合体内企业之间不得存在直接控股、管理关系；</w:t>
      </w:r>
      <w:r>
        <w:rPr>
          <w:rFonts w:hint="eastAsia"/>
          <w:sz w:val="24"/>
          <w:szCs w:val="24"/>
        </w:rPr>
        <w:t xml:space="preserve">联合体各方不得再单独参加或者与其他供应商另外组成联合体参加同一合同项下的政府采购活动；须提交共同签署的《联合体协议》（招标文件格式十三），明确联合体的牵头单位，并载明联合体各方承担的工作和义务。</w:t>
      </w:r>
      <w:r>
        <w:rPr>
          <w:sz w:val="24"/>
          <w:szCs w:val="24"/>
        </w:rPr>
      </w:r>
      <w:r/>
    </w:p>
    <w:p>
      <w:pPr>
        <w:pStyle w:val="965"/>
        <w:spacing w:before="0" w:after="0" w:line="360" w:lineRule="auto"/>
        <w:rPr>
          <w:rFonts w:ascii="黑体" w:hAnsi="黑体" w:eastAsia="黑体"/>
          <w:b w:val="0"/>
        </w:rPr>
      </w:pPr>
      <w:r>
        <w:rPr>
          <w:rFonts w:hint="eastAsia" w:ascii="黑体" w:hAnsi="黑体" w:eastAsia="黑体"/>
          <w:b w:val="0"/>
        </w:rPr>
        <w:t xml:space="preserve">三、获取招标文件</w:t>
      </w:r>
      <w:r>
        <w:rPr>
          <w:rFonts w:ascii="黑体" w:hAnsi="黑体" w:eastAsia="黑体"/>
          <w:b w:val="0"/>
        </w:rPr>
      </w:r>
      <w:r/>
    </w:p>
    <w:p>
      <w:pPr>
        <w:pStyle w:val="963"/>
        <w:ind w:firstLine="480"/>
        <w:jc w:val="left"/>
        <w:spacing w:line="500" w:lineRule="exact"/>
        <w:rPr>
          <w:rFonts w:ascii="宋体" w:hAnsi="宋体"/>
          <w:sz w:val="24"/>
          <w:szCs w:val="24"/>
        </w:rPr>
      </w:pPr>
      <w:r>
        <w:rPr>
          <w:rFonts w:hint="eastAsia" w:ascii="宋体" w:hAnsi="宋体"/>
          <w:sz w:val="24"/>
          <w:szCs w:val="24"/>
        </w:rPr>
        <w:t xml:space="preserve">时间</w:t>
      </w:r>
      <w:r>
        <w:rPr>
          <w:rFonts w:hint="eastAsia" w:ascii="宋体" w:hAnsi="宋体"/>
          <w:sz w:val="24"/>
          <w:szCs w:val="24"/>
        </w:rPr>
        <w:t xml:space="preserve">：</w:t>
      </w:r>
      <w:r>
        <w:rPr>
          <w:rFonts w:hint="eastAsia" w:ascii="宋体" w:hAnsi="宋体"/>
          <w:sz w:val="24"/>
          <w:szCs w:val="24"/>
        </w:rPr>
        <w:t xml:space="preserve">自发布之日起</w:t>
      </w:r>
      <w:r>
        <w:rPr>
          <w:rFonts w:hint="eastAsia" w:ascii="宋体" w:hAnsi="宋体"/>
          <w:sz w:val="24"/>
          <w:szCs w:val="24"/>
        </w:rPr>
        <w:t xml:space="preserve">至 2024年</w:t>
      </w:r>
      <w:r>
        <w:rPr>
          <w:rFonts w:hint="eastAsia" w:ascii="宋体" w:hAnsi="宋体"/>
          <w:sz w:val="24"/>
          <w:szCs w:val="24"/>
        </w:rPr>
        <w:t xml:space="preserve">7</w:t>
      </w:r>
      <w:r>
        <w:rPr>
          <w:rFonts w:hint="eastAsia" w:ascii="宋体" w:hAnsi="宋体"/>
          <w:sz w:val="24"/>
          <w:szCs w:val="24"/>
        </w:rPr>
        <w:t xml:space="preserve">月</w:t>
      </w:r>
      <w:r>
        <w:rPr>
          <w:rFonts w:hint="eastAsia" w:ascii="宋体" w:hAnsi="宋体"/>
          <w:sz w:val="24"/>
          <w:szCs w:val="24"/>
        </w:rPr>
        <w:t xml:space="preserve">17</w:t>
      </w:r>
      <w:r>
        <w:rPr>
          <w:rFonts w:hint="eastAsia" w:ascii="宋体" w:hAnsi="宋体"/>
          <w:sz w:val="24"/>
          <w:szCs w:val="24"/>
        </w:rPr>
        <w:t xml:space="preserve">日</w:t>
      </w:r>
      <w:r>
        <w:rPr>
          <w:rFonts w:hint="eastAsia" w:ascii="宋体" w:hAnsi="宋体"/>
          <w:sz w:val="24"/>
          <w:szCs w:val="24"/>
        </w:rPr>
        <w:t xml:space="preserve">下午18</w:t>
      </w:r>
      <w:r>
        <w:rPr>
          <w:rFonts w:hint="eastAsia" w:ascii="宋体" w:hAnsi="宋体"/>
          <w:sz w:val="24"/>
          <w:szCs w:val="24"/>
        </w:rPr>
        <w:t xml:space="preserve">:</w:t>
      </w:r>
      <w:r>
        <w:rPr>
          <w:rFonts w:hint="eastAsia" w:ascii="宋体" w:hAnsi="宋体"/>
          <w:sz w:val="24"/>
          <w:szCs w:val="24"/>
        </w:rPr>
        <w:t xml:space="preserve">00</w:t>
      </w:r>
      <w:r>
        <w:rPr>
          <w:rFonts w:hint="eastAsia" w:ascii="宋体" w:hAnsi="宋体"/>
          <w:sz w:val="24"/>
          <w:szCs w:val="24"/>
        </w:rPr>
      </w:r>
      <w:r/>
    </w:p>
    <w:p>
      <w:pPr>
        <w:pStyle w:val="963"/>
        <w:ind w:firstLine="480"/>
        <w:jc w:val="left"/>
        <w:spacing w:line="500" w:lineRule="exact"/>
        <w:rPr>
          <w:sz w:val="24"/>
          <w:szCs w:val="24"/>
        </w:rPr>
      </w:pPr>
      <w:r>
        <w:rPr>
          <w:rFonts w:hint="eastAsia"/>
          <w:sz w:val="24"/>
          <w:szCs w:val="24"/>
        </w:rPr>
        <w:t xml:space="preserve">地点：江苏政府采购网</w:t>
      </w:r>
      <w:r>
        <w:rPr>
          <w:sz w:val="24"/>
          <w:szCs w:val="24"/>
        </w:rPr>
      </w:r>
      <w:r/>
    </w:p>
    <w:p>
      <w:pPr>
        <w:pStyle w:val="963"/>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rPr>
          <w:sz w:val="24"/>
          <w:szCs w:val="24"/>
        </w:rPr>
      </w:r>
      <w:r/>
    </w:p>
    <w:p>
      <w:pPr>
        <w:pStyle w:val="963"/>
        <w:ind w:firstLine="480"/>
        <w:jc w:val="left"/>
        <w:spacing w:line="500" w:lineRule="exact"/>
        <w:rPr>
          <w:sz w:val="24"/>
          <w:szCs w:val="24"/>
        </w:rPr>
      </w:pPr>
      <w:r>
        <w:rPr>
          <w:rFonts w:hint="eastAsia"/>
          <w:sz w:val="24"/>
          <w:szCs w:val="24"/>
        </w:rPr>
        <w:t xml:space="preserve">售价：0.00元</w:t>
      </w:r>
      <w:r>
        <w:rPr>
          <w:sz w:val="24"/>
          <w:szCs w:val="24"/>
        </w:rPr>
      </w:r>
      <w:r/>
    </w:p>
    <w:p>
      <w:pPr>
        <w:pStyle w:val="965"/>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rPr>
          <w:rFonts w:ascii="黑体" w:hAnsi="黑体" w:eastAsia="黑体"/>
          <w:b w:val="0"/>
        </w:rPr>
      </w:r>
      <w:r/>
    </w:p>
    <w:p>
      <w:pPr>
        <w:pStyle w:val="963"/>
        <w:ind w:firstLine="480"/>
        <w:jc w:val="left"/>
        <w:spacing w:line="500" w:lineRule="exact"/>
        <w:rPr>
          <w:sz w:val="24"/>
          <w:szCs w:val="24"/>
        </w:rPr>
      </w:pPr>
      <w:r>
        <w:rPr>
          <w:rFonts w:hint="eastAsia"/>
          <w:sz w:val="24"/>
          <w:szCs w:val="24"/>
        </w:rPr>
        <w:t xml:space="preserve">提交投标文件截止时间</w:t>
      </w:r>
      <w:r>
        <w:rPr>
          <w:rFonts w:hint="eastAsia"/>
          <w:sz w:val="24"/>
          <w:szCs w:val="24"/>
        </w:rPr>
        <w:t xml:space="preserve">：2024年</w:t>
      </w:r>
      <w:r>
        <w:rPr>
          <w:rFonts w:hint="eastAsia"/>
          <w:sz w:val="24"/>
          <w:szCs w:val="24"/>
        </w:rPr>
        <w:t xml:space="preserve">7</w:t>
      </w:r>
      <w:r>
        <w:rPr>
          <w:rFonts w:hint="eastAsia"/>
          <w:sz w:val="24"/>
          <w:szCs w:val="24"/>
        </w:rPr>
        <w:t xml:space="preserve">月</w:t>
      </w:r>
      <w:r>
        <w:rPr>
          <w:rFonts w:hint="eastAsia"/>
          <w:sz w:val="24"/>
          <w:szCs w:val="24"/>
        </w:rPr>
        <w:t xml:space="preserve">31</w:t>
      </w:r>
      <w:r>
        <w:rPr>
          <w:rFonts w:hint="eastAsia"/>
          <w:sz w:val="24"/>
          <w:szCs w:val="24"/>
        </w:rPr>
        <w:t xml:space="preserve">日</w:t>
      </w:r>
      <w:r>
        <w:rPr>
          <w:rFonts w:hint="eastAsia"/>
          <w:sz w:val="24"/>
          <w:szCs w:val="24"/>
        </w:rPr>
        <w:t xml:space="preserve">10</w:t>
      </w:r>
      <w:r>
        <w:rPr>
          <w:rFonts w:hint="eastAsia"/>
          <w:sz w:val="24"/>
          <w:szCs w:val="24"/>
        </w:rPr>
        <w:t xml:space="preserve">:</w:t>
      </w:r>
      <w:r>
        <w:rPr>
          <w:rFonts w:hint="eastAsia"/>
          <w:sz w:val="24"/>
          <w:szCs w:val="24"/>
        </w:rPr>
        <w:t xml:space="preserve">30</w:t>
      </w:r>
      <w:r>
        <w:rPr>
          <w:rFonts w:hint="eastAsia"/>
          <w:sz w:val="24"/>
          <w:szCs w:val="24"/>
        </w:rPr>
        <w:t xml:space="preserve">:00（北</w:t>
      </w:r>
      <w:r>
        <w:rPr>
          <w:rFonts w:hint="eastAsia"/>
          <w:sz w:val="24"/>
          <w:szCs w:val="24"/>
        </w:rPr>
        <w:t xml:space="preserve">京时间）</w:t>
      </w:r>
      <w:r>
        <w:rPr>
          <w:sz w:val="24"/>
          <w:szCs w:val="24"/>
        </w:rPr>
      </w:r>
      <w:r/>
    </w:p>
    <w:p>
      <w:pPr>
        <w:pStyle w:val="963"/>
        <w:ind w:firstLine="480"/>
        <w:jc w:val="left"/>
        <w:spacing w:line="500" w:lineRule="exact"/>
        <w:rPr>
          <w:sz w:val="24"/>
          <w:szCs w:val="24"/>
        </w:rPr>
      </w:pPr>
      <w:r>
        <w:rPr>
          <w:rFonts w:hint="eastAsia"/>
          <w:sz w:val="24"/>
          <w:szCs w:val="24"/>
        </w:rPr>
        <w:t xml:space="preserve">开标时间：提交投标文件截止时间</w:t>
      </w:r>
      <w:r>
        <w:rPr>
          <w:sz w:val="24"/>
          <w:szCs w:val="24"/>
        </w:rPr>
      </w:r>
      <w:r/>
    </w:p>
    <w:p>
      <w:pPr>
        <w:pStyle w:val="963"/>
        <w:ind w:firstLine="480"/>
        <w:jc w:val="left"/>
        <w:spacing w:line="500" w:lineRule="exact"/>
      </w:pPr>
      <w:r>
        <w:rPr>
          <w:rFonts w:hint="eastAsia"/>
          <w:sz w:val="24"/>
          <w:szCs w:val="24"/>
        </w:rPr>
        <w:t xml:space="preserve">开标地点：“苏采云”政府采购交易系统网上开标大厅</w:t>
      </w:r>
      <w:r/>
    </w:p>
    <w:p>
      <w:pPr>
        <w:pStyle w:val="965"/>
        <w:spacing w:before="0" w:after="0" w:line="360" w:lineRule="auto"/>
        <w:rPr>
          <w:rFonts w:ascii="黑体" w:hAnsi="黑体" w:eastAsia="黑体"/>
          <w:b w:val="0"/>
        </w:rPr>
      </w:pPr>
      <w:r>
        <w:rPr>
          <w:rFonts w:hint="eastAsia" w:ascii="黑体" w:hAnsi="黑体" w:eastAsia="黑体"/>
          <w:b w:val="0"/>
        </w:rPr>
        <w:t xml:space="preserve">五、公告期限</w:t>
      </w:r>
      <w:r>
        <w:rPr>
          <w:rFonts w:ascii="黑体" w:hAnsi="黑体" w:eastAsia="黑体"/>
          <w:b w:val="0"/>
        </w:rPr>
      </w:r>
      <w:r/>
    </w:p>
    <w:p>
      <w:pPr>
        <w:pStyle w:val="963"/>
        <w:ind w:firstLine="480"/>
        <w:jc w:val="left"/>
        <w:spacing w:line="500" w:lineRule="exact"/>
        <w:rPr>
          <w:sz w:val="24"/>
          <w:szCs w:val="24"/>
        </w:rPr>
      </w:pPr>
      <w:r>
        <w:rPr>
          <w:rFonts w:hint="eastAsia"/>
          <w:sz w:val="24"/>
          <w:szCs w:val="24"/>
        </w:rPr>
        <w:t xml:space="preserve">自本公告发布之日起5个工作日。</w:t>
      </w:r>
      <w:r>
        <w:rPr>
          <w:sz w:val="24"/>
          <w:szCs w:val="24"/>
        </w:rPr>
      </w:r>
      <w:r/>
    </w:p>
    <w:p>
      <w:pPr>
        <w:pStyle w:val="965"/>
        <w:spacing w:before="0" w:after="0" w:line="360" w:lineRule="auto"/>
        <w:rPr>
          <w:rFonts w:ascii="黑体" w:hAnsi="黑体" w:eastAsia="黑体"/>
          <w:b w:val="0"/>
        </w:rPr>
      </w:pPr>
      <w:r>
        <w:rPr>
          <w:rFonts w:hint="eastAsia" w:ascii="黑体" w:hAnsi="黑体" w:eastAsia="黑体"/>
          <w:b w:val="0"/>
        </w:rPr>
        <w:t xml:space="preserve">六、其他补充事宜</w:t>
      </w:r>
      <w:r>
        <w:rPr>
          <w:rFonts w:ascii="黑体" w:hAnsi="黑体" w:eastAsia="黑体"/>
          <w:b w:val="0"/>
        </w:rPr>
      </w:r>
      <w:r/>
    </w:p>
    <w:p>
      <w:pPr>
        <w:pStyle w:val="963"/>
        <w:ind w:firstLine="480"/>
        <w:jc w:val="left"/>
        <w:spacing w:line="500" w:lineRule="exact"/>
        <w:rPr>
          <w:sz w:val="24"/>
          <w:szCs w:val="24"/>
        </w:rPr>
      </w:pPr>
      <w:r>
        <w:rPr>
          <w:rFonts w:hint="eastAsia"/>
          <w:sz w:val="24"/>
          <w:szCs w:val="24"/>
        </w:rPr>
        <w:t xml:space="preserve">1.本次招标不收取投标保证金。</w:t>
      </w:r>
      <w:r>
        <w:rPr>
          <w:sz w:val="24"/>
          <w:szCs w:val="24"/>
        </w:rPr>
      </w:r>
      <w:r/>
    </w:p>
    <w:p>
      <w:pPr>
        <w:pStyle w:val="963"/>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rPr>
          <w:sz w:val="24"/>
          <w:szCs w:val="24"/>
        </w:rPr>
      </w:r>
      <w:r/>
    </w:p>
    <w:p>
      <w:pPr>
        <w:pStyle w:val="963"/>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rPr>
          <w:sz w:val="24"/>
          <w:szCs w:val="24"/>
        </w:rPr>
      </w:r>
      <w:r/>
    </w:p>
    <w:p>
      <w:pPr>
        <w:pStyle w:val="963"/>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sz w:val="24"/>
          <w:szCs w:val="24"/>
        </w:rPr>
      </w:r>
      <w:r/>
    </w:p>
    <w:p>
      <w:pPr>
        <w:pStyle w:val="963"/>
        <w:ind w:firstLine="480"/>
        <w:jc w:val="left"/>
        <w:spacing w:line="500" w:lineRule="exact"/>
        <w:rPr>
          <w:sz w:val="24"/>
          <w:szCs w:val="24"/>
        </w:rPr>
      </w:pPr>
      <w:r>
        <w:rPr>
          <w:rFonts w:hint="eastAsia"/>
          <w:sz w:val="24"/>
          <w:szCs w:val="24"/>
        </w:rPr>
        <w:t xml:space="preserve">http://www.ccgp-jiangsu.gov.cn/jiangsu/zlxz/ee/ee3a4bc5a3454aa2b0d9312230633ce9.html</w:t>
      </w:r>
      <w:r>
        <w:rPr>
          <w:sz w:val="24"/>
          <w:szCs w:val="24"/>
        </w:rPr>
      </w:r>
      <w:r/>
    </w:p>
    <w:p>
      <w:pPr>
        <w:pStyle w:val="963"/>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sz w:val="24"/>
          <w:szCs w:val="24"/>
        </w:rPr>
      </w:r>
      <w:r/>
    </w:p>
    <w:p>
      <w:pPr>
        <w:pStyle w:val="965"/>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rPr>
          <w:rFonts w:ascii="黑体" w:hAnsi="黑体" w:eastAsia="黑体"/>
          <w:b w:val="0"/>
        </w:rPr>
      </w:r>
      <w:r/>
    </w:p>
    <w:p>
      <w:pPr>
        <w:pStyle w:val="963"/>
        <w:ind w:firstLine="480"/>
        <w:jc w:val="left"/>
        <w:spacing w:line="500" w:lineRule="exact"/>
        <w:rPr>
          <w:sz w:val="24"/>
          <w:szCs w:val="24"/>
        </w:rPr>
      </w:pPr>
      <w:r>
        <w:rPr>
          <w:rFonts w:hint="eastAsia"/>
          <w:sz w:val="24"/>
          <w:szCs w:val="24"/>
        </w:rPr>
        <w:t xml:space="preserve">1.采购人信息</w:t>
      </w:r>
      <w:r>
        <w:rPr>
          <w:sz w:val="24"/>
          <w:szCs w:val="24"/>
        </w:rPr>
      </w:r>
      <w:r/>
    </w:p>
    <w:p>
      <w:pPr>
        <w:pStyle w:val="963"/>
        <w:ind w:firstLine="480"/>
        <w:jc w:val="left"/>
        <w:spacing w:line="500" w:lineRule="exact"/>
        <w:rPr>
          <w:sz w:val="24"/>
          <w:szCs w:val="24"/>
        </w:rPr>
      </w:pPr>
      <w:r>
        <w:rPr>
          <w:rFonts w:hint="eastAsia"/>
          <w:sz w:val="24"/>
          <w:szCs w:val="24"/>
        </w:rPr>
        <w:t xml:space="preserve">名    称：连云港市环境监测监控中心</w:t>
      </w:r>
      <w:r>
        <w:rPr>
          <w:sz w:val="24"/>
          <w:szCs w:val="24"/>
        </w:rPr>
      </w:r>
      <w:r/>
    </w:p>
    <w:p>
      <w:pPr>
        <w:pStyle w:val="963"/>
        <w:ind w:firstLine="480"/>
        <w:jc w:val="left"/>
        <w:spacing w:line="500" w:lineRule="exact"/>
        <w:rPr>
          <w:sz w:val="24"/>
          <w:szCs w:val="24"/>
        </w:rPr>
      </w:pPr>
      <w:r>
        <w:rPr>
          <w:rFonts w:hint="eastAsia"/>
          <w:sz w:val="24"/>
          <w:szCs w:val="24"/>
        </w:rPr>
        <w:t xml:space="preserve">地    址：海州区朝阳中路1</w:t>
      </w:r>
      <w:r>
        <w:rPr>
          <w:sz w:val="24"/>
          <w:szCs w:val="24"/>
        </w:rPr>
        <w:t xml:space="preserve">4</w:t>
      </w:r>
      <w:r>
        <w:rPr>
          <w:rFonts w:hint="eastAsia"/>
          <w:sz w:val="24"/>
          <w:szCs w:val="24"/>
        </w:rPr>
        <w:t xml:space="preserve">号</w:t>
      </w:r>
      <w:r>
        <w:rPr>
          <w:sz w:val="24"/>
          <w:szCs w:val="24"/>
        </w:rPr>
      </w:r>
      <w:r/>
    </w:p>
    <w:p>
      <w:pPr>
        <w:pStyle w:val="963"/>
        <w:ind w:firstLine="480"/>
        <w:jc w:val="left"/>
        <w:spacing w:line="500" w:lineRule="exact"/>
        <w:rPr>
          <w:sz w:val="24"/>
          <w:szCs w:val="24"/>
        </w:rPr>
      </w:pPr>
      <w:r>
        <w:rPr>
          <w:rFonts w:hint="eastAsia"/>
          <w:sz w:val="24"/>
          <w:szCs w:val="24"/>
        </w:rPr>
        <w:t xml:space="preserve">联 系 人：吕江莉</w:t>
      </w:r>
      <w:r>
        <w:rPr>
          <w:sz w:val="24"/>
          <w:szCs w:val="24"/>
        </w:rPr>
      </w:r>
      <w:r/>
    </w:p>
    <w:p>
      <w:pPr>
        <w:pStyle w:val="963"/>
        <w:ind w:firstLine="480"/>
        <w:jc w:val="left"/>
        <w:spacing w:line="500" w:lineRule="exact"/>
        <w:rPr>
          <w:sz w:val="24"/>
          <w:szCs w:val="24"/>
        </w:rPr>
      </w:pPr>
      <w:r>
        <w:rPr>
          <w:rFonts w:hint="eastAsia"/>
          <w:sz w:val="24"/>
          <w:szCs w:val="24"/>
        </w:rPr>
        <w:t xml:space="preserve">联系电话：0</w:t>
      </w:r>
      <w:r>
        <w:rPr>
          <w:sz w:val="24"/>
          <w:szCs w:val="24"/>
        </w:rPr>
        <w:t xml:space="preserve">518-85683983</w:t>
      </w:r>
      <w:r>
        <w:rPr>
          <w:sz w:val="24"/>
          <w:szCs w:val="24"/>
        </w:rPr>
      </w:r>
      <w:r/>
    </w:p>
    <w:p>
      <w:pPr>
        <w:pStyle w:val="963"/>
        <w:ind w:firstLine="480"/>
        <w:jc w:val="left"/>
        <w:spacing w:line="500" w:lineRule="exact"/>
        <w:rPr>
          <w:sz w:val="24"/>
          <w:szCs w:val="24"/>
        </w:rPr>
      </w:pPr>
      <w:r>
        <w:rPr>
          <w:rFonts w:hint="eastAsia"/>
          <w:sz w:val="24"/>
          <w:szCs w:val="24"/>
        </w:rPr>
        <w:t xml:space="preserve">2.采购代理机构信息</w:t>
      </w:r>
      <w:r>
        <w:rPr>
          <w:sz w:val="24"/>
          <w:szCs w:val="24"/>
        </w:rPr>
      </w:r>
      <w:r/>
    </w:p>
    <w:p>
      <w:pPr>
        <w:pStyle w:val="963"/>
        <w:ind w:firstLine="480"/>
        <w:jc w:val="left"/>
        <w:spacing w:line="500" w:lineRule="exact"/>
        <w:rPr>
          <w:sz w:val="24"/>
          <w:szCs w:val="24"/>
        </w:rPr>
      </w:pPr>
      <w:r>
        <w:rPr>
          <w:rFonts w:hint="eastAsia"/>
          <w:sz w:val="24"/>
          <w:szCs w:val="24"/>
        </w:rPr>
        <w:t xml:space="preserve">名    称：连云港市公共资源交易中心</w:t>
      </w:r>
      <w:r>
        <w:rPr>
          <w:sz w:val="24"/>
          <w:szCs w:val="24"/>
        </w:rPr>
      </w:r>
      <w:r/>
    </w:p>
    <w:p>
      <w:pPr>
        <w:pStyle w:val="963"/>
        <w:ind w:firstLine="480"/>
        <w:jc w:val="left"/>
        <w:spacing w:line="500" w:lineRule="exact"/>
        <w:rPr>
          <w:sz w:val="24"/>
          <w:szCs w:val="24"/>
        </w:rPr>
      </w:pPr>
      <w:r>
        <w:rPr>
          <w:rFonts w:hint="eastAsia"/>
          <w:sz w:val="24"/>
          <w:szCs w:val="24"/>
        </w:rPr>
        <w:t xml:space="preserve">地    址：连云港市海州区凌洲东路</w:t>
      </w:r>
      <w:r>
        <w:rPr>
          <w:rFonts w:hint="eastAsia"/>
          <w:sz w:val="24"/>
          <w:szCs w:val="24"/>
        </w:rPr>
        <w:t xml:space="preserve">9号2号楼421室</w:t>
      </w:r>
      <w:r>
        <w:rPr>
          <w:sz w:val="24"/>
          <w:szCs w:val="24"/>
        </w:rPr>
      </w:r>
      <w:r/>
    </w:p>
    <w:p>
      <w:pPr>
        <w:pStyle w:val="963"/>
        <w:ind w:firstLine="480"/>
        <w:jc w:val="left"/>
        <w:spacing w:line="500" w:lineRule="exact"/>
        <w:rPr>
          <w:sz w:val="24"/>
          <w:szCs w:val="24"/>
        </w:rPr>
      </w:pPr>
      <w:r>
        <w:rPr>
          <w:rFonts w:hint="eastAsia"/>
          <w:sz w:val="24"/>
          <w:szCs w:val="24"/>
        </w:rPr>
        <w:t xml:space="preserve">联 系 人：朱工</w:t>
      </w:r>
      <w:r>
        <w:rPr>
          <w:sz w:val="24"/>
          <w:szCs w:val="24"/>
        </w:rPr>
      </w:r>
      <w:r/>
    </w:p>
    <w:p>
      <w:pPr>
        <w:pStyle w:val="963"/>
        <w:ind w:firstLine="480"/>
        <w:jc w:val="left"/>
        <w:spacing w:line="500" w:lineRule="exact"/>
        <w:rPr>
          <w:sz w:val="24"/>
          <w:szCs w:val="24"/>
        </w:rPr>
      </w:pPr>
      <w:r>
        <w:rPr>
          <w:rFonts w:hint="eastAsia"/>
          <w:sz w:val="24"/>
          <w:szCs w:val="24"/>
        </w:rPr>
        <w:t xml:space="preserve">联系电话：0518-85868206</w:t>
      </w:r>
      <w:r>
        <w:rPr>
          <w:sz w:val="24"/>
          <w:szCs w:val="24"/>
        </w:rPr>
      </w:r>
      <w:r/>
    </w:p>
    <w:p>
      <w:pPr>
        <w:pStyle w:val="963"/>
        <w:ind w:firstLine="480"/>
        <w:jc w:val="left"/>
        <w:spacing w:line="500" w:lineRule="exact"/>
        <w:rPr>
          <w:sz w:val="24"/>
          <w:szCs w:val="24"/>
        </w:rPr>
      </w:pPr>
      <w:r>
        <w:rPr>
          <w:rFonts w:hint="eastAsia"/>
          <w:sz w:val="24"/>
          <w:szCs w:val="24"/>
        </w:rPr>
        <w:t xml:space="preserve">3.项目联系方式</w:t>
      </w:r>
      <w:r>
        <w:rPr>
          <w:sz w:val="24"/>
          <w:szCs w:val="24"/>
        </w:rPr>
      </w:r>
      <w:r/>
    </w:p>
    <w:p>
      <w:pPr>
        <w:pStyle w:val="963"/>
        <w:ind w:firstLine="480"/>
        <w:jc w:val="left"/>
        <w:spacing w:line="500" w:lineRule="exact"/>
        <w:rPr>
          <w:sz w:val="24"/>
          <w:szCs w:val="24"/>
        </w:rPr>
      </w:pPr>
      <w:r>
        <w:rPr>
          <w:rFonts w:hint="eastAsia"/>
          <w:sz w:val="24"/>
          <w:szCs w:val="24"/>
        </w:rPr>
        <w:t xml:space="preserve">项目联系人：吕江莉</w:t>
      </w:r>
      <w:r>
        <w:rPr>
          <w:sz w:val="24"/>
          <w:szCs w:val="24"/>
        </w:rPr>
      </w:r>
      <w:r/>
    </w:p>
    <w:p>
      <w:pPr>
        <w:pStyle w:val="963"/>
        <w:ind w:firstLine="480"/>
        <w:jc w:val="left"/>
        <w:spacing w:line="500" w:lineRule="exact"/>
        <w:rPr>
          <w:sz w:val="24"/>
          <w:szCs w:val="24"/>
        </w:rPr>
      </w:pPr>
      <w:r>
        <w:rPr>
          <w:rFonts w:hint="eastAsia"/>
          <w:sz w:val="24"/>
          <w:szCs w:val="24"/>
        </w:rPr>
        <w:t xml:space="preserve">电      话：</w:t>
      </w:r>
      <w:r>
        <w:rPr>
          <w:sz w:val="24"/>
          <w:szCs w:val="24"/>
        </w:rPr>
        <w:t xml:space="preserve"> </w:t>
      </w:r>
      <w:r>
        <w:rPr>
          <w:rFonts w:hint="eastAsia"/>
          <w:sz w:val="24"/>
          <w:szCs w:val="24"/>
        </w:rPr>
        <w:t xml:space="preserve">0</w:t>
      </w:r>
      <w:r>
        <w:rPr>
          <w:sz w:val="24"/>
          <w:szCs w:val="24"/>
        </w:rPr>
        <w:t xml:space="preserve">518-85683983</w:t>
      </w:r>
      <w:r>
        <w:rPr>
          <w:sz w:val="24"/>
          <w:szCs w:val="24"/>
        </w:rPr>
      </w:r>
      <w:r/>
    </w:p>
    <w:p>
      <w:pPr>
        <w:pStyle w:val="963"/>
        <w:jc w:val="left"/>
        <w:widowControl/>
        <w:rPr>
          <w:rFonts w:ascii="黑体" w:hAnsi="黑体" w:eastAsia="黑体"/>
          <w:bCs/>
          <w:sz w:val="44"/>
          <w:szCs w:val="44"/>
        </w:rPr>
      </w:pPr>
      <w:r/>
      <w:bookmarkStart w:id="1" w:name="_Toc155796357"/>
      <w:r>
        <w:rPr>
          <w:rFonts w:ascii="黑体" w:hAnsi="黑体" w:eastAsia="黑体"/>
          <w:b/>
        </w:rPr>
        <w:br w:type="page" w:clear="all"/>
      </w:r>
      <w:r>
        <w:rPr>
          <w:rFonts w:ascii="黑体" w:hAnsi="黑体" w:eastAsia="黑体"/>
          <w:bCs/>
          <w:sz w:val="44"/>
          <w:szCs w:val="44"/>
        </w:rPr>
      </w:r>
      <w:r/>
    </w:p>
    <w:p>
      <w:pPr>
        <w:pStyle w:val="964"/>
        <w:jc w:val="center"/>
        <w:spacing w:before="156" w:after="156" w:line="360" w:lineRule="auto"/>
        <w:rPr>
          <w:rFonts w:ascii="黑体" w:hAnsi="黑体" w:eastAsia="黑体"/>
          <w:b w:val="0"/>
        </w:rPr>
      </w:pPr>
      <w:r>
        <w:rPr>
          <w:rFonts w:hint="eastAsia" w:ascii="黑体" w:hAnsi="黑体" w:eastAsia="黑体"/>
          <w:b w:val="0"/>
        </w:rPr>
        <w:t xml:space="preserve">第二章  投标人须知</w:t>
      </w:r>
      <w:bookmarkEnd w:id="1"/>
      <w:r>
        <w:rPr>
          <w:rFonts w:ascii="黑体" w:hAnsi="黑体" w:eastAsia="黑体"/>
          <w:b w:val="0"/>
        </w:rPr>
      </w:r>
      <w:r/>
    </w:p>
    <w:p>
      <w:pPr>
        <w:pStyle w:val="965"/>
        <w:spacing w:before="0" w:after="0" w:line="360" w:lineRule="auto"/>
        <w:rPr>
          <w:rFonts w:ascii="黑体" w:hAnsi="黑体" w:eastAsia="黑体"/>
          <w:b w:val="0"/>
        </w:rPr>
      </w:pPr>
      <w:r>
        <w:rPr>
          <w:rFonts w:hint="eastAsia" w:ascii="黑体" w:hAnsi="黑体" w:eastAsia="黑体"/>
          <w:b w:val="0"/>
        </w:rPr>
        <w:t xml:space="preserve">一、总则</w:t>
      </w:r>
      <w:r>
        <w:rPr>
          <w:rFonts w:ascii="黑体" w:hAnsi="黑体" w:eastAsia="黑体"/>
          <w:b w:val="0"/>
        </w:rPr>
      </w:r>
      <w:r/>
    </w:p>
    <w:p>
      <w:pPr>
        <w:pStyle w:val="966"/>
        <w:ind w:firstLine="562"/>
        <w:jc w:val="left"/>
        <w:spacing w:before="0" w:after="0" w:line="360" w:lineRule="auto"/>
        <w:rPr>
          <w:sz w:val="28"/>
          <w:szCs w:val="28"/>
        </w:rPr>
      </w:pPr>
      <w:r>
        <w:rPr>
          <w:rFonts w:hint="eastAsia"/>
          <w:sz w:val="28"/>
          <w:szCs w:val="28"/>
        </w:rPr>
        <w:t xml:space="preserve">1、采购方式</w:t>
      </w:r>
      <w:r>
        <w:rPr>
          <w:sz w:val="28"/>
          <w:szCs w:val="28"/>
        </w:rPr>
      </w:r>
      <w:r/>
    </w:p>
    <w:p>
      <w:pPr>
        <w:pStyle w:val="963"/>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rPr>
          <w:sz w:val="24"/>
          <w:szCs w:val="24"/>
        </w:rPr>
      </w:r>
      <w:r/>
    </w:p>
    <w:p>
      <w:pPr>
        <w:pStyle w:val="966"/>
        <w:ind w:firstLine="562"/>
        <w:jc w:val="left"/>
        <w:spacing w:before="0" w:after="0" w:line="360" w:lineRule="auto"/>
        <w:rPr>
          <w:sz w:val="28"/>
          <w:szCs w:val="28"/>
        </w:rPr>
      </w:pPr>
      <w:r>
        <w:rPr>
          <w:rFonts w:hint="eastAsia"/>
          <w:sz w:val="28"/>
          <w:szCs w:val="28"/>
        </w:rPr>
        <w:t xml:space="preserve">2、合格的投标人</w:t>
      </w:r>
      <w:r>
        <w:rPr>
          <w:sz w:val="28"/>
          <w:szCs w:val="28"/>
        </w:rPr>
      </w:r>
      <w:r/>
    </w:p>
    <w:p>
      <w:pPr>
        <w:pStyle w:val="963"/>
        <w:ind w:firstLine="480"/>
        <w:jc w:val="left"/>
        <w:spacing w:line="500" w:lineRule="exact"/>
        <w:rPr>
          <w:sz w:val="24"/>
          <w:szCs w:val="24"/>
        </w:rPr>
      </w:pPr>
      <w:r>
        <w:rPr>
          <w:rFonts w:hint="eastAsia"/>
          <w:sz w:val="24"/>
          <w:szCs w:val="24"/>
        </w:rPr>
        <w:t xml:space="preserve">2.1 满足招标公告中申请人的资格要求的规定。</w:t>
      </w:r>
      <w:r>
        <w:rPr>
          <w:sz w:val="24"/>
          <w:szCs w:val="24"/>
        </w:rPr>
      </w:r>
      <w:r/>
    </w:p>
    <w:p>
      <w:pPr>
        <w:pStyle w:val="963"/>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sz w:val="24"/>
          <w:szCs w:val="24"/>
        </w:rPr>
      </w:r>
      <w:r/>
    </w:p>
    <w:p>
      <w:pPr>
        <w:pStyle w:val="963"/>
        <w:ind w:firstLine="480"/>
        <w:jc w:val="left"/>
        <w:spacing w:line="500" w:lineRule="exact"/>
        <w:rPr>
          <w:sz w:val="24"/>
          <w:szCs w:val="24"/>
        </w:rPr>
      </w:pPr>
      <w:r>
        <w:rPr>
          <w:rFonts w:hint="eastAsia"/>
          <w:sz w:val="24"/>
          <w:szCs w:val="24"/>
        </w:rPr>
        <w:t xml:space="preserve">2.3 满足本招标文件全部实质性要求和条件的规定。</w:t>
      </w:r>
      <w:r>
        <w:rPr>
          <w:sz w:val="24"/>
          <w:szCs w:val="24"/>
        </w:rPr>
      </w:r>
      <w:r/>
    </w:p>
    <w:p>
      <w:pPr>
        <w:pStyle w:val="963"/>
        <w:ind w:firstLine="480"/>
        <w:jc w:val="left"/>
        <w:spacing w:line="500" w:lineRule="exact"/>
        <w:rPr>
          <w:sz w:val="24"/>
          <w:szCs w:val="24"/>
        </w:rPr>
      </w:pPr>
      <w:r>
        <w:rPr>
          <w:rFonts w:hint="eastAsia"/>
          <w:sz w:val="24"/>
          <w:szCs w:val="24"/>
        </w:rPr>
        <w:t xml:space="preserve">2.4 符合上述条件的投标人应承担投标及履约过程应承担的全部责任与义务。</w:t>
      </w:r>
      <w:r>
        <w:rPr>
          <w:sz w:val="24"/>
          <w:szCs w:val="24"/>
        </w:rPr>
      </w:r>
      <w:r/>
    </w:p>
    <w:p>
      <w:pPr>
        <w:pStyle w:val="966"/>
        <w:ind w:firstLine="562"/>
        <w:jc w:val="left"/>
        <w:spacing w:before="0" w:after="0" w:line="360" w:lineRule="auto"/>
        <w:rPr>
          <w:sz w:val="28"/>
          <w:szCs w:val="28"/>
        </w:rPr>
      </w:pPr>
      <w:r>
        <w:rPr>
          <w:rFonts w:hint="eastAsia"/>
          <w:sz w:val="28"/>
          <w:szCs w:val="28"/>
        </w:rPr>
        <w:t xml:space="preserve">3、适用法律</w:t>
      </w:r>
      <w:r>
        <w:rPr>
          <w:sz w:val="28"/>
          <w:szCs w:val="28"/>
        </w:rPr>
      </w:r>
      <w:r/>
    </w:p>
    <w:p>
      <w:pPr>
        <w:pStyle w:val="963"/>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rPr>
          <w:sz w:val="24"/>
          <w:szCs w:val="24"/>
        </w:rPr>
      </w:r>
      <w:r/>
    </w:p>
    <w:p>
      <w:pPr>
        <w:pStyle w:val="966"/>
        <w:ind w:firstLine="562"/>
        <w:jc w:val="left"/>
        <w:spacing w:before="0" w:after="0" w:line="360" w:lineRule="auto"/>
        <w:rPr>
          <w:sz w:val="28"/>
          <w:szCs w:val="28"/>
        </w:rPr>
      </w:pPr>
      <w:r>
        <w:rPr>
          <w:rFonts w:hint="eastAsia"/>
          <w:sz w:val="28"/>
          <w:szCs w:val="28"/>
        </w:rPr>
        <w:t xml:space="preserve">4、投标费用</w:t>
      </w:r>
      <w:r>
        <w:rPr>
          <w:sz w:val="28"/>
          <w:szCs w:val="28"/>
        </w:rPr>
      </w:r>
      <w:r/>
    </w:p>
    <w:p>
      <w:pPr>
        <w:pStyle w:val="963"/>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rPr>
          <w:sz w:val="24"/>
          <w:szCs w:val="24"/>
        </w:rPr>
      </w:r>
      <w:r/>
    </w:p>
    <w:p>
      <w:pPr>
        <w:pStyle w:val="963"/>
        <w:ind w:firstLine="480"/>
        <w:jc w:val="left"/>
        <w:spacing w:line="500" w:lineRule="exact"/>
        <w:rPr>
          <w:sz w:val="24"/>
          <w:szCs w:val="24"/>
        </w:rPr>
      </w:pPr>
      <w:r>
        <w:rPr>
          <w:rFonts w:hint="eastAsia"/>
          <w:sz w:val="24"/>
          <w:szCs w:val="24"/>
        </w:rPr>
        <w:t xml:space="preserve">4.2 本次招标采购人和交易中心不收取标书工本费与中标服务费。</w:t>
      </w:r>
      <w:r>
        <w:rPr>
          <w:sz w:val="24"/>
          <w:szCs w:val="24"/>
        </w:rPr>
      </w:r>
      <w:r/>
    </w:p>
    <w:p>
      <w:pPr>
        <w:pStyle w:val="966"/>
        <w:ind w:firstLine="562"/>
        <w:jc w:val="left"/>
        <w:spacing w:before="0" w:after="0" w:line="360" w:lineRule="auto"/>
        <w:rPr>
          <w:sz w:val="28"/>
          <w:szCs w:val="28"/>
        </w:rPr>
      </w:pPr>
      <w:r>
        <w:rPr>
          <w:rFonts w:hint="eastAsia"/>
          <w:sz w:val="28"/>
          <w:szCs w:val="28"/>
        </w:rPr>
        <w:t xml:space="preserve">5、招标文件的约束力</w:t>
      </w:r>
      <w:r>
        <w:rPr>
          <w:sz w:val="28"/>
          <w:szCs w:val="28"/>
        </w:rPr>
      </w:r>
      <w:r/>
    </w:p>
    <w:p>
      <w:pPr>
        <w:pStyle w:val="963"/>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rPr>
          <w:sz w:val="24"/>
          <w:szCs w:val="24"/>
        </w:rPr>
      </w:r>
      <w:r/>
    </w:p>
    <w:p>
      <w:pPr>
        <w:pStyle w:val="965"/>
        <w:spacing w:before="0" w:after="0" w:line="360" w:lineRule="auto"/>
        <w:rPr>
          <w:rFonts w:ascii="黑体" w:hAnsi="黑体" w:eastAsia="黑体"/>
          <w:b w:val="0"/>
        </w:rPr>
      </w:pPr>
      <w:r>
        <w:rPr>
          <w:rFonts w:hint="eastAsia" w:ascii="黑体" w:hAnsi="黑体" w:eastAsia="黑体"/>
          <w:b w:val="0"/>
        </w:rPr>
        <w:t xml:space="preserve">二、招标文件</w:t>
      </w:r>
      <w:r>
        <w:rPr>
          <w:rFonts w:ascii="黑体" w:hAnsi="黑体" w:eastAsia="黑体"/>
          <w:b w:val="0"/>
        </w:rPr>
      </w:r>
      <w:r/>
    </w:p>
    <w:p>
      <w:pPr>
        <w:pStyle w:val="966"/>
        <w:ind w:firstLine="562"/>
        <w:jc w:val="left"/>
        <w:spacing w:before="0" w:after="0" w:line="360" w:lineRule="auto"/>
        <w:rPr>
          <w:sz w:val="28"/>
          <w:szCs w:val="28"/>
        </w:rPr>
      </w:pPr>
      <w:r>
        <w:rPr>
          <w:rFonts w:hint="eastAsia"/>
          <w:sz w:val="28"/>
          <w:szCs w:val="28"/>
        </w:rPr>
        <w:t xml:space="preserve">6、招标文件的构成</w:t>
      </w:r>
      <w:r>
        <w:rPr>
          <w:sz w:val="28"/>
          <w:szCs w:val="28"/>
        </w:rPr>
      </w:r>
      <w:r/>
    </w:p>
    <w:p>
      <w:pPr>
        <w:pStyle w:val="963"/>
        <w:ind w:firstLine="480"/>
        <w:jc w:val="left"/>
        <w:spacing w:line="500" w:lineRule="exact"/>
        <w:rPr>
          <w:sz w:val="24"/>
          <w:szCs w:val="24"/>
        </w:rPr>
      </w:pPr>
      <w:r>
        <w:rPr>
          <w:rFonts w:hint="eastAsia"/>
          <w:sz w:val="24"/>
          <w:szCs w:val="24"/>
        </w:rPr>
        <w:t xml:space="preserve">6.1 招标文件由以下部分构成：</w:t>
      </w:r>
      <w:r>
        <w:rPr>
          <w:sz w:val="24"/>
          <w:szCs w:val="24"/>
        </w:rPr>
      </w:r>
      <w:r/>
    </w:p>
    <w:p>
      <w:pPr>
        <w:pStyle w:val="963"/>
        <w:ind w:firstLine="480"/>
        <w:jc w:val="left"/>
        <w:spacing w:line="500" w:lineRule="exact"/>
        <w:rPr>
          <w:sz w:val="24"/>
          <w:szCs w:val="24"/>
        </w:rPr>
      </w:pPr>
      <w:r>
        <w:rPr>
          <w:rFonts w:hint="eastAsia"/>
          <w:sz w:val="24"/>
          <w:szCs w:val="24"/>
        </w:rPr>
        <w:t xml:space="preserve">（1）投标邀请</w:t>
      </w:r>
      <w:r>
        <w:rPr>
          <w:sz w:val="24"/>
          <w:szCs w:val="24"/>
        </w:rPr>
      </w:r>
      <w:r/>
    </w:p>
    <w:p>
      <w:pPr>
        <w:pStyle w:val="963"/>
        <w:ind w:firstLine="480"/>
        <w:jc w:val="left"/>
        <w:spacing w:line="500" w:lineRule="exact"/>
        <w:rPr>
          <w:sz w:val="24"/>
          <w:szCs w:val="24"/>
        </w:rPr>
      </w:pPr>
      <w:r>
        <w:rPr>
          <w:rFonts w:hint="eastAsia"/>
          <w:sz w:val="24"/>
          <w:szCs w:val="24"/>
        </w:rPr>
        <w:t xml:space="preserve">（2）投标人须知</w:t>
      </w:r>
      <w:r>
        <w:rPr>
          <w:sz w:val="24"/>
          <w:szCs w:val="24"/>
        </w:rPr>
      </w:r>
      <w:r/>
    </w:p>
    <w:p>
      <w:pPr>
        <w:pStyle w:val="963"/>
        <w:ind w:firstLine="480"/>
        <w:jc w:val="left"/>
        <w:spacing w:line="500" w:lineRule="exact"/>
        <w:rPr>
          <w:sz w:val="24"/>
          <w:szCs w:val="24"/>
        </w:rPr>
      </w:pPr>
      <w:r>
        <w:rPr>
          <w:rFonts w:hint="eastAsia"/>
          <w:sz w:val="24"/>
          <w:szCs w:val="24"/>
        </w:rPr>
        <w:t xml:space="preserve">（3）合同文本</w:t>
      </w:r>
      <w:r>
        <w:rPr>
          <w:sz w:val="24"/>
          <w:szCs w:val="24"/>
        </w:rPr>
      </w:r>
      <w:r/>
    </w:p>
    <w:p>
      <w:pPr>
        <w:pStyle w:val="963"/>
        <w:ind w:firstLine="480"/>
        <w:jc w:val="left"/>
        <w:spacing w:line="500" w:lineRule="exact"/>
        <w:rPr>
          <w:sz w:val="24"/>
          <w:szCs w:val="24"/>
        </w:rPr>
      </w:pPr>
      <w:r>
        <w:rPr>
          <w:rFonts w:hint="eastAsia"/>
          <w:sz w:val="24"/>
          <w:szCs w:val="24"/>
        </w:rPr>
        <w:t xml:space="preserve">（4）采购需求</w:t>
      </w:r>
      <w:r>
        <w:rPr>
          <w:sz w:val="24"/>
          <w:szCs w:val="24"/>
        </w:rPr>
      </w:r>
      <w:r/>
    </w:p>
    <w:p>
      <w:pPr>
        <w:pStyle w:val="963"/>
        <w:ind w:firstLine="480"/>
        <w:jc w:val="left"/>
        <w:spacing w:line="500" w:lineRule="exact"/>
        <w:rPr>
          <w:sz w:val="24"/>
          <w:szCs w:val="24"/>
        </w:rPr>
      </w:pPr>
      <w:r>
        <w:rPr>
          <w:rFonts w:hint="eastAsia"/>
          <w:sz w:val="24"/>
          <w:szCs w:val="24"/>
        </w:rPr>
        <w:t xml:space="preserve">（5）评标方法与评标标准</w:t>
      </w:r>
      <w:r>
        <w:rPr>
          <w:sz w:val="24"/>
          <w:szCs w:val="24"/>
        </w:rPr>
      </w:r>
      <w:r/>
    </w:p>
    <w:p>
      <w:pPr>
        <w:pStyle w:val="963"/>
        <w:ind w:firstLine="480"/>
        <w:jc w:val="left"/>
        <w:spacing w:line="500" w:lineRule="exact"/>
        <w:rPr>
          <w:sz w:val="24"/>
          <w:szCs w:val="24"/>
        </w:rPr>
      </w:pPr>
      <w:r>
        <w:rPr>
          <w:rFonts w:hint="eastAsia"/>
          <w:sz w:val="24"/>
          <w:szCs w:val="24"/>
        </w:rPr>
        <w:t xml:space="preserve">（6）投标文件格式</w:t>
      </w:r>
      <w:r>
        <w:rPr>
          <w:sz w:val="24"/>
          <w:szCs w:val="24"/>
        </w:rPr>
      </w:r>
      <w:r/>
    </w:p>
    <w:p>
      <w:pPr>
        <w:pStyle w:val="963"/>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rPr>
          <w:sz w:val="24"/>
          <w:szCs w:val="24"/>
        </w:rPr>
      </w:r>
      <w:r/>
    </w:p>
    <w:p>
      <w:pPr>
        <w:pStyle w:val="966"/>
        <w:ind w:firstLine="562"/>
        <w:jc w:val="left"/>
        <w:spacing w:before="0" w:after="0" w:line="360" w:lineRule="auto"/>
        <w:rPr>
          <w:sz w:val="28"/>
          <w:szCs w:val="28"/>
        </w:rPr>
      </w:pPr>
      <w:r>
        <w:rPr>
          <w:rFonts w:hint="eastAsia"/>
          <w:sz w:val="28"/>
          <w:szCs w:val="28"/>
        </w:rPr>
        <w:t xml:space="preserve">7、招标文件的澄清</w:t>
      </w:r>
      <w:r>
        <w:rPr>
          <w:sz w:val="28"/>
          <w:szCs w:val="28"/>
        </w:rPr>
      </w:r>
      <w:r/>
    </w:p>
    <w:p>
      <w:pPr>
        <w:pStyle w:val="963"/>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任何要求对招标文件进行澄清的投标人，应在投标截止时间十日前按招标公告中的通讯地址，以书面形式通知采购人或者交易中心。</w:t>
      </w:r>
      <w:r>
        <w:rPr>
          <w:sz w:val="24"/>
          <w:szCs w:val="24"/>
        </w:rPr>
      </w:r>
      <w:r/>
    </w:p>
    <w:p>
      <w:pPr>
        <w:pStyle w:val="966"/>
        <w:ind w:firstLine="562"/>
        <w:jc w:val="left"/>
        <w:spacing w:before="0" w:after="0" w:line="360" w:lineRule="auto"/>
        <w:rPr>
          <w:sz w:val="28"/>
          <w:szCs w:val="28"/>
        </w:rPr>
      </w:pPr>
      <w:r>
        <w:rPr>
          <w:rFonts w:hint="eastAsia"/>
          <w:sz w:val="28"/>
          <w:szCs w:val="28"/>
        </w:rPr>
        <w:t xml:space="preserve">8、招标文件的修改</w:t>
      </w:r>
      <w:r>
        <w:rPr>
          <w:sz w:val="28"/>
          <w:szCs w:val="28"/>
        </w:rPr>
      </w:r>
      <w:r/>
    </w:p>
    <w:p>
      <w:pPr>
        <w:pStyle w:val="963"/>
        <w:ind w:firstLine="480"/>
        <w:jc w:val="left"/>
        <w:spacing w:line="500" w:lineRule="exact"/>
        <w:rPr>
          <w:sz w:val="24"/>
          <w:szCs w:val="24"/>
        </w:rPr>
      </w:pPr>
      <w:r>
        <w:rPr>
          <w:rFonts w:hint="eastAsia"/>
          <w:sz w:val="24"/>
          <w:szCs w:val="24"/>
        </w:rPr>
        <w:t xml:space="preserve">8.1 在投标截止时间前，采购人和交易中心可以对招标文件进行修改。</w:t>
      </w:r>
      <w:r>
        <w:rPr>
          <w:sz w:val="24"/>
          <w:szCs w:val="24"/>
        </w:rPr>
      </w:r>
      <w:r/>
    </w:p>
    <w:p>
      <w:pPr>
        <w:pStyle w:val="963"/>
        <w:ind w:firstLine="480"/>
        <w:jc w:val="left"/>
        <w:spacing w:line="500" w:lineRule="exact"/>
        <w:rPr>
          <w:sz w:val="24"/>
          <w:szCs w:val="24"/>
        </w:rPr>
      </w:pPr>
      <w:r>
        <w:rPr>
          <w:rFonts w:hint="eastAsia"/>
          <w:sz w:val="24"/>
          <w:szCs w:val="24"/>
        </w:rPr>
        <w:t xml:space="preserve">8.2 采购人和交易中心有权按照法定的要求推迟投标截止时间和开标时间。</w:t>
      </w:r>
      <w:r>
        <w:rPr>
          <w:sz w:val="24"/>
          <w:szCs w:val="24"/>
        </w:rPr>
      </w:r>
      <w:r/>
    </w:p>
    <w:p>
      <w:pPr>
        <w:pStyle w:val="963"/>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rPr>
          <w:sz w:val="24"/>
          <w:szCs w:val="24"/>
        </w:rPr>
      </w:r>
      <w:r/>
    </w:p>
    <w:p>
      <w:pPr>
        <w:pStyle w:val="965"/>
        <w:spacing w:before="0" w:after="0" w:line="360" w:lineRule="auto"/>
        <w:rPr>
          <w:rFonts w:ascii="黑体" w:hAnsi="黑体" w:eastAsia="黑体"/>
          <w:b w:val="0"/>
        </w:rPr>
      </w:pPr>
      <w:r>
        <w:rPr>
          <w:rFonts w:hint="eastAsia" w:ascii="黑体" w:hAnsi="黑体" w:eastAsia="黑体"/>
          <w:b w:val="0"/>
        </w:rPr>
        <w:t xml:space="preserve">三、投标文件编制</w:t>
      </w:r>
      <w:r>
        <w:rPr>
          <w:rFonts w:ascii="黑体" w:hAnsi="黑体" w:eastAsia="黑体"/>
          <w:b w:val="0"/>
        </w:rPr>
      </w:r>
      <w:r/>
    </w:p>
    <w:p>
      <w:pPr>
        <w:pStyle w:val="966"/>
        <w:ind w:firstLine="562"/>
        <w:jc w:val="left"/>
        <w:spacing w:before="0" w:after="0" w:line="360" w:lineRule="auto"/>
        <w:rPr>
          <w:sz w:val="28"/>
          <w:szCs w:val="28"/>
        </w:rPr>
      </w:pPr>
      <w:r>
        <w:rPr>
          <w:rFonts w:hint="eastAsia"/>
          <w:sz w:val="28"/>
          <w:szCs w:val="28"/>
        </w:rPr>
        <w:t xml:space="preserve">9、投标文件编写注意事项</w:t>
      </w:r>
      <w:r>
        <w:rPr>
          <w:sz w:val="28"/>
          <w:szCs w:val="28"/>
        </w:rPr>
      </w:r>
      <w:r/>
    </w:p>
    <w:p>
      <w:pPr>
        <w:pStyle w:val="963"/>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sz w:val="24"/>
          <w:szCs w:val="24"/>
        </w:rPr>
      </w:r>
      <w:r/>
    </w:p>
    <w:p>
      <w:pPr>
        <w:pStyle w:val="963"/>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sz w:val="24"/>
          <w:szCs w:val="24"/>
        </w:rPr>
      </w:r>
      <w:r/>
    </w:p>
    <w:p>
      <w:pPr>
        <w:pStyle w:val="966"/>
        <w:ind w:firstLine="562"/>
        <w:jc w:val="left"/>
        <w:spacing w:before="0" w:after="0" w:line="360" w:lineRule="auto"/>
        <w:rPr>
          <w:sz w:val="28"/>
          <w:szCs w:val="28"/>
        </w:rPr>
      </w:pPr>
      <w:r>
        <w:rPr>
          <w:rFonts w:hint="eastAsia"/>
          <w:sz w:val="28"/>
          <w:szCs w:val="28"/>
        </w:rPr>
        <w:t xml:space="preserve">10、投标文件的语言及度量衡单位</w:t>
      </w:r>
      <w:r>
        <w:rPr>
          <w:sz w:val="28"/>
          <w:szCs w:val="28"/>
        </w:rPr>
      </w:r>
      <w:r/>
    </w:p>
    <w:p>
      <w:pPr>
        <w:pStyle w:val="963"/>
        <w:ind w:firstLine="480"/>
        <w:jc w:val="left"/>
        <w:spacing w:line="500" w:lineRule="exact"/>
        <w:rPr>
          <w:sz w:val="24"/>
          <w:szCs w:val="24"/>
        </w:rPr>
      </w:pPr>
      <w:r>
        <w:rPr>
          <w:rFonts w:hint="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sz w:val="24"/>
          <w:szCs w:val="24"/>
        </w:rPr>
      </w:r>
      <w:r/>
    </w:p>
    <w:p>
      <w:pPr>
        <w:pStyle w:val="963"/>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rPr>
          <w:sz w:val="24"/>
          <w:szCs w:val="24"/>
        </w:rPr>
      </w:r>
      <w:r/>
    </w:p>
    <w:p>
      <w:pPr>
        <w:pStyle w:val="966"/>
        <w:ind w:firstLine="562"/>
        <w:jc w:val="left"/>
        <w:spacing w:before="0" w:after="0" w:line="360" w:lineRule="auto"/>
        <w:rPr>
          <w:sz w:val="28"/>
          <w:szCs w:val="28"/>
        </w:rPr>
      </w:pPr>
      <w:r>
        <w:rPr>
          <w:rFonts w:hint="eastAsia"/>
          <w:sz w:val="28"/>
          <w:szCs w:val="28"/>
        </w:rPr>
        <w:t xml:space="preserve">11、投标文件的构成</w:t>
      </w:r>
      <w:r>
        <w:rPr>
          <w:sz w:val="28"/>
          <w:szCs w:val="28"/>
        </w:rPr>
      </w:r>
      <w:r/>
    </w:p>
    <w:p>
      <w:pPr>
        <w:pStyle w:val="963"/>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rPr>
          <w:sz w:val="24"/>
          <w:szCs w:val="24"/>
        </w:rPr>
      </w:r>
      <w:r/>
    </w:p>
    <w:p>
      <w:pPr>
        <w:pStyle w:val="963"/>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rPr>
          <w:sz w:val="24"/>
          <w:szCs w:val="24"/>
        </w:rPr>
      </w:r>
      <w:r/>
    </w:p>
    <w:p>
      <w:pPr>
        <w:pStyle w:val="963"/>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rPr>
          <w:sz w:val="24"/>
          <w:szCs w:val="24"/>
        </w:rPr>
      </w:r>
      <w:r/>
    </w:p>
    <w:p>
      <w:pPr>
        <w:pStyle w:val="966"/>
        <w:ind w:firstLine="562"/>
        <w:jc w:val="left"/>
        <w:spacing w:before="0" w:after="0" w:line="360" w:lineRule="auto"/>
        <w:rPr>
          <w:sz w:val="28"/>
          <w:szCs w:val="28"/>
        </w:rPr>
      </w:pPr>
      <w:r>
        <w:rPr>
          <w:rFonts w:hint="eastAsia"/>
          <w:sz w:val="28"/>
          <w:szCs w:val="28"/>
        </w:rPr>
        <w:t xml:space="preserve">12、证明投标人及投标标的符合招标文件规定的文件</w:t>
      </w:r>
      <w:r>
        <w:rPr>
          <w:sz w:val="28"/>
          <w:szCs w:val="28"/>
        </w:rPr>
      </w:r>
      <w:r/>
    </w:p>
    <w:p>
      <w:pPr>
        <w:pStyle w:val="963"/>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rPr>
          <w:sz w:val="24"/>
          <w:szCs w:val="24"/>
        </w:rPr>
      </w:r>
      <w:r/>
    </w:p>
    <w:p>
      <w:pPr>
        <w:pStyle w:val="963"/>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rPr>
          <w:sz w:val="24"/>
          <w:szCs w:val="24"/>
        </w:rPr>
      </w:r>
      <w:r/>
    </w:p>
    <w:p>
      <w:pPr>
        <w:pStyle w:val="963"/>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rPr>
          <w:sz w:val="24"/>
          <w:szCs w:val="24"/>
        </w:rPr>
      </w:r>
      <w:r/>
    </w:p>
    <w:p>
      <w:pPr>
        <w:pStyle w:val="966"/>
        <w:ind w:firstLine="562"/>
        <w:jc w:val="left"/>
        <w:spacing w:before="0" w:after="0" w:line="360" w:lineRule="auto"/>
      </w:pPr>
      <w:r>
        <w:rPr>
          <w:rFonts w:hint="eastAsia"/>
          <w:sz w:val="28"/>
          <w:szCs w:val="28"/>
        </w:rPr>
        <w:t xml:space="preserve">13、投标分项报价表</w:t>
      </w:r>
      <w:r/>
    </w:p>
    <w:p>
      <w:pPr>
        <w:pStyle w:val="963"/>
        <w:ind w:firstLine="480"/>
        <w:jc w:val="left"/>
        <w:spacing w:line="500" w:lineRule="exact"/>
        <w:rPr>
          <w:sz w:val="24"/>
          <w:szCs w:val="24"/>
        </w:rPr>
      </w:pPr>
      <w:r>
        <w:rPr>
          <w:rFonts w:hint="eastAsia"/>
          <w:sz w:val="24"/>
          <w:szCs w:val="24"/>
        </w:rPr>
        <w:t xml:space="preserve">13.1 投标人应根据投标报价要求在投标分项报价表中列明各项投标单价、总价等，未全部列示的作无效响应处理。</w:t>
      </w:r>
      <w:r>
        <w:rPr>
          <w:sz w:val="24"/>
          <w:szCs w:val="24"/>
        </w:rPr>
      </w:r>
      <w:r/>
    </w:p>
    <w:p>
      <w:pPr>
        <w:pStyle w:val="963"/>
        <w:ind w:firstLine="480"/>
        <w:jc w:val="left"/>
        <w:spacing w:line="500" w:lineRule="exact"/>
        <w:rPr>
          <w:sz w:val="24"/>
          <w:szCs w:val="24"/>
        </w:rPr>
      </w:pPr>
      <w:r>
        <w:rPr>
          <w:rFonts w:hint="eastAsia"/>
          <w:sz w:val="24"/>
          <w:szCs w:val="24"/>
        </w:rPr>
        <w:t xml:space="preserve">13.2 投标文件中的单价和总价无特殊规定的采用人民币报价，以元为单位标注。招标文件中另有规定的按规定执行。</w:t>
      </w:r>
      <w:r>
        <w:rPr>
          <w:sz w:val="24"/>
          <w:szCs w:val="24"/>
        </w:rPr>
      </w:r>
      <w:r/>
    </w:p>
    <w:p>
      <w:pPr>
        <w:pStyle w:val="966"/>
        <w:ind w:firstLine="562"/>
        <w:jc w:val="left"/>
        <w:spacing w:before="0" w:after="0" w:line="360" w:lineRule="auto"/>
        <w:rPr>
          <w:sz w:val="28"/>
          <w:szCs w:val="28"/>
        </w:rPr>
      </w:pPr>
      <w:r>
        <w:rPr>
          <w:rFonts w:hint="eastAsia"/>
          <w:sz w:val="28"/>
          <w:szCs w:val="28"/>
        </w:rPr>
        <w:t xml:space="preserve">14、技术要求响应及偏离表、商务要求响应及偏离表</w:t>
      </w:r>
      <w:r>
        <w:rPr>
          <w:sz w:val="28"/>
          <w:szCs w:val="28"/>
        </w:rPr>
      </w:r>
      <w:r/>
    </w:p>
    <w:p>
      <w:pPr>
        <w:pStyle w:val="963"/>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sz w:val="24"/>
          <w:szCs w:val="24"/>
        </w:rPr>
      </w:r>
      <w:r/>
    </w:p>
    <w:p>
      <w:pPr>
        <w:pStyle w:val="963"/>
        <w:ind w:firstLine="480"/>
        <w:jc w:val="left"/>
        <w:spacing w:line="500" w:lineRule="exact"/>
        <w:rPr>
          <w:sz w:val="24"/>
          <w:szCs w:val="24"/>
        </w:rPr>
      </w:pPr>
      <w:r>
        <w:rPr>
          <w:rFonts w:hint="eastAsia"/>
          <w:sz w:val="24"/>
          <w:szCs w:val="24"/>
        </w:rPr>
        <w:t xml:space="preserve">14.2 投标人可在投标文件中提供认为需要的其他技术文件或说明。</w:t>
      </w:r>
      <w:r>
        <w:rPr>
          <w:sz w:val="24"/>
          <w:szCs w:val="24"/>
        </w:rPr>
      </w:r>
      <w:r/>
    </w:p>
    <w:p>
      <w:pPr>
        <w:pStyle w:val="966"/>
        <w:ind w:firstLine="562"/>
        <w:jc w:val="left"/>
        <w:spacing w:before="0" w:after="0" w:line="360" w:lineRule="auto"/>
        <w:rPr>
          <w:sz w:val="28"/>
          <w:szCs w:val="28"/>
        </w:rPr>
      </w:pPr>
      <w:r>
        <w:rPr>
          <w:rFonts w:hint="eastAsia"/>
          <w:sz w:val="28"/>
          <w:szCs w:val="28"/>
        </w:rPr>
        <w:t xml:space="preserve">15、服务承诺、培训计划、人员安排及其他</w:t>
      </w:r>
      <w:r>
        <w:rPr>
          <w:sz w:val="28"/>
          <w:szCs w:val="28"/>
        </w:rPr>
      </w:r>
      <w:r/>
    </w:p>
    <w:p>
      <w:pPr>
        <w:pStyle w:val="963"/>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rPr>
          <w:sz w:val="24"/>
          <w:szCs w:val="24"/>
        </w:rPr>
      </w:r>
      <w:r/>
    </w:p>
    <w:p>
      <w:pPr>
        <w:pStyle w:val="963"/>
        <w:ind w:firstLine="480"/>
        <w:jc w:val="left"/>
        <w:spacing w:line="500" w:lineRule="exact"/>
        <w:rPr>
          <w:sz w:val="24"/>
          <w:szCs w:val="24"/>
        </w:rPr>
      </w:pPr>
      <w:r>
        <w:rPr>
          <w:rFonts w:hint="eastAsia"/>
          <w:sz w:val="24"/>
          <w:szCs w:val="24"/>
        </w:rPr>
        <w:t xml:space="preserve">15.2 投标人应根据招标文件要求提供培训计划、人员安排等。</w:t>
      </w:r>
      <w:r>
        <w:rPr>
          <w:sz w:val="24"/>
          <w:szCs w:val="24"/>
        </w:rPr>
      </w:r>
      <w:r/>
    </w:p>
    <w:p>
      <w:pPr>
        <w:pStyle w:val="963"/>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rPr>
          <w:sz w:val="24"/>
          <w:szCs w:val="24"/>
        </w:rPr>
      </w:r>
      <w:r/>
    </w:p>
    <w:p>
      <w:pPr>
        <w:pStyle w:val="966"/>
        <w:ind w:firstLine="562"/>
        <w:jc w:val="left"/>
        <w:spacing w:before="0" w:after="0" w:line="360" w:lineRule="auto"/>
        <w:rPr>
          <w:sz w:val="28"/>
          <w:szCs w:val="28"/>
        </w:rPr>
      </w:pPr>
      <w:r>
        <w:rPr>
          <w:rFonts w:hint="eastAsia"/>
          <w:sz w:val="28"/>
          <w:szCs w:val="28"/>
        </w:rPr>
        <w:t xml:space="preserve">16、投标函和开标一览表</w:t>
      </w:r>
      <w:r>
        <w:rPr>
          <w:sz w:val="28"/>
          <w:szCs w:val="28"/>
        </w:rPr>
      </w:r>
      <w:r/>
    </w:p>
    <w:p>
      <w:pPr>
        <w:pStyle w:val="963"/>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rPr>
          <w:sz w:val="24"/>
          <w:szCs w:val="24"/>
        </w:rPr>
      </w:r>
      <w:r/>
    </w:p>
    <w:p>
      <w:pPr>
        <w:pStyle w:val="963"/>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rPr>
          <w:sz w:val="24"/>
          <w:szCs w:val="24"/>
        </w:rPr>
      </w:r>
      <w:r/>
    </w:p>
    <w:p>
      <w:pPr>
        <w:pStyle w:val="966"/>
        <w:ind w:firstLine="562"/>
        <w:jc w:val="left"/>
        <w:spacing w:before="0" w:after="0" w:line="360" w:lineRule="auto"/>
        <w:rPr>
          <w:sz w:val="28"/>
          <w:szCs w:val="28"/>
        </w:rPr>
      </w:pPr>
      <w:r>
        <w:rPr>
          <w:rFonts w:hint="eastAsia"/>
          <w:sz w:val="28"/>
          <w:szCs w:val="28"/>
        </w:rPr>
        <w:t xml:space="preserve">17、投标有效期</w:t>
      </w:r>
      <w:r>
        <w:rPr>
          <w:sz w:val="28"/>
          <w:szCs w:val="28"/>
        </w:rPr>
      </w:r>
      <w:r/>
    </w:p>
    <w:p>
      <w:pPr>
        <w:pStyle w:val="963"/>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rPr>
          <w:sz w:val="24"/>
          <w:szCs w:val="24"/>
        </w:rPr>
      </w:r>
      <w:r/>
    </w:p>
    <w:p>
      <w:pPr>
        <w:pStyle w:val="963"/>
        <w:ind w:firstLine="480"/>
        <w:jc w:val="left"/>
        <w:spacing w:line="500" w:lineRule="exact"/>
        <w:rPr>
          <w:sz w:val="24"/>
          <w:szCs w:val="24"/>
        </w:rPr>
      </w:pPr>
      <w:r>
        <w:rPr>
          <w:rFonts w:hint="eastAsia"/>
          <w:sz w:val="24"/>
          <w:szCs w:val="24"/>
        </w:rPr>
        <w:t xml:space="preserve">17.2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rPr>
          <w:sz w:val="24"/>
          <w:szCs w:val="24"/>
        </w:rPr>
      </w:r>
      <w:r/>
    </w:p>
    <w:p>
      <w:pPr>
        <w:pStyle w:val="965"/>
        <w:spacing w:before="0" w:after="0" w:line="360" w:lineRule="auto"/>
        <w:rPr>
          <w:rFonts w:ascii="黑体" w:hAnsi="黑体" w:eastAsia="黑体"/>
          <w:b w:val="0"/>
        </w:rPr>
      </w:pPr>
      <w:r>
        <w:rPr>
          <w:rFonts w:hint="eastAsia" w:ascii="黑体" w:hAnsi="黑体" w:eastAsia="黑体"/>
          <w:b w:val="0"/>
        </w:rPr>
        <w:t xml:space="preserve">四、投标文件递交</w:t>
      </w:r>
      <w:r>
        <w:rPr>
          <w:rFonts w:ascii="黑体" w:hAnsi="黑体" w:eastAsia="黑体"/>
          <w:b w:val="0"/>
        </w:rPr>
      </w:r>
      <w:r/>
    </w:p>
    <w:p>
      <w:pPr>
        <w:pStyle w:val="966"/>
        <w:ind w:firstLine="562"/>
        <w:jc w:val="left"/>
        <w:spacing w:before="0" w:after="0" w:line="360" w:lineRule="auto"/>
        <w:rPr>
          <w:sz w:val="28"/>
          <w:szCs w:val="28"/>
        </w:rPr>
      </w:pPr>
      <w:r>
        <w:rPr>
          <w:rFonts w:hint="eastAsia"/>
          <w:sz w:val="28"/>
          <w:szCs w:val="28"/>
        </w:rPr>
        <w:t xml:space="preserve">18、电子投标文件的递交</w:t>
      </w:r>
      <w:r>
        <w:rPr>
          <w:sz w:val="28"/>
          <w:szCs w:val="28"/>
        </w:rPr>
      </w:r>
      <w:r/>
    </w:p>
    <w:p>
      <w:pPr>
        <w:pStyle w:val="963"/>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rPr>
          <w:sz w:val="24"/>
          <w:szCs w:val="24"/>
        </w:rPr>
      </w:r>
      <w:r/>
    </w:p>
    <w:p>
      <w:pPr>
        <w:pStyle w:val="966"/>
        <w:ind w:firstLine="562"/>
        <w:jc w:val="left"/>
        <w:spacing w:before="0" w:after="0" w:line="360" w:lineRule="auto"/>
        <w:rPr>
          <w:sz w:val="28"/>
          <w:szCs w:val="28"/>
        </w:rPr>
      </w:pPr>
      <w:r>
        <w:rPr>
          <w:rFonts w:hint="eastAsia"/>
          <w:sz w:val="28"/>
          <w:szCs w:val="28"/>
        </w:rPr>
        <w:t xml:space="preserve">19、投标截止时间</w:t>
      </w:r>
      <w:r>
        <w:rPr>
          <w:sz w:val="28"/>
          <w:szCs w:val="28"/>
        </w:rPr>
      </w:r>
      <w:r/>
    </w:p>
    <w:p>
      <w:pPr>
        <w:pStyle w:val="963"/>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rPr>
          <w:sz w:val="24"/>
          <w:szCs w:val="24"/>
        </w:rPr>
      </w:r>
      <w:r/>
    </w:p>
    <w:p>
      <w:pPr>
        <w:pStyle w:val="963"/>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rPr>
          <w:sz w:val="24"/>
          <w:szCs w:val="24"/>
        </w:rPr>
      </w:r>
      <w:r/>
    </w:p>
    <w:p>
      <w:pPr>
        <w:pStyle w:val="963"/>
        <w:ind w:firstLine="480"/>
        <w:jc w:val="left"/>
        <w:spacing w:line="500" w:lineRule="exact"/>
        <w:rPr>
          <w:sz w:val="24"/>
          <w:szCs w:val="24"/>
        </w:rPr>
      </w:pPr>
      <w:r>
        <w:rPr>
          <w:rFonts w:hint="eastAsia"/>
          <w:sz w:val="24"/>
          <w:szCs w:val="24"/>
        </w:rPr>
        <w:t xml:space="preserve">19.2 采购人和交易中心可以按照规定，通过修改招标文件酌情延长投标截止时间，在此情况下，投标人的所有权利和义务以及投标人受制的截止时间均应以延长后新的截止时间为准。</w:t>
      </w:r>
      <w:r>
        <w:rPr>
          <w:sz w:val="24"/>
          <w:szCs w:val="24"/>
        </w:rPr>
      </w:r>
      <w:r/>
    </w:p>
    <w:p>
      <w:pPr>
        <w:pStyle w:val="966"/>
        <w:ind w:firstLine="562"/>
        <w:jc w:val="left"/>
        <w:spacing w:before="0" w:after="0" w:line="360" w:lineRule="auto"/>
        <w:rPr>
          <w:sz w:val="28"/>
          <w:szCs w:val="28"/>
        </w:rPr>
      </w:pPr>
      <w:r>
        <w:rPr>
          <w:rFonts w:hint="eastAsia"/>
          <w:sz w:val="28"/>
          <w:szCs w:val="28"/>
        </w:rPr>
        <w:t xml:space="preserve">20、投标文件的拒收</w:t>
      </w:r>
      <w:r>
        <w:rPr>
          <w:sz w:val="28"/>
          <w:szCs w:val="28"/>
        </w:rPr>
      </w:r>
      <w:r/>
    </w:p>
    <w:p>
      <w:pPr>
        <w:pStyle w:val="963"/>
        <w:ind w:firstLine="480"/>
        <w:jc w:val="left"/>
        <w:spacing w:line="500" w:lineRule="exact"/>
        <w:rPr>
          <w:sz w:val="24"/>
          <w:szCs w:val="24"/>
        </w:rPr>
      </w:pPr>
      <w:r>
        <w:rPr>
          <w:rFonts w:hint="eastAsia"/>
          <w:sz w:val="24"/>
          <w:szCs w:val="24"/>
        </w:rPr>
        <w:t xml:space="preserve">20.1 交易中心拒绝接收在招标文件规定的投标截止时间后递交（上传）的任何投标文件。</w:t>
      </w:r>
      <w:r>
        <w:rPr>
          <w:sz w:val="24"/>
          <w:szCs w:val="24"/>
        </w:rPr>
      </w:r>
      <w:r/>
    </w:p>
    <w:p>
      <w:pPr>
        <w:pStyle w:val="966"/>
        <w:ind w:firstLine="562"/>
        <w:jc w:val="left"/>
        <w:spacing w:before="0" w:after="0" w:line="360" w:lineRule="auto"/>
        <w:rPr>
          <w:sz w:val="28"/>
          <w:szCs w:val="28"/>
        </w:rPr>
      </w:pPr>
      <w:r>
        <w:rPr>
          <w:rFonts w:hint="eastAsia"/>
          <w:sz w:val="28"/>
          <w:szCs w:val="28"/>
        </w:rPr>
        <w:t xml:space="preserve">21、投标文件的撤回和修改</w:t>
      </w:r>
      <w:r>
        <w:rPr>
          <w:sz w:val="28"/>
          <w:szCs w:val="28"/>
        </w:rPr>
      </w:r>
      <w:r/>
    </w:p>
    <w:p>
      <w:pPr>
        <w:pStyle w:val="963"/>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rPr>
          <w:sz w:val="24"/>
          <w:szCs w:val="24"/>
        </w:rPr>
      </w:r>
      <w:r/>
    </w:p>
    <w:p>
      <w:pPr>
        <w:pStyle w:val="963"/>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rPr>
          <w:sz w:val="24"/>
          <w:szCs w:val="24"/>
        </w:rPr>
      </w:r>
      <w:r/>
    </w:p>
    <w:p>
      <w:pPr>
        <w:pStyle w:val="963"/>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rPr>
          <w:sz w:val="24"/>
          <w:szCs w:val="24"/>
        </w:rPr>
      </w:r>
      <w:r/>
    </w:p>
    <w:p>
      <w:pPr>
        <w:pStyle w:val="965"/>
        <w:spacing w:before="0" w:after="0" w:line="360" w:lineRule="auto"/>
        <w:rPr>
          <w:rFonts w:ascii="黑体" w:hAnsi="黑体" w:eastAsia="黑体"/>
          <w:b w:val="0"/>
        </w:rPr>
      </w:pPr>
      <w:r>
        <w:rPr>
          <w:rFonts w:hint="eastAsia" w:ascii="黑体" w:hAnsi="黑体" w:eastAsia="黑体"/>
          <w:b w:val="0"/>
        </w:rPr>
        <w:t xml:space="preserve">五、开标与评标</w:t>
      </w:r>
      <w:r>
        <w:rPr>
          <w:rFonts w:ascii="黑体" w:hAnsi="黑体" w:eastAsia="黑体"/>
          <w:b w:val="0"/>
        </w:rPr>
      </w:r>
      <w:r/>
    </w:p>
    <w:p>
      <w:pPr>
        <w:pStyle w:val="966"/>
        <w:ind w:firstLine="562"/>
        <w:jc w:val="left"/>
        <w:spacing w:before="0" w:after="0" w:line="360" w:lineRule="auto"/>
        <w:rPr>
          <w:sz w:val="28"/>
          <w:szCs w:val="28"/>
        </w:rPr>
      </w:pPr>
      <w:r>
        <w:rPr>
          <w:rFonts w:hint="eastAsia"/>
          <w:sz w:val="28"/>
          <w:szCs w:val="28"/>
        </w:rPr>
        <w:t xml:space="preserve">22、开标</w:t>
      </w:r>
      <w:r>
        <w:rPr>
          <w:sz w:val="28"/>
          <w:szCs w:val="28"/>
        </w:rPr>
      </w:r>
      <w:r/>
    </w:p>
    <w:p>
      <w:pPr>
        <w:pStyle w:val="963"/>
        <w:ind w:firstLine="480"/>
        <w:jc w:val="left"/>
        <w:spacing w:line="500" w:lineRule="exact"/>
        <w:rPr>
          <w:sz w:val="24"/>
          <w:szCs w:val="24"/>
        </w:rPr>
      </w:pPr>
      <w:r>
        <w:rPr>
          <w:rFonts w:hint="eastAsia"/>
          <w:sz w:val="24"/>
          <w:szCs w:val="24"/>
        </w:rPr>
        <w:t xml:space="preserve">22.1 交易中心将在招标公告中规定的时间和地点组织公开开标。投标人应当按时参加开标活动，并在“苏采云”系统规定的时间内对其投标文件进行解密。</w:t>
      </w:r>
      <w:r>
        <w:rPr>
          <w:sz w:val="24"/>
          <w:szCs w:val="24"/>
        </w:rPr>
      </w:r>
      <w:r/>
    </w:p>
    <w:p>
      <w:pPr>
        <w:pStyle w:val="963"/>
        <w:ind w:firstLine="480"/>
        <w:jc w:val="left"/>
        <w:spacing w:line="500" w:lineRule="exact"/>
        <w:rPr>
          <w:sz w:val="24"/>
          <w:szCs w:val="24"/>
        </w:rPr>
      </w:pPr>
      <w:r>
        <w:rPr>
          <w:rFonts w:hint="eastAsia"/>
          <w:sz w:val="24"/>
          <w:szCs w:val="24"/>
        </w:rPr>
        <w:t xml:space="preserve">22.2 开标仪式由交易中心组织。“苏采云”系统将自动对项目进行开标，并宣布各投标人名称和投标价格。</w:t>
      </w:r>
      <w:r>
        <w:rPr>
          <w:sz w:val="24"/>
          <w:szCs w:val="24"/>
        </w:rPr>
      </w:r>
      <w:r/>
    </w:p>
    <w:p>
      <w:pPr>
        <w:pStyle w:val="963"/>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rPr>
          <w:sz w:val="24"/>
          <w:szCs w:val="24"/>
        </w:rPr>
      </w:r>
      <w:r/>
    </w:p>
    <w:p>
      <w:pPr>
        <w:pStyle w:val="963"/>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rPr>
          <w:sz w:val="24"/>
          <w:szCs w:val="24"/>
        </w:rPr>
      </w:r>
      <w:r/>
    </w:p>
    <w:p>
      <w:pPr>
        <w:pStyle w:val="963"/>
        <w:ind w:firstLine="480"/>
        <w:jc w:val="left"/>
        <w:spacing w:line="500" w:lineRule="exact"/>
        <w:rPr>
          <w:sz w:val="24"/>
          <w:szCs w:val="24"/>
        </w:rPr>
      </w:pPr>
      <w:r>
        <w:rPr>
          <w:rFonts w:hint="eastAsia"/>
          <w:sz w:val="24"/>
          <w:szCs w:val="24"/>
        </w:rPr>
        <w:t xml:space="preserve">22.5 投标人未参加开标的，视同认可开标结果。</w:t>
      </w:r>
      <w:r>
        <w:rPr>
          <w:sz w:val="24"/>
          <w:szCs w:val="24"/>
        </w:rPr>
      </w:r>
      <w:r/>
    </w:p>
    <w:p>
      <w:pPr>
        <w:pStyle w:val="963"/>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投标人在开标、评标全过程中应保持通讯畅通，及时登录“苏采云”系统查阅、答复相关信息，并安排专人与交易中心及评委会联系。</w:t>
      </w:r>
      <w:r>
        <w:rPr>
          <w:sz w:val="24"/>
          <w:szCs w:val="24"/>
        </w:rPr>
      </w:r>
      <w:r/>
    </w:p>
    <w:p>
      <w:pPr>
        <w:pStyle w:val="966"/>
        <w:ind w:firstLine="562"/>
        <w:jc w:val="left"/>
        <w:spacing w:before="0" w:after="0" w:line="360" w:lineRule="auto"/>
        <w:rPr>
          <w:sz w:val="28"/>
          <w:szCs w:val="28"/>
        </w:rPr>
      </w:pPr>
      <w:r>
        <w:rPr>
          <w:rFonts w:hint="eastAsia"/>
          <w:sz w:val="28"/>
          <w:szCs w:val="28"/>
        </w:rPr>
        <w:t xml:space="preserve">23、评标委员会</w:t>
      </w:r>
      <w:r>
        <w:rPr>
          <w:sz w:val="28"/>
          <w:szCs w:val="28"/>
        </w:rPr>
      </w:r>
      <w:r/>
    </w:p>
    <w:p>
      <w:pPr>
        <w:pStyle w:val="963"/>
        <w:ind w:firstLine="480"/>
        <w:jc w:val="left"/>
        <w:spacing w:line="500" w:lineRule="exact"/>
        <w:rPr>
          <w:sz w:val="24"/>
          <w:szCs w:val="24"/>
        </w:rPr>
      </w:pPr>
      <w:r>
        <w:rPr>
          <w:rFonts w:hint="eastAsia"/>
          <w:sz w:val="24"/>
          <w:szCs w:val="24"/>
        </w:rPr>
        <w:t xml:space="preserve">23.1 开标后，交易中心将组织评委会进行评标。</w:t>
      </w:r>
      <w:r>
        <w:rPr>
          <w:sz w:val="24"/>
          <w:szCs w:val="24"/>
        </w:rPr>
      </w:r>
      <w:r/>
    </w:p>
    <w:p>
      <w:pPr>
        <w:pStyle w:val="963"/>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rPr>
          <w:sz w:val="24"/>
          <w:szCs w:val="24"/>
        </w:rPr>
      </w:r>
      <w:r/>
    </w:p>
    <w:p>
      <w:pPr>
        <w:pStyle w:val="963"/>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rPr>
          <w:sz w:val="24"/>
          <w:szCs w:val="24"/>
        </w:rPr>
      </w:r>
      <w:r/>
    </w:p>
    <w:p>
      <w:pPr>
        <w:pStyle w:val="966"/>
        <w:ind w:firstLine="562"/>
        <w:jc w:val="left"/>
        <w:spacing w:before="0" w:after="0" w:line="360" w:lineRule="auto"/>
        <w:rPr>
          <w:sz w:val="28"/>
          <w:szCs w:val="28"/>
        </w:rPr>
      </w:pPr>
      <w:r>
        <w:rPr>
          <w:rFonts w:hint="eastAsia"/>
          <w:sz w:val="28"/>
          <w:szCs w:val="28"/>
        </w:rPr>
        <w:t xml:space="preserve">24、评标过程的保密与公正</w:t>
      </w:r>
      <w:r>
        <w:rPr>
          <w:sz w:val="28"/>
          <w:szCs w:val="28"/>
        </w:rPr>
      </w:r>
      <w:r/>
    </w:p>
    <w:p>
      <w:pPr>
        <w:pStyle w:val="963"/>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凡是与审查、澄清、评价和比较投标的有关资料以及授标建议等，采购人、评审专家、交易中心均不得向投标人或与评标无关的其他人员透露。</w:t>
      </w:r>
      <w:r>
        <w:rPr>
          <w:sz w:val="24"/>
          <w:szCs w:val="24"/>
        </w:rPr>
      </w:r>
      <w:r/>
    </w:p>
    <w:p>
      <w:pPr>
        <w:pStyle w:val="963"/>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rPr>
          <w:sz w:val="24"/>
          <w:szCs w:val="24"/>
        </w:rPr>
      </w:r>
      <w:r/>
    </w:p>
    <w:p>
      <w:pPr>
        <w:pStyle w:val="963"/>
        <w:ind w:firstLine="480"/>
        <w:jc w:val="left"/>
        <w:spacing w:line="500" w:lineRule="exact"/>
        <w:rPr>
          <w:sz w:val="24"/>
          <w:szCs w:val="24"/>
        </w:rPr>
      </w:pPr>
      <w:r>
        <w:rPr>
          <w:rFonts w:hint="eastAsia"/>
          <w:sz w:val="24"/>
          <w:szCs w:val="24"/>
        </w:rPr>
        <w:t xml:space="preserve">24.3 交易中心和评委会不向未中标的投标人解释未中标原因，也不公布评标过程中的相关细节。</w:t>
      </w:r>
      <w:r>
        <w:rPr>
          <w:sz w:val="24"/>
          <w:szCs w:val="24"/>
        </w:rPr>
      </w:r>
      <w:r/>
    </w:p>
    <w:p>
      <w:pPr>
        <w:pStyle w:val="963"/>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rPr>
          <w:sz w:val="24"/>
          <w:szCs w:val="24"/>
        </w:rPr>
      </w:r>
      <w:r/>
    </w:p>
    <w:p>
      <w:pPr>
        <w:pStyle w:val="966"/>
        <w:ind w:firstLine="562"/>
        <w:jc w:val="left"/>
        <w:spacing w:before="0" w:after="0" w:line="360" w:lineRule="auto"/>
        <w:rPr>
          <w:sz w:val="28"/>
          <w:szCs w:val="28"/>
        </w:rPr>
      </w:pPr>
      <w:r>
        <w:rPr>
          <w:rFonts w:hint="eastAsia"/>
          <w:sz w:val="28"/>
          <w:szCs w:val="28"/>
        </w:rPr>
        <w:t xml:space="preserve">25、投标文件的澄清</w:t>
      </w:r>
      <w:r>
        <w:rPr>
          <w:sz w:val="28"/>
          <w:szCs w:val="28"/>
        </w:rPr>
      </w:r>
      <w:r/>
    </w:p>
    <w:p>
      <w:pPr>
        <w:pStyle w:val="963"/>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rPr>
          <w:sz w:val="24"/>
          <w:szCs w:val="24"/>
        </w:rPr>
      </w:r>
      <w:r/>
    </w:p>
    <w:p>
      <w:pPr>
        <w:pStyle w:val="963"/>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rPr>
          <w:sz w:val="24"/>
          <w:szCs w:val="24"/>
        </w:rPr>
      </w:r>
      <w:r/>
    </w:p>
    <w:p>
      <w:pPr>
        <w:pStyle w:val="963"/>
        <w:ind w:firstLine="480"/>
        <w:jc w:val="left"/>
        <w:spacing w:line="500" w:lineRule="exact"/>
        <w:rPr>
          <w:sz w:val="24"/>
          <w:szCs w:val="24"/>
        </w:rPr>
      </w:pPr>
      <w:r>
        <w:rPr>
          <w:rFonts w:hint="eastAsia"/>
          <w:sz w:val="24"/>
          <w:szCs w:val="24"/>
        </w:rPr>
        <w:t xml:space="preserve">评委会并非对每个投标人都提出澄清、说明或者补正要求。</w:t>
      </w:r>
      <w:r>
        <w:rPr>
          <w:sz w:val="24"/>
          <w:szCs w:val="24"/>
        </w:rPr>
      </w:r>
      <w:r/>
    </w:p>
    <w:p>
      <w:pPr>
        <w:pStyle w:val="963"/>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rPr>
          <w:sz w:val="24"/>
          <w:szCs w:val="24"/>
        </w:rPr>
      </w:r>
      <w:r/>
    </w:p>
    <w:p>
      <w:pPr>
        <w:pStyle w:val="963"/>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rPr>
          <w:sz w:val="24"/>
          <w:szCs w:val="24"/>
        </w:rPr>
      </w:r>
      <w:r/>
    </w:p>
    <w:p>
      <w:pPr>
        <w:pStyle w:val="966"/>
        <w:ind w:firstLine="562"/>
        <w:jc w:val="left"/>
        <w:spacing w:before="0" w:after="0" w:line="360" w:lineRule="auto"/>
        <w:rPr>
          <w:sz w:val="28"/>
          <w:szCs w:val="28"/>
        </w:rPr>
      </w:pPr>
      <w:r>
        <w:rPr>
          <w:rFonts w:hint="eastAsia"/>
          <w:sz w:val="28"/>
          <w:szCs w:val="28"/>
        </w:rPr>
        <w:t xml:space="preserve">26、对投标文件的初审</w:t>
      </w:r>
      <w:r>
        <w:rPr>
          <w:sz w:val="28"/>
          <w:szCs w:val="28"/>
        </w:rPr>
      </w:r>
      <w:r/>
    </w:p>
    <w:p>
      <w:pPr>
        <w:pStyle w:val="963"/>
        <w:ind w:firstLine="480"/>
        <w:jc w:val="left"/>
        <w:spacing w:line="500" w:lineRule="exact"/>
        <w:rPr>
          <w:sz w:val="24"/>
          <w:szCs w:val="24"/>
        </w:rPr>
      </w:pPr>
      <w:r>
        <w:rPr>
          <w:rFonts w:hint="eastAsia"/>
          <w:sz w:val="24"/>
          <w:szCs w:val="24"/>
        </w:rPr>
        <w:t xml:space="preserve">26.1 投标文件初审分为资格审查和符合性审查。</w:t>
      </w:r>
      <w:r>
        <w:rPr>
          <w:sz w:val="24"/>
          <w:szCs w:val="24"/>
        </w:rPr>
      </w:r>
      <w:r/>
    </w:p>
    <w:p>
      <w:pPr>
        <w:pStyle w:val="963"/>
        <w:ind w:firstLine="480"/>
        <w:jc w:val="left"/>
        <w:spacing w:line="500" w:lineRule="exact"/>
        <w:rPr>
          <w:sz w:val="24"/>
          <w:szCs w:val="24"/>
        </w:rPr>
      </w:pPr>
      <w:r>
        <w:rPr>
          <w:rFonts w:hint="eastAsia"/>
          <w:sz w:val="24"/>
          <w:szCs w:val="24"/>
        </w:rPr>
        <w:t xml:space="preserve">（1）资格审查：采购人依据法律法规和招标文件的规定，对投标文件中的资格证明文件进行审查。资格审查的结论，采购人以书面形式向评委会进行反馈。</w:t>
      </w:r>
      <w:r>
        <w:rPr>
          <w:sz w:val="24"/>
          <w:szCs w:val="24"/>
        </w:rPr>
      </w:r>
      <w:r/>
    </w:p>
    <w:p>
      <w:pPr>
        <w:pStyle w:val="963"/>
        <w:ind w:firstLine="480"/>
        <w:jc w:val="left"/>
        <w:spacing w:line="500" w:lineRule="exact"/>
        <w:rPr>
          <w:sz w:val="24"/>
          <w:szCs w:val="24"/>
        </w:rPr>
      </w:pPr>
      <w:r>
        <w:rPr>
          <w:rFonts w:hint="eastAsia"/>
          <w:sz w:val="24"/>
          <w:szCs w:val="24"/>
        </w:rPr>
        <w:t xml:space="preserve">采购人在进行资格审查的同时，将在信用中国网站（www.creditchina.gov.cn）、中国政府采购网（www.ccgp.gov.cn）查询投标人的信用记录，以确定投标人是否具备投标资格，查询结果留存并归档。</w:t>
      </w:r>
      <w:r>
        <w:rPr>
          <w:sz w:val="24"/>
          <w:szCs w:val="24"/>
        </w:rPr>
      </w:r>
      <w:r/>
    </w:p>
    <w:p>
      <w:pPr>
        <w:pStyle w:val="963"/>
        <w:ind w:firstLine="480"/>
        <w:jc w:val="left"/>
        <w:spacing w:line="500" w:lineRule="exact"/>
        <w:rPr>
          <w:sz w:val="24"/>
          <w:szCs w:val="24"/>
        </w:rPr>
      </w:pPr>
      <w:r>
        <w:rPr>
          <w:rFonts w:hint="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rPr>
          <w:sz w:val="24"/>
          <w:szCs w:val="24"/>
        </w:rPr>
      </w:r>
      <w:r/>
    </w:p>
    <w:p>
      <w:pPr>
        <w:pStyle w:val="963"/>
        <w:ind w:firstLine="480"/>
        <w:jc w:val="left"/>
        <w:spacing w:line="500" w:lineRule="exact"/>
        <w:rPr>
          <w:sz w:val="24"/>
          <w:szCs w:val="24"/>
        </w:rPr>
      </w:pPr>
      <w:r>
        <w:rPr>
          <w:rFonts w:hint="eastAsia"/>
          <w:sz w:val="24"/>
          <w:szCs w:val="24"/>
        </w:rPr>
        <w:t xml:space="preserve">（2）符合性审查：评委会依据招标文件的规定，从投标文件的有效性、完整性和对招标文件的响应程度进行审查，以确定其是否对招标文件的全部实质性要求作出响应。</w:t>
      </w:r>
      <w:r>
        <w:rPr>
          <w:sz w:val="24"/>
          <w:szCs w:val="24"/>
        </w:rPr>
      </w:r>
      <w:r/>
    </w:p>
    <w:p>
      <w:pPr>
        <w:pStyle w:val="963"/>
        <w:ind w:firstLine="480"/>
        <w:jc w:val="left"/>
        <w:spacing w:line="500" w:lineRule="exact"/>
        <w:rPr>
          <w:sz w:val="24"/>
          <w:szCs w:val="24"/>
        </w:rPr>
      </w:pPr>
      <w:r>
        <w:rPr>
          <w:rFonts w:hint="eastAsia"/>
          <w:sz w:val="24"/>
          <w:szCs w:val="24"/>
        </w:rPr>
        <w:t xml:space="preserve">未通过资格审查或符合性审查的投标人，将通过“苏采云”系统中告知其未通过的原因，评审结束后，将不再告知。</w:t>
      </w:r>
      <w:r>
        <w:rPr>
          <w:sz w:val="24"/>
          <w:szCs w:val="24"/>
        </w:rPr>
      </w:r>
      <w:r/>
    </w:p>
    <w:p>
      <w:pPr>
        <w:pStyle w:val="963"/>
        <w:ind w:firstLine="480"/>
        <w:jc w:val="left"/>
        <w:spacing w:line="500" w:lineRule="exact"/>
        <w:rPr>
          <w:sz w:val="24"/>
          <w:szCs w:val="24"/>
        </w:rPr>
      </w:pPr>
      <w:r>
        <w:rPr>
          <w:rFonts w:hint="eastAsia"/>
          <w:sz w:val="24"/>
          <w:szCs w:val="24"/>
        </w:rPr>
        <w:t xml:space="preserve">26.2 在详细评标之前，评委会将首先审查每份投标文件是否实质性响应了招标文件的要求。实质性响应的投标应当是与招标文件要求的全部条款、条件和规格相符，没有重大偏离或保留的投标。</w:t>
      </w:r>
      <w:r>
        <w:rPr>
          <w:sz w:val="24"/>
          <w:szCs w:val="24"/>
        </w:rPr>
      </w:r>
      <w:r/>
    </w:p>
    <w:p>
      <w:pPr>
        <w:pStyle w:val="963"/>
        <w:ind w:firstLine="480"/>
        <w:jc w:val="left"/>
        <w:spacing w:line="500" w:lineRule="exact"/>
        <w:rPr>
          <w:sz w:val="24"/>
          <w:szCs w:val="24"/>
        </w:rPr>
      </w:pPr>
      <w:r>
        <w:rPr>
          <w:rFonts w:hint="eastAsia"/>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rPr>
          <w:sz w:val="24"/>
          <w:szCs w:val="24"/>
        </w:rPr>
      </w:r>
      <w:r/>
    </w:p>
    <w:p>
      <w:pPr>
        <w:pStyle w:val="963"/>
        <w:ind w:firstLine="480"/>
        <w:jc w:val="left"/>
        <w:spacing w:line="500" w:lineRule="exact"/>
        <w:rPr>
          <w:sz w:val="24"/>
          <w:szCs w:val="24"/>
        </w:rPr>
      </w:pPr>
      <w:r>
        <w:rPr>
          <w:rFonts w:hint="eastAsia"/>
          <w:sz w:val="24"/>
          <w:szCs w:val="24"/>
        </w:rPr>
        <w:t xml:space="preserve">26.3 如果投标文件实质上没有响应招标文件的要求，评委会将予以拒绝，投标人不得通过修改或撤销不符合要求的偏离或保留而使其投标成为实质性响应的投标。</w:t>
      </w:r>
      <w:r>
        <w:rPr>
          <w:sz w:val="24"/>
          <w:szCs w:val="24"/>
        </w:rPr>
      </w:r>
      <w:r/>
    </w:p>
    <w:p>
      <w:pPr>
        <w:pStyle w:val="963"/>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rPr>
          <w:sz w:val="24"/>
          <w:szCs w:val="24"/>
        </w:rPr>
      </w:r>
      <w:r/>
    </w:p>
    <w:p>
      <w:pPr>
        <w:pStyle w:val="963"/>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rPr>
          <w:sz w:val="24"/>
          <w:szCs w:val="24"/>
        </w:rPr>
      </w:r>
      <w:r/>
    </w:p>
    <w:p>
      <w:pPr>
        <w:pStyle w:val="963"/>
        <w:ind w:firstLine="480"/>
        <w:jc w:val="left"/>
        <w:spacing w:line="500" w:lineRule="exact"/>
        <w:rPr>
          <w:sz w:val="24"/>
          <w:szCs w:val="24"/>
        </w:rPr>
      </w:pPr>
      <w:r>
        <w:rPr>
          <w:rFonts w:hint="eastAsia"/>
          <w:sz w:val="24"/>
          <w:szCs w:val="24"/>
        </w:rPr>
        <w:t xml:space="preserve">（2）大写金额和小写金额不一致的，以大写金额为准。</w:t>
      </w:r>
      <w:r>
        <w:rPr>
          <w:sz w:val="24"/>
          <w:szCs w:val="24"/>
        </w:rPr>
      </w:r>
      <w:r/>
    </w:p>
    <w:p>
      <w:pPr>
        <w:pStyle w:val="963"/>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rPr>
          <w:sz w:val="24"/>
          <w:szCs w:val="24"/>
        </w:rPr>
      </w:r>
      <w:r/>
    </w:p>
    <w:p>
      <w:pPr>
        <w:pStyle w:val="963"/>
        <w:ind w:firstLine="480"/>
        <w:jc w:val="left"/>
        <w:spacing w:line="500" w:lineRule="exact"/>
        <w:rPr>
          <w:sz w:val="24"/>
          <w:szCs w:val="24"/>
        </w:rPr>
      </w:pPr>
      <w:r>
        <w:rPr>
          <w:rFonts w:hint="eastAsia"/>
          <w:sz w:val="24"/>
          <w:szCs w:val="24"/>
        </w:rPr>
        <w:t xml:space="preserve">（4）总价金额与按单价汇总金额不一致的，以单价金额计算结果为准。</w:t>
      </w:r>
      <w:r>
        <w:rPr>
          <w:sz w:val="24"/>
          <w:szCs w:val="24"/>
        </w:rPr>
      </w:r>
      <w:r/>
    </w:p>
    <w:p>
      <w:pPr>
        <w:pStyle w:val="963"/>
        <w:ind w:firstLine="480"/>
        <w:jc w:val="left"/>
        <w:spacing w:line="500" w:lineRule="exact"/>
        <w:rPr>
          <w:sz w:val="24"/>
          <w:szCs w:val="24"/>
        </w:rPr>
      </w:pPr>
      <w:r>
        <w:rPr>
          <w:rFonts w:hint="eastAsia"/>
          <w:sz w:val="24"/>
          <w:szCs w:val="24"/>
        </w:rPr>
        <w:t xml:space="preserve">同时出现两种以上错误的，按照前款规定的顺序修正。</w:t>
      </w:r>
      <w:r>
        <w:rPr>
          <w:sz w:val="24"/>
          <w:szCs w:val="24"/>
        </w:rPr>
      </w:r>
      <w:r/>
    </w:p>
    <w:p>
      <w:pPr>
        <w:pStyle w:val="963"/>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rPr>
          <w:sz w:val="24"/>
          <w:szCs w:val="24"/>
        </w:rPr>
      </w:r>
      <w:r/>
    </w:p>
    <w:p>
      <w:pPr>
        <w:pStyle w:val="963"/>
        <w:ind w:firstLine="480"/>
        <w:jc w:val="left"/>
        <w:spacing w:line="500" w:lineRule="exact"/>
        <w:rPr>
          <w:sz w:val="24"/>
          <w:szCs w:val="24"/>
        </w:rPr>
      </w:pPr>
      <w:r>
        <w:rPr>
          <w:rFonts w:hint="eastAsia"/>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rPr>
          <w:sz w:val="24"/>
          <w:szCs w:val="24"/>
        </w:rPr>
      </w:r>
      <w:r/>
    </w:p>
    <w:p>
      <w:pPr>
        <w:pStyle w:val="963"/>
        <w:ind w:firstLine="480"/>
        <w:jc w:val="left"/>
        <w:spacing w:line="500" w:lineRule="exact"/>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rPr>
          <w:sz w:val="24"/>
          <w:szCs w:val="24"/>
        </w:rPr>
      </w:r>
      <w:r/>
    </w:p>
    <w:p>
      <w:pPr>
        <w:pStyle w:val="963"/>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rPr>
          <w:sz w:val="24"/>
          <w:szCs w:val="24"/>
        </w:rPr>
      </w:r>
      <w:r/>
    </w:p>
    <w:p>
      <w:pPr>
        <w:pStyle w:val="966"/>
        <w:ind w:firstLine="562"/>
        <w:jc w:val="left"/>
        <w:spacing w:before="0" w:after="0" w:line="360" w:lineRule="auto"/>
        <w:rPr>
          <w:sz w:val="28"/>
          <w:szCs w:val="28"/>
        </w:rPr>
      </w:pPr>
      <w:r>
        <w:rPr>
          <w:rFonts w:hint="eastAsia"/>
          <w:sz w:val="28"/>
          <w:szCs w:val="28"/>
        </w:rPr>
        <w:t xml:space="preserve">27、无效投标条款和废标条款</w:t>
      </w:r>
      <w:r>
        <w:rPr>
          <w:sz w:val="28"/>
          <w:szCs w:val="28"/>
        </w:rPr>
      </w:r>
      <w:r/>
    </w:p>
    <w:p>
      <w:pPr>
        <w:pStyle w:val="963"/>
        <w:ind w:firstLine="480"/>
        <w:jc w:val="left"/>
        <w:spacing w:line="500" w:lineRule="exact"/>
        <w:rPr>
          <w:sz w:val="24"/>
          <w:szCs w:val="24"/>
        </w:rPr>
      </w:pPr>
      <w:r>
        <w:rPr>
          <w:rFonts w:hint="eastAsia"/>
          <w:sz w:val="24"/>
          <w:szCs w:val="24"/>
        </w:rPr>
        <w:t xml:space="preserve">27.1 无效投标条款：</w:t>
      </w:r>
      <w:r>
        <w:rPr>
          <w:sz w:val="24"/>
          <w:szCs w:val="24"/>
        </w:rPr>
      </w:r>
      <w:r/>
    </w:p>
    <w:p>
      <w:pPr>
        <w:pStyle w:val="963"/>
        <w:ind w:firstLine="480"/>
        <w:jc w:val="left"/>
        <w:spacing w:line="500" w:lineRule="exact"/>
        <w:rPr>
          <w:sz w:val="24"/>
          <w:szCs w:val="24"/>
        </w:rPr>
      </w:pPr>
      <w:r>
        <w:rPr>
          <w:rFonts w:hint="eastAsia"/>
          <w:sz w:val="24"/>
          <w:szCs w:val="24"/>
        </w:rPr>
        <w:t xml:space="preserve">（1）投标人未按照招标文件要求递交（上传）电子投标文件的。</w:t>
      </w:r>
      <w:r>
        <w:rPr>
          <w:sz w:val="24"/>
          <w:szCs w:val="24"/>
        </w:rPr>
      </w:r>
      <w:r/>
    </w:p>
    <w:p>
      <w:pPr>
        <w:pStyle w:val="963"/>
        <w:ind w:firstLine="480"/>
        <w:jc w:val="left"/>
        <w:spacing w:line="500" w:lineRule="exact"/>
        <w:rPr>
          <w:sz w:val="24"/>
          <w:szCs w:val="24"/>
        </w:rPr>
      </w:pPr>
      <w:r>
        <w:rPr>
          <w:rFonts w:hint="eastAsia"/>
          <w:sz w:val="24"/>
          <w:szCs w:val="24"/>
        </w:rPr>
        <w:t xml:space="preserve">（2）投标人在“苏采云”系统规定的时间内未成功解密电子投标文件的。</w:t>
      </w:r>
      <w:r>
        <w:rPr>
          <w:sz w:val="24"/>
          <w:szCs w:val="24"/>
        </w:rPr>
      </w:r>
      <w:r/>
    </w:p>
    <w:p>
      <w:pPr>
        <w:pStyle w:val="963"/>
        <w:ind w:firstLine="480"/>
        <w:jc w:val="left"/>
        <w:spacing w:line="500" w:lineRule="exact"/>
        <w:rPr>
          <w:sz w:val="24"/>
          <w:szCs w:val="24"/>
        </w:rPr>
      </w:pPr>
      <w:r>
        <w:rPr>
          <w:rFonts w:hint="eastAsia"/>
          <w:sz w:val="24"/>
          <w:szCs w:val="24"/>
        </w:rPr>
        <w:t xml:space="preserve">（3）投标人不具备招标文件中规定的资格要求的。</w:t>
      </w:r>
      <w:r>
        <w:rPr>
          <w:sz w:val="24"/>
          <w:szCs w:val="24"/>
        </w:rPr>
      </w:r>
      <w:r/>
    </w:p>
    <w:p>
      <w:pPr>
        <w:pStyle w:val="963"/>
        <w:ind w:firstLine="480"/>
        <w:jc w:val="left"/>
        <w:spacing w:line="500" w:lineRule="exact"/>
        <w:rPr>
          <w:sz w:val="24"/>
          <w:szCs w:val="24"/>
        </w:rPr>
      </w:pPr>
      <w:r>
        <w:rPr>
          <w:rFonts w:hint="eastAsia"/>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rPr>
          <w:sz w:val="24"/>
          <w:szCs w:val="24"/>
        </w:rPr>
      </w:r>
      <w:r/>
    </w:p>
    <w:p>
      <w:pPr>
        <w:pStyle w:val="963"/>
        <w:ind w:firstLine="480"/>
        <w:jc w:val="left"/>
        <w:spacing w:line="500" w:lineRule="exact"/>
        <w:rPr>
          <w:sz w:val="24"/>
          <w:szCs w:val="24"/>
        </w:rPr>
      </w:pPr>
      <w:r>
        <w:rPr>
          <w:rFonts w:hint="eastAsia"/>
          <w:sz w:val="24"/>
          <w:szCs w:val="24"/>
        </w:rPr>
        <w:t xml:space="preserve">（5）投标人提交两个（含两个）以上不同的投标报价的。</w:t>
      </w:r>
      <w:r>
        <w:rPr>
          <w:sz w:val="24"/>
          <w:szCs w:val="24"/>
        </w:rPr>
      </w:r>
      <w:r/>
    </w:p>
    <w:p>
      <w:pPr>
        <w:pStyle w:val="963"/>
        <w:ind w:firstLine="480"/>
        <w:jc w:val="left"/>
        <w:spacing w:line="500" w:lineRule="exact"/>
        <w:rPr>
          <w:sz w:val="24"/>
          <w:szCs w:val="24"/>
        </w:rPr>
      </w:pPr>
      <w:r>
        <w:rPr>
          <w:rFonts w:hint="eastAsia"/>
          <w:sz w:val="24"/>
          <w:szCs w:val="24"/>
        </w:rPr>
        <w:t xml:space="preserve">（6）投标人的报价超过了采购预算或者最高限价的。</w:t>
      </w:r>
      <w:r>
        <w:rPr>
          <w:sz w:val="24"/>
          <w:szCs w:val="24"/>
        </w:rPr>
      </w:r>
      <w:r/>
    </w:p>
    <w:p>
      <w:pPr>
        <w:pStyle w:val="963"/>
        <w:ind w:firstLine="480"/>
        <w:jc w:val="left"/>
        <w:spacing w:line="500" w:lineRule="exact"/>
        <w:rPr>
          <w:sz w:val="24"/>
          <w:szCs w:val="24"/>
        </w:rPr>
      </w:pPr>
      <w:r>
        <w:rPr>
          <w:rFonts w:hint="eastAsia"/>
          <w:sz w:val="24"/>
          <w:szCs w:val="24"/>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rPr>
          <w:sz w:val="24"/>
          <w:szCs w:val="24"/>
        </w:rPr>
      </w:r>
      <w:r/>
    </w:p>
    <w:p>
      <w:pPr>
        <w:pStyle w:val="963"/>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rPr>
          <w:sz w:val="24"/>
          <w:szCs w:val="24"/>
        </w:rPr>
      </w:r>
      <w:r/>
    </w:p>
    <w:p>
      <w:pPr>
        <w:pStyle w:val="963"/>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rPr>
          <w:sz w:val="24"/>
          <w:szCs w:val="24"/>
        </w:rPr>
      </w:r>
      <w:r/>
    </w:p>
    <w:p>
      <w:pPr>
        <w:pStyle w:val="963"/>
        <w:ind w:firstLine="480"/>
        <w:jc w:val="left"/>
        <w:spacing w:line="500" w:lineRule="exact"/>
        <w:rPr>
          <w:sz w:val="24"/>
          <w:szCs w:val="24"/>
        </w:rPr>
      </w:pPr>
      <w:r>
        <w:rPr>
          <w:rFonts w:hint="eastAsia"/>
          <w:sz w:val="24"/>
          <w:szCs w:val="24"/>
        </w:rPr>
        <w:t xml:space="preserve">（10）投标人未通过符合性审查的。</w:t>
      </w:r>
      <w:r>
        <w:rPr>
          <w:sz w:val="24"/>
          <w:szCs w:val="24"/>
        </w:rPr>
      </w:r>
      <w:r/>
    </w:p>
    <w:p>
      <w:pPr>
        <w:pStyle w:val="963"/>
        <w:ind w:firstLine="480"/>
        <w:jc w:val="left"/>
        <w:spacing w:line="500" w:lineRule="exact"/>
        <w:rPr>
          <w:sz w:val="24"/>
          <w:szCs w:val="24"/>
        </w:rPr>
      </w:pPr>
      <w:r>
        <w:rPr>
          <w:rFonts w:hint="eastAsia"/>
          <w:sz w:val="24"/>
          <w:szCs w:val="24"/>
        </w:rPr>
        <w:t xml:space="preserve">（11）投标文件含有采购人不能接受的附加条件的。</w:t>
      </w:r>
      <w:r>
        <w:rPr>
          <w:sz w:val="24"/>
          <w:szCs w:val="24"/>
        </w:rPr>
      </w:r>
      <w:r/>
    </w:p>
    <w:p>
      <w:pPr>
        <w:pStyle w:val="963"/>
        <w:ind w:firstLine="480"/>
        <w:jc w:val="left"/>
        <w:spacing w:line="500" w:lineRule="exact"/>
        <w:rPr>
          <w:sz w:val="24"/>
          <w:szCs w:val="24"/>
        </w:rPr>
      </w:pPr>
      <w:r>
        <w:rPr>
          <w:rFonts w:hint="eastAsia"/>
          <w:sz w:val="24"/>
          <w:szCs w:val="24"/>
        </w:rPr>
        <w:t xml:space="preserve">（12）投标文件未按照招标文件要求加盖公章（CA电子公章）的。</w:t>
      </w:r>
      <w:r>
        <w:rPr>
          <w:sz w:val="24"/>
          <w:szCs w:val="24"/>
        </w:rPr>
      </w:r>
      <w:r/>
    </w:p>
    <w:p>
      <w:pPr>
        <w:pStyle w:val="963"/>
        <w:ind w:firstLine="480"/>
        <w:jc w:val="left"/>
        <w:spacing w:line="500" w:lineRule="exact"/>
        <w:rPr>
          <w:sz w:val="24"/>
          <w:szCs w:val="24"/>
        </w:rPr>
      </w:pPr>
      <w:r>
        <w:rPr>
          <w:rFonts w:hint="eastAsia"/>
          <w:sz w:val="24"/>
          <w:szCs w:val="24"/>
        </w:rPr>
        <w:t xml:space="preserve">（13）其他法律、法规及本招标文件规定的属于无效投标的情形。</w:t>
      </w:r>
      <w:r>
        <w:rPr>
          <w:sz w:val="24"/>
          <w:szCs w:val="24"/>
        </w:rPr>
      </w:r>
      <w:r/>
    </w:p>
    <w:p>
      <w:pPr>
        <w:pStyle w:val="963"/>
        <w:ind w:firstLine="480"/>
        <w:jc w:val="left"/>
        <w:spacing w:line="500" w:lineRule="exact"/>
        <w:rPr>
          <w:sz w:val="24"/>
          <w:szCs w:val="24"/>
        </w:rPr>
      </w:pPr>
      <w:r>
        <w:rPr>
          <w:rFonts w:hint="eastAsia"/>
          <w:sz w:val="24"/>
          <w:szCs w:val="24"/>
        </w:rPr>
        <w:t xml:space="preserve">27.2 有下列情形之一的，视为投标人串通投标，投标无效：</w:t>
      </w:r>
      <w:r>
        <w:rPr>
          <w:sz w:val="24"/>
          <w:szCs w:val="24"/>
        </w:rPr>
      </w:r>
      <w:r/>
    </w:p>
    <w:p>
      <w:pPr>
        <w:pStyle w:val="963"/>
        <w:ind w:firstLine="480"/>
        <w:jc w:val="left"/>
        <w:spacing w:line="500" w:lineRule="exact"/>
        <w:rPr>
          <w:sz w:val="24"/>
          <w:szCs w:val="24"/>
        </w:rPr>
      </w:pPr>
      <w:r>
        <w:rPr>
          <w:rFonts w:hint="eastAsia"/>
          <w:sz w:val="24"/>
          <w:szCs w:val="24"/>
        </w:rPr>
        <w:t xml:space="preserve">（1）不同投标人的投标文件由同一单位或者个人编制。</w:t>
      </w:r>
      <w:r>
        <w:rPr>
          <w:sz w:val="24"/>
          <w:szCs w:val="24"/>
        </w:rPr>
      </w:r>
      <w:r/>
    </w:p>
    <w:p>
      <w:pPr>
        <w:pStyle w:val="963"/>
        <w:ind w:firstLine="480"/>
        <w:jc w:val="left"/>
        <w:spacing w:line="500" w:lineRule="exact"/>
        <w:rPr>
          <w:sz w:val="24"/>
          <w:szCs w:val="24"/>
        </w:rPr>
      </w:pPr>
      <w:r>
        <w:rPr>
          <w:rFonts w:hint="eastAsia"/>
          <w:sz w:val="24"/>
          <w:szCs w:val="24"/>
        </w:rPr>
        <w:t xml:space="preserve">（2）不同投标人委托同一单位或者个人办理投标事宜。</w:t>
      </w:r>
      <w:r>
        <w:rPr>
          <w:sz w:val="24"/>
          <w:szCs w:val="24"/>
        </w:rPr>
      </w:r>
      <w:r/>
    </w:p>
    <w:p>
      <w:pPr>
        <w:pStyle w:val="963"/>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rPr>
          <w:sz w:val="24"/>
          <w:szCs w:val="24"/>
        </w:rPr>
      </w:r>
      <w:r/>
    </w:p>
    <w:p>
      <w:pPr>
        <w:pStyle w:val="963"/>
        <w:ind w:firstLine="480"/>
        <w:jc w:val="left"/>
        <w:spacing w:line="500" w:lineRule="exact"/>
        <w:rPr>
          <w:sz w:val="24"/>
          <w:szCs w:val="24"/>
        </w:rPr>
      </w:pPr>
      <w:r>
        <w:rPr>
          <w:rFonts w:hint="eastAsia"/>
          <w:sz w:val="24"/>
          <w:szCs w:val="24"/>
        </w:rPr>
        <w:t xml:space="preserve">（4）不同投标人的投标文件异常一致或者投标报价呈规律性差异。</w:t>
      </w:r>
      <w:r>
        <w:rPr>
          <w:sz w:val="24"/>
          <w:szCs w:val="24"/>
        </w:rPr>
      </w:r>
      <w:r/>
    </w:p>
    <w:p>
      <w:pPr>
        <w:pStyle w:val="963"/>
        <w:ind w:firstLine="480"/>
        <w:jc w:val="left"/>
        <w:spacing w:line="500" w:lineRule="exact"/>
        <w:rPr>
          <w:sz w:val="24"/>
          <w:szCs w:val="24"/>
        </w:rPr>
      </w:pPr>
      <w:r>
        <w:rPr>
          <w:rFonts w:hint="eastAsia"/>
          <w:sz w:val="24"/>
          <w:szCs w:val="24"/>
        </w:rPr>
        <w:t xml:space="preserve">（5）不同投标人的投标文件相互混装。</w:t>
      </w:r>
      <w:r>
        <w:rPr>
          <w:sz w:val="24"/>
          <w:szCs w:val="24"/>
        </w:rPr>
      </w:r>
      <w:r/>
    </w:p>
    <w:p>
      <w:pPr>
        <w:pStyle w:val="963"/>
        <w:ind w:firstLine="480"/>
        <w:jc w:val="left"/>
        <w:spacing w:line="500" w:lineRule="exact"/>
        <w:rPr>
          <w:sz w:val="24"/>
          <w:szCs w:val="24"/>
        </w:rPr>
      </w:pPr>
      <w:r>
        <w:rPr>
          <w:rFonts w:hint="eastAsia"/>
          <w:sz w:val="24"/>
          <w:szCs w:val="24"/>
        </w:rPr>
        <w:t xml:space="preserve">27.3 废标条款：</w:t>
      </w:r>
      <w:r>
        <w:rPr>
          <w:sz w:val="24"/>
          <w:szCs w:val="24"/>
        </w:rPr>
      </w:r>
      <w:r/>
    </w:p>
    <w:p>
      <w:pPr>
        <w:pStyle w:val="963"/>
        <w:ind w:firstLine="480"/>
        <w:jc w:val="left"/>
        <w:spacing w:line="500" w:lineRule="exact"/>
        <w:rPr>
          <w:sz w:val="24"/>
          <w:szCs w:val="24"/>
        </w:rPr>
      </w:pPr>
      <w:r>
        <w:rPr>
          <w:rFonts w:hint="eastAsia"/>
          <w:sz w:val="24"/>
          <w:szCs w:val="24"/>
        </w:rPr>
        <w:t xml:space="preserve">（1）因“苏采云”系统故障原因造成开标不成功的。</w:t>
      </w:r>
      <w:r>
        <w:rPr>
          <w:sz w:val="24"/>
          <w:szCs w:val="24"/>
        </w:rPr>
      </w:r>
      <w:r/>
    </w:p>
    <w:p>
      <w:pPr>
        <w:pStyle w:val="963"/>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rPr>
          <w:sz w:val="24"/>
          <w:szCs w:val="24"/>
        </w:rPr>
      </w:r>
      <w:r/>
    </w:p>
    <w:p>
      <w:pPr>
        <w:pStyle w:val="963"/>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rPr>
          <w:sz w:val="24"/>
          <w:szCs w:val="24"/>
        </w:rPr>
      </w:r>
      <w:r/>
    </w:p>
    <w:p>
      <w:pPr>
        <w:pStyle w:val="963"/>
        <w:ind w:firstLine="480"/>
        <w:jc w:val="left"/>
        <w:spacing w:line="500" w:lineRule="exact"/>
        <w:rPr>
          <w:sz w:val="24"/>
          <w:szCs w:val="24"/>
        </w:rPr>
      </w:pPr>
      <w:r>
        <w:rPr>
          <w:rFonts w:hint="eastAsia"/>
          <w:sz w:val="24"/>
          <w:szCs w:val="24"/>
        </w:rPr>
        <w:t xml:space="preserve">（4）出现影响采购公正的违法、违规行为的。</w:t>
      </w:r>
      <w:r>
        <w:rPr>
          <w:sz w:val="24"/>
          <w:szCs w:val="24"/>
        </w:rPr>
      </w:r>
      <w:r/>
    </w:p>
    <w:p>
      <w:pPr>
        <w:pStyle w:val="963"/>
        <w:ind w:firstLine="480"/>
        <w:jc w:val="left"/>
        <w:spacing w:line="500" w:lineRule="exact"/>
        <w:rPr>
          <w:sz w:val="24"/>
          <w:szCs w:val="24"/>
        </w:rPr>
      </w:pPr>
      <w:r>
        <w:rPr>
          <w:rFonts w:hint="eastAsia"/>
          <w:sz w:val="24"/>
          <w:szCs w:val="24"/>
        </w:rPr>
        <w:t xml:space="preserve">（5）因重大变故，采购任务取消的。</w:t>
      </w:r>
      <w:r>
        <w:rPr>
          <w:sz w:val="24"/>
          <w:szCs w:val="24"/>
        </w:rPr>
      </w:r>
      <w:r/>
    </w:p>
    <w:p>
      <w:pPr>
        <w:pStyle w:val="963"/>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rPr>
          <w:sz w:val="24"/>
          <w:szCs w:val="24"/>
        </w:rPr>
      </w:r>
      <w:r/>
    </w:p>
    <w:p>
      <w:pPr>
        <w:pStyle w:val="965"/>
        <w:spacing w:before="0" w:after="0" w:line="360" w:lineRule="auto"/>
        <w:rPr>
          <w:rFonts w:ascii="黑体" w:hAnsi="黑体" w:eastAsia="黑体"/>
          <w:b w:val="0"/>
        </w:rPr>
      </w:pPr>
      <w:r>
        <w:rPr>
          <w:rFonts w:hint="eastAsia" w:ascii="黑体" w:hAnsi="黑体" w:eastAsia="黑体"/>
          <w:b w:val="0"/>
        </w:rPr>
        <w:t xml:space="preserve">六、定标</w:t>
      </w:r>
      <w:r>
        <w:rPr>
          <w:rFonts w:ascii="黑体" w:hAnsi="黑体" w:eastAsia="黑体"/>
          <w:b w:val="0"/>
        </w:rPr>
      </w:r>
      <w:r/>
    </w:p>
    <w:p>
      <w:pPr>
        <w:pStyle w:val="966"/>
        <w:ind w:firstLine="562"/>
        <w:jc w:val="left"/>
        <w:spacing w:before="0" w:after="0" w:line="360" w:lineRule="auto"/>
        <w:rPr>
          <w:sz w:val="28"/>
          <w:szCs w:val="28"/>
        </w:rPr>
      </w:pPr>
      <w:r>
        <w:rPr>
          <w:rFonts w:hint="eastAsia"/>
          <w:sz w:val="28"/>
          <w:szCs w:val="28"/>
        </w:rPr>
        <w:t xml:space="preserve">28、确定中标单位</w:t>
      </w:r>
      <w:r>
        <w:rPr>
          <w:sz w:val="28"/>
          <w:szCs w:val="28"/>
        </w:rPr>
      </w:r>
      <w:r/>
    </w:p>
    <w:p>
      <w:pPr>
        <w:pStyle w:val="963"/>
        <w:ind w:firstLine="480"/>
        <w:jc w:val="left"/>
        <w:spacing w:line="500" w:lineRule="exact"/>
        <w:rPr>
          <w:sz w:val="24"/>
          <w:szCs w:val="24"/>
        </w:rPr>
      </w:pPr>
      <w:r>
        <w:rPr>
          <w:rFonts w:hint="eastAsia"/>
          <w:sz w:val="24"/>
          <w:szCs w:val="24"/>
        </w:rPr>
        <w:t xml:space="preserve">28.1 中标候选人的选取原则和数量详见招标文件第五章规定。 </w:t>
      </w:r>
      <w:r>
        <w:rPr>
          <w:sz w:val="24"/>
          <w:szCs w:val="24"/>
        </w:rPr>
      </w:r>
      <w:r/>
    </w:p>
    <w:p>
      <w:pPr>
        <w:pStyle w:val="963"/>
        <w:ind w:firstLine="480"/>
        <w:jc w:val="left"/>
        <w:spacing w:line="500" w:lineRule="exact"/>
        <w:rPr>
          <w:sz w:val="24"/>
          <w:szCs w:val="24"/>
        </w:rPr>
      </w:pPr>
      <w:r>
        <w:rPr>
          <w:rFonts w:hint="eastAsia"/>
          <w:sz w:val="24"/>
          <w:szCs w:val="24"/>
        </w:rPr>
        <w:t xml:space="preserve">28.2 采购人应根据评委会推荐的中标候选人确定中标人。</w:t>
      </w:r>
      <w:r>
        <w:rPr>
          <w:sz w:val="24"/>
          <w:szCs w:val="24"/>
        </w:rPr>
      </w:r>
      <w:r/>
    </w:p>
    <w:p>
      <w:pPr>
        <w:pStyle w:val="963"/>
        <w:ind w:firstLine="480"/>
        <w:jc w:val="left"/>
        <w:spacing w:line="500" w:lineRule="exact"/>
        <w:rPr>
          <w:sz w:val="24"/>
          <w:szCs w:val="24"/>
        </w:rPr>
      </w:pPr>
      <w:r>
        <w:rPr>
          <w:rFonts w:hint="eastAsia"/>
          <w:sz w:val="24"/>
          <w:szCs w:val="24"/>
        </w:rPr>
        <w:t xml:space="preserve">28.3 交易中心将在江苏政府采购网发布中标公告，公告期限为1个工作日。</w:t>
      </w:r>
      <w:r>
        <w:rPr>
          <w:sz w:val="24"/>
          <w:szCs w:val="24"/>
        </w:rPr>
      </w:r>
      <w:r/>
    </w:p>
    <w:p>
      <w:pPr>
        <w:pStyle w:val="963"/>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rPr>
          <w:sz w:val="24"/>
          <w:szCs w:val="24"/>
        </w:rPr>
      </w:r>
      <w:r/>
    </w:p>
    <w:p>
      <w:pPr>
        <w:pStyle w:val="963"/>
        <w:ind w:firstLine="480"/>
        <w:jc w:val="left"/>
        <w:spacing w:line="500" w:lineRule="exact"/>
        <w:rPr>
          <w:sz w:val="24"/>
          <w:szCs w:val="24"/>
        </w:rPr>
      </w:pPr>
      <w:r>
        <w:rPr>
          <w:rFonts w:hint="eastAsia"/>
          <w:sz w:val="24"/>
          <w:szCs w:val="24"/>
        </w:rPr>
        <w:t xml:space="preserve">（1）提供虚假材料谋取中标、成交的。</w:t>
      </w:r>
      <w:r>
        <w:rPr>
          <w:sz w:val="24"/>
          <w:szCs w:val="24"/>
        </w:rPr>
      </w:r>
      <w:r/>
    </w:p>
    <w:p>
      <w:pPr>
        <w:pStyle w:val="963"/>
        <w:ind w:firstLine="480"/>
        <w:jc w:val="left"/>
        <w:spacing w:line="500" w:lineRule="exact"/>
        <w:rPr>
          <w:sz w:val="24"/>
          <w:szCs w:val="24"/>
        </w:rPr>
      </w:pPr>
      <w:r>
        <w:rPr>
          <w:rFonts w:hint="eastAsia"/>
          <w:sz w:val="24"/>
          <w:szCs w:val="24"/>
        </w:rPr>
        <w:t xml:space="preserve">（2）采取不正当手段诋毁、排挤其他供应商的。</w:t>
      </w:r>
      <w:r>
        <w:rPr>
          <w:sz w:val="24"/>
          <w:szCs w:val="24"/>
        </w:rPr>
      </w:r>
      <w:r/>
    </w:p>
    <w:p>
      <w:pPr>
        <w:pStyle w:val="963"/>
        <w:ind w:firstLine="480"/>
        <w:jc w:val="left"/>
        <w:spacing w:line="500" w:lineRule="exact"/>
        <w:rPr>
          <w:sz w:val="24"/>
          <w:szCs w:val="24"/>
        </w:rPr>
      </w:pPr>
      <w:r>
        <w:rPr>
          <w:rFonts w:hint="eastAsia"/>
          <w:sz w:val="24"/>
          <w:szCs w:val="24"/>
        </w:rPr>
        <w:t xml:space="preserve">（3）与采购人、其他供应商或者交易中心恶意串通的。</w:t>
      </w:r>
      <w:r>
        <w:rPr>
          <w:sz w:val="24"/>
          <w:szCs w:val="24"/>
        </w:rPr>
      </w:r>
      <w:r/>
    </w:p>
    <w:p>
      <w:pPr>
        <w:pStyle w:val="963"/>
        <w:ind w:firstLine="480"/>
        <w:jc w:val="left"/>
        <w:spacing w:line="500" w:lineRule="exact"/>
        <w:rPr>
          <w:sz w:val="24"/>
          <w:szCs w:val="24"/>
        </w:rPr>
      </w:pPr>
      <w:r>
        <w:rPr>
          <w:rFonts w:hint="eastAsia"/>
          <w:sz w:val="24"/>
          <w:szCs w:val="24"/>
        </w:rPr>
        <w:t xml:space="preserve">（4）向采购人、交易中心行贿或者提供其他不正当利益的。</w:t>
      </w:r>
      <w:r>
        <w:rPr>
          <w:sz w:val="24"/>
          <w:szCs w:val="24"/>
        </w:rPr>
      </w:r>
      <w:r/>
    </w:p>
    <w:p>
      <w:pPr>
        <w:pStyle w:val="963"/>
        <w:ind w:firstLine="480"/>
        <w:jc w:val="left"/>
        <w:spacing w:line="500" w:lineRule="exact"/>
        <w:rPr>
          <w:sz w:val="24"/>
          <w:szCs w:val="24"/>
        </w:rPr>
      </w:pPr>
      <w:r>
        <w:rPr>
          <w:rFonts w:hint="eastAsia"/>
          <w:sz w:val="24"/>
          <w:szCs w:val="24"/>
        </w:rPr>
        <w:t xml:space="preserve">（5）在招标采购过程中与采购人进行协商谈判的。</w:t>
      </w:r>
      <w:r>
        <w:rPr>
          <w:sz w:val="24"/>
          <w:szCs w:val="24"/>
        </w:rPr>
      </w:r>
      <w:r/>
    </w:p>
    <w:p>
      <w:pPr>
        <w:pStyle w:val="963"/>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rPr>
          <w:sz w:val="24"/>
          <w:szCs w:val="24"/>
        </w:rPr>
      </w:r>
      <w:r/>
    </w:p>
    <w:p>
      <w:pPr>
        <w:pStyle w:val="966"/>
        <w:ind w:firstLine="562"/>
        <w:jc w:val="left"/>
        <w:spacing w:before="0" w:after="0" w:line="360" w:lineRule="auto"/>
        <w:rPr>
          <w:sz w:val="28"/>
          <w:szCs w:val="28"/>
        </w:rPr>
      </w:pPr>
      <w:r>
        <w:rPr>
          <w:rFonts w:hint="eastAsia"/>
          <w:sz w:val="28"/>
          <w:szCs w:val="28"/>
        </w:rPr>
        <w:t xml:space="preserve">29、中标通知书</w:t>
      </w:r>
      <w:r>
        <w:rPr>
          <w:sz w:val="28"/>
          <w:szCs w:val="28"/>
        </w:rPr>
      </w:r>
      <w:r/>
    </w:p>
    <w:p>
      <w:pPr>
        <w:pStyle w:val="963"/>
        <w:ind w:firstLine="480"/>
        <w:jc w:val="left"/>
        <w:spacing w:line="500" w:lineRule="exact"/>
        <w:rPr>
          <w:sz w:val="24"/>
          <w:szCs w:val="24"/>
        </w:rPr>
      </w:pPr>
      <w:r>
        <w:rPr>
          <w:rFonts w:hint="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sz w:val="24"/>
          <w:szCs w:val="24"/>
        </w:rPr>
      </w:r>
      <w:r/>
    </w:p>
    <w:p>
      <w:pPr>
        <w:pStyle w:val="963"/>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rPr>
          <w:sz w:val="24"/>
          <w:szCs w:val="24"/>
        </w:rPr>
      </w:r>
      <w:r/>
    </w:p>
    <w:p>
      <w:pPr>
        <w:pStyle w:val="963"/>
        <w:ind w:firstLine="480"/>
        <w:jc w:val="left"/>
        <w:spacing w:line="500" w:lineRule="exact"/>
        <w:rPr>
          <w:sz w:val="24"/>
          <w:szCs w:val="24"/>
        </w:rPr>
      </w:pPr>
      <w:r>
        <w:rPr>
          <w:rFonts w:hint="eastAsia"/>
          <w:sz w:val="24"/>
          <w:szCs w:val="24"/>
        </w:rPr>
        <w:t xml:space="preserve">29.3 中标人应在中标后七个工作日内，向采购人和交易中心各提供一份与电子投标文件一致的纸质打印胶装投标文件，封面、骑缝需加盖公章。</w:t>
      </w:r>
      <w:r>
        <w:rPr>
          <w:sz w:val="24"/>
          <w:szCs w:val="24"/>
        </w:rPr>
      </w:r>
      <w:r/>
    </w:p>
    <w:p>
      <w:pPr>
        <w:pStyle w:val="965"/>
        <w:spacing w:before="0" w:after="0" w:line="360" w:lineRule="auto"/>
        <w:rPr>
          <w:rFonts w:ascii="黑体" w:hAnsi="黑体" w:eastAsia="黑体"/>
          <w:b w:val="0"/>
        </w:rPr>
      </w:pPr>
      <w:r>
        <w:rPr>
          <w:rFonts w:hint="eastAsia" w:ascii="黑体" w:hAnsi="黑体" w:eastAsia="黑体"/>
          <w:b w:val="0"/>
        </w:rPr>
        <w:t xml:space="preserve">七、授予合同</w:t>
      </w:r>
      <w:r>
        <w:rPr>
          <w:rFonts w:ascii="黑体" w:hAnsi="黑体" w:eastAsia="黑体"/>
          <w:b w:val="0"/>
        </w:rPr>
      </w:r>
      <w:r/>
    </w:p>
    <w:p>
      <w:pPr>
        <w:pStyle w:val="966"/>
        <w:ind w:firstLine="562"/>
        <w:jc w:val="left"/>
        <w:spacing w:before="0" w:after="0" w:line="360" w:lineRule="auto"/>
        <w:rPr>
          <w:sz w:val="28"/>
          <w:szCs w:val="28"/>
        </w:rPr>
      </w:pPr>
      <w:r>
        <w:rPr>
          <w:rFonts w:hint="eastAsia"/>
          <w:sz w:val="28"/>
          <w:szCs w:val="28"/>
        </w:rPr>
        <w:t xml:space="preserve">30、履约保证金</w:t>
      </w:r>
      <w:r>
        <w:rPr>
          <w:sz w:val="28"/>
          <w:szCs w:val="28"/>
        </w:rPr>
      </w:r>
      <w:r/>
    </w:p>
    <w:p>
      <w:pPr>
        <w:pStyle w:val="963"/>
        <w:ind w:firstLine="480"/>
        <w:jc w:val="left"/>
        <w:spacing w:line="500" w:lineRule="exact"/>
        <w:rPr>
          <w:sz w:val="24"/>
          <w:szCs w:val="24"/>
        </w:rPr>
      </w:pPr>
      <w:r>
        <w:rPr>
          <w:rFonts w:hint="eastAsia"/>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sz w:val="24"/>
          <w:szCs w:val="24"/>
        </w:rPr>
      </w:r>
      <w:r/>
    </w:p>
    <w:p>
      <w:pPr>
        <w:pStyle w:val="963"/>
        <w:ind w:firstLine="480"/>
        <w:jc w:val="left"/>
        <w:spacing w:line="500" w:lineRule="exact"/>
        <w:rPr>
          <w:sz w:val="24"/>
          <w:szCs w:val="24"/>
        </w:rPr>
      </w:pPr>
      <w:r>
        <w:rPr>
          <w:rFonts w:hint="eastAsia"/>
          <w:sz w:val="24"/>
          <w:szCs w:val="24"/>
        </w:rPr>
        <w:t xml:space="preserve">30.2 中标人违约的，采购人将按照合同约定扣除其全部或部分履约保证金。如中标人违约给采购人造成的损失超过履约保证金的，应当依法赔偿超过部分的损失。</w:t>
      </w:r>
      <w:r>
        <w:rPr>
          <w:sz w:val="24"/>
          <w:szCs w:val="24"/>
        </w:rPr>
      </w:r>
      <w:r/>
    </w:p>
    <w:p>
      <w:pPr>
        <w:pStyle w:val="963"/>
        <w:ind w:firstLine="480"/>
        <w:jc w:val="left"/>
        <w:spacing w:line="500" w:lineRule="exact"/>
        <w:rPr>
          <w:sz w:val="24"/>
          <w:szCs w:val="24"/>
        </w:rPr>
      </w:pPr>
      <w:r>
        <w:rPr>
          <w:rFonts w:hint="eastAsia"/>
          <w:sz w:val="24"/>
          <w:szCs w:val="24"/>
        </w:rPr>
        <w:t xml:space="preserve">30.3 履约保证金自合同生效之日起至合同约定的中标人主要义务履行完毕止，采购人应当按合同约定及时退还履约保证金。</w:t>
      </w:r>
      <w:r>
        <w:rPr>
          <w:sz w:val="24"/>
          <w:szCs w:val="24"/>
        </w:rPr>
      </w:r>
      <w:r/>
    </w:p>
    <w:p>
      <w:pPr>
        <w:pStyle w:val="963"/>
        <w:ind w:firstLine="480"/>
        <w:jc w:val="left"/>
        <w:spacing w:line="500" w:lineRule="exact"/>
        <w:rPr>
          <w:sz w:val="24"/>
          <w:szCs w:val="24"/>
        </w:rPr>
      </w:pPr>
      <w:r>
        <w:rPr>
          <w:rFonts w:hint="eastAsia"/>
          <w:sz w:val="24"/>
          <w:szCs w:val="24"/>
        </w:rPr>
        <w:t xml:space="preserve">30.4 逾期退还履约保证金的采购人承担违约责任，按照中国人民银行同期贷款基准利率向中标人支付超期资金占用费。</w:t>
      </w:r>
      <w:r>
        <w:rPr>
          <w:sz w:val="24"/>
          <w:szCs w:val="24"/>
        </w:rPr>
      </w:r>
      <w:r/>
    </w:p>
    <w:p>
      <w:pPr>
        <w:pStyle w:val="963"/>
        <w:ind w:firstLine="480"/>
        <w:jc w:val="left"/>
        <w:spacing w:line="500" w:lineRule="exact"/>
        <w:rPr>
          <w:sz w:val="24"/>
          <w:szCs w:val="24"/>
        </w:rPr>
      </w:pPr>
      <w:r>
        <w:rPr>
          <w:rFonts w:hint="eastAsia"/>
          <w:sz w:val="24"/>
          <w:szCs w:val="24"/>
        </w:rPr>
        <w:t xml:space="preserve">30.5 本项目履约保证金要求详见招标文件第四章 采购需求。</w:t>
      </w:r>
      <w:r>
        <w:rPr>
          <w:sz w:val="24"/>
          <w:szCs w:val="24"/>
        </w:rPr>
      </w:r>
      <w:r/>
    </w:p>
    <w:p>
      <w:pPr>
        <w:pStyle w:val="966"/>
        <w:ind w:firstLine="562"/>
        <w:jc w:val="left"/>
        <w:spacing w:before="0" w:after="0" w:line="360" w:lineRule="auto"/>
        <w:rPr>
          <w:sz w:val="28"/>
          <w:szCs w:val="28"/>
        </w:rPr>
      </w:pPr>
      <w:r>
        <w:rPr>
          <w:rFonts w:hint="eastAsia"/>
          <w:sz w:val="28"/>
          <w:szCs w:val="28"/>
        </w:rPr>
        <w:t xml:space="preserve">31、签订合同</w:t>
      </w:r>
      <w:r>
        <w:rPr>
          <w:sz w:val="28"/>
          <w:szCs w:val="28"/>
        </w:rPr>
      </w:r>
      <w:r/>
    </w:p>
    <w:p>
      <w:pPr>
        <w:pStyle w:val="963"/>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rPr>
          <w:sz w:val="24"/>
          <w:szCs w:val="24"/>
        </w:rPr>
      </w:r>
      <w:r/>
    </w:p>
    <w:p>
      <w:pPr>
        <w:pStyle w:val="963"/>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rPr>
          <w:sz w:val="24"/>
          <w:szCs w:val="24"/>
        </w:rPr>
      </w:r>
      <w:r/>
    </w:p>
    <w:p>
      <w:pPr>
        <w:pStyle w:val="963"/>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rPr>
          <w:sz w:val="24"/>
          <w:szCs w:val="24"/>
        </w:rPr>
      </w:r>
      <w:r/>
    </w:p>
    <w:p>
      <w:pPr>
        <w:pStyle w:val="966"/>
        <w:ind w:firstLine="562"/>
        <w:jc w:val="left"/>
        <w:spacing w:before="0" w:after="0" w:line="360" w:lineRule="auto"/>
        <w:rPr>
          <w:sz w:val="28"/>
          <w:szCs w:val="28"/>
        </w:rPr>
      </w:pPr>
      <w:r>
        <w:rPr>
          <w:rFonts w:hint="eastAsia"/>
          <w:sz w:val="28"/>
          <w:szCs w:val="28"/>
        </w:rPr>
        <w:t xml:space="preserve">32、合同标的的追加</w:t>
      </w:r>
      <w:r>
        <w:rPr>
          <w:sz w:val="28"/>
          <w:szCs w:val="28"/>
        </w:rPr>
      </w:r>
      <w:r/>
    </w:p>
    <w:p>
      <w:pPr>
        <w:pStyle w:val="963"/>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sz w:val="24"/>
          <w:szCs w:val="24"/>
        </w:rPr>
      </w:r>
      <w:r/>
    </w:p>
    <w:p>
      <w:pPr>
        <w:pStyle w:val="966"/>
        <w:ind w:firstLine="562"/>
        <w:jc w:val="left"/>
        <w:spacing w:before="0" w:after="0" w:line="360" w:lineRule="auto"/>
        <w:rPr>
          <w:sz w:val="28"/>
          <w:szCs w:val="28"/>
        </w:rPr>
      </w:pPr>
      <w:r>
        <w:rPr>
          <w:rFonts w:hint="eastAsia"/>
          <w:sz w:val="28"/>
          <w:szCs w:val="28"/>
        </w:rPr>
        <w:t xml:space="preserve">33、政府采购履约资金扶持政策</w:t>
      </w:r>
      <w:r>
        <w:rPr>
          <w:sz w:val="28"/>
          <w:szCs w:val="28"/>
        </w:rPr>
      </w:r>
      <w:r/>
    </w:p>
    <w:p>
      <w:pPr>
        <w:pStyle w:val="963"/>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rPr>
          <w:sz w:val="24"/>
          <w:szCs w:val="24"/>
        </w:rPr>
      </w:r>
      <w:r/>
    </w:p>
    <w:p>
      <w:pPr>
        <w:pStyle w:val="965"/>
        <w:spacing w:before="0" w:after="0" w:line="360" w:lineRule="auto"/>
        <w:rPr>
          <w:rFonts w:ascii="黑体" w:hAnsi="黑体" w:eastAsia="黑体"/>
          <w:b w:val="0"/>
        </w:rPr>
      </w:pPr>
      <w:r>
        <w:rPr>
          <w:rFonts w:hint="eastAsia" w:ascii="黑体" w:hAnsi="黑体" w:eastAsia="黑体"/>
          <w:b w:val="0"/>
        </w:rPr>
        <w:t xml:space="preserve">八、询问与质疑</w:t>
      </w:r>
      <w:r>
        <w:rPr>
          <w:rFonts w:ascii="黑体" w:hAnsi="黑体" w:eastAsia="黑体"/>
          <w:b w:val="0"/>
        </w:rPr>
      </w:r>
      <w:r/>
    </w:p>
    <w:p>
      <w:pPr>
        <w:pStyle w:val="966"/>
        <w:ind w:firstLine="562"/>
        <w:jc w:val="left"/>
        <w:spacing w:before="0" w:after="0" w:line="360" w:lineRule="auto"/>
        <w:rPr>
          <w:sz w:val="28"/>
          <w:szCs w:val="28"/>
        </w:rPr>
      </w:pPr>
      <w:r>
        <w:rPr>
          <w:rFonts w:hint="eastAsia"/>
          <w:sz w:val="28"/>
          <w:szCs w:val="28"/>
        </w:rPr>
        <w:t xml:space="preserve">34、询问</w:t>
      </w:r>
      <w:r>
        <w:rPr>
          <w:sz w:val="28"/>
          <w:szCs w:val="28"/>
        </w:rPr>
      </w:r>
      <w:r/>
    </w:p>
    <w:p>
      <w:pPr>
        <w:pStyle w:val="963"/>
        <w:ind w:firstLine="480"/>
        <w:jc w:val="left"/>
        <w:spacing w:line="500" w:lineRule="exact"/>
        <w:rPr>
          <w:sz w:val="24"/>
          <w:szCs w:val="24"/>
        </w:rPr>
      </w:pPr>
      <w:r>
        <w:rPr>
          <w:rFonts w:hint="eastAsia"/>
          <w:sz w:val="24"/>
          <w:szCs w:val="24"/>
        </w:rPr>
        <w:t xml:space="preserve">34.1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rPr>
          <w:sz w:val="24"/>
          <w:szCs w:val="24"/>
        </w:rPr>
      </w:r>
      <w:r/>
    </w:p>
    <w:p>
      <w:pPr>
        <w:pStyle w:val="966"/>
        <w:ind w:firstLine="562"/>
        <w:jc w:val="left"/>
        <w:spacing w:before="0" w:after="0" w:line="360" w:lineRule="auto"/>
        <w:rPr>
          <w:sz w:val="28"/>
          <w:szCs w:val="28"/>
        </w:rPr>
      </w:pPr>
      <w:r>
        <w:rPr>
          <w:rFonts w:hint="eastAsia"/>
          <w:sz w:val="28"/>
          <w:szCs w:val="28"/>
        </w:rPr>
        <w:t xml:space="preserve">35、质疑提出</w:t>
      </w:r>
      <w:r>
        <w:rPr>
          <w:sz w:val="28"/>
          <w:szCs w:val="28"/>
        </w:rPr>
      </w:r>
      <w:r/>
    </w:p>
    <w:p>
      <w:pPr>
        <w:pStyle w:val="963"/>
        <w:ind w:firstLine="480"/>
        <w:jc w:val="left"/>
        <w:spacing w:line="500" w:lineRule="exact"/>
        <w:rPr>
          <w:sz w:val="24"/>
          <w:szCs w:val="24"/>
        </w:rPr>
      </w:pPr>
      <w:r>
        <w:rPr>
          <w:rFonts w:hint="eastAsia"/>
          <w:sz w:val="24"/>
          <w:szCs w:val="24"/>
        </w:rPr>
        <w:t xml:space="preserve">35.1 提出质疑的供应商应当是参与所质疑项目采购活动的供应商。</w:t>
      </w:r>
      <w:r>
        <w:rPr>
          <w:sz w:val="24"/>
          <w:szCs w:val="24"/>
        </w:rPr>
      </w:r>
      <w:r/>
    </w:p>
    <w:p>
      <w:pPr>
        <w:pStyle w:val="963"/>
        <w:ind w:firstLine="480"/>
        <w:jc w:val="left"/>
        <w:spacing w:line="500" w:lineRule="exact"/>
        <w:rPr>
          <w:sz w:val="24"/>
          <w:szCs w:val="24"/>
        </w:rP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交易中心提出质疑。</w:t>
      </w:r>
      <w:r>
        <w:rPr>
          <w:sz w:val="24"/>
          <w:szCs w:val="24"/>
        </w:rPr>
      </w:r>
      <w:r/>
    </w:p>
    <w:p>
      <w:pPr>
        <w:pStyle w:val="963"/>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rPr>
          <w:sz w:val="24"/>
          <w:szCs w:val="24"/>
        </w:rPr>
      </w:r>
      <w:r/>
    </w:p>
    <w:p>
      <w:pPr>
        <w:pStyle w:val="963"/>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rPr>
          <w:sz w:val="24"/>
          <w:szCs w:val="24"/>
        </w:rPr>
      </w:r>
      <w:r/>
    </w:p>
    <w:p>
      <w:pPr>
        <w:pStyle w:val="963"/>
        <w:ind w:firstLine="480"/>
        <w:jc w:val="left"/>
        <w:spacing w:line="500" w:lineRule="exact"/>
        <w:rPr>
          <w:sz w:val="24"/>
          <w:szCs w:val="24"/>
        </w:rP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rPr>
          <w:sz w:val="24"/>
          <w:szCs w:val="24"/>
        </w:rPr>
      </w:r>
      <w:r/>
    </w:p>
    <w:p>
      <w:pPr>
        <w:pStyle w:val="963"/>
        <w:ind w:firstLine="480"/>
        <w:jc w:val="left"/>
        <w:spacing w:line="500" w:lineRule="exact"/>
        <w:rPr>
          <w:sz w:val="24"/>
          <w:szCs w:val="24"/>
        </w:rPr>
      </w:pPr>
      <w:r>
        <w:rPr>
          <w:rFonts w:hint="eastAsia"/>
          <w:sz w:val="24"/>
          <w:szCs w:val="24"/>
        </w:rPr>
        <w:t xml:space="preserve">35.4 质疑函的接收方式为供应商书面原件提交。联系部门、联系电话和通讯地址详见招标文件第一章。质疑实行实名制，不得进行虚假、恶意质疑。</w:t>
      </w:r>
      <w:r>
        <w:rPr>
          <w:sz w:val="24"/>
          <w:szCs w:val="24"/>
        </w:rPr>
      </w:r>
      <w:r/>
    </w:p>
    <w:p>
      <w:pPr>
        <w:pStyle w:val="963"/>
        <w:ind w:firstLine="480"/>
        <w:jc w:val="left"/>
        <w:spacing w:line="500" w:lineRule="exact"/>
        <w:rPr>
          <w:sz w:val="24"/>
          <w:szCs w:val="24"/>
        </w:rPr>
      </w:pPr>
      <w:r>
        <w:rPr>
          <w:rFonts w:hint="eastAsia"/>
          <w:sz w:val="24"/>
          <w:szCs w:val="24"/>
        </w:rPr>
        <w:t xml:space="preserve">35.5 质疑函应当使用范本，详见招标文件第六章。供应商提出质疑应当提交质疑函和必要的证明材料，应当包括下列内容：</w:t>
      </w:r>
      <w:r>
        <w:rPr>
          <w:sz w:val="24"/>
          <w:szCs w:val="24"/>
        </w:rPr>
      </w:r>
      <w:r/>
    </w:p>
    <w:p>
      <w:pPr>
        <w:pStyle w:val="963"/>
        <w:ind w:firstLine="480"/>
        <w:jc w:val="left"/>
        <w:spacing w:line="500" w:lineRule="exact"/>
        <w:rPr>
          <w:sz w:val="24"/>
          <w:szCs w:val="24"/>
        </w:rPr>
      </w:pPr>
      <w:r>
        <w:rPr>
          <w:rFonts w:hint="eastAsia"/>
          <w:sz w:val="24"/>
          <w:szCs w:val="24"/>
        </w:rPr>
        <w:t xml:space="preserve">（1）供应商的姓名或者名称、地址、邮编、联系人及联系电话；</w:t>
      </w:r>
      <w:r>
        <w:rPr>
          <w:sz w:val="24"/>
          <w:szCs w:val="24"/>
        </w:rPr>
      </w:r>
      <w:r/>
    </w:p>
    <w:p>
      <w:pPr>
        <w:pStyle w:val="963"/>
        <w:ind w:firstLine="480"/>
        <w:jc w:val="left"/>
        <w:spacing w:line="500" w:lineRule="exact"/>
        <w:rPr>
          <w:sz w:val="24"/>
          <w:szCs w:val="24"/>
        </w:rPr>
      </w:pPr>
      <w:r>
        <w:rPr>
          <w:rFonts w:hint="eastAsia"/>
          <w:sz w:val="24"/>
          <w:szCs w:val="24"/>
        </w:rPr>
        <w:t xml:space="preserve">（2）质疑项目的名称、编号；</w:t>
      </w:r>
      <w:r>
        <w:rPr>
          <w:sz w:val="24"/>
          <w:szCs w:val="24"/>
        </w:rPr>
      </w:r>
      <w:r/>
    </w:p>
    <w:p>
      <w:pPr>
        <w:pStyle w:val="963"/>
        <w:ind w:firstLine="480"/>
        <w:jc w:val="left"/>
        <w:spacing w:line="500" w:lineRule="exact"/>
        <w:rPr>
          <w:sz w:val="24"/>
          <w:szCs w:val="24"/>
        </w:rPr>
      </w:pPr>
      <w:r>
        <w:rPr>
          <w:rFonts w:hint="eastAsia"/>
          <w:sz w:val="24"/>
          <w:szCs w:val="24"/>
        </w:rPr>
        <w:t xml:space="preserve">（3）具体、明确的质疑事项和与质疑事项相关的请求；</w:t>
      </w:r>
      <w:r>
        <w:rPr>
          <w:sz w:val="24"/>
          <w:szCs w:val="24"/>
        </w:rPr>
      </w:r>
      <w:r/>
    </w:p>
    <w:p>
      <w:pPr>
        <w:pStyle w:val="963"/>
        <w:ind w:firstLine="480"/>
        <w:jc w:val="left"/>
        <w:spacing w:line="500" w:lineRule="exact"/>
        <w:rPr>
          <w:sz w:val="24"/>
          <w:szCs w:val="24"/>
        </w:rPr>
      </w:pPr>
      <w:r>
        <w:rPr>
          <w:rFonts w:hint="eastAsia"/>
          <w:sz w:val="24"/>
          <w:szCs w:val="24"/>
        </w:rPr>
        <w:t xml:space="preserve">（4）事实依据；</w:t>
      </w:r>
      <w:r>
        <w:rPr>
          <w:sz w:val="24"/>
          <w:szCs w:val="24"/>
        </w:rPr>
      </w:r>
      <w:r/>
    </w:p>
    <w:p>
      <w:pPr>
        <w:pStyle w:val="963"/>
        <w:ind w:firstLine="480"/>
        <w:jc w:val="left"/>
        <w:spacing w:line="500" w:lineRule="exact"/>
        <w:rPr>
          <w:sz w:val="24"/>
          <w:szCs w:val="24"/>
        </w:rPr>
      </w:pPr>
      <w:r>
        <w:rPr>
          <w:rFonts w:hint="eastAsia"/>
          <w:sz w:val="24"/>
          <w:szCs w:val="24"/>
        </w:rPr>
        <w:t xml:space="preserve">（5）必要的法律依据；</w:t>
      </w:r>
      <w:r>
        <w:rPr>
          <w:sz w:val="24"/>
          <w:szCs w:val="24"/>
        </w:rPr>
      </w:r>
      <w:r/>
    </w:p>
    <w:p>
      <w:pPr>
        <w:pStyle w:val="963"/>
        <w:ind w:firstLine="480"/>
        <w:jc w:val="left"/>
        <w:spacing w:line="500" w:lineRule="exact"/>
        <w:rPr>
          <w:sz w:val="24"/>
          <w:szCs w:val="24"/>
        </w:rPr>
      </w:pPr>
      <w:r>
        <w:rPr>
          <w:rFonts w:hint="eastAsia"/>
          <w:sz w:val="24"/>
          <w:szCs w:val="24"/>
        </w:rPr>
        <w:t xml:space="preserve">（6）提出质疑的日期；</w:t>
      </w:r>
      <w:r>
        <w:rPr>
          <w:sz w:val="24"/>
          <w:szCs w:val="24"/>
        </w:rPr>
      </w:r>
      <w:r/>
    </w:p>
    <w:p>
      <w:pPr>
        <w:pStyle w:val="963"/>
        <w:ind w:firstLine="480"/>
        <w:jc w:val="left"/>
        <w:spacing w:line="500" w:lineRule="exact"/>
        <w:rPr>
          <w:sz w:val="24"/>
          <w:szCs w:val="24"/>
        </w:rPr>
      </w:pPr>
      <w:r>
        <w:rPr>
          <w:rFonts w:hint="eastAsia"/>
          <w:sz w:val="24"/>
          <w:szCs w:val="24"/>
        </w:rPr>
        <w:t xml:space="preserve">（7）必要的证明材料；</w:t>
      </w:r>
      <w:r>
        <w:rPr>
          <w:sz w:val="24"/>
          <w:szCs w:val="24"/>
        </w:rPr>
      </w:r>
      <w:r/>
    </w:p>
    <w:p>
      <w:pPr>
        <w:pStyle w:val="963"/>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rPr>
          <w:sz w:val="24"/>
          <w:szCs w:val="24"/>
        </w:rPr>
      </w:r>
      <w:r/>
    </w:p>
    <w:p>
      <w:pPr>
        <w:pStyle w:val="963"/>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rPr>
          <w:sz w:val="24"/>
          <w:szCs w:val="24"/>
        </w:rPr>
      </w:r>
      <w:r/>
    </w:p>
    <w:p>
      <w:pPr>
        <w:pStyle w:val="966"/>
        <w:ind w:firstLine="562"/>
        <w:jc w:val="left"/>
        <w:spacing w:before="0" w:after="0" w:line="360" w:lineRule="auto"/>
        <w:rPr>
          <w:sz w:val="24"/>
          <w:szCs w:val="24"/>
        </w:rPr>
      </w:pPr>
      <w:r>
        <w:rPr>
          <w:rFonts w:hint="eastAsia"/>
          <w:sz w:val="28"/>
          <w:szCs w:val="28"/>
        </w:rPr>
        <w:t xml:space="preserve">36、质疑函的受理和答复</w:t>
      </w:r>
      <w:r>
        <w:rPr>
          <w:sz w:val="24"/>
          <w:szCs w:val="24"/>
        </w:rPr>
      </w:r>
      <w:r/>
    </w:p>
    <w:p>
      <w:pPr>
        <w:pStyle w:val="963"/>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rPr>
          <w:sz w:val="24"/>
          <w:szCs w:val="24"/>
        </w:rPr>
      </w:r>
      <w:r/>
    </w:p>
    <w:p>
      <w:pPr>
        <w:pStyle w:val="963"/>
        <w:ind w:firstLine="480"/>
        <w:jc w:val="left"/>
        <w:spacing w:line="500" w:lineRule="exact"/>
        <w:rPr>
          <w:sz w:val="24"/>
          <w:szCs w:val="24"/>
        </w:rPr>
      </w:pPr>
      <w:r>
        <w:rPr>
          <w:rFonts w:hint="eastAsia"/>
          <w:sz w:val="24"/>
          <w:szCs w:val="24"/>
        </w:rPr>
        <w:t xml:space="preserve">36.2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sz w:val="24"/>
          <w:szCs w:val="24"/>
        </w:rPr>
      </w:r>
      <w:r/>
    </w:p>
    <w:p>
      <w:pPr>
        <w:pStyle w:val="963"/>
        <w:ind w:firstLine="480"/>
        <w:jc w:val="left"/>
        <w:spacing w:line="500" w:lineRule="exact"/>
        <w:rPr>
          <w:sz w:val="24"/>
          <w:szCs w:val="24"/>
        </w:rPr>
      </w:pPr>
      <w:r>
        <w:rPr>
          <w:rFonts w:hint="eastAsia"/>
          <w:sz w:val="24"/>
          <w:szCs w:val="24"/>
        </w:rPr>
        <w:t xml:space="preserve">36.3 对不符合质疑要求的，采购人、交易中心有权要求其补充必要的证明材料，质疑供应商未在法定时间内补充必要的证明材料的，视同放弃质疑。</w:t>
      </w:r>
      <w:r>
        <w:rPr>
          <w:sz w:val="24"/>
          <w:szCs w:val="24"/>
        </w:rPr>
      </w:r>
      <w:r/>
    </w:p>
    <w:p>
      <w:pPr>
        <w:pStyle w:val="963"/>
        <w:ind w:firstLine="480"/>
        <w:jc w:val="left"/>
        <w:spacing w:line="500" w:lineRule="exact"/>
        <w:rPr>
          <w:sz w:val="24"/>
          <w:szCs w:val="24"/>
        </w:rPr>
      </w:pPr>
      <w:r>
        <w:rPr>
          <w:rFonts w:hint="eastAsia"/>
          <w:sz w:val="24"/>
          <w:szCs w:val="24"/>
        </w:rPr>
        <w:t xml:space="preserve">36.4 以下情形的质疑依法不予受理：</w:t>
      </w:r>
      <w:r>
        <w:rPr>
          <w:sz w:val="24"/>
          <w:szCs w:val="24"/>
        </w:rPr>
      </w:r>
      <w:r/>
    </w:p>
    <w:p>
      <w:pPr>
        <w:pStyle w:val="963"/>
        <w:ind w:firstLine="480"/>
        <w:jc w:val="left"/>
        <w:spacing w:line="500" w:lineRule="exact"/>
        <w:rPr>
          <w:sz w:val="24"/>
          <w:szCs w:val="24"/>
        </w:rPr>
      </w:pPr>
      <w:r>
        <w:rPr>
          <w:rFonts w:hint="eastAsia"/>
          <w:sz w:val="24"/>
          <w:szCs w:val="24"/>
        </w:rPr>
        <w:t xml:space="preserve">（1）内容不符合《政府采购质疑和投诉办法》第十二条规定的质疑。</w:t>
      </w:r>
      <w:r>
        <w:rPr>
          <w:sz w:val="24"/>
          <w:szCs w:val="24"/>
        </w:rPr>
      </w:r>
      <w:r/>
    </w:p>
    <w:p>
      <w:pPr>
        <w:pStyle w:val="963"/>
        <w:ind w:firstLine="480"/>
        <w:jc w:val="left"/>
        <w:spacing w:line="500" w:lineRule="exact"/>
        <w:rPr>
          <w:sz w:val="24"/>
          <w:szCs w:val="24"/>
        </w:rPr>
      </w:pPr>
      <w:r>
        <w:rPr>
          <w:rFonts w:hint="eastAsia"/>
          <w:sz w:val="24"/>
          <w:szCs w:val="24"/>
        </w:rPr>
        <w:t xml:space="preserve">（2）超出政府采购法定期限的质疑。</w:t>
      </w:r>
      <w:r>
        <w:rPr>
          <w:sz w:val="24"/>
          <w:szCs w:val="24"/>
        </w:rPr>
      </w:r>
      <w:r/>
    </w:p>
    <w:p>
      <w:pPr>
        <w:pStyle w:val="963"/>
        <w:ind w:firstLine="480"/>
        <w:jc w:val="left"/>
        <w:spacing w:line="500" w:lineRule="exact"/>
        <w:rPr>
          <w:sz w:val="24"/>
          <w:szCs w:val="24"/>
        </w:rPr>
      </w:pPr>
      <w:r>
        <w:rPr>
          <w:rFonts w:hint="eastAsia"/>
          <w:sz w:val="24"/>
          <w:szCs w:val="24"/>
        </w:rPr>
        <w:t xml:space="preserve">（3）以传真、电子邮件等方式递交的非原件形式的质疑。</w:t>
      </w:r>
      <w:r>
        <w:rPr>
          <w:sz w:val="24"/>
          <w:szCs w:val="24"/>
        </w:rPr>
      </w:r>
      <w:r/>
    </w:p>
    <w:p>
      <w:pPr>
        <w:pStyle w:val="963"/>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rPr>
          <w:sz w:val="24"/>
          <w:szCs w:val="24"/>
        </w:rPr>
      </w:r>
      <w:r/>
    </w:p>
    <w:p>
      <w:pPr>
        <w:pStyle w:val="963"/>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rPr>
          <w:sz w:val="24"/>
          <w:szCs w:val="24"/>
        </w:rPr>
      </w:r>
      <w:r/>
    </w:p>
    <w:p>
      <w:pPr>
        <w:pStyle w:val="963"/>
        <w:ind w:firstLine="480"/>
        <w:jc w:val="left"/>
        <w:spacing w:line="500" w:lineRule="exact"/>
        <w:rPr>
          <w:sz w:val="24"/>
          <w:szCs w:val="24"/>
        </w:rPr>
      </w:pPr>
      <w:r>
        <w:rPr>
          <w:rFonts w:hint="eastAsia"/>
          <w:sz w:val="24"/>
          <w:szCs w:val="24"/>
        </w:rPr>
        <w:t xml:space="preserve">36.5 采购人、交易中心依法受理的质疑，将按照政府采购有关规定，在法定期限内作出答复。</w:t>
      </w:r>
      <w:r>
        <w:rPr>
          <w:sz w:val="24"/>
          <w:szCs w:val="24"/>
        </w:rPr>
      </w:r>
      <w:r/>
    </w:p>
    <w:p>
      <w:pPr>
        <w:pStyle w:val="966"/>
        <w:ind w:firstLine="562"/>
        <w:jc w:val="left"/>
        <w:spacing w:before="0" w:after="0" w:line="360" w:lineRule="auto"/>
        <w:rPr>
          <w:sz w:val="28"/>
          <w:szCs w:val="28"/>
        </w:rPr>
      </w:pPr>
      <w:r>
        <w:rPr>
          <w:rFonts w:hint="eastAsia"/>
          <w:sz w:val="28"/>
          <w:szCs w:val="28"/>
        </w:rPr>
        <w:t xml:space="preserve">37、质疑处理</w:t>
      </w:r>
      <w:r>
        <w:rPr>
          <w:sz w:val="28"/>
          <w:szCs w:val="28"/>
        </w:rPr>
      </w:r>
      <w:r/>
    </w:p>
    <w:p>
      <w:pPr>
        <w:pStyle w:val="963"/>
        <w:ind w:firstLine="480"/>
        <w:jc w:val="left"/>
        <w:spacing w:line="500" w:lineRule="exact"/>
        <w:rPr>
          <w:sz w:val="24"/>
          <w:szCs w:val="24"/>
        </w:rPr>
      </w:pPr>
      <w:r>
        <w:rPr>
          <w:rFonts w:hint="eastAsia"/>
          <w:sz w:val="24"/>
          <w:szCs w:val="24"/>
        </w:rPr>
        <w:t xml:space="preserve">37.1 质疑供应商未按照法定程序进行质疑投诉的，视为一般失信行为。</w:t>
      </w:r>
      <w:r>
        <w:rPr>
          <w:sz w:val="24"/>
          <w:szCs w:val="24"/>
        </w:rPr>
      </w:r>
      <w:r/>
    </w:p>
    <w:p>
      <w:pPr>
        <w:pStyle w:val="963"/>
        <w:ind w:firstLine="480"/>
        <w:jc w:val="left"/>
        <w:spacing w:line="500" w:lineRule="exact"/>
        <w:rPr>
          <w:sz w:val="24"/>
          <w:szCs w:val="24"/>
        </w:rPr>
      </w:pPr>
      <w:r>
        <w:rPr>
          <w:rFonts w:hint="eastAsia"/>
          <w:sz w:val="24"/>
          <w:szCs w:val="24"/>
        </w:rPr>
        <w:t xml:space="preserve">37.2 质疑供应商不配合或者采取不正当手段干扰政府采购质疑、投诉处理工作的，视为一般失信行为。</w:t>
      </w:r>
      <w:r>
        <w:rPr>
          <w:sz w:val="24"/>
          <w:szCs w:val="24"/>
        </w:rPr>
      </w:r>
      <w:r/>
    </w:p>
    <w:p>
      <w:pPr>
        <w:pStyle w:val="963"/>
        <w:ind w:firstLine="480"/>
        <w:jc w:val="left"/>
        <w:spacing w:line="500" w:lineRule="exact"/>
        <w:rPr>
          <w:sz w:val="24"/>
          <w:szCs w:val="24"/>
        </w:rPr>
      </w:pPr>
      <w:r>
        <w:rPr>
          <w:rFonts w:hint="eastAsia"/>
          <w:sz w:val="24"/>
          <w:szCs w:val="24"/>
        </w:rPr>
        <w:t xml:space="preserve">37.3 质疑供应商投诉受理期间，就同一事项多头举报，干扰财政部门投诉处理的，视为一般失信行为。</w:t>
      </w:r>
      <w:r>
        <w:rPr>
          <w:sz w:val="24"/>
          <w:szCs w:val="24"/>
        </w:rPr>
      </w:r>
      <w:r/>
    </w:p>
    <w:p>
      <w:pPr>
        <w:pStyle w:val="963"/>
        <w:ind w:firstLine="480"/>
        <w:jc w:val="left"/>
        <w:spacing w:line="500" w:lineRule="exact"/>
        <w:rPr>
          <w:sz w:val="24"/>
          <w:szCs w:val="24"/>
        </w:rPr>
      </w:pPr>
      <w:r>
        <w:rPr>
          <w:rFonts w:hint="eastAsia"/>
          <w:sz w:val="24"/>
          <w:szCs w:val="24"/>
        </w:rPr>
        <w:t xml:space="preserve">37.4 质疑供应商在全国范围12个月内三次以上质疑查无实据的，视为一般失信行为。</w:t>
      </w:r>
      <w:r>
        <w:rPr>
          <w:sz w:val="24"/>
          <w:szCs w:val="24"/>
        </w:rPr>
      </w:r>
      <w:r/>
    </w:p>
    <w:p>
      <w:pPr>
        <w:pStyle w:val="963"/>
        <w:ind w:firstLine="480"/>
        <w:jc w:val="left"/>
        <w:spacing w:line="500" w:lineRule="exact"/>
        <w:rPr>
          <w:sz w:val="24"/>
          <w:szCs w:val="24"/>
        </w:rPr>
      </w:pPr>
      <w:r>
        <w:rPr>
          <w:rFonts w:hint="eastAsia"/>
          <w:sz w:val="24"/>
          <w:szCs w:val="24"/>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sz w:val="24"/>
          <w:szCs w:val="24"/>
        </w:rPr>
      </w:r>
      <w:r/>
    </w:p>
    <w:p>
      <w:pPr>
        <w:pStyle w:val="963"/>
        <w:ind w:firstLine="480"/>
        <w:jc w:val="left"/>
        <w:spacing w:line="500" w:lineRule="exact"/>
        <w:rPr>
          <w:sz w:val="24"/>
          <w:szCs w:val="24"/>
        </w:rPr>
      </w:pPr>
      <w:r>
        <w:rPr>
          <w:rFonts w:hint="eastAsia"/>
          <w:sz w:val="24"/>
          <w:szCs w:val="24"/>
        </w:rPr>
        <w:t xml:space="preserve">37.6 质疑供应商在全国范围12个月内三次以上投诉查无实据的，视为严重失信行为。</w:t>
      </w:r>
      <w:r>
        <w:rPr>
          <w:sz w:val="24"/>
          <w:szCs w:val="24"/>
        </w:rPr>
      </w:r>
      <w:r/>
    </w:p>
    <w:p>
      <w:pPr>
        <w:pStyle w:val="963"/>
        <w:ind w:firstLine="480"/>
        <w:jc w:val="left"/>
        <w:spacing w:line="500" w:lineRule="exact"/>
        <w:rPr>
          <w:sz w:val="24"/>
          <w:szCs w:val="24"/>
        </w:rPr>
      </w:pPr>
      <w:r>
        <w:rPr>
          <w:rFonts w:hint="eastAsia"/>
          <w:sz w:val="24"/>
          <w:szCs w:val="24"/>
        </w:rPr>
        <w:t xml:space="preserve">37.7 未尽事宜，依照有关法律、法规执行。</w:t>
      </w:r>
      <w:r>
        <w:rPr>
          <w:sz w:val="24"/>
          <w:szCs w:val="24"/>
        </w:rPr>
      </w:r>
      <w:r/>
    </w:p>
    <w:p>
      <w:pPr>
        <w:pStyle w:val="965"/>
        <w:spacing w:before="0" w:after="0" w:line="360" w:lineRule="auto"/>
        <w:rPr>
          <w:rFonts w:ascii="黑体" w:hAnsi="黑体" w:eastAsia="黑体"/>
          <w:b w:val="0"/>
        </w:rPr>
      </w:pPr>
      <w:r>
        <w:rPr>
          <w:rFonts w:hint="eastAsia" w:ascii="黑体" w:hAnsi="黑体" w:eastAsia="黑体"/>
          <w:b w:val="0"/>
        </w:rPr>
        <w:t xml:space="preserve">九、政府采购政策功能</w:t>
      </w:r>
      <w:r>
        <w:rPr>
          <w:rFonts w:ascii="黑体" w:hAnsi="黑体" w:eastAsia="黑体"/>
          <w:b w:val="0"/>
        </w:rPr>
      </w:r>
      <w:r/>
    </w:p>
    <w:p>
      <w:pPr>
        <w:pStyle w:val="966"/>
        <w:ind w:firstLine="562"/>
        <w:jc w:val="left"/>
        <w:spacing w:before="0" w:after="0" w:line="360" w:lineRule="auto"/>
        <w:rPr>
          <w:sz w:val="28"/>
          <w:szCs w:val="28"/>
        </w:rPr>
      </w:pPr>
      <w:r>
        <w:rPr>
          <w:rFonts w:hint="eastAsia"/>
          <w:sz w:val="28"/>
          <w:szCs w:val="28"/>
        </w:rPr>
        <w:t xml:space="preserve">38、促进中小企业发展</w:t>
      </w:r>
      <w:r>
        <w:rPr>
          <w:sz w:val="28"/>
          <w:szCs w:val="28"/>
        </w:rPr>
      </w:r>
      <w:r/>
    </w:p>
    <w:p>
      <w:pPr>
        <w:pStyle w:val="963"/>
        <w:ind w:firstLine="480"/>
        <w:jc w:val="left"/>
        <w:spacing w:line="500" w:lineRule="exact"/>
        <w:rPr>
          <w:sz w:val="24"/>
          <w:szCs w:val="24"/>
        </w:rPr>
      </w:pPr>
      <w:r>
        <w:rPr>
          <w:rFonts w:hint="eastAsia"/>
          <w:sz w:val="24"/>
          <w:szCs w:val="24"/>
        </w:rPr>
        <w:t xml:space="preserve">3</w:t>
      </w:r>
      <w:r>
        <w:rPr>
          <w:rFonts w:hint="eastAsia"/>
          <w:sz w:val="24"/>
          <w:szCs w:val="24"/>
        </w:rPr>
        <w:t xml:space="preserve">8</w:t>
      </w:r>
      <w:r>
        <w:rPr>
          <w:rFonts w:hint="eastAsia"/>
          <w:sz w:val="24"/>
          <w:szCs w:val="24"/>
        </w:rPr>
        <w:t xml:space="preserve">.1</w:t>
      </w:r>
      <w:r>
        <w:rPr>
          <w:rFonts w:hint="eastAsia"/>
          <w:sz w:val="24"/>
          <w:szCs w:val="24"/>
        </w:rPr>
        <w:t xml:space="preserve"> </w:t>
      </w:r>
      <w:r>
        <w:rPr>
          <w:rFonts w:hint="eastAsia"/>
          <w:sz w:val="24"/>
          <w:szCs w:val="24"/>
        </w:rPr>
        <w:t xml:space="preserve">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w:t>
      </w:r>
      <w:r>
        <w:rPr>
          <w:rFonts w:hint="eastAsia"/>
          <w:sz w:val="24"/>
          <w:szCs w:val="24"/>
        </w:rPr>
        <w:t xml:space="preserve">。</w:t>
      </w:r>
      <w:r>
        <w:rPr>
          <w:sz w:val="24"/>
          <w:szCs w:val="24"/>
        </w:rPr>
      </w:r>
      <w:r/>
    </w:p>
    <w:p>
      <w:pPr>
        <w:pStyle w:val="963"/>
        <w:ind w:firstLine="482"/>
        <w:jc w:val="left"/>
        <w:spacing w:line="500" w:lineRule="exact"/>
        <w:rPr>
          <w:b/>
          <w:sz w:val="24"/>
          <w:szCs w:val="24"/>
        </w:rPr>
      </w:pPr>
      <w:r>
        <w:rPr>
          <w:rFonts w:hint="eastAsia"/>
          <w:b/>
          <w:sz w:val="24"/>
          <w:szCs w:val="24"/>
          <w:highlight w:val="yellow"/>
        </w:rPr>
        <w:t xml:space="preserve">采购包1、2、3专门面向中型企业、小型企业、微型企业、残疾人福利性单位、监狱企业采购</w:t>
      </w:r>
      <w:r>
        <w:rPr>
          <w:rFonts w:hint="eastAsia"/>
          <w:b/>
          <w:sz w:val="24"/>
          <w:szCs w:val="24"/>
          <w:highlight w:val="yellow"/>
        </w:rPr>
        <w:t xml:space="preserve">，采购包2中以联合体方式参加投标的，联合体各方均提供</w:t>
      </w:r>
      <w:r>
        <w:rPr>
          <w:rFonts w:hint="eastAsia"/>
          <w:b/>
          <w:sz w:val="24"/>
          <w:szCs w:val="24"/>
          <w:highlight w:val="yellow"/>
        </w:rPr>
        <w:t xml:space="preserve">：</w:t>
      </w:r>
      <w:r>
        <w:rPr>
          <w:b/>
          <w:sz w:val="24"/>
          <w:szCs w:val="24"/>
        </w:rPr>
      </w:r>
      <w:r/>
    </w:p>
    <w:p>
      <w:pPr>
        <w:pStyle w:val="963"/>
        <w:ind w:firstLine="480"/>
        <w:jc w:val="left"/>
        <w:spacing w:line="500" w:lineRule="exact"/>
        <w:rPr>
          <w:sz w:val="24"/>
          <w:szCs w:val="24"/>
        </w:rPr>
      </w:pPr>
      <w:r>
        <w:rPr>
          <w:rFonts w:hint="eastAsia"/>
          <w:sz w:val="24"/>
          <w:szCs w:val="24"/>
        </w:rPr>
        <w:t xml:space="preserve">38.2参加本项目政府采购活动的供应商应当提供的材料： </w:t>
      </w:r>
      <w:r>
        <w:rPr>
          <w:sz w:val="24"/>
          <w:szCs w:val="24"/>
        </w:rPr>
      </w:r>
      <w:r/>
    </w:p>
    <w:p>
      <w:pPr>
        <w:pStyle w:val="963"/>
        <w:ind w:firstLine="480"/>
        <w:jc w:val="left"/>
        <w:spacing w:line="500" w:lineRule="exact"/>
        <w:rPr>
          <w:sz w:val="24"/>
          <w:szCs w:val="24"/>
        </w:rPr>
      </w:pPr>
      <w:r>
        <w:rPr>
          <w:rFonts w:hint="eastAsia"/>
          <w:sz w:val="24"/>
          <w:szCs w:val="24"/>
        </w:rPr>
        <w:t xml:space="preserve">（1）投标人提供的货物全部由中型企业、小型企业、微型企业制造的，提供《中小企业声明函》（第六章 投标文件格式）。</w:t>
      </w:r>
      <w:r>
        <w:rPr>
          <w:sz w:val="24"/>
          <w:szCs w:val="24"/>
        </w:rPr>
      </w:r>
      <w:r/>
    </w:p>
    <w:p>
      <w:pPr>
        <w:pStyle w:val="963"/>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rPr>
          <w:sz w:val="24"/>
          <w:szCs w:val="24"/>
        </w:rPr>
      </w:r>
      <w:r/>
    </w:p>
    <w:p>
      <w:pPr>
        <w:pStyle w:val="963"/>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sz w:val="24"/>
          <w:szCs w:val="24"/>
        </w:rPr>
      </w:r>
      <w:r/>
    </w:p>
    <w:p>
      <w:pPr>
        <w:pStyle w:val="963"/>
        <w:ind w:firstLine="480"/>
        <w:jc w:val="left"/>
        <w:spacing w:line="500" w:lineRule="exact"/>
        <w:rPr>
          <w:sz w:val="24"/>
          <w:szCs w:val="24"/>
        </w:rPr>
      </w:pPr>
      <w:r>
        <w:rPr>
          <w:rFonts w:hint="eastAsia"/>
          <w:sz w:val="24"/>
          <w:szCs w:val="24"/>
        </w:rPr>
        <w:t xml:space="preserve">38.3 享受扶持政策获得政府采购合同的，小微型企业不得将合同分包给大中型企业，中型企业不得将合同分包给大型企业。</w:t>
      </w:r>
      <w:r>
        <w:rPr>
          <w:sz w:val="24"/>
          <w:szCs w:val="24"/>
        </w:rPr>
      </w:r>
      <w:r/>
    </w:p>
    <w:p>
      <w:pPr>
        <w:pStyle w:val="963"/>
        <w:ind w:firstLine="482"/>
        <w:jc w:val="left"/>
        <w:spacing w:line="500" w:lineRule="exact"/>
        <w:rPr>
          <w:b/>
          <w:sz w:val="24"/>
          <w:szCs w:val="24"/>
        </w:rPr>
      </w:pPr>
      <w:r>
        <w:rPr>
          <w:rFonts w:hint="eastAsia"/>
          <w:b/>
          <w:sz w:val="24"/>
          <w:szCs w:val="24"/>
          <w:highlight w:val="yellow"/>
        </w:rPr>
        <w:t xml:space="preserve">采购包4：对参加投标的小型企业、微型企业、监狱企业、残疾人福利性单位报价以扣除优惠比率后的价格参与评审</w:t>
      </w:r>
      <w:r>
        <w:rPr>
          <w:rFonts w:hint="eastAsia"/>
          <w:b/>
          <w:sz w:val="24"/>
          <w:szCs w:val="24"/>
          <w:highlight w:val="yellow"/>
        </w:rPr>
        <w:t xml:space="preserve">：</w:t>
      </w:r>
      <w:r>
        <w:rPr>
          <w:b/>
          <w:sz w:val="24"/>
          <w:szCs w:val="24"/>
        </w:rPr>
      </w:r>
      <w:r/>
    </w:p>
    <w:p>
      <w:pPr>
        <w:pStyle w:val="963"/>
        <w:ind w:firstLine="480"/>
        <w:jc w:val="left"/>
        <w:spacing w:line="500" w:lineRule="exact"/>
        <w:rPr>
          <w:sz w:val="24"/>
          <w:szCs w:val="24"/>
        </w:rPr>
      </w:pPr>
      <w:r>
        <w:rPr>
          <w:rFonts w:hint="eastAsia"/>
          <w:sz w:val="24"/>
          <w:szCs w:val="24"/>
        </w:rPr>
        <w:t xml:space="preserve">38.2 </w:t>
      </w:r>
      <w:r>
        <w:rPr>
          <w:rFonts w:hint="eastAsia"/>
          <w:sz w:val="24"/>
          <w:szCs w:val="24"/>
        </w:rPr>
        <w:t xml:space="preserve">投标人提供的货物全部由小型企业、微型企业、残疾人福利性单位、监狱企业制造的，对其报价给予</w:t>
      </w:r>
      <w:r>
        <w:rPr>
          <w:rFonts w:hint="eastAsia"/>
          <w:sz w:val="24"/>
          <w:szCs w:val="24"/>
        </w:rPr>
        <w:t xml:space="preserve">10%</w:t>
      </w:r>
      <w:r>
        <w:rPr>
          <w:rFonts w:hint="eastAsia"/>
          <w:sz w:val="24"/>
          <w:szCs w:val="24"/>
        </w:rPr>
        <w:t xml:space="preserve">的扣除，用扣除后的价格参与评审。提供的货物既有小微型企业制造，也有大中型企业制造的，不享受该扶持政策。</w:t>
      </w:r>
      <w:r>
        <w:rPr>
          <w:sz w:val="24"/>
          <w:szCs w:val="24"/>
        </w:rPr>
      </w:r>
      <w:r/>
    </w:p>
    <w:p>
      <w:pPr>
        <w:pStyle w:val="963"/>
        <w:ind w:firstLine="480"/>
        <w:jc w:val="left"/>
        <w:spacing w:line="500" w:lineRule="exact"/>
        <w:rPr>
          <w:sz w:val="24"/>
          <w:szCs w:val="24"/>
        </w:rPr>
      </w:pPr>
      <w:r>
        <w:rPr>
          <w:rFonts w:hint="eastAsia"/>
          <w:sz w:val="24"/>
          <w:szCs w:val="24"/>
        </w:rPr>
        <w:t xml:space="preserve">如本项目同意联合体投标或同意分包履行合同</w:t>
      </w:r>
      <w:r>
        <w:rPr>
          <w:rFonts w:hint="eastAsia"/>
          <w:sz w:val="24"/>
          <w:szCs w:val="24"/>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rPr>
          <w:sz w:val="24"/>
          <w:szCs w:val="24"/>
        </w:rPr>
      </w:r>
      <w:r/>
    </w:p>
    <w:p>
      <w:pPr>
        <w:pStyle w:val="963"/>
        <w:ind w:firstLine="480"/>
        <w:jc w:val="left"/>
        <w:spacing w:line="500" w:lineRule="exact"/>
        <w:rPr>
          <w:sz w:val="24"/>
          <w:szCs w:val="24"/>
        </w:rPr>
      </w:pPr>
      <w:r>
        <w:rPr>
          <w:rFonts w:hint="eastAsia"/>
          <w:sz w:val="24"/>
          <w:szCs w:val="24"/>
        </w:rPr>
        <w:t xml:space="preserve">3</w:t>
      </w:r>
      <w:r>
        <w:rPr>
          <w:rFonts w:hint="eastAsia"/>
          <w:sz w:val="24"/>
          <w:szCs w:val="24"/>
        </w:rPr>
        <w:t xml:space="preserve">8</w:t>
      </w:r>
      <w:r>
        <w:rPr>
          <w:rFonts w:hint="eastAsia"/>
          <w:sz w:val="24"/>
          <w:szCs w:val="24"/>
        </w:rPr>
        <w:t xml:space="preserve">.</w:t>
      </w:r>
      <w:r>
        <w:rPr>
          <w:rFonts w:hint="eastAsia"/>
          <w:sz w:val="24"/>
          <w:szCs w:val="24"/>
        </w:rPr>
        <w:t xml:space="preserve">3 </w:t>
      </w:r>
      <w:r>
        <w:rPr>
          <w:rFonts w:hint="eastAsia"/>
          <w:sz w:val="24"/>
          <w:szCs w:val="24"/>
        </w:rPr>
        <w:t xml:space="preserve">参加</w:t>
      </w:r>
      <w:r>
        <w:rPr>
          <w:rFonts w:hint="eastAsia"/>
          <w:sz w:val="24"/>
          <w:szCs w:val="24"/>
        </w:rPr>
        <w:t xml:space="preserve">本项目</w:t>
      </w:r>
      <w:r>
        <w:rPr>
          <w:rFonts w:hint="eastAsia"/>
          <w:sz w:val="24"/>
          <w:szCs w:val="24"/>
        </w:rPr>
        <w:t xml:space="preserve">政府采购活动的供应商享受价格评审优惠的应当提供的材料： </w:t>
      </w:r>
      <w:r>
        <w:rPr>
          <w:sz w:val="24"/>
          <w:szCs w:val="24"/>
        </w:rPr>
      </w:r>
      <w:r/>
    </w:p>
    <w:p>
      <w:pPr>
        <w:pStyle w:val="963"/>
        <w:ind w:firstLine="480"/>
        <w:jc w:val="left"/>
        <w:spacing w:line="500" w:lineRule="exact"/>
        <w:rPr>
          <w:sz w:val="24"/>
          <w:szCs w:val="24"/>
        </w:rPr>
      </w:pPr>
      <w:r>
        <w:rPr>
          <w:rFonts w:hint="eastAsia"/>
          <w:sz w:val="24"/>
          <w:szCs w:val="24"/>
        </w:rPr>
        <w:t xml:space="preserve">（1）投标人提供的货物全部由小型企业、微型企业制造的，提供《</w:t>
      </w:r>
      <w:r>
        <w:rPr>
          <w:rFonts w:hint="eastAsia"/>
          <w:sz w:val="24"/>
          <w:szCs w:val="24"/>
        </w:rPr>
        <w:t xml:space="preserve">中小</w:t>
      </w:r>
      <w:r>
        <w:rPr>
          <w:rFonts w:hint="eastAsia"/>
          <w:sz w:val="24"/>
          <w:szCs w:val="24"/>
        </w:rPr>
        <w:t xml:space="preserve">企业声明函》（第</w:t>
      </w:r>
      <w:r>
        <w:rPr>
          <w:rFonts w:hint="eastAsia"/>
          <w:sz w:val="24"/>
          <w:szCs w:val="24"/>
        </w:rPr>
        <w:t xml:space="preserve">六</w:t>
      </w:r>
      <w:r>
        <w:rPr>
          <w:rFonts w:hint="eastAsia"/>
          <w:sz w:val="24"/>
          <w:szCs w:val="24"/>
        </w:rPr>
        <w:t xml:space="preserve">章 投标文件格式）。</w:t>
      </w:r>
      <w:r>
        <w:rPr>
          <w:sz w:val="24"/>
          <w:szCs w:val="24"/>
        </w:rPr>
      </w:r>
      <w:r/>
    </w:p>
    <w:p>
      <w:pPr>
        <w:pStyle w:val="963"/>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w:t>
      </w:r>
      <w:r>
        <w:rPr>
          <w:rFonts w:hint="eastAsia"/>
          <w:sz w:val="24"/>
          <w:szCs w:val="24"/>
        </w:rPr>
        <w:t xml:space="preserve">六</w:t>
      </w:r>
      <w:r>
        <w:rPr>
          <w:rFonts w:hint="eastAsia"/>
          <w:sz w:val="24"/>
          <w:szCs w:val="24"/>
        </w:rPr>
        <w:t xml:space="preserve">章 投标文件格式）的残疾人福利性单位视同小型、微型企业。</w:t>
      </w:r>
      <w:r>
        <w:rPr>
          <w:sz w:val="24"/>
          <w:szCs w:val="24"/>
        </w:rPr>
      </w:r>
      <w:r/>
    </w:p>
    <w:p>
      <w:pPr>
        <w:pStyle w:val="963"/>
        <w:ind w:firstLine="480"/>
        <w:jc w:val="left"/>
        <w:spacing w:line="500" w:lineRule="exact"/>
        <w:rPr>
          <w:sz w:val="24"/>
          <w:szCs w:val="24"/>
        </w:rPr>
      </w:pPr>
      <w:r>
        <w:rPr>
          <w:rFonts w:hint="eastAsia"/>
          <w:sz w:val="24"/>
          <w:szCs w:val="24"/>
        </w:rPr>
        <w:t xml:space="preserve">（3）符合《关于政府采购支持监狱企业发展有关问题的通知》（财库〔2014〕68</w:t>
      </w:r>
      <w:r>
        <w:rPr>
          <w:rFonts w:hint="eastAsia"/>
          <w:sz w:val="24"/>
          <w:szCs w:val="24"/>
        </w:rPr>
        <w:t xml:space="preserve">号）规定的监狱企业并提供</w:t>
      </w:r>
      <w:r>
        <w:rPr>
          <w:rFonts w:hint="eastAsia"/>
          <w:sz w:val="24"/>
          <w:szCs w:val="24"/>
        </w:rPr>
        <w:t xml:space="preserve">省级以上监狱管理局、戒毒管理局（含新疆生产建设兵团）出具的属于监狱企业证明文件的，视同小型、微型企业。</w:t>
      </w:r>
      <w:r>
        <w:rPr>
          <w:sz w:val="24"/>
          <w:szCs w:val="24"/>
        </w:rPr>
      </w:r>
      <w:r/>
    </w:p>
    <w:p>
      <w:pPr>
        <w:pStyle w:val="963"/>
        <w:ind w:firstLine="480"/>
        <w:jc w:val="left"/>
        <w:spacing w:line="500" w:lineRule="exact"/>
        <w:rPr>
          <w:sz w:val="24"/>
          <w:szCs w:val="24"/>
        </w:rPr>
      </w:pPr>
      <w:r>
        <w:rPr>
          <w:rFonts w:hint="eastAsia"/>
          <w:sz w:val="24"/>
          <w:szCs w:val="24"/>
        </w:rPr>
        <w:t xml:space="preserve">38.4 </w:t>
      </w:r>
      <w:r>
        <w:rPr>
          <w:rFonts w:hint="eastAsia"/>
          <w:sz w:val="24"/>
          <w:szCs w:val="24"/>
        </w:rPr>
        <w:t xml:space="preserve">残疾人福利单位、监狱企业属于小型、微型企业的，不重复享受政策。</w:t>
      </w:r>
      <w:r>
        <w:rPr>
          <w:sz w:val="24"/>
          <w:szCs w:val="24"/>
        </w:rPr>
      </w:r>
      <w:r/>
    </w:p>
    <w:p>
      <w:pPr>
        <w:pStyle w:val="963"/>
        <w:ind w:firstLine="480"/>
        <w:jc w:val="left"/>
        <w:spacing w:line="500" w:lineRule="exact"/>
        <w:rPr>
          <w:sz w:val="24"/>
          <w:szCs w:val="24"/>
        </w:rPr>
      </w:pPr>
      <w:r>
        <w:rPr>
          <w:rFonts w:hint="eastAsia"/>
          <w:sz w:val="24"/>
          <w:szCs w:val="24"/>
        </w:rPr>
        <w:t xml:space="preserve">38.5 </w:t>
      </w:r>
      <w:r>
        <w:rPr>
          <w:rFonts w:hint="eastAsia"/>
          <w:sz w:val="24"/>
          <w:szCs w:val="24"/>
        </w:rPr>
        <w:t xml:space="preserve">享受扶持政策获得政府采购合同的，小微</w:t>
      </w:r>
      <w:r>
        <w:rPr>
          <w:rFonts w:hint="eastAsia"/>
          <w:sz w:val="24"/>
          <w:szCs w:val="24"/>
        </w:rPr>
        <w:t xml:space="preserve">型</w:t>
      </w:r>
      <w:r>
        <w:rPr>
          <w:rFonts w:hint="eastAsia"/>
          <w:sz w:val="24"/>
          <w:szCs w:val="24"/>
        </w:rPr>
        <w:t xml:space="preserve">企业不得将合同分包给大中型企业，中型企业不得将合同分包给大型企业</w:t>
      </w:r>
      <w:r>
        <w:rPr>
          <w:rFonts w:hint="eastAsia"/>
          <w:sz w:val="24"/>
          <w:szCs w:val="24"/>
        </w:rPr>
        <w:t xml:space="preserve">。</w:t>
      </w:r>
      <w:r>
        <w:rPr>
          <w:sz w:val="24"/>
          <w:szCs w:val="24"/>
        </w:rPr>
      </w:r>
      <w:r/>
    </w:p>
    <w:p>
      <w:pPr>
        <w:pStyle w:val="966"/>
        <w:ind w:firstLine="562"/>
        <w:jc w:val="left"/>
        <w:spacing w:before="0" w:after="0" w:line="360" w:lineRule="auto"/>
        <w:rPr>
          <w:sz w:val="28"/>
          <w:szCs w:val="28"/>
        </w:rPr>
      </w:pPr>
      <w:r>
        <w:rPr>
          <w:rFonts w:hint="eastAsia"/>
          <w:sz w:val="28"/>
          <w:szCs w:val="28"/>
        </w:rPr>
        <w:t xml:space="preserve">39、支持绿色发展</w:t>
      </w:r>
      <w:r>
        <w:rPr>
          <w:sz w:val="28"/>
          <w:szCs w:val="28"/>
        </w:rPr>
      </w:r>
      <w:r/>
    </w:p>
    <w:p>
      <w:pPr>
        <w:pStyle w:val="963"/>
        <w:ind w:firstLine="480"/>
        <w:jc w:val="left"/>
        <w:spacing w:line="500" w:lineRule="exact"/>
        <w:rPr>
          <w:sz w:val="24"/>
          <w:szCs w:val="24"/>
        </w:rPr>
      </w:pPr>
      <w:r>
        <w:rPr>
          <w:rFonts w:hint="eastAsia"/>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sz w:val="24"/>
          <w:szCs w:val="24"/>
        </w:rPr>
      </w:r>
      <w:r/>
    </w:p>
    <w:p>
      <w:pPr>
        <w:pStyle w:val="963"/>
        <w:ind w:firstLine="480"/>
        <w:jc w:val="left"/>
        <w:spacing w:line="500" w:lineRule="exact"/>
        <w:rPr>
          <w:sz w:val="24"/>
          <w:szCs w:val="24"/>
        </w:rPr>
      </w:pPr>
      <w:r>
        <w:rPr>
          <w:rFonts w:hint="eastAsia"/>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sz w:val="24"/>
          <w:szCs w:val="24"/>
        </w:rPr>
      </w:r>
      <w:r/>
    </w:p>
    <w:p>
      <w:pPr>
        <w:pStyle w:val="966"/>
        <w:ind w:firstLine="562"/>
        <w:jc w:val="left"/>
        <w:spacing w:before="0" w:after="0" w:line="360" w:lineRule="auto"/>
        <w:rPr>
          <w:sz w:val="28"/>
          <w:szCs w:val="28"/>
        </w:rPr>
      </w:pPr>
      <w:r>
        <w:rPr>
          <w:rFonts w:hint="eastAsia"/>
          <w:sz w:val="28"/>
          <w:szCs w:val="28"/>
        </w:rPr>
        <w:t xml:space="preserve">40、政府采购需求标准</w:t>
      </w:r>
      <w:r>
        <w:rPr>
          <w:sz w:val="28"/>
          <w:szCs w:val="28"/>
        </w:rPr>
      </w:r>
      <w:r/>
    </w:p>
    <w:p>
      <w:pPr>
        <w:pStyle w:val="963"/>
        <w:ind w:firstLine="480"/>
        <w:jc w:val="left"/>
        <w:spacing w:line="500" w:lineRule="exact"/>
        <w:rPr>
          <w:sz w:val="24"/>
          <w:szCs w:val="24"/>
        </w:rPr>
      </w:pPr>
      <w:r>
        <w:rPr>
          <w:rFonts w:hint="eastAsia"/>
          <w:sz w:val="24"/>
          <w:szCs w:val="24"/>
        </w:rPr>
        <w:t xml:space="preserve">40.1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sz w:val="24"/>
          <w:szCs w:val="24"/>
        </w:rPr>
      </w:r>
      <w:r/>
    </w:p>
    <w:p>
      <w:pPr>
        <w:pStyle w:val="963"/>
        <w:jc w:val="left"/>
        <w:widowControl/>
        <w:rPr>
          <w:sz w:val="24"/>
          <w:szCs w:val="24"/>
        </w:rPr>
      </w:pPr>
      <w:r>
        <w:rPr>
          <w:sz w:val="24"/>
          <w:szCs w:val="24"/>
        </w:rPr>
        <w:br w:type="page" w:clear="all"/>
      </w:r>
      <w:r>
        <w:rPr>
          <w:sz w:val="24"/>
          <w:szCs w:val="24"/>
        </w:rPr>
      </w:r>
      <w:r/>
    </w:p>
    <w:p>
      <w:pPr>
        <w:pStyle w:val="964"/>
        <w:jc w:val="center"/>
        <w:spacing w:before="156" w:after="156" w:line="360" w:lineRule="auto"/>
        <w:rPr>
          <w:rFonts w:ascii="黑体" w:hAnsi="黑体" w:eastAsia="黑体"/>
          <w:b w:val="0"/>
        </w:rPr>
      </w:pPr>
      <w:r/>
      <w:bookmarkStart w:id="2" w:name="_Toc155796358"/>
      <w:r>
        <w:rPr>
          <w:rFonts w:hint="eastAsia" w:ascii="黑体" w:hAnsi="黑体" w:eastAsia="黑体"/>
          <w:b w:val="0"/>
        </w:rPr>
        <w:t xml:space="preserve">第三章  合同文本</w:t>
      </w:r>
      <w:bookmarkEnd w:id="2"/>
      <w:r>
        <w:rPr>
          <w:rFonts w:ascii="黑体" w:hAnsi="黑体" w:eastAsia="黑体"/>
          <w:b w:val="0"/>
        </w:rPr>
      </w:r>
      <w:r/>
    </w:p>
    <w:p>
      <w:pPr>
        <w:pStyle w:val="963"/>
        <w:ind w:firstLine="480"/>
        <w:jc w:val="left"/>
        <w:spacing w:line="500" w:lineRule="exact"/>
        <w:rPr>
          <w:sz w:val="24"/>
          <w:szCs w:val="24"/>
        </w:rPr>
      </w:pPr>
      <w:r>
        <w:rPr>
          <w:rFonts w:hint="eastAsia"/>
          <w:sz w:val="24"/>
          <w:szCs w:val="24"/>
        </w:rPr>
        <w:t xml:space="preserve">（备注：以下为中标后签订本项目合同的通用条款，中标人不得提出实质性的修改，签订合同时请删除本条备注。）</w:t>
      </w:r>
      <w:r>
        <w:rPr>
          <w:sz w:val="24"/>
          <w:szCs w:val="24"/>
        </w:rPr>
      </w:r>
      <w:r/>
    </w:p>
    <w:p>
      <w:pPr>
        <w:pStyle w:val="963"/>
        <w:jc w:val="left"/>
        <w:spacing w:line="500" w:lineRule="exact"/>
        <w:rPr>
          <w:sz w:val="24"/>
          <w:szCs w:val="24"/>
        </w:rPr>
      </w:pPr>
      <w:r>
        <w:rPr>
          <w:sz w:val="24"/>
          <w:szCs w:val="24"/>
        </w:rPr>
      </w:r>
      <w:r/>
    </w:p>
    <w:p>
      <w:pPr>
        <w:pStyle w:val="963"/>
        <w:jc w:val="center"/>
        <w:spacing w:line="500" w:lineRule="exact"/>
        <w:rPr>
          <w:rFonts w:ascii="黑体" w:hAnsi="黑体" w:eastAsia="黑体"/>
          <w:sz w:val="32"/>
          <w:szCs w:val="24"/>
        </w:rPr>
      </w:pPr>
      <w:r>
        <w:rPr>
          <w:rFonts w:hint="eastAsia" w:ascii="黑体" w:hAnsi="黑体" w:eastAsia="黑体"/>
          <w:sz w:val="32"/>
          <w:szCs w:val="24"/>
        </w:rPr>
        <w:t xml:space="preserve">连云港市政府采购合同（服务）</w:t>
      </w:r>
      <w:r>
        <w:rPr>
          <w:rFonts w:ascii="黑体" w:hAnsi="黑体" w:eastAsia="黑体"/>
          <w:sz w:val="32"/>
          <w:szCs w:val="24"/>
        </w:rPr>
      </w:r>
      <w:r/>
    </w:p>
    <w:p>
      <w:pPr>
        <w:pStyle w:val="963"/>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rPr>
          <w:rFonts w:ascii="黑体" w:hAnsi="黑体" w:eastAsia="黑体"/>
          <w:sz w:val="28"/>
          <w:szCs w:val="24"/>
        </w:rPr>
      </w:r>
      <w:r/>
    </w:p>
    <w:p>
      <w:pPr>
        <w:pStyle w:val="963"/>
        <w:jc w:val="left"/>
        <w:spacing w:line="500" w:lineRule="exact"/>
        <w:rPr>
          <w:sz w:val="24"/>
          <w:szCs w:val="24"/>
        </w:rPr>
      </w:pPr>
      <w:r>
        <w:rPr>
          <w:rFonts w:hint="eastAsia"/>
          <w:sz w:val="24"/>
          <w:szCs w:val="24"/>
        </w:rPr>
        <w:t xml:space="preserve">甲方：（买方）_________</w:t>
      </w:r>
      <w:r>
        <w:rPr>
          <w:sz w:val="24"/>
          <w:szCs w:val="24"/>
        </w:rPr>
      </w:r>
      <w:r/>
    </w:p>
    <w:p>
      <w:pPr>
        <w:pStyle w:val="963"/>
        <w:jc w:val="left"/>
        <w:spacing w:line="500" w:lineRule="exact"/>
        <w:rPr>
          <w:sz w:val="24"/>
          <w:szCs w:val="24"/>
        </w:rPr>
      </w:pPr>
      <w:r>
        <w:rPr>
          <w:rFonts w:hint="eastAsia"/>
          <w:sz w:val="24"/>
          <w:szCs w:val="24"/>
        </w:rPr>
        <w:t xml:space="preserve">乙方：（卖方）_________</w:t>
      </w:r>
      <w:r>
        <w:rPr>
          <w:sz w:val="24"/>
          <w:szCs w:val="24"/>
        </w:rPr>
      </w:r>
      <w:r/>
    </w:p>
    <w:p>
      <w:pPr>
        <w:pStyle w:val="963"/>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szCs w:val="24"/>
          <w:u w:val="single"/>
        </w:rPr>
        <w:t xml:space="preserve">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）公开招标的结果，签订本合同。</w:t>
      </w:r>
      <w:r>
        <w:rPr>
          <w:sz w:val="24"/>
          <w:szCs w:val="24"/>
        </w:rPr>
      </w:r>
      <w:r/>
    </w:p>
    <w:p>
      <w:pPr>
        <w:pStyle w:val="963"/>
        <w:ind w:firstLine="480"/>
        <w:jc w:val="left"/>
        <w:spacing w:line="500" w:lineRule="exact"/>
        <w:rPr>
          <w:rFonts w:ascii="黑体" w:hAnsi="黑体" w:eastAsia="黑体"/>
          <w:sz w:val="24"/>
          <w:szCs w:val="24"/>
        </w:rPr>
      </w:pPr>
      <w:r>
        <w:rPr>
          <w:rFonts w:hint="eastAsia" w:ascii="黑体" w:hAnsi="黑体" w:eastAsia="黑体"/>
          <w:sz w:val="24"/>
          <w:szCs w:val="24"/>
        </w:rPr>
        <w:t xml:space="preserve">一、合同内容</w:t>
      </w:r>
      <w:r>
        <w:rPr>
          <w:rFonts w:ascii="黑体" w:hAnsi="黑体" w:eastAsia="黑体"/>
          <w:sz w:val="24"/>
          <w:szCs w:val="24"/>
        </w:rPr>
      </w:r>
      <w:r/>
    </w:p>
    <w:p>
      <w:pPr>
        <w:pStyle w:val="963"/>
        <w:ind w:firstLine="480"/>
        <w:jc w:val="left"/>
        <w:spacing w:line="500" w:lineRule="exact"/>
        <w:rPr>
          <w:sz w:val="24"/>
          <w:szCs w:val="24"/>
        </w:rPr>
      </w:pPr>
      <w:r>
        <w:rPr>
          <w:sz w:val="24"/>
          <w:szCs w:val="24"/>
        </w:rPr>
        <w:t xml:space="preserve">1.1 服务内容：</w:t>
      </w:r>
      <w:r>
        <w:rPr>
          <w:sz w:val="24"/>
          <w:szCs w:val="24"/>
          <w:u w:val="single"/>
        </w:rPr>
        <w:t xml:space="preserve">      </w:t>
      </w:r>
      <w:r>
        <w:rPr>
          <w:sz w:val="24"/>
          <w:szCs w:val="24"/>
        </w:rPr>
        <w:t xml:space="preserve">。</w:t>
      </w:r>
      <w:r>
        <w:rPr>
          <w:sz w:val="24"/>
          <w:szCs w:val="24"/>
        </w:rPr>
      </w:r>
      <w:r/>
    </w:p>
    <w:p>
      <w:pPr>
        <w:pStyle w:val="963"/>
        <w:ind w:firstLine="480"/>
        <w:jc w:val="left"/>
        <w:spacing w:line="500" w:lineRule="exact"/>
        <w:rPr>
          <w:sz w:val="24"/>
          <w:szCs w:val="24"/>
        </w:rPr>
      </w:pPr>
      <w:r>
        <w:rPr>
          <w:sz w:val="24"/>
          <w:szCs w:val="24"/>
        </w:rPr>
        <w:t xml:space="preserve">1.2 服务要求：</w:t>
      </w:r>
      <w:r>
        <w:rPr>
          <w:sz w:val="24"/>
          <w:szCs w:val="24"/>
          <w:u w:val="single"/>
        </w:rPr>
        <w:t xml:space="preserve">      </w:t>
      </w:r>
      <w:r>
        <w:rPr>
          <w:sz w:val="24"/>
          <w:szCs w:val="24"/>
        </w:rPr>
        <w:t xml:space="preserve">。</w:t>
      </w:r>
      <w:r>
        <w:rPr>
          <w:sz w:val="24"/>
          <w:szCs w:val="24"/>
        </w:rPr>
      </w:r>
      <w:r/>
    </w:p>
    <w:p>
      <w:pPr>
        <w:pStyle w:val="963"/>
        <w:ind w:firstLine="480"/>
        <w:jc w:val="left"/>
        <w:spacing w:line="500" w:lineRule="exact"/>
        <w:rPr>
          <w:sz w:val="24"/>
          <w:szCs w:val="24"/>
        </w:rPr>
      </w:pPr>
      <w:r>
        <w:rPr>
          <w:rFonts w:hint="eastAsia"/>
          <w:sz w:val="24"/>
          <w:szCs w:val="24"/>
        </w:rPr>
        <w:t xml:space="preserve">1.3 服务标准：</w:t>
      </w:r>
      <w:r>
        <w:rPr>
          <w:sz w:val="24"/>
          <w:szCs w:val="24"/>
          <w:u w:val="single"/>
        </w:rPr>
        <w:t xml:space="preserve">      </w:t>
      </w:r>
      <w:r>
        <w:rPr>
          <w:sz w:val="24"/>
          <w:szCs w:val="24"/>
        </w:rPr>
        <w:t xml:space="preserve">。</w:t>
      </w:r>
      <w:r>
        <w:rPr>
          <w:sz w:val="24"/>
          <w:szCs w:val="24"/>
        </w:rPr>
      </w:r>
      <w:r/>
    </w:p>
    <w:p>
      <w:pPr>
        <w:pStyle w:val="963"/>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rPr>
          <w:sz w:val="24"/>
          <w:szCs w:val="24"/>
          <w:u w:val="single"/>
        </w:rPr>
        <w:t xml:space="preserve">      </w:t>
      </w:r>
      <w:r>
        <w:rPr>
          <w:sz w:val="24"/>
          <w:szCs w:val="24"/>
        </w:rPr>
        <w:t xml:space="preserve">。</w:t>
      </w:r>
      <w:r>
        <w:rPr>
          <w:sz w:val="24"/>
          <w:szCs w:val="24"/>
        </w:rPr>
      </w:r>
      <w:r/>
    </w:p>
    <w:p>
      <w:pPr>
        <w:pStyle w:val="963"/>
        <w:ind w:firstLine="480"/>
        <w:jc w:val="left"/>
        <w:spacing w:line="500" w:lineRule="exact"/>
        <w:rPr>
          <w:rFonts w:ascii="黑体" w:hAnsi="黑体" w:eastAsia="黑体"/>
          <w:sz w:val="24"/>
          <w:szCs w:val="24"/>
        </w:rPr>
      </w:pPr>
      <w:r>
        <w:rPr>
          <w:rFonts w:hint="eastAsia" w:ascii="黑体" w:hAnsi="黑体" w:eastAsia="黑体"/>
          <w:sz w:val="24"/>
          <w:szCs w:val="24"/>
        </w:rPr>
        <w:t xml:space="preserve">二、合同金额</w:t>
      </w:r>
      <w:r>
        <w:rPr>
          <w:rFonts w:ascii="黑体" w:hAnsi="黑体" w:eastAsia="黑体"/>
          <w:sz w:val="24"/>
          <w:szCs w:val="24"/>
        </w:rPr>
      </w:r>
      <w:r/>
    </w:p>
    <w:p>
      <w:pPr>
        <w:pStyle w:val="963"/>
        <w:ind w:firstLine="480"/>
        <w:jc w:val="left"/>
        <w:spacing w:line="500" w:lineRule="exact"/>
        <w:rPr>
          <w:sz w:val="24"/>
          <w:szCs w:val="24"/>
        </w:rPr>
      </w:pPr>
      <w:r>
        <w:rPr>
          <w:rFonts w:hint="eastAsia"/>
          <w:sz w:val="24"/>
          <w:szCs w:val="24"/>
        </w:rPr>
        <w:t xml:space="preserve">2.1 本合同金额为人民币（大写）：</w:t>
      </w:r>
      <w:r>
        <w:rPr>
          <w:rFonts w:hint="eastAsia"/>
          <w:sz w:val="24"/>
          <w:szCs w:val="24"/>
          <w:u w:val="single"/>
        </w:rPr>
        <w:t xml:space="preserve">     </w:t>
      </w:r>
      <w:r>
        <w:rPr>
          <w:rFonts w:hint="eastAsia"/>
          <w:sz w:val="24"/>
          <w:szCs w:val="24"/>
        </w:rPr>
        <w:t xml:space="preserve">元（¥</w:t>
      </w:r>
      <w:r>
        <w:rPr>
          <w:rFonts w:hint="eastAsia"/>
          <w:sz w:val="24"/>
          <w:szCs w:val="24"/>
          <w:u w:val="single"/>
        </w:rPr>
        <w:t xml:space="preserve">     </w:t>
      </w:r>
      <w:r>
        <w:rPr>
          <w:rFonts w:hint="eastAsia"/>
          <w:sz w:val="24"/>
          <w:szCs w:val="24"/>
        </w:rPr>
        <w:t xml:space="preserve">）。</w:t>
      </w:r>
      <w:r>
        <w:rPr>
          <w:sz w:val="24"/>
          <w:szCs w:val="24"/>
        </w:rPr>
      </w:r>
      <w:r/>
    </w:p>
    <w:p>
      <w:pPr>
        <w:pStyle w:val="963"/>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本合同价款包含所有乙方提供合同约定产品和服务的报酬及乙方提供合同约定产品和服务所支出的必要费用，甲方在上述合同价款之外不再向乙方支付其他任何费用。</w:t>
      </w:r>
      <w:r>
        <w:rPr>
          <w:sz w:val="24"/>
          <w:szCs w:val="24"/>
        </w:rPr>
      </w:r>
      <w:r/>
    </w:p>
    <w:p>
      <w:pPr>
        <w:pStyle w:val="963"/>
        <w:ind w:firstLine="480"/>
        <w:jc w:val="left"/>
        <w:spacing w:line="500" w:lineRule="exact"/>
        <w:rPr>
          <w:rFonts w:ascii="黑体" w:hAnsi="黑体" w:eastAsia="黑体"/>
          <w:sz w:val="24"/>
          <w:szCs w:val="24"/>
        </w:rPr>
      </w:pPr>
      <w:r>
        <w:rPr>
          <w:rFonts w:hint="eastAsia" w:ascii="黑体" w:hAnsi="黑体" w:eastAsia="黑体"/>
          <w:sz w:val="24"/>
          <w:szCs w:val="24"/>
        </w:rPr>
        <w:t xml:space="preserve">三、技术资料</w:t>
      </w:r>
      <w:r>
        <w:rPr>
          <w:rFonts w:ascii="黑体" w:hAnsi="黑体" w:eastAsia="黑体"/>
          <w:sz w:val="24"/>
          <w:szCs w:val="24"/>
        </w:rPr>
      </w:r>
      <w:r/>
    </w:p>
    <w:p>
      <w:pPr>
        <w:pStyle w:val="963"/>
        <w:ind w:firstLine="480"/>
        <w:jc w:val="left"/>
        <w:spacing w:line="500" w:lineRule="exact"/>
        <w:rPr>
          <w:sz w:val="24"/>
          <w:szCs w:val="24"/>
        </w:rPr>
      </w:pPr>
      <w:r>
        <w:rPr>
          <w:rFonts w:hint="eastAsia"/>
          <w:sz w:val="24"/>
          <w:szCs w:val="24"/>
        </w:rPr>
        <w:t xml:space="preserve">3.1 乙方应按招标文件规定的时间向甲方提供有关技术资料。</w:t>
      </w:r>
      <w:r>
        <w:rPr>
          <w:sz w:val="24"/>
          <w:szCs w:val="24"/>
        </w:rPr>
      </w:r>
      <w:r/>
    </w:p>
    <w:p>
      <w:pPr>
        <w:pStyle w:val="963"/>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sz w:val="24"/>
          <w:szCs w:val="24"/>
        </w:rPr>
      </w:r>
      <w:r/>
    </w:p>
    <w:p>
      <w:pPr>
        <w:pStyle w:val="963"/>
        <w:ind w:firstLine="480"/>
        <w:jc w:val="left"/>
        <w:spacing w:line="500" w:lineRule="exact"/>
        <w:rPr>
          <w:rFonts w:ascii="黑体" w:hAnsi="黑体" w:eastAsia="黑体"/>
          <w:sz w:val="24"/>
          <w:szCs w:val="24"/>
        </w:rPr>
      </w:pPr>
      <w:r>
        <w:rPr>
          <w:rFonts w:hint="eastAsia" w:ascii="黑体" w:hAnsi="黑体" w:eastAsia="黑体"/>
          <w:sz w:val="24"/>
          <w:szCs w:val="24"/>
        </w:rPr>
        <w:t xml:space="preserve">四、知识产权</w:t>
      </w:r>
      <w:r>
        <w:rPr>
          <w:rFonts w:ascii="黑体" w:hAnsi="黑体" w:eastAsia="黑体"/>
          <w:sz w:val="24"/>
          <w:szCs w:val="24"/>
        </w:rPr>
      </w:r>
      <w:r/>
    </w:p>
    <w:p>
      <w:pPr>
        <w:pStyle w:val="963"/>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rPr>
          <w:sz w:val="24"/>
          <w:szCs w:val="24"/>
        </w:rPr>
      </w:r>
      <w:r/>
    </w:p>
    <w:p>
      <w:pPr>
        <w:pStyle w:val="963"/>
        <w:ind w:firstLine="480"/>
        <w:jc w:val="left"/>
        <w:spacing w:line="500" w:lineRule="exact"/>
        <w:rPr>
          <w:sz w:val="24"/>
          <w:szCs w:val="24"/>
        </w:rPr>
      </w:pPr>
      <w:r>
        <w:rPr>
          <w:rFonts w:hint="eastAsia"/>
          <w:sz w:val="24"/>
          <w:szCs w:val="24"/>
          <w:highlight w:val="yellow"/>
        </w:rPr>
        <w:t xml:space="preserve">（备注：项目经办人应提醒采购人注意，采购项目涉及采购标的的知识产权归属、处理的，如订购、设计、定制开发的信息化建设项目等，应当约定知识产权的归属和处理方式。招标文件交采购人确认后正式发布前删除该备注）。</w:t>
      </w:r>
      <w:r>
        <w:rPr>
          <w:sz w:val="24"/>
          <w:szCs w:val="24"/>
        </w:rPr>
      </w:r>
      <w:r/>
    </w:p>
    <w:p>
      <w:pPr>
        <w:pStyle w:val="963"/>
        <w:ind w:firstLine="480"/>
        <w:jc w:val="left"/>
        <w:spacing w:line="500" w:lineRule="exact"/>
        <w:rPr>
          <w:rFonts w:ascii="黑体" w:hAnsi="黑体" w:eastAsia="黑体"/>
          <w:sz w:val="24"/>
          <w:szCs w:val="24"/>
        </w:rPr>
      </w:pPr>
      <w:r>
        <w:rPr>
          <w:rFonts w:hint="eastAsia" w:ascii="黑体" w:hAnsi="黑体" w:eastAsia="黑体"/>
          <w:sz w:val="24"/>
          <w:szCs w:val="24"/>
        </w:rPr>
        <w:t xml:space="preserve">五、产权担保</w:t>
      </w:r>
      <w:r>
        <w:rPr>
          <w:rFonts w:ascii="黑体" w:hAnsi="黑体" w:eastAsia="黑体"/>
          <w:sz w:val="24"/>
          <w:szCs w:val="24"/>
        </w:rPr>
      </w:r>
      <w:r/>
    </w:p>
    <w:p>
      <w:pPr>
        <w:pStyle w:val="963"/>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rPr>
          <w:sz w:val="24"/>
          <w:szCs w:val="24"/>
        </w:rPr>
      </w:r>
      <w:r/>
    </w:p>
    <w:p>
      <w:pPr>
        <w:pStyle w:val="963"/>
        <w:ind w:firstLine="480"/>
        <w:jc w:val="left"/>
        <w:spacing w:line="500" w:lineRule="exact"/>
        <w:rPr>
          <w:rFonts w:ascii="黑体" w:hAnsi="黑体" w:eastAsia="黑体"/>
          <w:sz w:val="24"/>
          <w:szCs w:val="24"/>
        </w:rPr>
      </w:pPr>
      <w:r>
        <w:rPr>
          <w:rFonts w:hint="eastAsia" w:ascii="黑体" w:hAnsi="黑体" w:eastAsia="黑体"/>
          <w:sz w:val="24"/>
          <w:szCs w:val="24"/>
        </w:rPr>
        <w:t xml:space="preserve">六、履约保证金</w:t>
      </w:r>
      <w:r>
        <w:rPr>
          <w:rFonts w:ascii="黑体" w:hAnsi="黑体" w:eastAsia="黑体"/>
          <w:sz w:val="24"/>
          <w:szCs w:val="24"/>
        </w:rPr>
      </w:r>
      <w:r/>
    </w:p>
    <w:p>
      <w:pPr>
        <w:pStyle w:val="963"/>
        <w:ind w:firstLine="480"/>
        <w:jc w:val="left"/>
        <w:spacing w:line="500" w:lineRule="exact"/>
        <w:rPr>
          <w:sz w:val="24"/>
          <w:szCs w:val="24"/>
        </w:rPr>
      </w:pPr>
      <w:r>
        <w:rPr>
          <w:rFonts w:hint="eastAsia"/>
          <w:sz w:val="24"/>
          <w:szCs w:val="24"/>
          <w:highlight w:val="yellow"/>
        </w:rPr>
        <w:t xml:space="preserve">收取时采用：</w:t>
      </w:r>
      <w:r>
        <w:rPr>
          <w:sz w:val="24"/>
          <w:szCs w:val="24"/>
        </w:rPr>
      </w:r>
      <w:r/>
    </w:p>
    <w:p>
      <w:pPr>
        <w:pStyle w:val="963"/>
        <w:ind w:firstLine="480"/>
        <w:jc w:val="left"/>
        <w:spacing w:line="500" w:lineRule="exact"/>
        <w:rPr>
          <w:sz w:val="24"/>
          <w:szCs w:val="24"/>
        </w:rPr>
      </w:pPr>
      <w:r>
        <w:rPr>
          <w:rFonts w:hint="eastAsia"/>
          <w:sz w:val="24"/>
          <w:szCs w:val="24"/>
        </w:rPr>
        <w:t xml:space="preserve">6.1 乙方交纳</w:t>
      </w:r>
      <w:r>
        <w:rPr>
          <w:rFonts w:hint="eastAsia"/>
          <w:sz w:val="24"/>
          <w:szCs w:val="24"/>
          <w:u w:val="single"/>
        </w:rPr>
        <w:t xml:space="preserve">     </w:t>
      </w:r>
      <w:r>
        <w:rPr>
          <w:rFonts w:hint="eastAsia"/>
          <w:sz w:val="24"/>
          <w:szCs w:val="24"/>
        </w:rPr>
        <w:t xml:space="preserve">作为本合同的履约保证金，乙方应当以支票、汇票、本票或者金融机构、担保机构出具的保函等非现金形式提交。</w:t>
      </w:r>
      <w:r>
        <w:rPr>
          <w:sz w:val="24"/>
          <w:szCs w:val="24"/>
        </w:rPr>
      </w:r>
      <w:r/>
    </w:p>
    <w:p>
      <w:pPr>
        <w:pStyle w:val="963"/>
        <w:ind w:firstLine="480"/>
        <w:jc w:val="left"/>
        <w:spacing w:line="500" w:lineRule="exact"/>
        <w:rPr>
          <w:sz w:val="24"/>
          <w:szCs w:val="24"/>
        </w:rPr>
      </w:pPr>
      <w:r>
        <w:rPr>
          <w:rFonts w:hint="eastAsia"/>
          <w:sz w:val="24"/>
          <w:szCs w:val="24"/>
        </w:rPr>
        <w:t xml:space="preserve">6.2 履约保证金在乙方主要合同义务履行完毕后五个工作日内由甲方以非现金形式一次性退还。</w:t>
      </w:r>
      <w:r>
        <w:rPr>
          <w:sz w:val="24"/>
          <w:szCs w:val="24"/>
        </w:rPr>
      </w:r>
      <w:r/>
    </w:p>
    <w:p>
      <w:pPr>
        <w:pStyle w:val="963"/>
        <w:ind w:firstLine="480"/>
        <w:jc w:val="left"/>
        <w:spacing w:line="500" w:lineRule="exact"/>
        <w:rPr>
          <w:sz w:val="24"/>
          <w:szCs w:val="24"/>
        </w:rPr>
      </w:pPr>
      <w:r>
        <w:rPr>
          <w:rFonts w:hint="eastAsia"/>
          <w:sz w:val="24"/>
          <w:szCs w:val="24"/>
        </w:rPr>
        <w:t xml:space="preserve">6.3 乙方违约的，甲方将根据违约责任条款扣除其全部或部分履约保证金。如乙方违约给甲方造成的损失超过履约保证金的，应当依法赔偿超过部分的损失。</w:t>
      </w:r>
      <w:r>
        <w:rPr>
          <w:sz w:val="24"/>
          <w:szCs w:val="24"/>
        </w:rPr>
      </w:r>
      <w:r/>
    </w:p>
    <w:p>
      <w:pPr>
        <w:pStyle w:val="963"/>
        <w:ind w:firstLine="480"/>
        <w:jc w:val="left"/>
        <w:spacing w:line="500" w:lineRule="exact"/>
        <w:rPr>
          <w:sz w:val="24"/>
          <w:szCs w:val="24"/>
        </w:rPr>
      </w:pPr>
      <w:r>
        <w:rPr>
          <w:rFonts w:hint="eastAsia"/>
          <w:sz w:val="24"/>
          <w:szCs w:val="24"/>
        </w:rPr>
        <w:t xml:space="preserve">6.4 逾期退还履约保证金的甲方承担违约责任，按照中国人民银行同期贷款基准利率支付超期资金占用费。</w:t>
      </w:r>
      <w:r>
        <w:rPr>
          <w:sz w:val="24"/>
          <w:szCs w:val="24"/>
        </w:rPr>
      </w:r>
      <w:r/>
    </w:p>
    <w:p>
      <w:pPr>
        <w:pStyle w:val="963"/>
        <w:ind w:firstLine="480"/>
        <w:jc w:val="left"/>
        <w:spacing w:line="500" w:lineRule="exact"/>
        <w:rPr>
          <w:sz w:val="24"/>
          <w:szCs w:val="24"/>
        </w:rPr>
      </w:pPr>
      <w:r>
        <w:rPr>
          <w:rFonts w:hint="eastAsia"/>
          <w:sz w:val="24"/>
          <w:szCs w:val="24"/>
          <w:highlight w:val="yellow"/>
        </w:rPr>
        <w:t xml:space="preserve">不收取时采用：</w:t>
      </w:r>
      <w:r>
        <w:rPr>
          <w:sz w:val="24"/>
          <w:szCs w:val="24"/>
        </w:rPr>
      </w:r>
      <w:r/>
    </w:p>
    <w:p>
      <w:pPr>
        <w:pStyle w:val="963"/>
        <w:ind w:firstLine="480"/>
        <w:jc w:val="left"/>
        <w:spacing w:line="500" w:lineRule="exact"/>
        <w:rPr>
          <w:sz w:val="24"/>
          <w:szCs w:val="24"/>
        </w:rPr>
      </w:pPr>
      <w:r>
        <w:rPr>
          <w:rFonts w:hint="eastAsia"/>
          <w:sz w:val="24"/>
          <w:szCs w:val="24"/>
        </w:rPr>
        <w:t xml:space="preserve">6.1 本合同不收取履约保证金。</w:t>
      </w:r>
      <w:r>
        <w:rPr>
          <w:sz w:val="24"/>
          <w:szCs w:val="24"/>
        </w:rPr>
      </w:r>
      <w:r/>
    </w:p>
    <w:p>
      <w:pPr>
        <w:pStyle w:val="963"/>
        <w:ind w:firstLine="480"/>
        <w:jc w:val="left"/>
        <w:spacing w:line="500" w:lineRule="exact"/>
        <w:rPr>
          <w:rFonts w:ascii="黑体" w:hAnsi="黑体" w:eastAsia="黑体"/>
          <w:sz w:val="24"/>
          <w:szCs w:val="24"/>
        </w:rPr>
      </w:pPr>
      <w:r>
        <w:rPr>
          <w:rFonts w:hint="eastAsia" w:ascii="黑体" w:hAnsi="黑体" w:eastAsia="黑体"/>
          <w:sz w:val="24"/>
          <w:szCs w:val="24"/>
        </w:rPr>
        <w:t xml:space="preserve">七、合同转包或分包</w:t>
      </w:r>
      <w:r>
        <w:rPr>
          <w:rFonts w:ascii="黑体" w:hAnsi="黑体" w:eastAsia="黑体"/>
          <w:sz w:val="24"/>
          <w:szCs w:val="24"/>
        </w:rPr>
      </w:r>
      <w:r/>
    </w:p>
    <w:p>
      <w:pPr>
        <w:pStyle w:val="963"/>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rPr>
          <w:sz w:val="24"/>
          <w:szCs w:val="24"/>
        </w:rPr>
      </w:r>
      <w:r/>
    </w:p>
    <w:p>
      <w:pPr>
        <w:pStyle w:val="963"/>
        <w:ind w:firstLine="480"/>
        <w:jc w:val="left"/>
        <w:spacing w:line="500" w:lineRule="exact"/>
        <w:rPr>
          <w:sz w:val="24"/>
          <w:szCs w:val="24"/>
        </w:rPr>
      </w:pPr>
      <w:r>
        <w:rPr>
          <w:rFonts w:hint="eastAsia"/>
          <w:sz w:val="24"/>
          <w:szCs w:val="24"/>
        </w:rPr>
        <w:t xml:space="preserve">7.2 如有转让和未经甲方同意的分包行为，甲方有权终止合同。</w:t>
      </w:r>
      <w:r>
        <w:rPr>
          <w:sz w:val="24"/>
          <w:szCs w:val="24"/>
        </w:rPr>
      </w:r>
      <w:r/>
    </w:p>
    <w:p>
      <w:pPr>
        <w:pStyle w:val="963"/>
        <w:ind w:firstLine="480"/>
        <w:jc w:val="left"/>
        <w:spacing w:line="500" w:lineRule="exact"/>
        <w:rPr>
          <w:rFonts w:ascii="黑体" w:hAnsi="黑体" w:eastAsia="黑体"/>
          <w:sz w:val="24"/>
          <w:szCs w:val="24"/>
        </w:rPr>
      </w:pPr>
      <w:r>
        <w:rPr>
          <w:rFonts w:hint="eastAsia" w:ascii="黑体" w:hAnsi="黑体" w:eastAsia="黑体"/>
          <w:sz w:val="24"/>
          <w:szCs w:val="24"/>
        </w:rPr>
        <w:t xml:space="preserve">八、服务时间</w:t>
      </w:r>
      <w:r>
        <w:rPr>
          <w:rFonts w:ascii="黑体" w:hAnsi="黑体" w:eastAsia="黑体"/>
          <w:sz w:val="24"/>
          <w:szCs w:val="24"/>
        </w:rPr>
      </w:r>
      <w:r/>
    </w:p>
    <w:p>
      <w:pPr>
        <w:pStyle w:val="963"/>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 xml:space="preserve">。</w:t>
      </w:r>
      <w:r>
        <w:rPr>
          <w:rFonts w:ascii="黑体" w:hAnsi="黑体" w:eastAsia="黑体"/>
          <w:sz w:val="24"/>
          <w:szCs w:val="24"/>
        </w:rPr>
      </w:r>
      <w:r/>
    </w:p>
    <w:p>
      <w:pPr>
        <w:pStyle w:val="963"/>
        <w:ind w:firstLine="480"/>
        <w:jc w:val="left"/>
        <w:spacing w:line="500" w:lineRule="exact"/>
        <w:rPr>
          <w:rFonts w:ascii="黑体" w:hAnsi="黑体" w:eastAsia="黑体"/>
          <w:sz w:val="24"/>
          <w:szCs w:val="24"/>
        </w:rPr>
      </w:pPr>
      <w:r>
        <w:rPr>
          <w:rFonts w:hint="eastAsia" w:ascii="黑体" w:hAnsi="黑体" w:eastAsia="黑体"/>
          <w:sz w:val="24"/>
          <w:szCs w:val="24"/>
        </w:rPr>
        <w:t xml:space="preserve">九、合同内容的交付</w:t>
      </w:r>
      <w:r>
        <w:rPr>
          <w:rFonts w:ascii="黑体" w:hAnsi="黑体" w:eastAsia="黑体"/>
          <w:sz w:val="24"/>
          <w:szCs w:val="24"/>
        </w:rPr>
      </w:r>
      <w:r/>
    </w:p>
    <w:p>
      <w:pPr>
        <w:pStyle w:val="963"/>
        <w:ind w:firstLine="480"/>
        <w:jc w:val="left"/>
        <w:spacing w:line="500" w:lineRule="exact"/>
        <w:rPr>
          <w:sz w:val="24"/>
          <w:szCs w:val="24"/>
        </w:rPr>
      </w:pPr>
      <w:r>
        <w:rPr>
          <w:rFonts w:hint="eastAsia"/>
          <w:sz w:val="24"/>
          <w:szCs w:val="24"/>
        </w:rPr>
        <w:t xml:space="preserve">9.1 交 付 期：_________。</w:t>
      </w:r>
      <w:r>
        <w:rPr>
          <w:sz w:val="24"/>
          <w:szCs w:val="24"/>
        </w:rPr>
      </w:r>
      <w:r/>
    </w:p>
    <w:p>
      <w:pPr>
        <w:pStyle w:val="963"/>
        <w:ind w:firstLine="480"/>
        <w:jc w:val="left"/>
        <w:spacing w:line="500" w:lineRule="exact"/>
        <w:rPr>
          <w:sz w:val="24"/>
          <w:szCs w:val="24"/>
        </w:rPr>
      </w:pPr>
      <w:r>
        <w:rPr>
          <w:rFonts w:hint="eastAsia"/>
          <w:sz w:val="24"/>
          <w:szCs w:val="24"/>
        </w:rPr>
        <w:t xml:space="preserve">9.2 交付方式：_________。</w:t>
      </w:r>
      <w:r>
        <w:rPr>
          <w:sz w:val="24"/>
          <w:szCs w:val="24"/>
        </w:rPr>
      </w:r>
      <w:r/>
    </w:p>
    <w:p>
      <w:pPr>
        <w:pStyle w:val="963"/>
        <w:ind w:firstLine="480"/>
        <w:jc w:val="left"/>
        <w:spacing w:line="500" w:lineRule="exact"/>
        <w:rPr>
          <w:sz w:val="24"/>
          <w:szCs w:val="24"/>
        </w:rPr>
      </w:pPr>
      <w:r>
        <w:rPr>
          <w:rFonts w:hint="eastAsia"/>
          <w:sz w:val="24"/>
          <w:szCs w:val="24"/>
        </w:rPr>
        <w:t xml:space="preserve">9.3 交付地点：_________。</w:t>
      </w:r>
      <w:r>
        <w:rPr>
          <w:sz w:val="24"/>
          <w:szCs w:val="24"/>
        </w:rPr>
      </w:r>
      <w:r/>
    </w:p>
    <w:p>
      <w:pPr>
        <w:pStyle w:val="963"/>
        <w:ind w:firstLine="480"/>
        <w:jc w:val="left"/>
        <w:spacing w:line="500" w:lineRule="exact"/>
        <w:rPr>
          <w:sz w:val="24"/>
          <w:szCs w:val="24"/>
        </w:rPr>
      </w:pPr>
      <w:r>
        <w:rPr>
          <w:sz w:val="24"/>
          <w:szCs w:val="24"/>
        </w:rPr>
        <w:t xml:space="preserve">9.4</w:t>
      </w:r>
      <w:r>
        <w:rPr>
          <w:rFonts w:hint="eastAsia"/>
          <w:sz w:val="24"/>
          <w:szCs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rPr>
          <w:sz w:val="24"/>
          <w:szCs w:val="24"/>
        </w:rPr>
      </w:r>
      <w:r/>
    </w:p>
    <w:p>
      <w:pPr>
        <w:pStyle w:val="963"/>
        <w:ind w:firstLine="480"/>
        <w:jc w:val="left"/>
        <w:spacing w:line="500" w:lineRule="exact"/>
        <w:rPr>
          <w:sz w:val="24"/>
          <w:szCs w:val="24"/>
        </w:rPr>
      </w:pPr>
      <w:r>
        <w:rPr>
          <w:sz w:val="24"/>
          <w:szCs w:val="24"/>
        </w:rPr>
        <w:t xml:space="preserve">9.5</w:t>
      </w:r>
      <w:r>
        <w:rPr>
          <w:rFonts w:hint="eastAsia"/>
          <w:sz w:val="24"/>
          <w:szCs w:val="24"/>
        </w:rPr>
        <w:t xml:space="preserve"> 乙方在合同标的交付甲方48小时前通知甲方准备接收。合同标的在规定的交付期限内由乙方送达甲方指定的地点视为交付，乙方同时需通知甲方已送达。</w:t>
      </w:r>
      <w:r>
        <w:rPr>
          <w:sz w:val="24"/>
          <w:szCs w:val="24"/>
        </w:rPr>
      </w:r>
      <w:r/>
    </w:p>
    <w:p>
      <w:pPr>
        <w:pStyle w:val="963"/>
        <w:ind w:firstLine="480"/>
        <w:jc w:val="left"/>
        <w:spacing w:line="500" w:lineRule="exact"/>
        <w:rPr>
          <w:rFonts w:ascii="黑体" w:hAnsi="黑体" w:eastAsia="黑体"/>
          <w:sz w:val="24"/>
          <w:szCs w:val="24"/>
        </w:rPr>
      </w:pPr>
      <w:r>
        <w:rPr>
          <w:rFonts w:hint="eastAsia" w:ascii="黑体" w:hAnsi="黑体" w:eastAsia="黑体"/>
          <w:sz w:val="24"/>
          <w:szCs w:val="24"/>
        </w:rPr>
        <w:t xml:space="preserve">十、合同款支付</w:t>
      </w:r>
      <w:r>
        <w:rPr>
          <w:rFonts w:ascii="黑体" w:hAnsi="黑体" w:eastAsia="黑体"/>
          <w:sz w:val="24"/>
          <w:szCs w:val="24"/>
        </w:rPr>
      </w:r>
      <w:r/>
    </w:p>
    <w:p>
      <w:pPr>
        <w:pStyle w:val="963"/>
        <w:ind w:firstLine="480"/>
        <w:jc w:val="left"/>
        <w:spacing w:line="500" w:lineRule="exact"/>
        <w:rPr>
          <w:sz w:val="24"/>
          <w:szCs w:val="24"/>
        </w:rPr>
      </w:pPr>
      <w:r>
        <w:rPr>
          <w:rFonts w:hint="eastAsia"/>
          <w:sz w:val="24"/>
          <w:szCs w:val="24"/>
        </w:rPr>
        <w:t xml:space="preserve">10.1 付款方式：_________。</w:t>
      </w:r>
      <w:r>
        <w:rPr>
          <w:sz w:val="24"/>
          <w:szCs w:val="24"/>
        </w:rPr>
      </w:r>
      <w:r/>
    </w:p>
    <w:p>
      <w:pPr>
        <w:pStyle w:val="963"/>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当采购数量与实际使用数量不一致时，乙方应根据实际使用量提供产品和服务，合同的最终结算金额按实际使用量乘以中标单价计算。</w:t>
      </w:r>
      <w:r>
        <w:rPr>
          <w:sz w:val="24"/>
          <w:szCs w:val="24"/>
        </w:rPr>
      </w:r>
      <w:r/>
    </w:p>
    <w:p>
      <w:pPr>
        <w:pStyle w:val="963"/>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十一、税费</w:t>
      </w:r>
      <w:r>
        <w:rPr>
          <w:rFonts w:ascii="黑体" w:hAnsi="黑体" w:eastAsia="黑体"/>
          <w:sz w:val="24"/>
          <w:szCs w:val="24"/>
        </w:rPr>
      </w:r>
      <w:r/>
    </w:p>
    <w:p>
      <w:pPr>
        <w:pStyle w:val="963"/>
        <w:ind w:firstLine="480"/>
        <w:jc w:val="left"/>
        <w:spacing w:line="500" w:lineRule="exact"/>
        <w:rPr>
          <w:sz w:val="24"/>
          <w:szCs w:val="24"/>
        </w:rPr>
      </w:pPr>
      <w:r>
        <w:rPr>
          <w:rFonts w:hint="eastAsia"/>
          <w:sz w:val="24"/>
          <w:szCs w:val="24"/>
        </w:rPr>
        <w:t xml:space="preserve">11.1 本合同执行中相关的一切税费均由乙方负担。</w:t>
      </w:r>
      <w:r>
        <w:rPr>
          <w:sz w:val="24"/>
          <w:szCs w:val="24"/>
        </w:rPr>
      </w:r>
      <w:r/>
    </w:p>
    <w:p>
      <w:pPr>
        <w:pStyle w:val="963"/>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十二、质量保证及售后服务</w:t>
      </w:r>
      <w:r>
        <w:rPr>
          <w:rFonts w:ascii="黑体" w:hAnsi="黑体" w:eastAsia="黑体"/>
          <w:sz w:val="24"/>
          <w:szCs w:val="24"/>
        </w:rPr>
      </w:r>
      <w:r/>
    </w:p>
    <w:p>
      <w:pPr>
        <w:pStyle w:val="963"/>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rPr>
          <w:sz w:val="24"/>
          <w:szCs w:val="24"/>
        </w:rPr>
      </w:r>
      <w:r/>
    </w:p>
    <w:p>
      <w:pPr>
        <w:pStyle w:val="963"/>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rPr>
          <w:sz w:val="24"/>
          <w:szCs w:val="24"/>
        </w:rPr>
      </w:r>
      <w:r/>
    </w:p>
    <w:p>
      <w:pPr>
        <w:pStyle w:val="963"/>
        <w:ind w:firstLine="480"/>
        <w:jc w:val="left"/>
        <w:spacing w:line="500" w:lineRule="exact"/>
        <w:rPr>
          <w:sz w:val="24"/>
          <w:szCs w:val="24"/>
        </w:rPr>
      </w:pPr>
      <w:r>
        <w:rPr>
          <w:rFonts w:hint="eastAsia"/>
          <w:sz w:val="24"/>
          <w:szCs w:val="24"/>
        </w:rPr>
        <w:t xml:space="preserve">（1）更换：由乙方承担所产生的全部费用。</w:t>
      </w:r>
      <w:r>
        <w:rPr>
          <w:sz w:val="24"/>
          <w:szCs w:val="24"/>
        </w:rPr>
      </w:r>
      <w:r/>
    </w:p>
    <w:p>
      <w:pPr>
        <w:pStyle w:val="963"/>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rPr>
          <w:sz w:val="24"/>
          <w:szCs w:val="24"/>
        </w:rPr>
      </w:r>
      <w:r/>
    </w:p>
    <w:p>
      <w:pPr>
        <w:pStyle w:val="963"/>
        <w:ind w:firstLine="480"/>
        <w:jc w:val="left"/>
        <w:spacing w:line="500" w:lineRule="exact"/>
        <w:rPr>
          <w:sz w:val="24"/>
          <w:szCs w:val="24"/>
        </w:rPr>
      </w:pPr>
      <w:r>
        <w:rPr>
          <w:rFonts w:hint="eastAsia"/>
          <w:sz w:val="24"/>
          <w:szCs w:val="24"/>
        </w:rPr>
        <w:t xml:space="preserve">12.3 如在使用过程中发生质量问题，乙方在接到甲方通知后</w:t>
      </w:r>
      <w:r>
        <w:rPr>
          <w:rFonts w:hint="eastAsia"/>
          <w:sz w:val="24"/>
          <w:szCs w:val="24"/>
          <w:u w:val="single"/>
        </w:rPr>
        <w:t xml:space="preserve">   </w:t>
      </w:r>
      <w:r>
        <w:rPr>
          <w:rFonts w:hint="eastAsia"/>
          <w:sz w:val="24"/>
          <w:szCs w:val="24"/>
        </w:rPr>
        <w:t xml:space="preserve">小时内到达甲方现场。</w:t>
      </w:r>
      <w:r>
        <w:rPr>
          <w:sz w:val="24"/>
          <w:szCs w:val="24"/>
        </w:rPr>
      </w:r>
      <w:r/>
    </w:p>
    <w:p>
      <w:pPr>
        <w:pStyle w:val="963"/>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rPr>
          <w:sz w:val="24"/>
          <w:szCs w:val="24"/>
        </w:rPr>
      </w:r>
      <w:r/>
    </w:p>
    <w:p>
      <w:pPr>
        <w:pStyle w:val="963"/>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十三、项目验收</w:t>
      </w:r>
      <w:r>
        <w:rPr>
          <w:rFonts w:ascii="黑体" w:hAnsi="黑体" w:eastAsia="黑体"/>
          <w:sz w:val="24"/>
          <w:szCs w:val="24"/>
        </w:rPr>
      </w:r>
      <w:r/>
    </w:p>
    <w:p>
      <w:pPr>
        <w:pStyle w:val="963"/>
        <w:ind w:firstLine="480"/>
        <w:jc w:val="left"/>
        <w:spacing w:line="500" w:lineRule="exact"/>
        <w:rPr>
          <w:sz w:val="24"/>
          <w:szCs w:val="24"/>
        </w:rPr>
      </w:pPr>
      <w:r>
        <w:rPr>
          <w:rFonts w:hint="eastAsia"/>
          <w:sz w:val="24"/>
          <w:szCs w:val="24"/>
        </w:rPr>
        <w:t xml:space="preserve">13.1 甲方依法组织履约验收工作。</w:t>
      </w:r>
      <w:r>
        <w:rPr>
          <w:sz w:val="24"/>
          <w:szCs w:val="24"/>
        </w:rPr>
      </w:r>
      <w:r/>
    </w:p>
    <w:p>
      <w:pPr>
        <w:pStyle w:val="963"/>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sz w:val="24"/>
          <w:szCs w:val="24"/>
        </w:rPr>
      </w:r>
      <w:r/>
    </w:p>
    <w:p>
      <w:pPr>
        <w:pStyle w:val="963"/>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rPr>
          <w:sz w:val="24"/>
          <w:szCs w:val="24"/>
        </w:rPr>
      </w:r>
      <w:r/>
    </w:p>
    <w:p>
      <w:pPr>
        <w:pStyle w:val="963"/>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rPr>
          <w:sz w:val="24"/>
          <w:szCs w:val="24"/>
        </w:rPr>
      </w:r>
      <w:r/>
    </w:p>
    <w:p>
      <w:pPr>
        <w:pStyle w:val="963"/>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sz w:val="24"/>
          <w:szCs w:val="24"/>
        </w:rPr>
      </w:r>
      <w:r/>
    </w:p>
    <w:p>
      <w:pPr>
        <w:pStyle w:val="963"/>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 xml:space="preserve">中华人民共和国民法典</w:t>
      </w:r>
      <w:r>
        <w:rPr>
          <w:rFonts w:hint="eastAsia"/>
          <w:sz w:val="24"/>
          <w:szCs w:val="24"/>
        </w:rPr>
        <w:t xml:space="preserve">》。乙方在履约过程中有政府采购法律法规规定的违法违规情形的，甲方将及时报告本级财政部门。</w:t>
      </w:r>
      <w:r>
        <w:rPr>
          <w:sz w:val="24"/>
          <w:szCs w:val="24"/>
        </w:rPr>
      </w:r>
      <w:r/>
    </w:p>
    <w:p>
      <w:pPr>
        <w:pStyle w:val="963"/>
        <w:ind w:firstLine="480"/>
        <w:jc w:val="left"/>
        <w:spacing w:line="500" w:lineRule="exact"/>
        <w:rPr>
          <w:rFonts w:ascii="黑体" w:hAnsi="黑体" w:eastAsia="黑体"/>
          <w:sz w:val="24"/>
          <w:szCs w:val="24"/>
        </w:rPr>
      </w:pPr>
      <w:r>
        <w:rPr>
          <w:rFonts w:hint="eastAsia" w:ascii="黑体" w:hAnsi="黑体" w:eastAsia="黑体"/>
          <w:sz w:val="24"/>
          <w:szCs w:val="24"/>
        </w:rPr>
        <w:t xml:space="preserve">十四、违约责任</w:t>
      </w:r>
      <w:r>
        <w:rPr>
          <w:rFonts w:ascii="黑体" w:hAnsi="黑体" w:eastAsia="黑体"/>
          <w:sz w:val="24"/>
          <w:szCs w:val="24"/>
        </w:rPr>
      </w:r>
      <w:r/>
    </w:p>
    <w:p>
      <w:pPr>
        <w:pStyle w:val="963"/>
        <w:ind w:firstLine="480"/>
        <w:jc w:val="left"/>
        <w:spacing w:line="500" w:lineRule="exact"/>
        <w:rPr>
          <w:sz w:val="24"/>
          <w:szCs w:val="24"/>
        </w:rPr>
      </w:pPr>
      <w:r>
        <w:rPr>
          <w:rFonts w:hint="eastAsia"/>
          <w:sz w:val="24"/>
          <w:szCs w:val="24"/>
        </w:rPr>
        <w:t xml:space="preserve">14.1 甲方无正当理由拒收的，甲方向乙方偿付拒收标的总额</w:t>
      </w:r>
      <w:r>
        <w:rPr>
          <w:rFonts w:hint="eastAsia"/>
          <w:sz w:val="24"/>
          <w:szCs w:val="24"/>
          <w:u w:val="single"/>
        </w:rPr>
        <w:t xml:space="preserve">       </w:t>
      </w:r>
      <w:r>
        <w:rPr>
          <w:rFonts w:hint="eastAsia"/>
          <w:sz w:val="24"/>
          <w:szCs w:val="24"/>
        </w:rPr>
        <w:t xml:space="preserve">的违约金。</w:t>
      </w:r>
      <w:r>
        <w:rPr>
          <w:sz w:val="24"/>
          <w:szCs w:val="24"/>
        </w:rPr>
      </w:r>
      <w:r/>
    </w:p>
    <w:p>
      <w:pPr>
        <w:pStyle w:val="963"/>
        <w:ind w:firstLine="480"/>
        <w:jc w:val="left"/>
        <w:spacing w:line="500" w:lineRule="exact"/>
        <w:rPr>
          <w:sz w:val="24"/>
          <w:szCs w:val="24"/>
        </w:rPr>
      </w:pPr>
      <w:r>
        <w:rPr>
          <w:rFonts w:hint="eastAsia"/>
          <w:sz w:val="24"/>
          <w:szCs w:val="24"/>
        </w:rPr>
        <w:t xml:space="preserve">14.2 甲方无故逾期验收和办理合同款支付手续的，甲方应按逾期付款总额每日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w:t>
      </w:r>
      <w:r>
        <w:rPr>
          <w:sz w:val="24"/>
          <w:szCs w:val="24"/>
        </w:rPr>
      </w:r>
      <w:r/>
    </w:p>
    <w:p>
      <w:pPr>
        <w:pStyle w:val="963"/>
        <w:ind w:firstLine="480"/>
        <w:jc w:val="left"/>
        <w:spacing w:line="500" w:lineRule="exact"/>
        <w:rPr>
          <w:sz w:val="24"/>
          <w:szCs w:val="24"/>
        </w:rPr>
      </w:pPr>
      <w:r>
        <w:rPr>
          <w:rFonts w:hint="eastAsia"/>
          <w:sz w:val="24"/>
          <w:szCs w:val="24"/>
        </w:rPr>
        <w:t xml:space="preserve">14.3 乙方逾期交付合同标的的，乙方应按逾期交付总额每日</w:t>
      </w:r>
      <w:r>
        <w:rPr>
          <w:rFonts w:hint="eastAsia"/>
          <w:sz w:val="24"/>
          <w:szCs w:val="24"/>
          <w:u w:val="single"/>
        </w:rPr>
        <w:t xml:space="preserve">       </w:t>
      </w:r>
      <w:r>
        <w:rPr>
          <w:rFonts w:hint="eastAsia"/>
          <w:sz w:val="24"/>
          <w:szCs w:val="24"/>
        </w:rPr>
        <w:t xml:space="preserve">向甲方支付违约金，由甲方从待付合同款中扣除，</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。逾期超过约定日期</w:t>
      </w:r>
      <w:r>
        <w:rPr>
          <w:rFonts w:hint="eastAsia"/>
          <w:sz w:val="24"/>
          <w:szCs w:val="24"/>
          <w:u w:val="single"/>
        </w:rPr>
        <w:t xml:space="preserve">       </w:t>
      </w:r>
      <w:r>
        <w:rPr>
          <w:rFonts w:hint="eastAsia"/>
          <w:sz w:val="24"/>
          <w:szCs w:val="24"/>
        </w:rPr>
        <w:t xml:space="preserve">不能交付的，甲方可解除本合同。乙方因逾期交付或因其他违约行为导致甲方解除合同的，乙方应向甲方支付合同总额</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r>
        <w:rPr>
          <w:sz w:val="24"/>
          <w:szCs w:val="24"/>
        </w:rPr>
      </w:r>
      <w:r/>
    </w:p>
    <w:p>
      <w:pPr>
        <w:pStyle w:val="963"/>
        <w:ind w:firstLine="480"/>
        <w:jc w:val="left"/>
        <w:spacing w:line="500" w:lineRule="exact"/>
        <w:rPr>
          <w:sz w:val="24"/>
          <w:szCs w:val="24"/>
        </w:rPr>
      </w:pPr>
      <w:r>
        <w:rPr>
          <w:rFonts w:hint="eastAsia"/>
          <w:sz w:val="24"/>
          <w:szCs w:val="24"/>
        </w:rPr>
        <w:t xml:space="preserve">14.4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rPr>
          <w:sz w:val="24"/>
          <w:szCs w:val="24"/>
        </w:rPr>
      </w:r>
      <w:r/>
    </w:p>
    <w:p>
      <w:pPr>
        <w:pStyle w:val="963"/>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十五、不可抗力事件处理</w:t>
      </w:r>
      <w:r>
        <w:rPr>
          <w:rFonts w:ascii="黑体" w:hAnsi="黑体" w:eastAsia="黑体"/>
          <w:sz w:val="24"/>
          <w:szCs w:val="24"/>
        </w:rPr>
      </w:r>
      <w:r/>
    </w:p>
    <w:p>
      <w:pPr>
        <w:pStyle w:val="963"/>
        <w:ind w:firstLine="480"/>
        <w:jc w:val="left"/>
        <w:spacing w:line="500" w:lineRule="exact"/>
        <w:rPr>
          <w:sz w:val="24"/>
          <w:szCs w:val="24"/>
        </w:rPr>
      </w:pPr>
      <w:r>
        <w:rPr>
          <w:rFonts w:hint="eastAsia"/>
          <w:sz w:val="24"/>
          <w:szCs w:val="24"/>
        </w:rPr>
        <w:t xml:space="preserve">15.1 在合同有效期内，任何一方因不可抗力事件导致不能履行合同的，则合同履行期可延长，其延长期与不可抗力影响期相同。</w:t>
      </w:r>
      <w:r>
        <w:rPr>
          <w:sz w:val="24"/>
          <w:szCs w:val="24"/>
        </w:rPr>
      </w:r>
      <w:r/>
    </w:p>
    <w:p>
      <w:pPr>
        <w:pStyle w:val="963"/>
        <w:ind w:firstLine="480"/>
        <w:jc w:val="left"/>
        <w:spacing w:line="500" w:lineRule="exact"/>
        <w:rPr>
          <w:sz w:val="24"/>
          <w:szCs w:val="24"/>
        </w:rPr>
      </w:pPr>
      <w:r>
        <w:rPr>
          <w:rFonts w:hint="eastAsia"/>
          <w:sz w:val="24"/>
          <w:szCs w:val="24"/>
        </w:rPr>
        <w:t xml:space="preserve">15.2 不可抗力事件发生后，应立即通知对方，并寄送有关权威机构出具的证明。</w:t>
      </w:r>
      <w:r>
        <w:rPr>
          <w:sz w:val="24"/>
          <w:szCs w:val="24"/>
        </w:rPr>
      </w:r>
      <w:r/>
    </w:p>
    <w:p>
      <w:pPr>
        <w:pStyle w:val="963"/>
        <w:ind w:firstLine="480"/>
        <w:jc w:val="left"/>
        <w:spacing w:line="500" w:lineRule="exact"/>
        <w:rPr>
          <w:sz w:val="24"/>
          <w:szCs w:val="24"/>
        </w:rPr>
      </w:pPr>
      <w:r>
        <w:rPr>
          <w:rFonts w:hint="eastAsia"/>
          <w:sz w:val="24"/>
          <w:szCs w:val="24"/>
        </w:rPr>
        <w:t xml:space="preserve">15.3 不可抗力事件延续120天以上，双方应通过友好协商，确定是否继续履行合同。</w:t>
      </w:r>
      <w:r>
        <w:rPr>
          <w:sz w:val="24"/>
          <w:szCs w:val="24"/>
        </w:rPr>
      </w:r>
      <w:r/>
    </w:p>
    <w:p>
      <w:pPr>
        <w:pStyle w:val="963"/>
        <w:ind w:firstLine="480"/>
        <w:jc w:val="left"/>
        <w:spacing w:line="500" w:lineRule="exact"/>
        <w:rPr>
          <w:rFonts w:ascii="黑体" w:hAnsi="黑体" w:eastAsia="黑体"/>
          <w:sz w:val="24"/>
          <w:szCs w:val="24"/>
        </w:rPr>
      </w:pPr>
      <w:r>
        <w:rPr>
          <w:rFonts w:hint="eastAsia" w:ascii="黑体" w:hAnsi="黑体" w:eastAsia="黑体"/>
          <w:sz w:val="24"/>
          <w:szCs w:val="24"/>
        </w:rPr>
        <w:t xml:space="preserve">十六、解决争议的方法</w:t>
      </w:r>
      <w:r>
        <w:rPr>
          <w:rFonts w:ascii="黑体" w:hAnsi="黑体" w:eastAsia="黑体"/>
          <w:sz w:val="24"/>
          <w:szCs w:val="24"/>
        </w:rPr>
      </w:r>
      <w:r/>
    </w:p>
    <w:p>
      <w:pPr>
        <w:pStyle w:val="963"/>
        <w:ind w:firstLine="480"/>
        <w:jc w:val="left"/>
        <w:spacing w:line="500" w:lineRule="exact"/>
        <w:rPr>
          <w:sz w:val="24"/>
          <w:szCs w:val="24"/>
        </w:rPr>
      </w:pPr>
      <w:r>
        <w:rPr>
          <w:rFonts w:hint="eastAsia"/>
          <w:sz w:val="24"/>
          <w:szCs w:val="24"/>
        </w:rPr>
        <w:t xml:space="preserve">16.1 甲乙双方因合同签订、履行而发生的一切争议，应通过友好协商解决。如协商不成，按下列第</w:t>
      </w:r>
      <w:r>
        <w:rPr>
          <w:rFonts w:hint="eastAsia"/>
          <w:sz w:val="24"/>
          <w:szCs w:val="24"/>
          <w:u w:val="single"/>
        </w:rPr>
        <w:t xml:space="preserve">（1）</w:t>
      </w:r>
      <w:r>
        <w:rPr>
          <w:rFonts w:hint="eastAsia"/>
          <w:sz w:val="24"/>
          <w:szCs w:val="24"/>
        </w:rPr>
        <w:t xml:space="preserve">种方式解决：</w:t>
      </w:r>
      <w:r>
        <w:rPr>
          <w:sz w:val="24"/>
          <w:szCs w:val="24"/>
        </w:rPr>
      </w:r>
      <w:r/>
    </w:p>
    <w:p>
      <w:pPr>
        <w:pStyle w:val="963"/>
        <w:ind w:firstLine="480"/>
        <w:jc w:val="left"/>
        <w:spacing w:line="500" w:lineRule="exact"/>
        <w:rPr>
          <w:sz w:val="24"/>
          <w:szCs w:val="24"/>
        </w:rPr>
      </w:pPr>
      <w:r>
        <w:rPr>
          <w:rFonts w:hint="eastAsia"/>
          <w:sz w:val="24"/>
          <w:szCs w:val="24"/>
        </w:rPr>
        <w:t xml:space="preserve">（1）向连云港仲裁委员会申请仲裁。</w:t>
      </w:r>
      <w:r>
        <w:rPr>
          <w:sz w:val="24"/>
          <w:szCs w:val="24"/>
        </w:rPr>
      </w:r>
      <w:r/>
    </w:p>
    <w:p>
      <w:pPr>
        <w:pStyle w:val="963"/>
        <w:ind w:firstLine="480"/>
        <w:jc w:val="left"/>
        <w:spacing w:line="500" w:lineRule="exact"/>
        <w:rPr>
          <w:sz w:val="24"/>
          <w:szCs w:val="24"/>
        </w:rPr>
      </w:pPr>
      <w:r>
        <w:rPr>
          <w:rFonts w:hint="eastAsia"/>
          <w:sz w:val="24"/>
          <w:szCs w:val="24"/>
        </w:rPr>
        <w:t xml:space="preserve">（2）向合同签订地法院起诉，合同签订地在此约定为连云港市。</w:t>
      </w:r>
      <w:r>
        <w:rPr>
          <w:sz w:val="24"/>
          <w:szCs w:val="24"/>
        </w:rPr>
      </w:r>
      <w:r/>
    </w:p>
    <w:p>
      <w:pPr>
        <w:pStyle w:val="963"/>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十七、合同生效及其他</w:t>
      </w:r>
      <w:r>
        <w:rPr>
          <w:rFonts w:ascii="黑体" w:hAnsi="黑体" w:eastAsia="黑体"/>
          <w:sz w:val="24"/>
          <w:szCs w:val="24"/>
        </w:rPr>
      </w:r>
      <w:r/>
    </w:p>
    <w:p>
      <w:pPr>
        <w:pStyle w:val="963"/>
        <w:ind w:firstLine="480"/>
        <w:jc w:val="left"/>
        <w:spacing w:line="500" w:lineRule="exact"/>
        <w:rPr>
          <w:sz w:val="24"/>
          <w:szCs w:val="24"/>
        </w:rPr>
      </w:pPr>
      <w:r>
        <w:rPr>
          <w:rFonts w:hint="eastAsia"/>
          <w:sz w:val="24"/>
          <w:szCs w:val="24"/>
        </w:rPr>
        <w:t xml:space="preserve">17.1 合同经双方法定代表人或授权代表签字并加盖单位公章后生效。</w:t>
      </w:r>
      <w:r>
        <w:rPr>
          <w:sz w:val="24"/>
          <w:szCs w:val="24"/>
        </w:rPr>
      </w:r>
      <w:r/>
    </w:p>
    <w:p>
      <w:pPr>
        <w:pStyle w:val="963"/>
        <w:ind w:firstLine="480"/>
        <w:jc w:val="left"/>
        <w:spacing w:line="500" w:lineRule="exact"/>
        <w:rPr>
          <w:sz w:val="24"/>
          <w:szCs w:val="24"/>
        </w:rPr>
      </w:pPr>
      <w:r>
        <w:rPr>
          <w:rFonts w:hint="eastAsia"/>
          <w:sz w:val="24"/>
          <w:szCs w:val="24"/>
        </w:rPr>
        <w:t xml:space="preserve">17.2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rPr>
          <w:sz w:val="24"/>
          <w:szCs w:val="24"/>
        </w:rPr>
      </w:r>
      <w:r/>
    </w:p>
    <w:p>
      <w:pPr>
        <w:pStyle w:val="963"/>
        <w:ind w:firstLine="480"/>
        <w:jc w:val="left"/>
        <w:spacing w:line="500" w:lineRule="exact"/>
        <w:rPr>
          <w:sz w:val="24"/>
          <w:szCs w:val="24"/>
        </w:rPr>
      </w:pPr>
      <w:r>
        <w:rPr>
          <w:rFonts w:hint="eastAsia"/>
          <w:sz w:val="24"/>
          <w:szCs w:val="24"/>
        </w:rPr>
        <w:t xml:space="preserve">17.3 本合同正本一式四份，具有同等法律效力，甲方执二份、乙方执一份，甲方报一份至政府采购监督管理部门。</w:t>
      </w:r>
      <w:r>
        <w:rPr>
          <w:sz w:val="24"/>
          <w:szCs w:val="24"/>
        </w:rPr>
      </w:r>
      <w:r/>
    </w:p>
    <w:p>
      <w:pPr>
        <w:pStyle w:val="963"/>
        <w:ind w:firstLine="480"/>
        <w:jc w:val="left"/>
        <w:spacing w:line="500" w:lineRule="exact"/>
        <w:rPr>
          <w:sz w:val="24"/>
          <w:szCs w:val="24"/>
        </w:rPr>
      </w:pPr>
      <w:r>
        <w:rPr>
          <w:sz w:val="24"/>
          <w:szCs w:val="24"/>
        </w:rPr>
      </w:r>
      <w:r/>
    </w:p>
    <w:p>
      <w:pPr>
        <w:pStyle w:val="963"/>
        <w:ind w:firstLine="480"/>
        <w:jc w:val="left"/>
        <w:spacing w:line="500" w:lineRule="exact"/>
        <w:rPr>
          <w:sz w:val="24"/>
          <w:szCs w:val="24"/>
        </w:rPr>
      </w:pPr>
      <w:r>
        <w:rPr>
          <w:sz w:val="24"/>
          <w:szCs w:val="24"/>
        </w:rPr>
      </w:r>
      <w:r/>
    </w:p>
    <w:p>
      <w:pPr>
        <w:pStyle w:val="963"/>
        <w:ind w:firstLine="480"/>
        <w:jc w:val="left"/>
        <w:spacing w:line="500" w:lineRule="exact"/>
        <w:rPr>
          <w:sz w:val="24"/>
          <w:szCs w:val="24"/>
        </w:rPr>
      </w:pPr>
      <w:r>
        <w:rPr>
          <w:rFonts w:hint="eastAsia"/>
          <w:sz w:val="24"/>
          <w:szCs w:val="24"/>
        </w:rPr>
        <w:t xml:space="preserve">甲方：                        乙方： </w:t>
      </w:r>
      <w:r>
        <w:rPr>
          <w:sz w:val="24"/>
          <w:szCs w:val="24"/>
        </w:rPr>
      </w:r>
      <w:r/>
    </w:p>
    <w:p>
      <w:pPr>
        <w:pStyle w:val="963"/>
        <w:ind w:firstLine="480"/>
        <w:jc w:val="left"/>
        <w:spacing w:line="500" w:lineRule="exact"/>
        <w:rPr>
          <w:sz w:val="24"/>
          <w:szCs w:val="24"/>
        </w:rPr>
      </w:pPr>
      <w:r>
        <w:rPr>
          <w:rFonts w:hint="eastAsia"/>
          <w:sz w:val="24"/>
          <w:szCs w:val="24"/>
        </w:rPr>
        <w:t xml:space="preserve">地址：                        地址： </w:t>
      </w:r>
      <w:r>
        <w:rPr>
          <w:sz w:val="24"/>
          <w:szCs w:val="24"/>
        </w:rPr>
      </w:r>
      <w:r/>
    </w:p>
    <w:p>
      <w:pPr>
        <w:pStyle w:val="963"/>
        <w:ind w:firstLine="480"/>
        <w:jc w:val="left"/>
        <w:spacing w:line="500" w:lineRule="exact"/>
        <w:rPr>
          <w:sz w:val="24"/>
          <w:szCs w:val="24"/>
        </w:rPr>
      </w:pPr>
      <w:r>
        <w:rPr>
          <w:rFonts w:hint="eastAsia"/>
          <w:sz w:val="24"/>
          <w:szCs w:val="24"/>
        </w:rPr>
        <w:t xml:space="preserve">法定代表人或授权代表：        法定代表人或授权代表：</w:t>
      </w:r>
      <w:r>
        <w:rPr>
          <w:sz w:val="24"/>
          <w:szCs w:val="24"/>
        </w:rPr>
      </w:r>
      <w:r/>
    </w:p>
    <w:p>
      <w:pPr>
        <w:pStyle w:val="963"/>
        <w:ind w:firstLine="480"/>
        <w:jc w:val="left"/>
        <w:spacing w:line="500" w:lineRule="exact"/>
        <w:rPr>
          <w:sz w:val="24"/>
          <w:szCs w:val="24"/>
        </w:rPr>
      </w:pPr>
      <w:r>
        <w:rPr>
          <w:rFonts w:hint="eastAsia"/>
          <w:sz w:val="24"/>
          <w:szCs w:val="24"/>
        </w:rPr>
        <w:t xml:space="preserve">联系电话：                    联系电话：     </w:t>
      </w:r>
      <w:r>
        <w:rPr>
          <w:sz w:val="24"/>
          <w:szCs w:val="24"/>
        </w:rPr>
      </w:r>
      <w:r/>
    </w:p>
    <w:p>
      <w:pPr>
        <w:pStyle w:val="963"/>
        <w:ind w:firstLine="480"/>
        <w:jc w:val="left"/>
        <w:spacing w:line="500" w:lineRule="exact"/>
        <w:rPr>
          <w:sz w:val="24"/>
          <w:szCs w:val="24"/>
        </w:rPr>
      </w:pPr>
      <w:r>
        <w:rPr>
          <w:rFonts w:hint="eastAsia"/>
          <w:sz w:val="24"/>
          <w:szCs w:val="24"/>
        </w:rPr>
        <w:t xml:space="preserve">                                     </w:t>
      </w:r>
      <w:r>
        <w:rPr>
          <w:sz w:val="24"/>
          <w:szCs w:val="24"/>
        </w:rPr>
      </w:r>
      <w:r/>
    </w:p>
    <w:p>
      <w:pPr>
        <w:pStyle w:val="963"/>
        <w:ind w:firstLine="480"/>
        <w:jc w:val="right"/>
        <w:spacing w:line="500" w:lineRule="exact"/>
        <w:rPr>
          <w:sz w:val="24"/>
          <w:szCs w:val="24"/>
        </w:rPr>
      </w:pPr>
      <w:r>
        <w:rPr>
          <w:rFonts w:hint="eastAsia"/>
          <w:sz w:val="24"/>
          <w:szCs w:val="24"/>
        </w:rPr>
        <w:t xml:space="preserve">签订日期：       年    月    日</w:t>
      </w:r>
      <w:r>
        <w:rPr>
          <w:sz w:val="24"/>
          <w:szCs w:val="24"/>
        </w:rPr>
      </w:r>
      <w:r/>
    </w:p>
    <w:p>
      <w:pPr>
        <w:pStyle w:val="963"/>
        <w:jc w:val="left"/>
        <w:widowControl/>
        <w:rPr>
          <w:sz w:val="24"/>
          <w:szCs w:val="24"/>
        </w:rPr>
      </w:pPr>
      <w:r>
        <w:rPr>
          <w:sz w:val="24"/>
          <w:szCs w:val="24"/>
        </w:rPr>
        <w:br w:type="page" w:clear="all"/>
      </w:r>
      <w:r>
        <w:rPr>
          <w:sz w:val="24"/>
          <w:szCs w:val="24"/>
        </w:rPr>
      </w:r>
      <w:r/>
    </w:p>
    <w:p>
      <w:pPr>
        <w:pStyle w:val="964"/>
        <w:jc w:val="center"/>
        <w:spacing w:before="156" w:after="156" w:line="360" w:lineRule="auto"/>
        <w:rPr>
          <w:rFonts w:ascii="黑体" w:hAnsi="黑体" w:eastAsia="黑体"/>
          <w:b w:val="0"/>
        </w:rPr>
      </w:pPr>
      <w:r/>
      <w:bookmarkStart w:id="3" w:name="_Toc155796359"/>
      <w:r>
        <w:rPr>
          <w:rFonts w:hint="eastAsia" w:ascii="黑体" w:hAnsi="黑体" w:eastAsia="黑体"/>
          <w:b w:val="0"/>
        </w:rPr>
        <w:t xml:space="preserve">第四章  采购需求</w:t>
      </w:r>
      <w:bookmarkEnd w:id="3"/>
      <w:r>
        <w:rPr>
          <w:rFonts w:ascii="黑体" w:hAnsi="黑体" w:eastAsia="黑体"/>
          <w:b w:val="0"/>
        </w:rPr>
      </w:r>
      <w:r/>
    </w:p>
    <w:p>
      <w:pPr>
        <w:pStyle w:val="963"/>
        <w:ind w:firstLine="480"/>
        <w:jc w:val="left"/>
        <w:spacing w:line="500" w:lineRule="exact"/>
        <w:rPr>
          <w:sz w:val="24"/>
          <w:szCs w:val="24"/>
        </w:rPr>
      </w:pPr>
      <w:r>
        <w:rPr>
          <w:rFonts w:hint="eastAsia"/>
          <w:sz w:val="24"/>
          <w:szCs w:val="24"/>
        </w:rPr>
        <w:t xml:space="preserve">说明：本项目属性为</w:t>
      </w:r>
      <w:r>
        <w:rPr>
          <w:rFonts w:hint="eastAsia"/>
          <w:b/>
          <w:sz w:val="24"/>
          <w:szCs w:val="24"/>
        </w:rPr>
        <w:t xml:space="preserve">服务</w:t>
      </w:r>
      <w:r>
        <w:rPr>
          <w:rFonts w:hint="eastAsia"/>
          <w:sz w:val="24"/>
          <w:szCs w:val="24"/>
        </w:rPr>
        <w:t xml:space="preserve">，采购标的对应的中小企业划分标准所属行业为：其他未列明行业。</w:t>
      </w:r>
      <w:r>
        <w:rPr>
          <w:sz w:val="24"/>
          <w:szCs w:val="24"/>
        </w:rPr>
      </w:r>
      <w:r/>
    </w:p>
    <w:p>
      <w:pPr>
        <w:pStyle w:val="963"/>
        <w:ind w:firstLine="480"/>
        <w:jc w:val="left"/>
        <w:spacing w:line="500" w:lineRule="exact"/>
        <w:rPr>
          <w:sz w:val="24"/>
          <w:szCs w:val="24"/>
        </w:rPr>
      </w:pPr>
      <w:r>
        <w:rPr>
          <w:rFonts w:hint="eastAsia"/>
          <w:sz w:val="24"/>
          <w:szCs w:val="24"/>
        </w:rPr>
        <w:t xml:space="preserve">1、根据《政府采购需求管理办法》等有关规定，采购人确定采购需求。</w:t>
      </w:r>
      <w:r>
        <w:rPr>
          <w:sz w:val="24"/>
          <w:szCs w:val="24"/>
        </w:rPr>
      </w:r>
      <w:r/>
    </w:p>
    <w:p>
      <w:pPr>
        <w:pStyle w:val="963"/>
        <w:ind w:firstLine="480"/>
        <w:jc w:val="left"/>
        <w:spacing w:line="500" w:lineRule="exact"/>
        <w:rPr>
          <w:sz w:val="24"/>
          <w:szCs w:val="24"/>
        </w:rPr>
      </w:pPr>
      <w:r>
        <w:rPr>
          <w:rFonts w:hint="eastAsia"/>
          <w:sz w:val="24"/>
          <w:szCs w:val="24"/>
        </w:rPr>
        <w:t xml:space="preserve">2、</w:t>
      </w:r>
      <w:r>
        <w:rPr>
          <w:rFonts w:hint="eastAsia"/>
          <w:b/>
          <w:sz w:val="24"/>
          <w:szCs w:val="24"/>
        </w:rPr>
        <w:t xml:space="preserve">本招标文件中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rPr>
          <w:sz w:val="24"/>
          <w:szCs w:val="24"/>
        </w:rPr>
      </w:r>
      <w:r/>
    </w:p>
    <w:p>
      <w:pPr>
        <w:pStyle w:val="963"/>
        <w:ind w:firstLine="562"/>
        <w:spacing w:line="360" w:lineRule="auto"/>
        <w:rPr>
          <w:rFonts w:ascii="Times New Roman" w:hAnsi="Times New Roman"/>
          <w:b/>
          <w:sz w:val="28"/>
          <w:szCs w:val="28"/>
        </w:rPr>
      </w:pPr>
      <w:r>
        <w:rPr>
          <w:rFonts w:hint="eastAsia" w:ascii="Times New Roman" w:hAnsi="Times New Roman"/>
          <w:b/>
          <w:sz w:val="28"/>
          <w:szCs w:val="28"/>
        </w:rPr>
        <w:t xml:space="preserve">一、项目概况</w:t>
      </w:r>
      <w:r>
        <w:rPr>
          <w:rFonts w:ascii="Times New Roman" w:hAnsi="Times New Roman"/>
          <w:b/>
          <w:sz w:val="28"/>
          <w:szCs w:val="28"/>
        </w:rPr>
      </w:r>
      <w:r/>
    </w:p>
    <w:p>
      <w:pPr>
        <w:pStyle w:val="963"/>
        <w:ind w:firstLine="482"/>
        <w:spacing w:line="360" w:lineRule="auto"/>
        <w:rPr>
          <w:sz w:val="24"/>
        </w:rPr>
      </w:pPr>
      <w:r>
        <w:rPr>
          <w:rFonts w:hint="eastAsia"/>
          <w:b/>
          <w:sz w:val="24"/>
        </w:rPr>
        <w:t xml:space="preserve">采购包1：</w:t>
      </w:r>
      <w:r>
        <w:rPr>
          <w:sz w:val="24"/>
        </w:rPr>
        <w:t xml:space="preserve">本项目主要目标为实现对84个大气环境自动监测站、42个PM</w:t>
      </w:r>
      <w:r>
        <w:rPr>
          <w:sz w:val="24"/>
          <w:vertAlign w:val="subscript"/>
        </w:rPr>
        <w:t xml:space="preserve">2.5</w:t>
      </w:r>
      <w:r>
        <w:rPr>
          <w:sz w:val="24"/>
        </w:rPr>
        <w:t xml:space="preserve">站、5个TVOC自动监测站、2个VOCs自动监测站</w:t>
      </w:r>
      <w:r>
        <w:rPr>
          <w:rFonts w:hint="eastAsia"/>
          <w:sz w:val="24"/>
        </w:rPr>
        <w:t xml:space="preserve">、</w:t>
      </w:r>
      <w:r>
        <w:rPr>
          <w:sz w:val="24"/>
        </w:rPr>
        <w:t xml:space="preserve">8个水质自动监测站、2套水污染预警溯源仪、1台生物毒性分析仪</w:t>
      </w:r>
      <w:r>
        <w:rPr>
          <w:rFonts w:hint="eastAsia"/>
          <w:sz w:val="24"/>
        </w:rPr>
        <w:t xml:space="preserve">、</w:t>
      </w:r>
      <w:r>
        <w:rPr>
          <w:sz w:val="24"/>
        </w:rPr>
        <w:t xml:space="preserve">1套水质浮标在线监测系统</w:t>
      </w:r>
      <w:r>
        <w:rPr>
          <w:rFonts w:hint="eastAsia"/>
          <w:sz w:val="24"/>
        </w:rPr>
        <w:t xml:space="preserve">、</w:t>
      </w:r>
      <w:r>
        <w:rPr>
          <w:sz w:val="24"/>
        </w:rPr>
        <w:t xml:space="preserve">1套大气颗粒物激光雷达走航监测设施、1套VOCs环境走航监测设施、10套固定式机动车尾气遥感监测设施</w:t>
      </w:r>
      <w:r>
        <w:rPr>
          <w:rFonts w:hint="eastAsia"/>
          <w:sz w:val="24"/>
        </w:rPr>
        <w:t xml:space="preserve">运</w:t>
      </w:r>
      <w:r>
        <w:rPr>
          <w:sz w:val="24"/>
        </w:rPr>
        <w:t xml:space="preserve">和1套移动式机动车尾气遥感监测</w:t>
      </w:r>
      <w:r>
        <w:rPr>
          <w:rFonts w:hint="eastAsia"/>
          <w:sz w:val="24"/>
        </w:rPr>
        <w:t xml:space="preserve">设施维服务</w:t>
      </w:r>
      <w:r>
        <w:rPr>
          <w:sz w:val="24"/>
        </w:rPr>
        <w:t xml:space="preserve">、定期维修、监测数据深度分析，保障设备运行正常，确保监测数据的</w:t>
      </w:r>
      <w:r>
        <w:rPr>
          <w:rFonts w:hint="eastAsia"/>
          <w:sz w:val="24"/>
        </w:rPr>
        <w:t xml:space="preserve">真实性、</w:t>
      </w:r>
      <w:r>
        <w:rPr>
          <w:sz w:val="24"/>
        </w:rPr>
        <w:t xml:space="preserve">有效性、准确性，</w:t>
      </w:r>
      <w:r>
        <w:rPr>
          <w:sz w:val="24"/>
        </w:rPr>
      </w:r>
      <w:r/>
    </w:p>
    <w:p>
      <w:pPr>
        <w:pStyle w:val="963"/>
        <w:ind w:firstLine="480"/>
        <w:spacing w:line="360" w:lineRule="auto"/>
        <w:rPr>
          <w:sz w:val="24"/>
        </w:rPr>
      </w:pPr>
      <w:r>
        <w:rPr>
          <w:rFonts w:hint="eastAsia"/>
          <w:sz w:val="24"/>
        </w:rPr>
        <w:t xml:space="preserve">（1）完成所有大气自动监测站的</w:t>
      </w:r>
      <w:r>
        <w:rPr>
          <w:sz w:val="24"/>
        </w:rPr>
        <w:t xml:space="preserve">监测仪器、气象仪器、质控设备、数据采集与传输设备、辅助设备、防雷等基础设施的日常维护、质量控制、故障维修、年度检修、应急等工作，站房管理与维护、手工比对、数据审核、数据分析报告等</w:t>
      </w:r>
      <w:r>
        <w:rPr>
          <w:rFonts w:hint="eastAsia"/>
          <w:sz w:val="24"/>
        </w:rPr>
        <w:t xml:space="preserve">服务</w:t>
      </w:r>
      <w:r>
        <w:rPr>
          <w:sz w:val="24"/>
        </w:rPr>
        <w:t xml:space="preserve">工作</w:t>
      </w:r>
      <w:r>
        <w:rPr>
          <w:rFonts w:hint="eastAsia"/>
          <w:sz w:val="24"/>
        </w:rPr>
        <w:t xml:space="preserve">。</w:t>
      </w:r>
      <w:bookmarkStart w:id="4" w:name="_Hlk114654919"/>
      <w:r>
        <w:rPr>
          <w:sz w:val="24"/>
        </w:rPr>
      </w:r>
      <w:r/>
    </w:p>
    <w:p>
      <w:pPr>
        <w:pStyle w:val="963"/>
        <w:ind w:firstLine="480"/>
        <w:spacing w:line="360" w:lineRule="auto"/>
        <w:rPr>
          <w:sz w:val="24"/>
        </w:rPr>
      </w:pPr>
      <w:r>
        <w:rPr>
          <w:rFonts w:hint="eastAsia"/>
          <w:sz w:val="24"/>
        </w:rPr>
        <w:t xml:space="preserve">（2）</w:t>
      </w:r>
      <w:r>
        <w:rPr>
          <w:sz w:val="24"/>
        </w:rPr>
        <w:t xml:space="preserve">完成</w:t>
      </w:r>
      <w:r>
        <w:rPr>
          <w:rFonts w:hint="eastAsia"/>
          <w:sz w:val="24"/>
        </w:rPr>
        <w:t xml:space="preserve">所有水质自动监测站</w:t>
      </w:r>
      <w:r>
        <w:rPr>
          <w:sz w:val="24"/>
        </w:rPr>
        <w:t xml:space="preserve">的运行维护（人工、交通）</w:t>
      </w:r>
      <w:r>
        <w:rPr>
          <w:rFonts w:hint="eastAsia"/>
          <w:sz w:val="24"/>
        </w:rPr>
        <w:t xml:space="preserve">工作</w:t>
      </w:r>
      <w:r>
        <w:rPr>
          <w:sz w:val="24"/>
        </w:rPr>
        <w:t xml:space="preserve">，</w:t>
      </w:r>
      <w:r>
        <w:rPr>
          <w:rFonts w:hint="eastAsia"/>
          <w:sz w:val="24"/>
        </w:rPr>
        <w:t xml:space="preserve">包括</w:t>
      </w:r>
      <w:r>
        <w:rPr>
          <w:sz w:val="24"/>
        </w:rPr>
        <w:t xml:space="preserve">手工比对</w:t>
      </w:r>
      <w:r>
        <w:rPr>
          <w:rFonts w:hint="eastAsia"/>
          <w:sz w:val="24"/>
        </w:rPr>
        <w:t xml:space="preserve">、</w:t>
      </w:r>
      <w:r>
        <w:rPr>
          <w:sz w:val="24"/>
        </w:rPr>
        <w:t xml:space="preserve">质量控制</w:t>
      </w:r>
      <w:r>
        <w:rPr>
          <w:rFonts w:hint="eastAsia"/>
          <w:sz w:val="24"/>
        </w:rPr>
        <w:t xml:space="preserve">、</w:t>
      </w:r>
      <w:r>
        <w:rPr>
          <w:sz w:val="24"/>
        </w:rPr>
        <w:t xml:space="preserve">数据审核</w:t>
      </w:r>
      <w:r>
        <w:rPr>
          <w:rFonts w:hint="eastAsia"/>
          <w:sz w:val="24"/>
        </w:rPr>
        <w:t xml:space="preserve">、</w:t>
      </w:r>
      <w:r>
        <w:rPr>
          <w:sz w:val="24"/>
        </w:rPr>
        <w:t xml:space="preserve">数据分析报告</w:t>
      </w:r>
      <w:r>
        <w:rPr>
          <w:rFonts w:hint="eastAsia"/>
          <w:sz w:val="24"/>
        </w:rPr>
        <w:t xml:space="preserve">、</w:t>
      </w:r>
      <w:r>
        <w:rPr>
          <w:sz w:val="24"/>
        </w:rPr>
        <w:t xml:space="preserve">备品备件、水电、通讯、质控用便携式仪表、运维调试专用工具等</w:t>
      </w:r>
      <w:r>
        <w:rPr>
          <w:rFonts w:hint="eastAsia"/>
          <w:sz w:val="24"/>
        </w:rPr>
        <w:t xml:space="preserve">。</w:t>
      </w:r>
      <w:r>
        <w:rPr>
          <w:sz w:val="24"/>
        </w:rPr>
      </w:r>
      <w:r/>
    </w:p>
    <w:p>
      <w:pPr>
        <w:pStyle w:val="963"/>
        <w:ind w:firstLine="480"/>
        <w:jc w:val="left"/>
        <w:spacing w:line="360" w:lineRule="auto"/>
        <w:rPr>
          <w:sz w:val="24"/>
        </w:rPr>
      </w:pPr>
      <w:r/>
      <w:bookmarkEnd w:id="4"/>
      <w:r>
        <w:rPr>
          <w:rFonts w:hint="eastAsia"/>
          <w:sz w:val="24"/>
        </w:rPr>
        <w:t xml:space="preserve">（3）</w:t>
      </w:r>
      <w:r>
        <w:rPr>
          <w:sz w:val="24"/>
        </w:rPr>
        <w:t xml:space="preserve">完成</w:t>
      </w:r>
      <w:r>
        <w:rPr>
          <w:rFonts w:hint="eastAsia"/>
          <w:sz w:val="24"/>
        </w:rPr>
        <w:t xml:space="preserve">所有走航监测设</w:t>
      </w:r>
      <w:r>
        <w:rPr>
          <w:sz w:val="24"/>
        </w:rPr>
        <w:t xml:space="preserve">施</w:t>
      </w:r>
      <w:r>
        <w:rPr>
          <w:rFonts w:hint="eastAsia"/>
          <w:sz w:val="24"/>
        </w:rPr>
        <w:t xml:space="preserve">的</w:t>
      </w:r>
      <w:r>
        <w:rPr>
          <w:sz w:val="24"/>
        </w:rPr>
        <w:t xml:space="preserve">日常运行维护、定期维修、监测数据深度分析</w:t>
      </w:r>
      <w:r>
        <w:rPr>
          <w:rFonts w:hint="eastAsia"/>
          <w:sz w:val="24"/>
        </w:rPr>
        <w:t xml:space="preserve">。</w:t>
      </w:r>
      <w:r>
        <w:rPr>
          <w:sz w:val="24"/>
        </w:rPr>
      </w:r>
      <w:r/>
    </w:p>
    <w:p>
      <w:pPr>
        <w:pStyle w:val="963"/>
        <w:ind w:firstLine="482"/>
        <w:jc w:val="left"/>
        <w:spacing w:line="360" w:lineRule="auto"/>
        <w:rPr>
          <w:sz w:val="24"/>
        </w:rPr>
      </w:pPr>
      <w:r>
        <w:rPr>
          <w:rFonts w:hint="eastAsia" w:ascii="宋体" w:hAnsi="宋体"/>
          <w:b/>
          <w:sz w:val="24"/>
          <w:lang w:val="zh-CN"/>
        </w:rPr>
        <w:t xml:space="preserve">采购包2：</w:t>
      </w:r>
      <w:r>
        <w:rPr>
          <w:rFonts w:hint="eastAsia" w:ascii="宋体" w:hAnsi="宋体"/>
          <w:sz w:val="24"/>
          <w:lang w:val="zh-CN"/>
        </w:rPr>
        <w:t xml:space="preserve">为加强环境保护部和地方各级环保部门对国家重</w:t>
      </w:r>
      <w:r>
        <w:rPr>
          <w:rFonts w:hint="eastAsia" w:ascii="宋体" w:hAnsi="宋体"/>
          <w:sz w:val="24"/>
          <w:lang w:val="zh-CN"/>
        </w:rPr>
        <w:t xml:space="preserve">点监控企业主要污染物减排的监控能力，构建全国联网的污染源自动监控体系，2008年环保部统一组织开发了“重点污染源自动监控与基础数据库系统”（以下统称“国发软件”），成为减排监测“三大体系”能力建设中重要的组成部分，为环境监管和执法提供了科学依据。并成为环保部对国控重点污染源进行管理的重要监控手段，污染源自动监控数据传输率、数据传输有效率是确保污染源自动监控数据全面、有效的重要指标。依据《关于举办2018年全省污染源自动监控业务培训班的通知 》（环传【2018】234号）要求，各设区市生态环境局应明确专人对“</w:t>
      </w:r>
      <w:r>
        <w:rPr>
          <w:rFonts w:hint="eastAsia" w:ascii="宋体" w:hAnsi="宋体"/>
          <w:sz w:val="24"/>
          <w:lang w:val="zh-CN"/>
        </w:rPr>
        <w:t xml:space="preserve">国发软件”设区市节点进行运行维护，做好数据库及工作日志的备份和维护，做好污染源基础信息的动态更新。加强对自动监控数据超标或异常情况的督办处理，做到及时发现、及时响应、及时处理、及时督办、及时报告。目前连云港市所使用的国发软件，是作为重点排污单位日常监管的工作平台，对重点排污单位实施监控、监督和监察管理，实现对重点排污单位排污状况、污染状况的在线监控。为了更好的完善国发软件，提高工作效率，保障软件的正常运行，达到连云港市对于自动监控工作及数据传输有效率考核要求，有必要对在用的国发软件提供持续性的技术支持服务。</w:t>
      </w:r>
      <w:r>
        <w:rPr>
          <w:sz w:val="24"/>
        </w:rPr>
      </w:r>
      <w:r/>
    </w:p>
    <w:p>
      <w:pPr>
        <w:pStyle w:val="963"/>
        <w:ind w:firstLine="482"/>
        <w:jc w:val="left"/>
        <w:spacing w:line="360" w:lineRule="auto"/>
        <w:rPr>
          <w:rFonts w:ascii="宋体" w:hAnsi="宋体"/>
          <w:color w:val="000000"/>
          <w:sz w:val="24"/>
          <w:szCs w:val="24"/>
          <w:highlight w:val="yellow"/>
        </w:rPr>
      </w:pPr>
      <w:r>
        <w:rPr>
          <w:rFonts w:hint="eastAsia" w:ascii="宋体" w:hAnsi="宋体"/>
          <w:b/>
          <w:sz w:val="24"/>
        </w:rPr>
        <w:t xml:space="preserve">采购包3：</w:t>
      </w:r>
      <w:r>
        <w:rPr>
          <w:rFonts w:hint="eastAsia" w:ascii="宋体" w:hAnsi="宋体"/>
          <w:sz w:val="24"/>
        </w:rPr>
        <w:t xml:space="preserve">江苏省危险废物全生命周期监控系统视频监控智能分析平台采用“省级管理平台+边缘节点平台”两级部署架构。省级管理平台实现全省视频的接入管理和AI分析模型，采用视频云服务的方式构建。本项目需负责本地边缘计算节点平台建设，完成本地涉废企业监控视频接入汇聚、存储、AI算力和带宽等基础服务资源的保障，完成视频接入情况检查及平台咨询服务要求，以及与省级平台互联互通的工作</w:t>
      </w:r>
      <w:r>
        <w:rPr>
          <w:rFonts w:ascii="宋体" w:hAnsi="宋体"/>
          <w:sz w:val="24"/>
        </w:rPr>
        <w:t xml:space="preserve">。</w:t>
      </w:r>
      <w:r>
        <w:rPr>
          <w:rFonts w:ascii="宋体" w:hAnsi="宋体"/>
          <w:color w:val="000000"/>
          <w:sz w:val="24"/>
          <w:szCs w:val="24"/>
          <w:highlight w:val="yellow"/>
        </w:rPr>
      </w:r>
      <w:r/>
    </w:p>
    <w:p>
      <w:pPr>
        <w:pStyle w:val="963"/>
        <w:ind w:firstLine="482"/>
        <w:jc w:val="left"/>
        <w:spacing w:line="360" w:lineRule="auto"/>
        <w:rPr>
          <w:rFonts w:ascii="宋体" w:hAnsi="宋体"/>
          <w:color w:val="000000"/>
          <w:sz w:val="24"/>
          <w:szCs w:val="24"/>
        </w:rPr>
      </w:pPr>
      <w:r>
        <w:rPr>
          <w:rFonts w:hint="eastAsia" w:ascii="宋体" w:hAnsi="宋体"/>
          <w:b/>
          <w:bCs/>
          <w:color w:val="000000"/>
          <w:sz w:val="24"/>
        </w:rPr>
        <w:t xml:space="preserve">采购包4：</w:t>
      </w:r>
      <w:r>
        <w:rPr>
          <w:rFonts w:hint="eastAsia" w:ascii="宋体" w:hAnsi="宋体"/>
          <w:bCs/>
          <w:color w:val="000000"/>
          <w:sz w:val="24"/>
        </w:rPr>
        <w:t xml:space="preserve">连云港市环境信息化暨监测监控能力提升工程项目自2020年3月27日启动实施，软件子项于2023年7月26日通过建设单位组织的软件子项专家验收评审。本项目需提供已经建设完成的环境信息化应用软件的驻场运维服务，确保各类设备和软件的稳定运行；确保本项目所有软件部分的运维内容须通过第三方机构信息安全等级保护三级测评。</w:t>
      </w:r>
      <w:r>
        <w:rPr>
          <w:rFonts w:ascii="宋体" w:hAnsi="宋体"/>
          <w:color w:val="000000"/>
          <w:sz w:val="24"/>
          <w:szCs w:val="24"/>
        </w:rPr>
      </w:r>
      <w:r/>
    </w:p>
    <w:p>
      <w:pPr>
        <w:pStyle w:val="963"/>
        <w:ind w:firstLine="562"/>
        <w:spacing w:line="360" w:lineRule="auto"/>
        <w:rPr>
          <w:rFonts w:ascii="Times New Roman" w:hAnsi="Times New Roman"/>
          <w:b/>
          <w:sz w:val="28"/>
          <w:szCs w:val="28"/>
        </w:rPr>
        <w:outlineLvl w:val="1"/>
      </w:pPr>
      <w:r>
        <w:rPr>
          <w:rFonts w:hint="eastAsia" w:ascii="Times New Roman" w:hAnsi="Times New Roman"/>
          <w:b/>
          <w:sz w:val="28"/>
          <w:szCs w:val="28"/>
        </w:rPr>
        <w:t xml:space="preserve">二、服务技术要求</w:t>
      </w:r>
      <w:r>
        <w:rPr>
          <w:rFonts w:ascii="Times New Roman" w:hAnsi="Times New Roman"/>
          <w:b/>
          <w:sz w:val="28"/>
          <w:szCs w:val="28"/>
        </w:rPr>
      </w:r>
      <w:r/>
    </w:p>
    <w:p>
      <w:pPr>
        <w:pStyle w:val="963"/>
        <w:ind w:firstLine="480"/>
        <w:jc w:val="left"/>
        <w:spacing w:line="500" w:lineRule="exact"/>
        <w:rPr>
          <w:sz w:val="24"/>
          <w:szCs w:val="24"/>
        </w:rPr>
        <w:outlineLvl w:val="1"/>
      </w:pPr>
      <w:r>
        <w:rPr>
          <w:rFonts w:hint="eastAsia"/>
          <w:sz w:val="24"/>
          <w:szCs w:val="24"/>
        </w:rPr>
        <w:t xml:space="preserve">（一）采购包1：大气、水环境自动监测设施、机动车尾气监测设施运行维护及大气环境走航监测服务</w:t>
      </w:r>
      <w:r>
        <w:rPr>
          <w:sz w:val="24"/>
          <w:szCs w:val="24"/>
        </w:rPr>
      </w:r>
      <w:r/>
    </w:p>
    <w:p>
      <w:pPr>
        <w:pStyle w:val="963"/>
        <w:numPr>
          <w:ilvl w:val="0"/>
          <w:numId w:val="4"/>
        </w:numPr>
        <w:ind w:firstLine="482"/>
        <w:jc w:val="left"/>
        <w:spacing w:line="360" w:lineRule="auto"/>
        <w:widowControl/>
        <w:rPr>
          <w:b/>
          <w:bCs/>
          <w:sz w:val="24"/>
        </w:rPr>
        <w:outlineLvl w:val="2"/>
      </w:pPr>
      <w:r>
        <w:rPr>
          <w:rFonts w:hint="eastAsia"/>
          <w:b/>
          <w:bCs/>
          <w:sz w:val="24"/>
        </w:rPr>
        <w:t xml:space="preserve">服务范围（服务内容）</w:t>
      </w:r>
      <w:r>
        <w:rPr>
          <w:b/>
          <w:bCs/>
          <w:sz w:val="24"/>
        </w:rPr>
      </w:r>
      <w:r/>
    </w:p>
    <w:p>
      <w:pPr>
        <w:pStyle w:val="963"/>
        <w:numPr>
          <w:ilvl w:val="0"/>
          <w:numId w:val="5"/>
        </w:numPr>
        <w:ind w:firstLine="458"/>
        <w:jc w:val="left"/>
        <w:spacing w:line="360" w:lineRule="auto"/>
        <w:widowControl/>
        <w:rPr>
          <w:sz w:val="24"/>
        </w:rPr>
      </w:pPr>
      <w:r>
        <w:rPr>
          <w:b/>
          <w:color w:val="000000"/>
          <w:spacing w:val="-6"/>
          <w:sz w:val="24"/>
        </w:rPr>
        <w:t xml:space="preserve">空气自动监测站</w:t>
      </w:r>
      <w:r>
        <w:rPr>
          <w:rFonts w:hint="eastAsia"/>
          <w:b/>
          <w:color w:val="000000"/>
          <w:spacing w:val="-6"/>
          <w:sz w:val="24"/>
        </w:rPr>
        <w:t xml:space="preserve">运行维护：</w:t>
      </w:r>
      <w:r>
        <w:rPr>
          <w:color w:val="000000"/>
          <w:sz w:val="24"/>
        </w:rPr>
        <w:t xml:space="preserve">完成</w:t>
      </w:r>
      <w:r>
        <w:rPr>
          <w:rFonts w:hint="eastAsia"/>
          <w:color w:val="000000"/>
          <w:sz w:val="24"/>
        </w:rPr>
        <w:t xml:space="preserve">84个</w:t>
      </w:r>
      <w:r>
        <w:rPr>
          <w:color w:val="000000"/>
          <w:sz w:val="24"/>
        </w:rPr>
        <w:t xml:space="preserve">大气环境自动监测站、</w:t>
      </w:r>
      <w:r>
        <w:rPr>
          <w:rFonts w:hint="eastAsia"/>
          <w:color w:val="000000"/>
          <w:sz w:val="24"/>
        </w:rPr>
        <w:t xml:space="preserve">42</w:t>
      </w:r>
      <w:r>
        <w:rPr>
          <w:color w:val="000000"/>
          <w:sz w:val="24"/>
        </w:rPr>
        <w:t xml:space="preserve">个PM</w:t>
      </w:r>
      <w:r>
        <w:rPr>
          <w:color w:val="000000"/>
          <w:sz w:val="24"/>
          <w:vertAlign w:val="subscript"/>
        </w:rPr>
        <w:t xml:space="preserve">2.5</w:t>
      </w:r>
      <w:r>
        <w:rPr>
          <w:color w:val="000000"/>
          <w:sz w:val="24"/>
        </w:rPr>
        <w:t xml:space="preserve">站监测仪器、气象仪器、质控设备、数据采集与传输设备、辅助设备、防雷等基础设施的日常维护、质量控制、故障维修、年度检修、应急等工作，站房管理与维护、手工比对、数据审核、数据分析报告等工作。运维工作(包括但不限于站房、所有仪器设备及配套设施等)应接受连云港市环境监测监控中心质量检查和考核，确保市控站各项监测仪器正常稳定运行并与相关环保部门正常联网。</w:t>
      </w:r>
      <w:r>
        <w:rPr>
          <w:sz w:val="24"/>
        </w:rPr>
      </w:r>
      <w:r/>
    </w:p>
    <w:p>
      <w:pPr>
        <w:pStyle w:val="963"/>
        <w:rPr>
          <w:sz w:val="24"/>
        </w:rPr>
      </w:pPr>
      <w:r>
        <w:rPr>
          <w:sz w:val="24"/>
        </w:rPr>
        <w:t xml:space="preserve">运行维护设备清单</w:t>
      </w:r>
      <w:r>
        <w:rPr>
          <w:rFonts w:hint="eastAsia"/>
          <w:sz w:val="24"/>
        </w:rPr>
        <w:t xml:space="preserve">：</w:t>
      </w:r>
      <w:r>
        <w:rPr>
          <w:sz w:val="24"/>
        </w:rPr>
      </w:r>
      <w:r/>
    </w:p>
    <w:p>
      <w:pPr>
        <w:pStyle w:val="963"/>
        <w:jc w:val="center"/>
        <w:rPr>
          <w:sz w:val="24"/>
        </w:rPr>
      </w:pPr>
      <w:r>
        <w:rPr>
          <w:rFonts w:hint="eastAsia"/>
          <w:sz w:val="24"/>
        </w:rPr>
        <w:t xml:space="preserve">表1 （一期）</w:t>
      </w:r>
      <w:r>
        <w:rPr>
          <w:sz w:val="24"/>
        </w:rPr>
        <w:t xml:space="preserve">大气自动监测设施运行维护清单</w:t>
      </w:r>
      <w:r>
        <w:rPr>
          <w:sz w:val="24"/>
        </w:rPr>
      </w:r>
      <w:r/>
    </w:p>
    <w:tbl>
      <w:tblPr>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3"/>
        <w:gridCol w:w="4963"/>
        <w:gridCol w:w="2793"/>
      </w:tblGrid>
      <w:tr>
        <w:trPr>
          <w:trHeight w:val="278"/>
        </w:trPr>
        <w:tc>
          <w:tcPr>
            <w:tcW w:w="763" w:type="dxa"/>
            <w:vAlign w:val="center"/>
            <w:textDirection w:val="lrTb"/>
            <w:noWrap/>
          </w:tcPr>
          <w:p>
            <w:pPr>
              <w:pStyle w:val="963"/>
              <w:jc w:val="center"/>
              <w:spacing w:line="360" w:lineRule="auto"/>
              <w:rPr>
                <w:sz w:val="24"/>
              </w:rPr>
            </w:pPr>
            <w:r>
              <w:rPr>
                <w:sz w:val="24"/>
              </w:rPr>
              <w:t xml:space="preserve">序号</w:t>
            </w:r>
            <w:r>
              <w:rPr>
                <w:sz w:val="24"/>
              </w:rPr>
            </w:r>
            <w:r/>
          </w:p>
        </w:tc>
        <w:tc>
          <w:tcPr>
            <w:tcW w:w="4963" w:type="dxa"/>
            <w:vAlign w:val="center"/>
            <w:textDirection w:val="lrTb"/>
            <w:noWrap/>
          </w:tcPr>
          <w:p>
            <w:pPr>
              <w:pStyle w:val="963"/>
              <w:jc w:val="center"/>
              <w:spacing w:line="360" w:lineRule="auto"/>
              <w:rPr>
                <w:sz w:val="24"/>
              </w:rPr>
            </w:pPr>
            <w:r>
              <w:rPr>
                <w:sz w:val="24"/>
              </w:rPr>
              <w:t xml:space="preserve">设备/系统名称</w:t>
            </w:r>
            <w:r>
              <w:rPr>
                <w:sz w:val="24"/>
              </w:rPr>
            </w:r>
            <w:r/>
          </w:p>
        </w:tc>
        <w:tc>
          <w:tcPr>
            <w:tcW w:w="2793" w:type="dxa"/>
            <w:vAlign w:val="center"/>
            <w:textDirection w:val="lrTb"/>
            <w:noWrap/>
          </w:tcPr>
          <w:p>
            <w:pPr>
              <w:pStyle w:val="963"/>
              <w:jc w:val="center"/>
              <w:spacing w:line="360" w:lineRule="auto"/>
              <w:rPr>
                <w:sz w:val="24"/>
              </w:rPr>
            </w:pPr>
            <w:r>
              <w:rPr>
                <w:sz w:val="24"/>
              </w:rPr>
              <w:t xml:space="preserve">品牌、型号规格</w:t>
            </w:r>
            <w:r>
              <w:rPr>
                <w:sz w:val="24"/>
              </w:rPr>
            </w:r>
            <w:r/>
          </w:p>
        </w:tc>
      </w:tr>
      <w:tr>
        <w:trPr>
          <w:trHeight w:val="278"/>
        </w:trPr>
        <w:tc>
          <w:tcPr>
            <w:tcW w:w="763" w:type="dxa"/>
            <w:vAlign w:val="center"/>
            <w:textDirection w:val="lrTb"/>
            <w:noWrap/>
          </w:tcPr>
          <w:p>
            <w:pPr>
              <w:pStyle w:val="963"/>
              <w:jc w:val="center"/>
              <w:spacing w:line="360" w:lineRule="auto"/>
              <w:rPr>
                <w:color w:val="000000"/>
                <w:sz w:val="24"/>
              </w:rPr>
            </w:pPr>
            <w:r>
              <w:rPr>
                <w:sz w:val="24"/>
              </w:rPr>
              <w:t xml:space="preserve">1</w:t>
            </w:r>
            <w:r>
              <w:rPr>
                <w:color w:val="000000"/>
                <w:sz w:val="24"/>
              </w:rPr>
            </w:r>
            <w:r/>
          </w:p>
        </w:tc>
        <w:tc>
          <w:tcPr>
            <w:tcW w:w="4963" w:type="dxa"/>
            <w:vAlign w:val="center"/>
            <w:textDirection w:val="lrTb"/>
            <w:noWrap/>
          </w:tcPr>
          <w:p>
            <w:pPr>
              <w:pStyle w:val="963"/>
              <w:jc w:val="center"/>
              <w:spacing w:line="360" w:lineRule="auto"/>
              <w:rPr>
                <w:color w:val="000000"/>
                <w:sz w:val="24"/>
              </w:rPr>
            </w:pPr>
            <w:r>
              <w:rPr>
                <w:sz w:val="24"/>
              </w:rPr>
              <w:t xml:space="preserve">二氧化硫分析仪</w:t>
            </w:r>
            <w:r>
              <w:rPr>
                <w:color w:val="000000"/>
                <w:sz w:val="24"/>
              </w:rPr>
            </w:r>
            <w:r/>
          </w:p>
        </w:tc>
        <w:tc>
          <w:tcPr>
            <w:tcW w:w="2793" w:type="dxa"/>
            <w:vAlign w:val="center"/>
            <w:textDirection w:val="lrTb"/>
            <w:noWrap/>
          </w:tcPr>
          <w:p>
            <w:pPr>
              <w:pStyle w:val="963"/>
              <w:jc w:val="center"/>
              <w:spacing w:line="360" w:lineRule="auto"/>
              <w:rPr>
                <w:color w:val="000000"/>
                <w:sz w:val="24"/>
              </w:rPr>
            </w:pPr>
            <w:r>
              <w:rPr>
                <w:rFonts w:hint="eastAsia"/>
                <w:sz w:val="24"/>
              </w:rPr>
              <w:t xml:space="preserve">LGH-210</w:t>
            </w:r>
            <w:r>
              <w:rPr>
                <w:color w:val="000000"/>
                <w:sz w:val="24"/>
              </w:rPr>
            </w:r>
            <w:r/>
          </w:p>
        </w:tc>
      </w:tr>
      <w:tr>
        <w:trPr>
          <w:trHeight w:val="278"/>
        </w:trPr>
        <w:tc>
          <w:tcPr>
            <w:tcW w:w="763" w:type="dxa"/>
            <w:vAlign w:val="center"/>
            <w:textDirection w:val="lrTb"/>
            <w:noWrap/>
          </w:tcPr>
          <w:p>
            <w:pPr>
              <w:pStyle w:val="963"/>
              <w:jc w:val="center"/>
              <w:spacing w:line="360" w:lineRule="auto"/>
              <w:rPr>
                <w:color w:val="000000"/>
                <w:sz w:val="24"/>
              </w:rPr>
            </w:pPr>
            <w:r>
              <w:rPr>
                <w:sz w:val="24"/>
              </w:rPr>
              <w:t xml:space="preserve">2</w:t>
            </w:r>
            <w:r>
              <w:rPr>
                <w:color w:val="000000"/>
                <w:sz w:val="24"/>
              </w:rPr>
            </w:r>
            <w:r/>
          </w:p>
        </w:tc>
        <w:tc>
          <w:tcPr>
            <w:tcW w:w="4963" w:type="dxa"/>
            <w:vAlign w:val="center"/>
            <w:textDirection w:val="lrTb"/>
            <w:noWrap/>
          </w:tcPr>
          <w:p>
            <w:pPr>
              <w:pStyle w:val="963"/>
              <w:jc w:val="center"/>
              <w:spacing w:line="360" w:lineRule="auto"/>
              <w:rPr>
                <w:color w:val="000000"/>
                <w:sz w:val="24"/>
              </w:rPr>
            </w:pPr>
            <w:r>
              <w:rPr>
                <w:sz w:val="24"/>
              </w:rPr>
              <w:t xml:space="preserve">氮氧化物分析仪</w:t>
            </w:r>
            <w:r>
              <w:rPr>
                <w:color w:val="000000"/>
                <w:sz w:val="24"/>
              </w:rPr>
            </w:r>
            <w:r/>
          </w:p>
        </w:tc>
        <w:tc>
          <w:tcPr>
            <w:tcW w:w="2793" w:type="dxa"/>
            <w:vAlign w:val="center"/>
            <w:textDirection w:val="lrTb"/>
            <w:noWrap/>
          </w:tcPr>
          <w:p>
            <w:pPr>
              <w:pStyle w:val="963"/>
              <w:jc w:val="center"/>
              <w:spacing w:line="360" w:lineRule="auto"/>
              <w:widowControl/>
              <w:rPr>
                <w:color w:val="000000"/>
                <w:sz w:val="24"/>
              </w:rPr>
            </w:pPr>
            <w:r>
              <w:rPr>
                <w:rFonts w:hint="eastAsia"/>
                <w:sz w:val="24"/>
              </w:rPr>
              <w:t xml:space="preserve">LGH-220</w:t>
            </w:r>
            <w:r>
              <w:rPr>
                <w:color w:val="000000"/>
                <w:sz w:val="24"/>
              </w:rPr>
            </w:r>
            <w:r/>
          </w:p>
        </w:tc>
      </w:tr>
      <w:tr>
        <w:trPr>
          <w:trHeight w:val="278"/>
        </w:trPr>
        <w:tc>
          <w:tcPr>
            <w:tcW w:w="763" w:type="dxa"/>
            <w:vAlign w:val="center"/>
            <w:textDirection w:val="lrTb"/>
            <w:noWrap/>
          </w:tcPr>
          <w:p>
            <w:pPr>
              <w:pStyle w:val="963"/>
              <w:jc w:val="center"/>
              <w:spacing w:line="360" w:lineRule="auto"/>
              <w:rPr>
                <w:color w:val="000000"/>
                <w:sz w:val="24"/>
              </w:rPr>
            </w:pPr>
            <w:r>
              <w:rPr>
                <w:sz w:val="24"/>
              </w:rPr>
              <w:t xml:space="preserve">3</w:t>
            </w:r>
            <w:r>
              <w:rPr>
                <w:color w:val="000000"/>
                <w:sz w:val="24"/>
              </w:rPr>
            </w:r>
            <w:r/>
          </w:p>
        </w:tc>
        <w:tc>
          <w:tcPr>
            <w:tcW w:w="4963" w:type="dxa"/>
            <w:vAlign w:val="center"/>
            <w:textDirection w:val="lrTb"/>
            <w:noWrap/>
          </w:tcPr>
          <w:p>
            <w:pPr>
              <w:pStyle w:val="963"/>
              <w:jc w:val="center"/>
              <w:spacing w:line="360" w:lineRule="auto"/>
              <w:rPr>
                <w:color w:val="000000"/>
                <w:sz w:val="24"/>
              </w:rPr>
            </w:pPr>
            <w:r>
              <w:rPr>
                <w:sz w:val="24"/>
              </w:rPr>
              <w:t xml:space="preserve">臭氧分析仪</w:t>
            </w:r>
            <w:r>
              <w:rPr>
                <w:color w:val="000000"/>
                <w:sz w:val="24"/>
              </w:rPr>
            </w:r>
            <w:r/>
          </w:p>
        </w:tc>
        <w:tc>
          <w:tcPr>
            <w:tcW w:w="2793" w:type="dxa"/>
            <w:vAlign w:val="center"/>
            <w:textDirection w:val="lrTb"/>
            <w:noWrap/>
          </w:tcPr>
          <w:p>
            <w:pPr>
              <w:pStyle w:val="963"/>
              <w:jc w:val="center"/>
              <w:spacing w:line="360" w:lineRule="auto"/>
              <w:widowControl/>
              <w:rPr>
                <w:color w:val="000000"/>
                <w:sz w:val="24"/>
              </w:rPr>
            </w:pPr>
            <w:r>
              <w:rPr>
                <w:rFonts w:hint="eastAsia"/>
                <w:sz w:val="24"/>
              </w:rPr>
              <w:t xml:space="preserve">LGH-240</w:t>
            </w:r>
            <w:r>
              <w:rPr>
                <w:color w:val="000000"/>
                <w:sz w:val="24"/>
              </w:rPr>
            </w:r>
            <w:r/>
          </w:p>
        </w:tc>
      </w:tr>
      <w:tr>
        <w:trPr>
          <w:trHeight w:val="278"/>
        </w:trPr>
        <w:tc>
          <w:tcPr>
            <w:tcW w:w="763" w:type="dxa"/>
            <w:vAlign w:val="center"/>
            <w:textDirection w:val="lrTb"/>
            <w:noWrap/>
          </w:tcPr>
          <w:p>
            <w:pPr>
              <w:pStyle w:val="963"/>
              <w:jc w:val="center"/>
              <w:spacing w:line="360" w:lineRule="auto"/>
              <w:rPr>
                <w:color w:val="000000"/>
                <w:sz w:val="24"/>
              </w:rPr>
            </w:pPr>
            <w:r>
              <w:rPr>
                <w:sz w:val="24"/>
              </w:rPr>
              <w:t xml:space="preserve">4</w:t>
            </w:r>
            <w:r>
              <w:rPr>
                <w:color w:val="000000"/>
                <w:sz w:val="24"/>
              </w:rPr>
            </w:r>
            <w:r/>
          </w:p>
        </w:tc>
        <w:tc>
          <w:tcPr>
            <w:tcW w:w="4963" w:type="dxa"/>
            <w:vAlign w:val="center"/>
            <w:textDirection w:val="lrTb"/>
            <w:noWrap/>
          </w:tcPr>
          <w:p>
            <w:pPr>
              <w:pStyle w:val="963"/>
              <w:jc w:val="center"/>
              <w:spacing w:line="360" w:lineRule="auto"/>
              <w:rPr>
                <w:color w:val="000000"/>
                <w:sz w:val="24"/>
              </w:rPr>
            </w:pPr>
            <w:r>
              <w:rPr>
                <w:sz w:val="24"/>
              </w:rPr>
              <w:t xml:space="preserve">一氧化碳分析仪</w:t>
            </w:r>
            <w:r>
              <w:rPr>
                <w:color w:val="000000"/>
                <w:sz w:val="24"/>
              </w:rPr>
            </w:r>
            <w:r/>
          </w:p>
        </w:tc>
        <w:tc>
          <w:tcPr>
            <w:tcW w:w="2793" w:type="dxa"/>
            <w:vAlign w:val="center"/>
            <w:textDirection w:val="lrTb"/>
            <w:noWrap/>
          </w:tcPr>
          <w:p>
            <w:pPr>
              <w:pStyle w:val="963"/>
              <w:jc w:val="center"/>
              <w:spacing w:line="360" w:lineRule="auto"/>
              <w:widowControl/>
              <w:rPr>
                <w:color w:val="000000"/>
                <w:sz w:val="24"/>
              </w:rPr>
            </w:pPr>
            <w:r>
              <w:rPr>
                <w:rFonts w:hint="eastAsia"/>
                <w:sz w:val="24"/>
              </w:rPr>
              <w:t xml:space="preserve">LGH-230</w:t>
            </w:r>
            <w:r>
              <w:rPr>
                <w:color w:val="000000"/>
                <w:sz w:val="24"/>
              </w:rPr>
            </w:r>
            <w:r/>
          </w:p>
        </w:tc>
      </w:tr>
      <w:tr>
        <w:trPr>
          <w:trHeight w:val="278"/>
        </w:trPr>
        <w:tc>
          <w:tcPr>
            <w:tcW w:w="763" w:type="dxa"/>
            <w:vAlign w:val="center"/>
            <w:textDirection w:val="lrTb"/>
            <w:noWrap/>
          </w:tcPr>
          <w:p>
            <w:pPr>
              <w:pStyle w:val="963"/>
              <w:jc w:val="center"/>
              <w:spacing w:line="360" w:lineRule="auto"/>
              <w:rPr>
                <w:color w:val="000000"/>
                <w:sz w:val="24"/>
              </w:rPr>
            </w:pPr>
            <w:r>
              <w:rPr>
                <w:sz w:val="24"/>
              </w:rPr>
              <w:t xml:space="preserve">5</w:t>
            </w:r>
            <w:r>
              <w:rPr>
                <w:color w:val="000000"/>
                <w:sz w:val="24"/>
              </w:rPr>
            </w:r>
            <w:r/>
          </w:p>
        </w:tc>
        <w:tc>
          <w:tcPr>
            <w:tcW w:w="4963" w:type="dxa"/>
            <w:vAlign w:val="center"/>
            <w:textDirection w:val="lrTb"/>
            <w:noWrap/>
          </w:tcPr>
          <w:p>
            <w:pPr>
              <w:pStyle w:val="963"/>
              <w:jc w:val="center"/>
              <w:spacing w:line="360" w:lineRule="auto"/>
              <w:rPr>
                <w:color w:val="000000"/>
                <w:sz w:val="24"/>
              </w:rPr>
            </w:pPr>
            <w:r>
              <w:rPr>
                <w:sz w:val="24"/>
              </w:rPr>
              <w:t xml:space="preserve">PM</w:t>
            </w:r>
            <w:r>
              <w:rPr>
                <w:sz w:val="24"/>
                <w:vertAlign w:val="subscript"/>
              </w:rPr>
              <w:t xml:space="preserve">2.5</w:t>
            </w:r>
            <w:r>
              <w:rPr>
                <w:sz w:val="24"/>
              </w:rPr>
              <w:t xml:space="preserve">分析仪</w:t>
            </w:r>
            <w:r>
              <w:rPr>
                <w:color w:val="000000"/>
                <w:sz w:val="24"/>
              </w:rPr>
            </w:r>
            <w:r/>
          </w:p>
        </w:tc>
        <w:tc>
          <w:tcPr>
            <w:tcW w:w="2793" w:type="dxa"/>
            <w:vAlign w:val="center"/>
            <w:textDirection w:val="lrTb"/>
            <w:noWrap/>
          </w:tcPr>
          <w:p>
            <w:pPr>
              <w:pStyle w:val="963"/>
              <w:jc w:val="center"/>
              <w:spacing w:line="360" w:lineRule="auto"/>
              <w:widowControl/>
              <w:rPr>
                <w:color w:val="000000"/>
                <w:sz w:val="24"/>
              </w:rPr>
            </w:pPr>
            <w:r>
              <w:rPr>
                <w:rFonts w:hint="eastAsia"/>
                <w:sz w:val="24"/>
              </w:rPr>
              <w:t xml:space="preserve">LGH-01E</w:t>
            </w:r>
            <w:r>
              <w:rPr>
                <w:color w:val="000000"/>
                <w:sz w:val="24"/>
              </w:rPr>
            </w:r>
            <w:r/>
          </w:p>
        </w:tc>
      </w:tr>
      <w:tr>
        <w:trPr>
          <w:trHeight w:val="278"/>
        </w:trPr>
        <w:tc>
          <w:tcPr>
            <w:tcW w:w="763" w:type="dxa"/>
            <w:vAlign w:val="center"/>
            <w:textDirection w:val="lrTb"/>
            <w:noWrap/>
          </w:tcPr>
          <w:p>
            <w:pPr>
              <w:pStyle w:val="963"/>
              <w:jc w:val="center"/>
              <w:spacing w:line="360" w:lineRule="auto"/>
              <w:rPr>
                <w:color w:val="000000"/>
                <w:sz w:val="24"/>
              </w:rPr>
            </w:pPr>
            <w:r>
              <w:rPr>
                <w:sz w:val="24"/>
              </w:rPr>
              <w:t xml:space="preserve">6</w:t>
            </w:r>
            <w:r>
              <w:rPr>
                <w:color w:val="000000"/>
                <w:sz w:val="24"/>
              </w:rPr>
            </w:r>
            <w:r/>
          </w:p>
        </w:tc>
        <w:tc>
          <w:tcPr>
            <w:tcW w:w="4963" w:type="dxa"/>
            <w:vAlign w:val="center"/>
            <w:textDirection w:val="lrTb"/>
            <w:noWrap/>
          </w:tcPr>
          <w:p>
            <w:pPr>
              <w:pStyle w:val="963"/>
              <w:jc w:val="center"/>
              <w:spacing w:line="360" w:lineRule="auto"/>
              <w:rPr>
                <w:color w:val="000000"/>
                <w:sz w:val="24"/>
              </w:rPr>
            </w:pPr>
            <w:r>
              <w:rPr>
                <w:sz w:val="24"/>
              </w:rPr>
              <w:t xml:space="preserve">PM</w:t>
            </w:r>
            <w:r>
              <w:rPr>
                <w:sz w:val="24"/>
                <w:vertAlign w:val="subscript"/>
              </w:rPr>
              <w:t xml:space="preserve">10</w:t>
            </w:r>
            <w:r>
              <w:rPr>
                <w:sz w:val="24"/>
              </w:rPr>
              <w:t xml:space="preserve">分析仪</w:t>
            </w:r>
            <w:r>
              <w:rPr>
                <w:color w:val="000000"/>
                <w:sz w:val="24"/>
              </w:rPr>
            </w:r>
            <w:r/>
          </w:p>
        </w:tc>
        <w:tc>
          <w:tcPr>
            <w:tcW w:w="2793" w:type="dxa"/>
            <w:vAlign w:val="center"/>
            <w:textDirection w:val="lrTb"/>
            <w:noWrap/>
          </w:tcPr>
          <w:p>
            <w:pPr>
              <w:pStyle w:val="963"/>
              <w:jc w:val="center"/>
              <w:spacing w:line="360" w:lineRule="auto"/>
              <w:widowControl/>
              <w:rPr>
                <w:color w:val="000000"/>
                <w:sz w:val="24"/>
              </w:rPr>
            </w:pPr>
            <w:r>
              <w:rPr>
                <w:rFonts w:hint="eastAsia"/>
                <w:sz w:val="24"/>
              </w:rPr>
              <w:t xml:space="preserve">LGH-01B</w:t>
            </w:r>
            <w:r>
              <w:rPr>
                <w:color w:val="000000"/>
                <w:sz w:val="24"/>
              </w:rPr>
            </w:r>
            <w:r/>
          </w:p>
        </w:tc>
      </w:tr>
      <w:tr>
        <w:trPr>
          <w:trHeight w:val="278"/>
        </w:trPr>
        <w:tc>
          <w:tcPr>
            <w:tcW w:w="763" w:type="dxa"/>
            <w:vAlign w:val="center"/>
            <w:textDirection w:val="lrTb"/>
            <w:noWrap/>
          </w:tcPr>
          <w:p>
            <w:pPr>
              <w:pStyle w:val="963"/>
              <w:jc w:val="center"/>
              <w:spacing w:line="360" w:lineRule="auto"/>
              <w:rPr>
                <w:color w:val="000000"/>
                <w:sz w:val="24"/>
              </w:rPr>
            </w:pPr>
            <w:r>
              <w:rPr>
                <w:sz w:val="24"/>
              </w:rPr>
              <w:t xml:space="preserve">7</w:t>
            </w:r>
            <w:r>
              <w:rPr>
                <w:color w:val="000000"/>
                <w:sz w:val="24"/>
              </w:rPr>
            </w:r>
            <w:r/>
          </w:p>
        </w:tc>
        <w:tc>
          <w:tcPr>
            <w:tcW w:w="4963" w:type="dxa"/>
            <w:vAlign w:val="center"/>
            <w:textDirection w:val="lrTb"/>
            <w:noWrap/>
          </w:tcPr>
          <w:p>
            <w:pPr>
              <w:pStyle w:val="963"/>
              <w:jc w:val="center"/>
              <w:spacing w:line="360" w:lineRule="auto"/>
              <w:rPr>
                <w:color w:val="000000"/>
                <w:sz w:val="24"/>
              </w:rPr>
            </w:pPr>
            <w:r>
              <w:rPr>
                <w:sz w:val="24"/>
              </w:rPr>
              <w:t xml:space="preserve">采样系统</w:t>
            </w:r>
            <w:r>
              <w:rPr>
                <w:color w:val="000000"/>
                <w:sz w:val="24"/>
              </w:rPr>
            </w:r>
            <w:r/>
          </w:p>
        </w:tc>
        <w:tc>
          <w:tcPr>
            <w:tcW w:w="2793" w:type="dxa"/>
            <w:vAlign w:val="center"/>
            <w:textDirection w:val="lrTb"/>
            <w:noWrap/>
          </w:tcPr>
          <w:p>
            <w:pPr>
              <w:pStyle w:val="963"/>
              <w:jc w:val="center"/>
              <w:spacing w:line="360" w:lineRule="auto"/>
              <w:widowControl/>
              <w:rPr>
                <w:color w:val="000000"/>
                <w:sz w:val="24"/>
              </w:rPr>
            </w:pPr>
            <w:r>
              <w:rPr>
                <w:color w:val="000000"/>
                <w:sz w:val="24"/>
              </w:rPr>
            </w:r>
            <w:r/>
          </w:p>
        </w:tc>
      </w:tr>
      <w:tr>
        <w:trPr>
          <w:trHeight w:val="278"/>
        </w:trPr>
        <w:tc>
          <w:tcPr>
            <w:tcW w:w="763" w:type="dxa"/>
            <w:vAlign w:val="center"/>
            <w:textDirection w:val="lrTb"/>
            <w:noWrap/>
          </w:tcPr>
          <w:p>
            <w:pPr>
              <w:pStyle w:val="963"/>
              <w:jc w:val="center"/>
              <w:spacing w:line="360" w:lineRule="auto"/>
              <w:rPr>
                <w:sz w:val="24"/>
              </w:rPr>
            </w:pPr>
            <w:r>
              <w:rPr>
                <w:rFonts w:hint="eastAsia"/>
                <w:sz w:val="24"/>
              </w:rPr>
              <w:t xml:space="preserve">8</w:t>
            </w:r>
            <w:r>
              <w:rPr>
                <w:sz w:val="24"/>
              </w:rPr>
            </w:r>
            <w:r/>
          </w:p>
        </w:tc>
        <w:tc>
          <w:tcPr>
            <w:tcW w:w="4963" w:type="dxa"/>
            <w:vAlign w:val="center"/>
            <w:textDirection w:val="lrTb"/>
            <w:noWrap/>
          </w:tcPr>
          <w:p>
            <w:pPr>
              <w:pStyle w:val="963"/>
              <w:jc w:val="center"/>
              <w:spacing w:line="360" w:lineRule="auto"/>
              <w:rPr>
                <w:sz w:val="24"/>
              </w:rPr>
            </w:pPr>
            <w:r>
              <w:rPr>
                <w:rFonts w:hint="eastAsia"/>
                <w:sz w:val="24"/>
              </w:rPr>
              <w:t xml:space="preserve">气象五参数</w:t>
            </w:r>
            <w:r>
              <w:rPr>
                <w:sz w:val="24"/>
              </w:rPr>
            </w:r>
            <w:r/>
          </w:p>
        </w:tc>
        <w:tc>
          <w:tcPr>
            <w:tcW w:w="2793" w:type="dxa"/>
            <w:vAlign w:val="center"/>
            <w:textDirection w:val="lrTb"/>
            <w:noWrap/>
          </w:tcPr>
          <w:p>
            <w:pPr>
              <w:pStyle w:val="963"/>
              <w:jc w:val="center"/>
              <w:spacing w:line="360" w:lineRule="auto"/>
              <w:rPr>
                <w:sz w:val="24"/>
              </w:rPr>
            </w:pPr>
            <w:r>
              <w:rPr>
                <w:rFonts w:hint="eastAsia"/>
                <w:sz w:val="24"/>
              </w:rPr>
              <w:t xml:space="preserve">LGH-01C</w:t>
            </w:r>
            <w:r>
              <w:rPr>
                <w:sz w:val="24"/>
              </w:rPr>
            </w:r>
            <w:r/>
          </w:p>
        </w:tc>
      </w:tr>
    </w:tbl>
    <w:p>
      <w:pPr>
        <w:pStyle w:val="963"/>
        <w:jc w:val="center"/>
        <w:rPr>
          <w:sz w:val="24"/>
        </w:rPr>
      </w:pPr>
      <w:r>
        <w:rPr>
          <w:sz w:val="24"/>
        </w:rPr>
        <w:t xml:space="preserve">表</w:t>
      </w:r>
      <w:r>
        <w:rPr>
          <w:rFonts w:hint="eastAsia"/>
          <w:sz w:val="24"/>
        </w:rPr>
        <w:t xml:space="preserve">2</w:t>
      </w:r>
      <w:r>
        <w:rPr>
          <w:sz w:val="24"/>
        </w:rPr>
        <w:t xml:space="preserve"> 县乡（镇）大气自动监测设施运行维护清单</w:t>
      </w:r>
      <w:r>
        <w:rPr>
          <w:sz w:val="24"/>
        </w:rPr>
      </w:r>
      <w:r/>
    </w:p>
    <w:tbl>
      <w:tblPr>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4963"/>
        <w:gridCol w:w="2791"/>
      </w:tblGrid>
      <w:tr>
        <w:trPr>
          <w:trHeight w:val="278"/>
        </w:trPr>
        <w:tc>
          <w:tcPr>
            <w:tcW w:w="765" w:type="dxa"/>
            <w:vAlign w:val="center"/>
            <w:textDirection w:val="lrTb"/>
            <w:noWrap/>
          </w:tcPr>
          <w:p>
            <w:pPr>
              <w:pStyle w:val="963"/>
              <w:jc w:val="center"/>
              <w:spacing w:line="360" w:lineRule="auto"/>
              <w:rPr>
                <w:sz w:val="24"/>
              </w:rPr>
            </w:pPr>
            <w:r>
              <w:rPr>
                <w:sz w:val="24"/>
              </w:rPr>
              <w:t xml:space="preserve">序号</w:t>
            </w:r>
            <w:r>
              <w:rPr>
                <w:sz w:val="24"/>
              </w:rPr>
            </w:r>
            <w:r/>
          </w:p>
        </w:tc>
        <w:tc>
          <w:tcPr>
            <w:tcW w:w="4963" w:type="dxa"/>
            <w:vAlign w:val="center"/>
            <w:textDirection w:val="lrTb"/>
            <w:noWrap/>
          </w:tcPr>
          <w:p>
            <w:pPr>
              <w:pStyle w:val="963"/>
              <w:jc w:val="center"/>
              <w:spacing w:line="360" w:lineRule="auto"/>
              <w:rPr>
                <w:sz w:val="24"/>
              </w:rPr>
            </w:pPr>
            <w:r>
              <w:rPr>
                <w:sz w:val="24"/>
              </w:rPr>
              <w:t xml:space="preserve">设备/系统名称</w:t>
            </w:r>
            <w:r>
              <w:rPr>
                <w:sz w:val="24"/>
              </w:rPr>
            </w:r>
            <w:r/>
          </w:p>
        </w:tc>
        <w:tc>
          <w:tcPr>
            <w:tcW w:w="2791" w:type="dxa"/>
            <w:vAlign w:val="center"/>
            <w:textDirection w:val="lrTb"/>
            <w:noWrap/>
          </w:tcPr>
          <w:p>
            <w:pPr>
              <w:pStyle w:val="963"/>
              <w:jc w:val="center"/>
              <w:spacing w:line="360" w:lineRule="auto"/>
              <w:rPr>
                <w:sz w:val="24"/>
              </w:rPr>
            </w:pPr>
            <w:r>
              <w:rPr>
                <w:sz w:val="24"/>
              </w:rPr>
              <w:t xml:space="preserve">品牌、型号规格</w:t>
            </w:r>
            <w:r>
              <w:rPr>
                <w:sz w:val="24"/>
              </w:rPr>
            </w:r>
            <w:r/>
          </w:p>
        </w:tc>
      </w:tr>
      <w:tr>
        <w:trPr>
          <w:trHeight w:val="278"/>
        </w:trPr>
        <w:tc>
          <w:tcPr>
            <w:tcW w:w="765" w:type="dxa"/>
            <w:vAlign w:val="center"/>
            <w:textDirection w:val="lrTb"/>
            <w:noWrap/>
          </w:tcPr>
          <w:p>
            <w:pPr>
              <w:pStyle w:val="963"/>
              <w:jc w:val="center"/>
              <w:spacing w:line="360" w:lineRule="auto"/>
              <w:rPr>
                <w:sz w:val="24"/>
              </w:rPr>
            </w:pPr>
            <w:r>
              <w:rPr>
                <w:sz w:val="24"/>
              </w:rPr>
              <w:t xml:space="preserve">1</w:t>
            </w:r>
            <w:r>
              <w:rPr>
                <w:sz w:val="24"/>
              </w:rPr>
            </w:r>
            <w:r/>
          </w:p>
        </w:tc>
        <w:tc>
          <w:tcPr>
            <w:tcW w:w="4963" w:type="dxa"/>
            <w:vAlign w:val="center"/>
            <w:textDirection w:val="lrTb"/>
            <w:noWrap w:val="false"/>
          </w:tcPr>
          <w:p>
            <w:pPr>
              <w:pStyle w:val="963"/>
              <w:jc w:val="center"/>
              <w:spacing w:line="360" w:lineRule="auto"/>
              <w:rPr>
                <w:sz w:val="24"/>
              </w:rPr>
            </w:pPr>
            <w:r>
              <w:rPr>
                <w:sz w:val="24"/>
              </w:rPr>
              <w:t xml:space="preserve">二氧化硫分析仪</w:t>
            </w:r>
            <w:r>
              <w:rPr>
                <w:sz w:val="24"/>
              </w:rPr>
            </w:r>
            <w:r/>
          </w:p>
        </w:tc>
        <w:tc>
          <w:tcPr>
            <w:tcW w:w="2791" w:type="dxa"/>
            <w:vAlign w:val="center"/>
            <w:textDirection w:val="lrTb"/>
            <w:noWrap w:val="false"/>
          </w:tcPr>
          <w:p>
            <w:pPr>
              <w:pStyle w:val="963"/>
              <w:jc w:val="center"/>
              <w:spacing w:line="360" w:lineRule="auto"/>
              <w:rPr>
                <w:sz w:val="24"/>
              </w:rPr>
            </w:pPr>
            <w:r>
              <w:rPr>
                <w:sz w:val="24"/>
              </w:rPr>
              <w:t xml:space="preserve">聚光科技、AQMS-500</w:t>
            </w:r>
            <w:r>
              <w:rPr>
                <w:sz w:val="24"/>
              </w:rPr>
            </w:r>
            <w:r/>
          </w:p>
        </w:tc>
      </w:tr>
      <w:tr>
        <w:trPr>
          <w:trHeight w:val="278"/>
        </w:trPr>
        <w:tc>
          <w:tcPr>
            <w:tcW w:w="765" w:type="dxa"/>
            <w:vAlign w:val="center"/>
            <w:textDirection w:val="lrTb"/>
            <w:noWrap/>
          </w:tcPr>
          <w:p>
            <w:pPr>
              <w:pStyle w:val="963"/>
              <w:jc w:val="center"/>
              <w:spacing w:line="360" w:lineRule="auto"/>
              <w:rPr>
                <w:sz w:val="24"/>
              </w:rPr>
            </w:pPr>
            <w:r>
              <w:rPr>
                <w:sz w:val="24"/>
              </w:rPr>
              <w:t xml:space="preserve">2</w:t>
            </w:r>
            <w:r>
              <w:rPr>
                <w:sz w:val="24"/>
              </w:rPr>
            </w:r>
            <w:r/>
          </w:p>
        </w:tc>
        <w:tc>
          <w:tcPr>
            <w:tcW w:w="4963" w:type="dxa"/>
            <w:vAlign w:val="center"/>
            <w:textDirection w:val="lrTb"/>
            <w:noWrap w:val="false"/>
          </w:tcPr>
          <w:p>
            <w:pPr>
              <w:pStyle w:val="963"/>
              <w:jc w:val="center"/>
              <w:spacing w:line="360" w:lineRule="auto"/>
              <w:rPr>
                <w:sz w:val="24"/>
              </w:rPr>
            </w:pPr>
            <w:r>
              <w:rPr>
                <w:sz w:val="24"/>
              </w:rPr>
              <w:t xml:space="preserve">氮氧化物分析仪</w:t>
            </w:r>
            <w:r>
              <w:rPr>
                <w:sz w:val="24"/>
              </w:rPr>
            </w:r>
            <w:r/>
          </w:p>
        </w:tc>
        <w:tc>
          <w:tcPr>
            <w:tcW w:w="2791" w:type="dxa"/>
            <w:vAlign w:val="center"/>
            <w:textDirection w:val="lrTb"/>
            <w:noWrap w:val="false"/>
          </w:tcPr>
          <w:p>
            <w:pPr>
              <w:pStyle w:val="963"/>
              <w:jc w:val="center"/>
              <w:spacing w:line="360" w:lineRule="auto"/>
              <w:rPr>
                <w:sz w:val="24"/>
              </w:rPr>
            </w:pPr>
            <w:r>
              <w:rPr>
                <w:sz w:val="24"/>
              </w:rPr>
              <w:t xml:space="preserve">聚光科技、AQMS-600</w:t>
            </w:r>
            <w:r>
              <w:rPr>
                <w:sz w:val="24"/>
              </w:rPr>
            </w:r>
            <w:r/>
          </w:p>
        </w:tc>
      </w:tr>
      <w:tr>
        <w:trPr>
          <w:trHeight w:val="278"/>
        </w:trPr>
        <w:tc>
          <w:tcPr>
            <w:tcW w:w="765" w:type="dxa"/>
            <w:vAlign w:val="center"/>
            <w:textDirection w:val="lrTb"/>
            <w:noWrap/>
          </w:tcPr>
          <w:p>
            <w:pPr>
              <w:pStyle w:val="963"/>
              <w:jc w:val="center"/>
              <w:spacing w:line="360" w:lineRule="auto"/>
              <w:rPr>
                <w:sz w:val="24"/>
              </w:rPr>
            </w:pPr>
            <w:r>
              <w:rPr>
                <w:sz w:val="24"/>
              </w:rPr>
              <w:t xml:space="preserve">3</w:t>
            </w:r>
            <w:r>
              <w:rPr>
                <w:sz w:val="24"/>
              </w:rPr>
            </w:r>
            <w:r/>
          </w:p>
        </w:tc>
        <w:tc>
          <w:tcPr>
            <w:tcW w:w="4963" w:type="dxa"/>
            <w:vAlign w:val="center"/>
            <w:textDirection w:val="lrTb"/>
            <w:noWrap w:val="false"/>
          </w:tcPr>
          <w:p>
            <w:pPr>
              <w:pStyle w:val="963"/>
              <w:jc w:val="center"/>
              <w:spacing w:line="360" w:lineRule="auto"/>
              <w:rPr>
                <w:sz w:val="24"/>
              </w:rPr>
            </w:pPr>
            <w:r>
              <w:rPr>
                <w:sz w:val="24"/>
              </w:rPr>
              <w:t xml:space="preserve">臭氧分析仪</w:t>
            </w:r>
            <w:r>
              <w:rPr>
                <w:sz w:val="24"/>
              </w:rPr>
            </w:r>
            <w:r/>
          </w:p>
        </w:tc>
        <w:tc>
          <w:tcPr>
            <w:tcW w:w="2791" w:type="dxa"/>
            <w:vAlign w:val="center"/>
            <w:textDirection w:val="lrTb"/>
            <w:noWrap w:val="false"/>
          </w:tcPr>
          <w:p>
            <w:pPr>
              <w:pStyle w:val="963"/>
              <w:jc w:val="center"/>
              <w:spacing w:line="360" w:lineRule="auto"/>
              <w:rPr>
                <w:sz w:val="24"/>
              </w:rPr>
            </w:pPr>
            <w:r>
              <w:rPr>
                <w:sz w:val="24"/>
              </w:rPr>
              <w:t xml:space="preserve">聚光科技、AQMS-300</w:t>
            </w:r>
            <w:r>
              <w:rPr>
                <w:sz w:val="24"/>
              </w:rPr>
            </w:r>
            <w:r/>
          </w:p>
        </w:tc>
      </w:tr>
      <w:tr>
        <w:trPr>
          <w:trHeight w:val="278"/>
        </w:trPr>
        <w:tc>
          <w:tcPr>
            <w:tcW w:w="765" w:type="dxa"/>
            <w:vAlign w:val="center"/>
            <w:textDirection w:val="lrTb"/>
            <w:noWrap/>
          </w:tcPr>
          <w:p>
            <w:pPr>
              <w:pStyle w:val="963"/>
              <w:jc w:val="center"/>
              <w:spacing w:line="360" w:lineRule="auto"/>
              <w:rPr>
                <w:sz w:val="24"/>
              </w:rPr>
            </w:pPr>
            <w:r>
              <w:rPr>
                <w:sz w:val="24"/>
              </w:rPr>
              <w:t xml:space="preserve">4</w:t>
            </w:r>
            <w:r>
              <w:rPr>
                <w:sz w:val="24"/>
              </w:rPr>
            </w:r>
            <w:r/>
          </w:p>
        </w:tc>
        <w:tc>
          <w:tcPr>
            <w:tcW w:w="4963" w:type="dxa"/>
            <w:vAlign w:val="center"/>
            <w:textDirection w:val="lrTb"/>
            <w:noWrap w:val="false"/>
          </w:tcPr>
          <w:p>
            <w:pPr>
              <w:pStyle w:val="963"/>
              <w:jc w:val="center"/>
              <w:spacing w:line="360" w:lineRule="auto"/>
              <w:rPr>
                <w:sz w:val="24"/>
              </w:rPr>
            </w:pPr>
            <w:r>
              <w:rPr>
                <w:sz w:val="24"/>
              </w:rPr>
              <w:t xml:space="preserve">一氧化碳分析仪</w:t>
            </w:r>
            <w:r>
              <w:rPr>
                <w:sz w:val="24"/>
              </w:rPr>
            </w:r>
            <w:r/>
          </w:p>
        </w:tc>
        <w:tc>
          <w:tcPr>
            <w:tcW w:w="2791" w:type="dxa"/>
            <w:vAlign w:val="center"/>
            <w:textDirection w:val="lrTb"/>
            <w:noWrap w:val="false"/>
          </w:tcPr>
          <w:p>
            <w:pPr>
              <w:pStyle w:val="963"/>
              <w:jc w:val="center"/>
              <w:spacing w:line="360" w:lineRule="auto"/>
              <w:rPr>
                <w:sz w:val="24"/>
              </w:rPr>
            </w:pPr>
            <w:r>
              <w:rPr>
                <w:sz w:val="24"/>
              </w:rPr>
              <w:t xml:space="preserve">聚光科技、AQMS-400</w:t>
            </w:r>
            <w:r>
              <w:rPr>
                <w:sz w:val="24"/>
              </w:rPr>
            </w:r>
            <w:r/>
          </w:p>
        </w:tc>
      </w:tr>
      <w:tr>
        <w:trPr>
          <w:trHeight w:val="278"/>
        </w:trPr>
        <w:tc>
          <w:tcPr>
            <w:tcW w:w="765" w:type="dxa"/>
            <w:vAlign w:val="center"/>
            <w:textDirection w:val="lrTb"/>
            <w:noWrap/>
          </w:tcPr>
          <w:p>
            <w:pPr>
              <w:pStyle w:val="963"/>
              <w:jc w:val="center"/>
              <w:spacing w:line="360" w:lineRule="auto"/>
              <w:rPr>
                <w:sz w:val="24"/>
              </w:rPr>
            </w:pPr>
            <w:r>
              <w:rPr>
                <w:sz w:val="24"/>
              </w:rPr>
              <w:t xml:space="preserve">5</w:t>
            </w:r>
            <w:r>
              <w:rPr>
                <w:sz w:val="24"/>
              </w:rPr>
            </w:r>
            <w:r/>
          </w:p>
        </w:tc>
        <w:tc>
          <w:tcPr>
            <w:tcW w:w="4963" w:type="dxa"/>
            <w:vAlign w:val="center"/>
            <w:textDirection w:val="lrTb"/>
            <w:noWrap w:val="false"/>
          </w:tcPr>
          <w:p>
            <w:pPr>
              <w:pStyle w:val="963"/>
              <w:jc w:val="center"/>
              <w:spacing w:line="360" w:lineRule="auto"/>
              <w:rPr>
                <w:sz w:val="24"/>
              </w:rPr>
            </w:pPr>
            <w:r>
              <w:rPr>
                <w:sz w:val="24"/>
              </w:rPr>
              <w:t xml:space="preserve">PM</w:t>
            </w:r>
            <w:r>
              <w:rPr>
                <w:sz w:val="24"/>
                <w:vertAlign w:val="subscript"/>
              </w:rPr>
              <w:t xml:space="preserve">2.5</w:t>
            </w:r>
            <w:r>
              <w:rPr>
                <w:sz w:val="24"/>
              </w:rPr>
              <w:t xml:space="preserve">分析仪</w:t>
            </w:r>
            <w:r>
              <w:rPr>
                <w:sz w:val="24"/>
              </w:rPr>
            </w:r>
            <w:r/>
          </w:p>
        </w:tc>
        <w:tc>
          <w:tcPr>
            <w:tcW w:w="2791" w:type="dxa"/>
            <w:vAlign w:val="center"/>
            <w:textDirection w:val="lrTb"/>
            <w:noWrap w:val="false"/>
          </w:tcPr>
          <w:p>
            <w:pPr>
              <w:pStyle w:val="963"/>
              <w:jc w:val="center"/>
              <w:spacing w:line="360" w:lineRule="auto"/>
              <w:rPr>
                <w:sz w:val="24"/>
              </w:rPr>
            </w:pPr>
            <w:r>
              <w:rPr>
                <w:sz w:val="24"/>
              </w:rPr>
              <w:t xml:space="preserve">赛默飞、5014i</w:t>
            </w:r>
            <w:r>
              <w:rPr>
                <w:sz w:val="24"/>
              </w:rPr>
            </w:r>
            <w:r/>
          </w:p>
        </w:tc>
      </w:tr>
      <w:tr>
        <w:trPr>
          <w:trHeight w:val="278"/>
        </w:trPr>
        <w:tc>
          <w:tcPr>
            <w:tcW w:w="765" w:type="dxa"/>
            <w:vAlign w:val="center"/>
            <w:textDirection w:val="lrTb"/>
            <w:noWrap/>
          </w:tcPr>
          <w:p>
            <w:pPr>
              <w:pStyle w:val="963"/>
              <w:jc w:val="center"/>
              <w:spacing w:line="360" w:lineRule="auto"/>
              <w:rPr>
                <w:sz w:val="24"/>
              </w:rPr>
            </w:pPr>
            <w:r>
              <w:rPr>
                <w:sz w:val="24"/>
              </w:rPr>
              <w:t xml:space="preserve">6</w:t>
            </w:r>
            <w:r>
              <w:rPr>
                <w:sz w:val="24"/>
              </w:rPr>
            </w:r>
            <w:r/>
          </w:p>
        </w:tc>
        <w:tc>
          <w:tcPr>
            <w:tcW w:w="4963" w:type="dxa"/>
            <w:vAlign w:val="center"/>
            <w:textDirection w:val="lrTb"/>
            <w:noWrap w:val="false"/>
          </w:tcPr>
          <w:p>
            <w:pPr>
              <w:pStyle w:val="963"/>
              <w:jc w:val="center"/>
              <w:spacing w:line="360" w:lineRule="auto"/>
              <w:rPr>
                <w:sz w:val="24"/>
              </w:rPr>
            </w:pPr>
            <w:r>
              <w:rPr>
                <w:sz w:val="24"/>
              </w:rPr>
              <w:t xml:space="preserve">PM</w:t>
            </w:r>
            <w:r>
              <w:rPr>
                <w:sz w:val="24"/>
                <w:vertAlign w:val="subscript"/>
              </w:rPr>
              <w:t xml:space="preserve">10</w:t>
            </w:r>
            <w:r>
              <w:rPr>
                <w:sz w:val="24"/>
              </w:rPr>
              <w:t xml:space="preserve">分析仪</w:t>
            </w:r>
            <w:r>
              <w:rPr>
                <w:sz w:val="24"/>
              </w:rPr>
            </w:r>
            <w:r/>
          </w:p>
        </w:tc>
        <w:tc>
          <w:tcPr>
            <w:tcW w:w="2791" w:type="dxa"/>
            <w:vAlign w:val="center"/>
            <w:textDirection w:val="lrTb"/>
            <w:noWrap w:val="false"/>
          </w:tcPr>
          <w:p>
            <w:pPr>
              <w:pStyle w:val="963"/>
              <w:jc w:val="center"/>
              <w:spacing w:line="360" w:lineRule="auto"/>
              <w:rPr>
                <w:sz w:val="24"/>
              </w:rPr>
            </w:pPr>
            <w:r>
              <w:rPr>
                <w:sz w:val="24"/>
              </w:rPr>
              <w:t xml:space="preserve">赛默飞、5014i</w:t>
            </w:r>
            <w:r>
              <w:rPr>
                <w:sz w:val="24"/>
              </w:rPr>
            </w:r>
            <w:r/>
          </w:p>
        </w:tc>
      </w:tr>
      <w:tr>
        <w:trPr>
          <w:trHeight w:val="278"/>
        </w:trPr>
        <w:tc>
          <w:tcPr>
            <w:tcW w:w="765" w:type="dxa"/>
            <w:vAlign w:val="center"/>
            <w:textDirection w:val="lrTb"/>
            <w:noWrap/>
          </w:tcPr>
          <w:p>
            <w:pPr>
              <w:pStyle w:val="963"/>
              <w:jc w:val="center"/>
              <w:spacing w:line="360" w:lineRule="auto"/>
              <w:rPr>
                <w:sz w:val="24"/>
              </w:rPr>
            </w:pPr>
            <w:r>
              <w:rPr>
                <w:sz w:val="24"/>
              </w:rPr>
              <w:t xml:space="preserve">7</w:t>
            </w:r>
            <w:r>
              <w:rPr>
                <w:sz w:val="24"/>
              </w:rPr>
            </w:r>
            <w:r/>
          </w:p>
        </w:tc>
        <w:tc>
          <w:tcPr>
            <w:tcW w:w="4963" w:type="dxa"/>
            <w:vAlign w:val="center"/>
            <w:textDirection w:val="lrTb"/>
            <w:noWrap w:val="false"/>
          </w:tcPr>
          <w:p>
            <w:pPr>
              <w:pStyle w:val="963"/>
              <w:jc w:val="center"/>
              <w:spacing w:line="360" w:lineRule="auto"/>
              <w:rPr>
                <w:sz w:val="24"/>
              </w:rPr>
            </w:pPr>
            <w:r>
              <w:rPr>
                <w:sz w:val="24"/>
              </w:rPr>
              <w:t xml:space="preserve">采样系统</w:t>
            </w:r>
            <w:r>
              <w:rPr>
                <w:sz w:val="24"/>
              </w:rPr>
            </w:r>
            <w:r/>
          </w:p>
        </w:tc>
        <w:tc>
          <w:tcPr>
            <w:tcW w:w="2791" w:type="dxa"/>
            <w:vAlign w:val="center"/>
            <w:textDirection w:val="lrTb"/>
            <w:noWrap w:val="false"/>
          </w:tcPr>
          <w:p>
            <w:pPr>
              <w:pStyle w:val="963"/>
              <w:jc w:val="center"/>
              <w:spacing w:line="360" w:lineRule="auto"/>
              <w:rPr>
                <w:sz w:val="24"/>
              </w:rPr>
            </w:pPr>
            <w:r>
              <w:rPr>
                <w:sz w:val="24"/>
              </w:rPr>
              <w:t xml:space="preserve">DEA09</w:t>
            </w:r>
            <w:r>
              <w:rPr>
                <w:sz w:val="24"/>
              </w:rPr>
            </w:r>
            <w:r/>
          </w:p>
        </w:tc>
      </w:tr>
      <w:tr>
        <w:trPr>
          <w:trHeight w:val="278"/>
        </w:trPr>
        <w:tc>
          <w:tcPr>
            <w:tcW w:w="765" w:type="dxa"/>
            <w:vAlign w:val="center"/>
            <w:textDirection w:val="lrTb"/>
            <w:noWrap/>
          </w:tcPr>
          <w:p>
            <w:pPr>
              <w:pStyle w:val="963"/>
              <w:jc w:val="center"/>
              <w:spacing w:line="360" w:lineRule="auto"/>
              <w:rPr>
                <w:sz w:val="24"/>
              </w:rPr>
            </w:pPr>
            <w:r>
              <w:rPr>
                <w:sz w:val="24"/>
              </w:rPr>
              <w:t xml:space="preserve">8</w:t>
            </w:r>
            <w:r>
              <w:rPr>
                <w:sz w:val="24"/>
              </w:rPr>
            </w:r>
            <w:r/>
          </w:p>
        </w:tc>
        <w:tc>
          <w:tcPr>
            <w:tcW w:w="4963" w:type="dxa"/>
            <w:vAlign w:val="center"/>
            <w:textDirection w:val="lrTb"/>
            <w:noWrap w:val="false"/>
          </w:tcPr>
          <w:p>
            <w:pPr>
              <w:pStyle w:val="963"/>
              <w:jc w:val="center"/>
              <w:spacing w:line="360" w:lineRule="auto"/>
              <w:rPr>
                <w:sz w:val="24"/>
              </w:rPr>
            </w:pPr>
            <w:r>
              <w:rPr>
                <w:sz w:val="24"/>
              </w:rPr>
              <w:t xml:space="preserve">机架等辅助设备</w:t>
            </w:r>
            <w:r>
              <w:rPr>
                <w:sz w:val="24"/>
              </w:rPr>
            </w:r>
            <w:r/>
          </w:p>
        </w:tc>
        <w:tc>
          <w:tcPr>
            <w:tcW w:w="2791" w:type="dxa"/>
            <w:vAlign w:val="center"/>
            <w:textDirection w:val="lrTb"/>
            <w:noWrap w:val="false"/>
          </w:tcPr>
          <w:p>
            <w:pPr>
              <w:pStyle w:val="963"/>
              <w:jc w:val="center"/>
              <w:spacing w:line="360" w:lineRule="auto"/>
              <w:rPr>
                <w:sz w:val="24"/>
              </w:rPr>
            </w:pPr>
            <w:r>
              <w:rPr>
                <w:sz w:val="24"/>
              </w:rPr>
              <w:t xml:space="preserve">2000*600*900mm</w:t>
            </w:r>
            <w:r>
              <w:rPr>
                <w:sz w:val="24"/>
              </w:rPr>
            </w:r>
            <w:r/>
          </w:p>
        </w:tc>
      </w:tr>
      <w:tr>
        <w:trPr>
          <w:trHeight w:val="278"/>
        </w:trPr>
        <w:tc>
          <w:tcPr>
            <w:tcW w:w="765" w:type="dxa"/>
            <w:vAlign w:val="center"/>
            <w:textDirection w:val="lrTb"/>
            <w:noWrap/>
          </w:tcPr>
          <w:p>
            <w:pPr>
              <w:pStyle w:val="963"/>
              <w:jc w:val="center"/>
              <w:spacing w:line="360" w:lineRule="auto"/>
              <w:rPr>
                <w:sz w:val="24"/>
              </w:rPr>
            </w:pPr>
            <w:r>
              <w:rPr>
                <w:sz w:val="24"/>
              </w:rPr>
              <w:t xml:space="preserve">9</w:t>
            </w:r>
            <w:r>
              <w:rPr>
                <w:sz w:val="24"/>
              </w:rPr>
            </w:r>
            <w:r/>
          </w:p>
        </w:tc>
        <w:tc>
          <w:tcPr>
            <w:tcW w:w="4963" w:type="dxa"/>
            <w:vAlign w:val="center"/>
            <w:textDirection w:val="lrTb"/>
            <w:noWrap w:val="false"/>
          </w:tcPr>
          <w:p>
            <w:pPr>
              <w:pStyle w:val="963"/>
              <w:jc w:val="center"/>
              <w:spacing w:line="360" w:lineRule="auto"/>
              <w:rPr>
                <w:sz w:val="24"/>
              </w:rPr>
            </w:pPr>
            <w:r>
              <w:rPr>
                <w:sz w:val="24"/>
              </w:rPr>
              <w:t xml:space="preserve">数据采集系统（含工控机）</w:t>
            </w:r>
            <w:r>
              <w:rPr>
                <w:sz w:val="24"/>
              </w:rPr>
            </w:r>
            <w:r/>
          </w:p>
        </w:tc>
        <w:tc>
          <w:tcPr>
            <w:tcW w:w="2791" w:type="dxa"/>
            <w:vAlign w:val="center"/>
            <w:textDirection w:val="lrTb"/>
            <w:noWrap w:val="false"/>
          </w:tcPr>
          <w:p>
            <w:pPr>
              <w:pStyle w:val="963"/>
              <w:jc w:val="center"/>
              <w:spacing w:line="360" w:lineRule="auto"/>
              <w:rPr>
                <w:sz w:val="24"/>
              </w:rPr>
            </w:pPr>
            <w:r>
              <w:rPr>
                <w:sz w:val="24"/>
              </w:rPr>
              <w:t xml:space="preserve">聚光科技、AQMS plus</w:t>
            </w:r>
            <w:r>
              <w:rPr>
                <w:sz w:val="24"/>
              </w:rPr>
            </w:r>
            <w:r/>
          </w:p>
        </w:tc>
      </w:tr>
      <w:tr>
        <w:trPr>
          <w:trHeight w:val="278"/>
        </w:trPr>
        <w:tc>
          <w:tcPr>
            <w:tcW w:w="765" w:type="dxa"/>
            <w:vAlign w:val="center"/>
            <w:textDirection w:val="lrTb"/>
            <w:noWrap/>
          </w:tcPr>
          <w:p>
            <w:pPr>
              <w:pStyle w:val="963"/>
              <w:jc w:val="center"/>
              <w:spacing w:line="360" w:lineRule="auto"/>
              <w:rPr>
                <w:sz w:val="24"/>
              </w:rPr>
            </w:pPr>
            <w:r>
              <w:rPr>
                <w:sz w:val="24"/>
              </w:rPr>
              <w:t xml:space="preserve">10</w:t>
            </w:r>
            <w:r>
              <w:rPr>
                <w:sz w:val="24"/>
              </w:rPr>
            </w:r>
            <w:r/>
          </w:p>
        </w:tc>
        <w:tc>
          <w:tcPr>
            <w:tcW w:w="4963" w:type="dxa"/>
            <w:vAlign w:val="center"/>
            <w:textDirection w:val="lrTb"/>
            <w:noWrap w:val="false"/>
          </w:tcPr>
          <w:p>
            <w:pPr>
              <w:pStyle w:val="963"/>
              <w:jc w:val="center"/>
              <w:spacing w:line="360" w:lineRule="auto"/>
              <w:rPr>
                <w:sz w:val="24"/>
              </w:rPr>
            </w:pPr>
            <w:r>
              <w:rPr>
                <w:sz w:val="24"/>
              </w:rPr>
              <w:t xml:space="preserve">气象五参数分析仪</w:t>
            </w:r>
            <w:r>
              <w:rPr>
                <w:sz w:val="24"/>
              </w:rPr>
            </w:r>
            <w:r/>
          </w:p>
        </w:tc>
        <w:tc>
          <w:tcPr>
            <w:tcW w:w="2791" w:type="dxa"/>
            <w:vAlign w:val="center"/>
            <w:textDirection w:val="lrTb"/>
            <w:noWrap w:val="false"/>
          </w:tcPr>
          <w:p>
            <w:pPr>
              <w:pStyle w:val="963"/>
              <w:jc w:val="center"/>
              <w:spacing w:line="360" w:lineRule="auto"/>
              <w:rPr>
                <w:sz w:val="24"/>
              </w:rPr>
            </w:pPr>
            <w:r>
              <w:rPr>
                <w:sz w:val="24"/>
              </w:rPr>
              <w:t xml:space="preserve">MULTI-5P</w:t>
            </w:r>
            <w:r>
              <w:rPr>
                <w:sz w:val="24"/>
              </w:rPr>
            </w:r>
            <w:r/>
          </w:p>
        </w:tc>
      </w:tr>
      <w:tr>
        <w:trPr>
          <w:trHeight w:val="278"/>
        </w:trPr>
        <w:tc>
          <w:tcPr>
            <w:tcW w:w="765" w:type="dxa"/>
            <w:vAlign w:val="center"/>
            <w:textDirection w:val="lrTb"/>
            <w:noWrap/>
          </w:tcPr>
          <w:p>
            <w:pPr>
              <w:pStyle w:val="963"/>
              <w:jc w:val="center"/>
              <w:spacing w:line="360" w:lineRule="auto"/>
              <w:rPr>
                <w:sz w:val="24"/>
              </w:rPr>
            </w:pPr>
            <w:r>
              <w:rPr>
                <w:sz w:val="24"/>
              </w:rPr>
              <w:t xml:space="preserve">11</w:t>
            </w:r>
            <w:r>
              <w:rPr>
                <w:sz w:val="24"/>
              </w:rPr>
            </w:r>
            <w:r/>
          </w:p>
        </w:tc>
        <w:tc>
          <w:tcPr>
            <w:tcW w:w="4963" w:type="dxa"/>
            <w:vAlign w:val="center"/>
            <w:textDirection w:val="lrTb"/>
            <w:noWrap w:val="false"/>
          </w:tcPr>
          <w:p>
            <w:pPr>
              <w:pStyle w:val="963"/>
              <w:jc w:val="center"/>
              <w:spacing w:line="360" w:lineRule="auto"/>
              <w:rPr>
                <w:sz w:val="24"/>
              </w:rPr>
            </w:pPr>
            <w:r>
              <w:rPr>
                <w:sz w:val="24"/>
              </w:rPr>
              <w:t xml:space="preserve">质控设备</w:t>
            </w:r>
            <w:r>
              <w:rPr>
                <w:sz w:val="24"/>
              </w:rPr>
            </w:r>
            <w:r/>
          </w:p>
        </w:tc>
        <w:tc>
          <w:tcPr>
            <w:tcW w:w="2791" w:type="dxa"/>
            <w:vAlign w:val="center"/>
            <w:textDirection w:val="lrTb"/>
            <w:noWrap w:val="false"/>
          </w:tcPr>
          <w:p>
            <w:pPr>
              <w:pStyle w:val="963"/>
              <w:jc w:val="center"/>
              <w:spacing w:line="360" w:lineRule="auto"/>
              <w:rPr>
                <w:sz w:val="24"/>
              </w:rPr>
            </w:pPr>
            <w:r>
              <w:rPr>
                <w:sz w:val="24"/>
              </w:rPr>
              <w:t xml:space="preserve">/</w:t>
            </w:r>
            <w:r>
              <w:rPr>
                <w:sz w:val="24"/>
              </w:rPr>
            </w:r>
            <w:r/>
          </w:p>
        </w:tc>
      </w:tr>
      <w:tr>
        <w:trPr>
          <w:trHeight w:val="278"/>
        </w:trPr>
        <w:tc>
          <w:tcPr>
            <w:tcW w:w="765" w:type="dxa"/>
            <w:vAlign w:val="center"/>
            <w:textDirection w:val="lrTb"/>
            <w:noWrap/>
          </w:tcPr>
          <w:p>
            <w:pPr>
              <w:pStyle w:val="963"/>
              <w:jc w:val="center"/>
              <w:spacing w:line="360" w:lineRule="auto"/>
              <w:rPr>
                <w:sz w:val="24"/>
              </w:rPr>
            </w:pPr>
            <w:r>
              <w:rPr>
                <w:sz w:val="24"/>
              </w:rPr>
              <w:t xml:space="preserve">12</w:t>
            </w:r>
            <w:r>
              <w:rPr>
                <w:sz w:val="24"/>
              </w:rPr>
            </w:r>
            <w:r/>
          </w:p>
        </w:tc>
        <w:tc>
          <w:tcPr>
            <w:tcW w:w="4963" w:type="dxa"/>
            <w:vAlign w:val="center"/>
            <w:textDirection w:val="lrTb"/>
            <w:noWrap w:val="false"/>
          </w:tcPr>
          <w:p>
            <w:pPr>
              <w:pStyle w:val="963"/>
              <w:jc w:val="center"/>
              <w:spacing w:line="360" w:lineRule="auto"/>
              <w:rPr>
                <w:sz w:val="24"/>
              </w:rPr>
            </w:pPr>
            <w:r>
              <w:rPr>
                <w:sz w:val="24"/>
              </w:rPr>
              <w:t xml:space="preserve">动态校准仪（含臭氧模块）</w:t>
            </w:r>
            <w:r>
              <w:rPr>
                <w:sz w:val="24"/>
              </w:rPr>
            </w:r>
            <w:r/>
          </w:p>
        </w:tc>
        <w:tc>
          <w:tcPr>
            <w:tcW w:w="2791" w:type="dxa"/>
            <w:vAlign w:val="center"/>
            <w:textDirection w:val="lrTb"/>
            <w:noWrap w:val="false"/>
          </w:tcPr>
          <w:p>
            <w:pPr>
              <w:pStyle w:val="963"/>
              <w:jc w:val="center"/>
              <w:spacing w:line="360" w:lineRule="auto"/>
              <w:rPr>
                <w:sz w:val="24"/>
              </w:rPr>
            </w:pPr>
            <w:r>
              <w:rPr>
                <w:sz w:val="24"/>
              </w:rPr>
              <w:t xml:space="preserve">聚光科技、AQMS-200</w:t>
            </w:r>
            <w:r>
              <w:rPr>
                <w:sz w:val="24"/>
              </w:rPr>
            </w:r>
            <w:r/>
          </w:p>
        </w:tc>
      </w:tr>
      <w:tr>
        <w:trPr>
          <w:trHeight w:val="278"/>
        </w:trPr>
        <w:tc>
          <w:tcPr>
            <w:tcW w:w="765" w:type="dxa"/>
            <w:vAlign w:val="center"/>
            <w:textDirection w:val="lrTb"/>
            <w:noWrap/>
          </w:tcPr>
          <w:p>
            <w:pPr>
              <w:pStyle w:val="963"/>
              <w:jc w:val="center"/>
              <w:spacing w:line="360" w:lineRule="auto"/>
              <w:rPr>
                <w:sz w:val="24"/>
              </w:rPr>
            </w:pPr>
            <w:r>
              <w:rPr>
                <w:sz w:val="24"/>
              </w:rPr>
              <w:t xml:space="preserve">13</w:t>
            </w:r>
            <w:r>
              <w:rPr>
                <w:sz w:val="24"/>
              </w:rPr>
            </w:r>
            <w:r/>
          </w:p>
        </w:tc>
        <w:tc>
          <w:tcPr>
            <w:tcW w:w="4963" w:type="dxa"/>
            <w:vAlign w:val="center"/>
            <w:textDirection w:val="lrTb"/>
            <w:noWrap w:val="false"/>
          </w:tcPr>
          <w:p>
            <w:pPr>
              <w:pStyle w:val="963"/>
              <w:jc w:val="center"/>
              <w:spacing w:line="360" w:lineRule="auto"/>
              <w:rPr>
                <w:sz w:val="24"/>
              </w:rPr>
            </w:pPr>
            <w:r>
              <w:rPr>
                <w:sz w:val="24"/>
              </w:rPr>
              <w:t xml:space="preserve">零气发生器</w:t>
            </w:r>
            <w:r>
              <w:rPr>
                <w:sz w:val="24"/>
              </w:rPr>
            </w:r>
            <w:r/>
          </w:p>
        </w:tc>
        <w:tc>
          <w:tcPr>
            <w:tcW w:w="2791" w:type="dxa"/>
            <w:vAlign w:val="center"/>
            <w:textDirection w:val="lrTb"/>
            <w:noWrap w:val="false"/>
          </w:tcPr>
          <w:p>
            <w:pPr>
              <w:pStyle w:val="963"/>
              <w:jc w:val="center"/>
              <w:spacing w:line="360" w:lineRule="auto"/>
              <w:rPr>
                <w:sz w:val="24"/>
              </w:rPr>
            </w:pPr>
            <w:r>
              <w:rPr>
                <w:sz w:val="24"/>
              </w:rPr>
              <w:t xml:space="preserve">聚光科技、AQMS-100</w:t>
            </w:r>
            <w:r>
              <w:rPr>
                <w:sz w:val="24"/>
              </w:rPr>
            </w:r>
            <w:r/>
          </w:p>
        </w:tc>
      </w:tr>
      <w:tr>
        <w:trPr>
          <w:trHeight w:val="278"/>
        </w:trPr>
        <w:tc>
          <w:tcPr>
            <w:tcW w:w="765" w:type="dxa"/>
            <w:vAlign w:val="center"/>
            <w:textDirection w:val="lrTb"/>
            <w:noWrap/>
          </w:tcPr>
          <w:p>
            <w:pPr>
              <w:pStyle w:val="963"/>
              <w:jc w:val="center"/>
              <w:spacing w:line="360" w:lineRule="auto"/>
              <w:rPr>
                <w:sz w:val="24"/>
              </w:rPr>
            </w:pPr>
            <w:r>
              <w:rPr>
                <w:sz w:val="24"/>
              </w:rPr>
              <w:t xml:space="preserve">14</w:t>
            </w:r>
            <w:r>
              <w:rPr>
                <w:sz w:val="24"/>
              </w:rPr>
            </w:r>
            <w:r/>
          </w:p>
        </w:tc>
        <w:tc>
          <w:tcPr>
            <w:tcW w:w="4963" w:type="dxa"/>
            <w:vAlign w:val="center"/>
            <w:textDirection w:val="lrTb"/>
            <w:noWrap w:val="false"/>
          </w:tcPr>
          <w:p>
            <w:pPr>
              <w:pStyle w:val="963"/>
              <w:jc w:val="center"/>
              <w:spacing w:line="360" w:lineRule="auto"/>
              <w:rPr>
                <w:sz w:val="24"/>
              </w:rPr>
            </w:pPr>
            <w:r>
              <w:rPr>
                <w:sz w:val="24"/>
              </w:rPr>
              <w:t xml:space="preserve">视频监控系统</w:t>
            </w:r>
            <w:r>
              <w:rPr>
                <w:sz w:val="24"/>
              </w:rPr>
            </w:r>
            <w:r/>
          </w:p>
        </w:tc>
        <w:tc>
          <w:tcPr>
            <w:tcW w:w="2791" w:type="dxa"/>
            <w:vAlign w:val="center"/>
            <w:textDirection w:val="lrTb"/>
            <w:noWrap w:val="false"/>
          </w:tcPr>
          <w:p>
            <w:pPr>
              <w:pStyle w:val="963"/>
              <w:jc w:val="center"/>
              <w:spacing w:line="360" w:lineRule="auto"/>
              <w:rPr>
                <w:sz w:val="24"/>
              </w:rPr>
            </w:pPr>
            <w:r>
              <w:rPr>
                <w:sz w:val="24"/>
              </w:rPr>
              <w:t xml:space="preserve">/</w:t>
            </w:r>
            <w:r>
              <w:rPr>
                <w:sz w:val="24"/>
              </w:rPr>
            </w:r>
            <w:r/>
          </w:p>
        </w:tc>
      </w:tr>
      <w:tr>
        <w:trPr>
          <w:trHeight w:val="278"/>
        </w:trPr>
        <w:tc>
          <w:tcPr>
            <w:tcW w:w="765" w:type="dxa"/>
            <w:vAlign w:val="center"/>
            <w:textDirection w:val="lrTb"/>
            <w:noWrap/>
          </w:tcPr>
          <w:p>
            <w:pPr>
              <w:pStyle w:val="963"/>
              <w:jc w:val="center"/>
              <w:spacing w:line="360" w:lineRule="auto"/>
              <w:rPr>
                <w:sz w:val="24"/>
              </w:rPr>
            </w:pPr>
            <w:r>
              <w:rPr>
                <w:sz w:val="24"/>
              </w:rPr>
              <w:t xml:space="preserve">15</w:t>
            </w:r>
            <w:r>
              <w:rPr>
                <w:sz w:val="24"/>
              </w:rPr>
            </w:r>
            <w:r/>
          </w:p>
        </w:tc>
        <w:tc>
          <w:tcPr>
            <w:tcW w:w="4963" w:type="dxa"/>
            <w:vAlign w:val="center"/>
            <w:textDirection w:val="lrTb"/>
            <w:noWrap w:val="false"/>
          </w:tcPr>
          <w:p>
            <w:pPr>
              <w:pStyle w:val="963"/>
              <w:jc w:val="center"/>
              <w:spacing w:line="360" w:lineRule="auto"/>
              <w:rPr>
                <w:sz w:val="24"/>
              </w:rPr>
            </w:pPr>
            <w:r>
              <w:rPr>
                <w:sz w:val="24"/>
              </w:rPr>
              <w:t xml:space="preserve">备机、站房维护等</w:t>
            </w:r>
            <w:r>
              <w:rPr>
                <w:sz w:val="24"/>
              </w:rPr>
            </w:r>
            <w:r/>
          </w:p>
        </w:tc>
        <w:tc>
          <w:tcPr>
            <w:tcW w:w="2791" w:type="dxa"/>
            <w:vAlign w:val="center"/>
            <w:textDirection w:val="lrTb"/>
            <w:noWrap w:val="false"/>
          </w:tcPr>
          <w:p>
            <w:pPr>
              <w:pStyle w:val="963"/>
              <w:jc w:val="center"/>
              <w:spacing w:line="360" w:lineRule="auto"/>
              <w:rPr>
                <w:sz w:val="24"/>
              </w:rPr>
            </w:pPr>
            <w:r>
              <w:rPr>
                <w:sz w:val="24"/>
              </w:rPr>
              <w:t xml:space="preserve">/</w:t>
            </w:r>
            <w:r>
              <w:rPr>
                <w:sz w:val="24"/>
              </w:rPr>
            </w:r>
            <w:r/>
          </w:p>
        </w:tc>
      </w:tr>
    </w:tbl>
    <w:p>
      <w:pPr>
        <w:pStyle w:val="963"/>
        <w:rPr>
          <w:sz w:val="24"/>
        </w:rPr>
      </w:pPr>
      <w:r>
        <w:rPr>
          <w:sz w:val="24"/>
        </w:rPr>
      </w:r>
      <w:r/>
    </w:p>
    <w:p>
      <w:pPr>
        <w:pStyle w:val="963"/>
        <w:jc w:val="center"/>
        <w:spacing w:line="360" w:lineRule="auto"/>
        <w:rPr>
          <w:sz w:val="24"/>
        </w:rPr>
      </w:pPr>
      <w:r>
        <w:rPr>
          <w:sz w:val="24"/>
        </w:rPr>
        <w:t xml:space="preserve">表</w:t>
      </w:r>
      <w:r>
        <w:rPr>
          <w:rFonts w:hint="eastAsia"/>
          <w:sz w:val="24"/>
        </w:rPr>
        <w:t xml:space="preserve">3</w:t>
      </w:r>
      <w:r>
        <w:rPr>
          <w:sz w:val="24"/>
        </w:rPr>
        <w:t xml:space="preserve"> 市区镇街及港口大气自动监测设施运行维护清单</w:t>
      </w:r>
      <w:r>
        <w:rPr>
          <w:sz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740"/>
        <w:gridCol w:w="2846"/>
        <w:gridCol w:w="2303"/>
        <w:gridCol w:w="927"/>
      </w:tblGrid>
      <w:tr>
        <w:trPr>
          <w:trHeight w:val="280"/>
        </w:trPr>
        <w:tc>
          <w:tcPr>
            <w:tcW w:w="706" w:type="dxa"/>
            <w:vAlign w:val="center"/>
            <w:textDirection w:val="lrTb"/>
            <w:noWrap/>
          </w:tcPr>
          <w:p>
            <w:pPr>
              <w:pStyle w:val="963"/>
              <w:jc w:val="center"/>
              <w:spacing w:line="360" w:lineRule="auto"/>
              <w:widowControl/>
              <w:rPr>
                <w:b/>
                <w:bCs/>
                <w:color w:val="000000"/>
                <w:sz w:val="24"/>
              </w:rPr>
            </w:pPr>
            <w:r>
              <w:rPr>
                <w:b/>
                <w:bCs/>
                <w:color w:val="000000"/>
                <w:sz w:val="24"/>
              </w:rPr>
              <w:t xml:space="preserve">序号</w:t>
            </w:r>
            <w:r>
              <w:rPr>
                <w:b/>
                <w:bCs/>
                <w:color w:val="000000"/>
                <w:sz w:val="24"/>
              </w:rPr>
            </w:r>
            <w:r/>
          </w:p>
        </w:tc>
        <w:tc>
          <w:tcPr>
            <w:tcW w:w="1740" w:type="dxa"/>
            <w:vAlign w:val="center"/>
            <w:textDirection w:val="lrTb"/>
            <w:noWrap/>
          </w:tcPr>
          <w:p>
            <w:pPr>
              <w:pStyle w:val="963"/>
              <w:jc w:val="center"/>
              <w:spacing w:line="360" w:lineRule="auto"/>
              <w:widowControl/>
              <w:rPr>
                <w:b/>
                <w:bCs/>
                <w:color w:val="000000"/>
                <w:sz w:val="24"/>
              </w:rPr>
            </w:pPr>
            <w:r>
              <w:rPr>
                <w:b/>
                <w:bCs/>
                <w:color w:val="000000"/>
                <w:sz w:val="24"/>
              </w:rPr>
              <w:t xml:space="preserve">类别</w:t>
            </w:r>
            <w:r>
              <w:rPr>
                <w:b/>
                <w:bCs/>
                <w:color w:val="000000"/>
                <w:sz w:val="24"/>
              </w:rPr>
            </w:r>
            <w:r/>
          </w:p>
        </w:tc>
        <w:tc>
          <w:tcPr>
            <w:tcW w:w="2846" w:type="dxa"/>
            <w:vAlign w:val="center"/>
            <w:textDirection w:val="lrTb"/>
            <w:noWrap/>
          </w:tcPr>
          <w:p>
            <w:pPr>
              <w:pStyle w:val="963"/>
              <w:jc w:val="center"/>
              <w:spacing w:line="360" w:lineRule="auto"/>
              <w:widowControl/>
              <w:rPr>
                <w:b/>
                <w:bCs/>
                <w:color w:val="000000"/>
                <w:sz w:val="24"/>
              </w:rPr>
            </w:pPr>
            <w:r>
              <w:rPr>
                <w:b/>
                <w:bCs/>
                <w:color w:val="000000"/>
                <w:sz w:val="24"/>
              </w:rPr>
              <w:t xml:space="preserve">设备/系统名称</w:t>
            </w:r>
            <w:r>
              <w:rPr>
                <w:b/>
                <w:bCs/>
                <w:color w:val="000000"/>
                <w:sz w:val="24"/>
              </w:rPr>
            </w:r>
            <w:r/>
          </w:p>
        </w:tc>
        <w:tc>
          <w:tcPr>
            <w:tcW w:w="2303" w:type="dxa"/>
            <w:vAlign w:val="center"/>
            <w:textDirection w:val="lrTb"/>
            <w:noWrap/>
          </w:tcPr>
          <w:p>
            <w:pPr>
              <w:pStyle w:val="963"/>
              <w:jc w:val="center"/>
              <w:spacing w:line="360" w:lineRule="auto"/>
              <w:widowControl/>
              <w:rPr>
                <w:b/>
                <w:bCs/>
                <w:color w:val="000000"/>
                <w:sz w:val="24"/>
              </w:rPr>
            </w:pPr>
            <w:r>
              <w:rPr>
                <w:b/>
                <w:bCs/>
                <w:color w:val="000000"/>
                <w:sz w:val="24"/>
              </w:rPr>
              <w:t xml:space="preserve">品牌、型号规格</w:t>
            </w:r>
            <w:r>
              <w:rPr>
                <w:b/>
                <w:bCs/>
                <w:color w:val="000000"/>
                <w:sz w:val="24"/>
              </w:rPr>
            </w:r>
            <w:r/>
          </w:p>
        </w:tc>
        <w:tc>
          <w:tcPr>
            <w:tcW w:w="927" w:type="dxa"/>
            <w:vAlign w:val="center"/>
            <w:textDirection w:val="lrTb"/>
            <w:noWrap/>
          </w:tcPr>
          <w:p>
            <w:pPr>
              <w:pStyle w:val="963"/>
              <w:jc w:val="center"/>
              <w:spacing w:line="360" w:lineRule="auto"/>
              <w:widowControl/>
              <w:rPr>
                <w:b/>
                <w:bCs/>
                <w:color w:val="000000"/>
                <w:sz w:val="24"/>
              </w:rPr>
            </w:pPr>
            <w:r>
              <w:rPr>
                <w:b/>
                <w:bCs/>
                <w:color w:val="000000"/>
                <w:sz w:val="24"/>
              </w:rPr>
              <w:t xml:space="preserve">数量</w:t>
            </w:r>
            <w:r>
              <w:rPr>
                <w:b/>
                <w:bCs/>
                <w:color w:val="000000"/>
                <w:sz w:val="24"/>
              </w:rPr>
            </w:r>
            <w:r/>
          </w:p>
        </w:tc>
      </w:tr>
      <w:tr>
        <w:trPr>
          <w:cantSplit/>
          <w:trHeight w:val="280"/>
        </w:trPr>
        <w:tc>
          <w:tcPr>
            <w:tcW w:w="706" w:type="dxa"/>
            <w:vAlign w:val="center"/>
            <w:textDirection w:val="lrTb"/>
            <w:noWrap/>
          </w:tcPr>
          <w:p>
            <w:pPr>
              <w:pStyle w:val="963"/>
              <w:jc w:val="center"/>
              <w:spacing w:line="360" w:lineRule="auto"/>
              <w:widowControl/>
              <w:rPr>
                <w:color w:val="000000"/>
                <w:sz w:val="24"/>
              </w:rPr>
            </w:pPr>
            <w:r>
              <w:rPr>
                <w:color w:val="000000"/>
                <w:sz w:val="24"/>
              </w:rPr>
              <w:t xml:space="preserve">1</w:t>
            </w:r>
            <w:r>
              <w:rPr>
                <w:color w:val="000000"/>
                <w:sz w:val="24"/>
              </w:rPr>
            </w:r>
            <w:r/>
          </w:p>
        </w:tc>
        <w:tc>
          <w:tcPr>
            <w:tcW w:w="1740" w:type="dxa"/>
            <w:vAlign w:val="center"/>
            <w:vMerge w:val="restart"/>
            <w:textDirection w:val="lrTb"/>
            <w:noWrap w:val="false"/>
          </w:tcPr>
          <w:p>
            <w:pPr>
              <w:pStyle w:val="963"/>
              <w:jc w:val="center"/>
              <w:spacing w:line="360" w:lineRule="auto"/>
              <w:widowControl/>
              <w:rPr>
                <w:color w:val="000000"/>
                <w:sz w:val="24"/>
              </w:rPr>
            </w:pPr>
            <w:r>
              <w:rPr>
                <w:color w:val="000000"/>
                <w:sz w:val="24"/>
              </w:rPr>
              <w:t xml:space="preserve">市区街镇大气环境自动监测站（赣榆区13个站和海州区锦屏镇、新坝镇、板浦镇、浦南镇4个站）</w:t>
            </w:r>
            <w:r>
              <w:rPr>
                <w:color w:val="000000"/>
                <w:sz w:val="24"/>
              </w:rPr>
            </w:r>
            <w:r/>
          </w:p>
        </w:tc>
        <w:tc>
          <w:tcPr>
            <w:tcW w:w="2846" w:type="dxa"/>
            <w:vAlign w:val="center"/>
            <w:textDirection w:val="lrTb"/>
            <w:noWrap w:val="false"/>
          </w:tcPr>
          <w:p>
            <w:pPr>
              <w:pStyle w:val="963"/>
              <w:jc w:val="center"/>
              <w:spacing w:line="360" w:lineRule="auto"/>
              <w:widowControl/>
              <w:rPr>
                <w:color w:val="000000"/>
                <w:sz w:val="24"/>
              </w:rPr>
            </w:pPr>
            <w:r>
              <w:rPr>
                <w:color w:val="000000"/>
                <w:sz w:val="24"/>
              </w:rPr>
              <w:t xml:space="preserve">二氧化硫分析仪</w:t>
            </w:r>
            <w:r>
              <w:rPr>
                <w:color w:val="000000"/>
                <w:sz w:val="24"/>
              </w:rPr>
            </w:r>
            <w:r/>
          </w:p>
        </w:tc>
        <w:tc>
          <w:tcPr>
            <w:tcW w:w="2303" w:type="dxa"/>
            <w:vAlign w:val="center"/>
            <w:textDirection w:val="lrTb"/>
            <w:noWrap w:val="false"/>
          </w:tcPr>
          <w:p>
            <w:pPr>
              <w:pStyle w:val="963"/>
              <w:jc w:val="center"/>
              <w:spacing w:line="360" w:lineRule="auto"/>
              <w:widowControl/>
              <w:rPr>
                <w:color w:val="000000"/>
                <w:sz w:val="24"/>
              </w:rPr>
            </w:pPr>
            <w:r>
              <w:rPr>
                <w:color w:val="000000"/>
                <w:sz w:val="24"/>
              </w:rPr>
              <w:t xml:space="preserve">聚光科技、AQMS-500</w:t>
            </w:r>
            <w:r>
              <w:rPr>
                <w:color w:val="000000"/>
                <w:sz w:val="24"/>
              </w:rPr>
            </w:r>
            <w:r/>
          </w:p>
        </w:tc>
        <w:tc>
          <w:tcPr>
            <w:tcW w:w="927" w:type="dxa"/>
            <w:vAlign w:val="center"/>
            <w:textDirection w:val="lrTb"/>
            <w:noWrap w:val="false"/>
          </w:tcPr>
          <w:p>
            <w:pPr>
              <w:pStyle w:val="963"/>
              <w:jc w:val="center"/>
              <w:spacing w:line="360" w:lineRule="auto"/>
              <w:widowControl/>
              <w:rPr>
                <w:color w:val="000000"/>
                <w:sz w:val="24"/>
              </w:rPr>
            </w:pPr>
            <w:r>
              <w:rPr>
                <w:color w:val="000000"/>
                <w:sz w:val="24"/>
              </w:rPr>
              <w:t xml:space="preserve">17</w:t>
            </w:r>
            <w:r>
              <w:rPr>
                <w:color w:val="000000"/>
                <w:sz w:val="24"/>
              </w:rPr>
            </w:r>
            <w:r/>
          </w:p>
        </w:tc>
      </w:tr>
      <w:tr>
        <w:trPr>
          <w:cantSplit/>
          <w:trHeight w:val="280"/>
        </w:trPr>
        <w:tc>
          <w:tcPr>
            <w:tcW w:w="706" w:type="dxa"/>
            <w:vAlign w:val="center"/>
            <w:textDirection w:val="lrTb"/>
            <w:noWrap/>
          </w:tcPr>
          <w:p>
            <w:pPr>
              <w:pStyle w:val="963"/>
              <w:jc w:val="center"/>
              <w:spacing w:line="360" w:lineRule="auto"/>
              <w:widowControl/>
              <w:rPr>
                <w:color w:val="000000"/>
                <w:sz w:val="24"/>
              </w:rPr>
            </w:pPr>
            <w:r>
              <w:rPr>
                <w:color w:val="000000"/>
                <w:sz w:val="24"/>
              </w:rPr>
              <w:t xml:space="preserve">2</w:t>
            </w:r>
            <w:r>
              <w:rPr>
                <w:color w:val="000000"/>
                <w:sz w:val="24"/>
              </w:rPr>
            </w:r>
            <w:r/>
          </w:p>
        </w:tc>
        <w:tc>
          <w:tcPr>
            <w:tcW w:w="1740" w:type="dxa"/>
            <w:vAlign w:val="center"/>
            <w:vMerge w:val="continue"/>
            <w:textDirection w:val="lrTb"/>
            <w:noWrap w:val="false"/>
          </w:tcPr>
          <w:p>
            <w:pPr>
              <w:pStyle w:val="963"/>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pStyle w:val="963"/>
              <w:jc w:val="center"/>
              <w:spacing w:line="360" w:lineRule="auto"/>
              <w:widowControl/>
              <w:rPr>
                <w:color w:val="000000"/>
                <w:sz w:val="24"/>
              </w:rPr>
            </w:pPr>
            <w:r>
              <w:rPr>
                <w:color w:val="000000"/>
                <w:sz w:val="24"/>
              </w:rPr>
              <w:t xml:space="preserve">氮氧化物分析仪</w:t>
            </w:r>
            <w:r>
              <w:rPr>
                <w:color w:val="000000"/>
                <w:sz w:val="24"/>
              </w:rPr>
            </w:r>
            <w:r/>
          </w:p>
        </w:tc>
        <w:tc>
          <w:tcPr>
            <w:tcW w:w="2303" w:type="dxa"/>
            <w:vAlign w:val="center"/>
            <w:textDirection w:val="lrTb"/>
            <w:noWrap w:val="false"/>
          </w:tcPr>
          <w:p>
            <w:pPr>
              <w:pStyle w:val="963"/>
              <w:jc w:val="center"/>
              <w:spacing w:line="360" w:lineRule="auto"/>
              <w:widowControl/>
              <w:rPr>
                <w:color w:val="000000"/>
                <w:sz w:val="24"/>
              </w:rPr>
            </w:pPr>
            <w:r>
              <w:rPr>
                <w:color w:val="000000"/>
                <w:sz w:val="24"/>
              </w:rPr>
              <w:t xml:space="preserve">聚光科技、AQMS-600</w:t>
            </w:r>
            <w:r>
              <w:rPr>
                <w:color w:val="000000"/>
                <w:sz w:val="24"/>
              </w:rPr>
            </w:r>
            <w:r/>
          </w:p>
        </w:tc>
        <w:tc>
          <w:tcPr>
            <w:tcW w:w="927" w:type="dxa"/>
            <w:vAlign w:val="center"/>
            <w:textDirection w:val="lrTb"/>
            <w:noWrap w:val="false"/>
          </w:tcPr>
          <w:p>
            <w:pPr>
              <w:pStyle w:val="963"/>
              <w:jc w:val="center"/>
              <w:spacing w:line="360" w:lineRule="auto"/>
              <w:widowControl/>
              <w:rPr>
                <w:color w:val="000000"/>
                <w:sz w:val="24"/>
              </w:rPr>
            </w:pPr>
            <w:r>
              <w:rPr>
                <w:color w:val="000000"/>
                <w:sz w:val="24"/>
              </w:rPr>
              <w:t xml:space="preserve">17</w:t>
            </w:r>
            <w:r>
              <w:rPr>
                <w:color w:val="000000"/>
                <w:sz w:val="24"/>
              </w:rPr>
            </w:r>
            <w:r/>
          </w:p>
        </w:tc>
      </w:tr>
      <w:tr>
        <w:trPr>
          <w:cantSplit/>
          <w:trHeight w:val="280"/>
        </w:trPr>
        <w:tc>
          <w:tcPr>
            <w:tcW w:w="706" w:type="dxa"/>
            <w:vAlign w:val="center"/>
            <w:textDirection w:val="lrTb"/>
            <w:noWrap/>
          </w:tcPr>
          <w:p>
            <w:pPr>
              <w:pStyle w:val="963"/>
              <w:jc w:val="center"/>
              <w:spacing w:line="360" w:lineRule="auto"/>
              <w:widowControl/>
              <w:rPr>
                <w:color w:val="000000"/>
                <w:sz w:val="24"/>
              </w:rPr>
            </w:pPr>
            <w:r>
              <w:rPr>
                <w:color w:val="000000"/>
                <w:sz w:val="24"/>
              </w:rPr>
              <w:t xml:space="preserve">3</w:t>
            </w:r>
            <w:r>
              <w:rPr>
                <w:color w:val="000000"/>
                <w:sz w:val="24"/>
              </w:rPr>
            </w:r>
            <w:r/>
          </w:p>
        </w:tc>
        <w:tc>
          <w:tcPr>
            <w:tcW w:w="1740" w:type="dxa"/>
            <w:vAlign w:val="center"/>
            <w:vMerge w:val="continue"/>
            <w:textDirection w:val="lrTb"/>
            <w:noWrap w:val="false"/>
          </w:tcPr>
          <w:p>
            <w:pPr>
              <w:pStyle w:val="963"/>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pStyle w:val="963"/>
              <w:jc w:val="center"/>
              <w:spacing w:line="360" w:lineRule="auto"/>
              <w:widowControl/>
              <w:rPr>
                <w:color w:val="000000"/>
                <w:sz w:val="24"/>
              </w:rPr>
            </w:pPr>
            <w:r>
              <w:rPr>
                <w:color w:val="000000"/>
                <w:sz w:val="24"/>
              </w:rPr>
              <w:t xml:space="preserve">臭氧分析仪</w:t>
            </w:r>
            <w:r>
              <w:rPr>
                <w:color w:val="000000"/>
                <w:sz w:val="24"/>
              </w:rPr>
            </w:r>
            <w:r/>
          </w:p>
        </w:tc>
        <w:tc>
          <w:tcPr>
            <w:tcW w:w="2303" w:type="dxa"/>
            <w:vAlign w:val="center"/>
            <w:textDirection w:val="lrTb"/>
            <w:noWrap w:val="false"/>
          </w:tcPr>
          <w:p>
            <w:pPr>
              <w:pStyle w:val="963"/>
              <w:jc w:val="center"/>
              <w:spacing w:line="360" w:lineRule="auto"/>
              <w:widowControl/>
              <w:rPr>
                <w:color w:val="000000"/>
                <w:sz w:val="24"/>
              </w:rPr>
            </w:pPr>
            <w:r>
              <w:rPr>
                <w:color w:val="000000"/>
                <w:sz w:val="24"/>
              </w:rPr>
              <w:t xml:space="preserve">聚光科技、AQMS-300</w:t>
            </w:r>
            <w:r>
              <w:rPr>
                <w:color w:val="000000"/>
                <w:sz w:val="24"/>
              </w:rPr>
            </w:r>
            <w:r/>
          </w:p>
        </w:tc>
        <w:tc>
          <w:tcPr>
            <w:tcW w:w="927" w:type="dxa"/>
            <w:vAlign w:val="center"/>
            <w:textDirection w:val="lrTb"/>
            <w:noWrap w:val="false"/>
          </w:tcPr>
          <w:p>
            <w:pPr>
              <w:pStyle w:val="963"/>
              <w:jc w:val="center"/>
              <w:spacing w:line="360" w:lineRule="auto"/>
              <w:widowControl/>
              <w:rPr>
                <w:color w:val="000000"/>
                <w:sz w:val="24"/>
              </w:rPr>
            </w:pPr>
            <w:r>
              <w:rPr>
                <w:color w:val="000000"/>
                <w:sz w:val="24"/>
              </w:rPr>
              <w:t xml:space="preserve">17</w:t>
            </w:r>
            <w:r>
              <w:rPr>
                <w:color w:val="000000"/>
                <w:sz w:val="24"/>
              </w:rPr>
            </w:r>
            <w:r/>
          </w:p>
        </w:tc>
      </w:tr>
      <w:tr>
        <w:trPr>
          <w:cantSplit/>
          <w:trHeight w:val="280"/>
        </w:trPr>
        <w:tc>
          <w:tcPr>
            <w:tcW w:w="706" w:type="dxa"/>
            <w:vAlign w:val="center"/>
            <w:textDirection w:val="lrTb"/>
            <w:noWrap/>
          </w:tcPr>
          <w:p>
            <w:pPr>
              <w:pStyle w:val="963"/>
              <w:jc w:val="center"/>
              <w:spacing w:line="360" w:lineRule="auto"/>
              <w:widowControl/>
              <w:rPr>
                <w:color w:val="000000"/>
                <w:sz w:val="24"/>
              </w:rPr>
            </w:pPr>
            <w:r>
              <w:rPr>
                <w:color w:val="000000"/>
                <w:sz w:val="24"/>
              </w:rPr>
              <w:t xml:space="preserve">4</w:t>
            </w:r>
            <w:r>
              <w:rPr>
                <w:color w:val="000000"/>
                <w:sz w:val="24"/>
              </w:rPr>
            </w:r>
            <w:r/>
          </w:p>
        </w:tc>
        <w:tc>
          <w:tcPr>
            <w:tcW w:w="1740" w:type="dxa"/>
            <w:vAlign w:val="center"/>
            <w:vMerge w:val="continue"/>
            <w:textDirection w:val="lrTb"/>
            <w:noWrap w:val="false"/>
          </w:tcPr>
          <w:p>
            <w:pPr>
              <w:pStyle w:val="963"/>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pStyle w:val="963"/>
              <w:jc w:val="center"/>
              <w:spacing w:line="360" w:lineRule="auto"/>
              <w:widowControl/>
              <w:rPr>
                <w:color w:val="000000"/>
                <w:sz w:val="24"/>
              </w:rPr>
            </w:pPr>
            <w:r>
              <w:rPr>
                <w:color w:val="000000"/>
                <w:sz w:val="24"/>
              </w:rPr>
              <w:t xml:space="preserve">一氧化碳分析仪</w:t>
            </w:r>
            <w:r>
              <w:rPr>
                <w:color w:val="000000"/>
                <w:sz w:val="24"/>
              </w:rPr>
            </w:r>
            <w:r/>
          </w:p>
        </w:tc>
        <w:tc>
          <w:tcPr>
            <w:tcW w:w="2303" w:type="dxa"/>
            <w:vAlign w:val="center"/>
            <w:textDirection w:val="lrTb"/>
            <w:noWrap w:val="false"/>
          </w:tcPr>
          <w:p>
            <w:pPr>
              <w:pStyle w:val="963"/>
              <w:jc w:val="center"/>
              <w:spacing w:line="360" w:lineRule="auto"/>
              <w:widowControl/>
              <w:rPr>
                <w:color w:val="000000"/>
                <w:sz w:val="24"/>
              </w:rPr>
            </w:pPr>
            <w:r>
              <w:rPr>
                <w:color w:val="000000"/>
                <w:sz w:val="24"/>
              </w:rPr>
              <w:t xml:space="preserve">聚光科技、AQMS-400</w:t>
            </w:r>
            <w:r>
              <w:rPr>
                <w:color w:val="000000"/>
                <w:sz w:val="24"/>
              </w:rPr>
            </w:r>
            <w:r/>
          </w:p>
        </w:tc>
        <w:tc>
          <w:tcPr>
            <w:tcW w:w="927" w:type="dxa"/>
            <w:vAlign w:val="center"/>
            <w:textDirection w:val="lrTb"/>
            <w:noWrap w:val="false"/>
          </w:tcPr>
          <w:p>
            <w:pPr>
              <w:pStyle w:val="963"/>
              <w:jc w:val="center"/>
              <w:spacing w:line="360" w:lineRule="auto"/>
              <w:widowControl/>
              <w:rPr>
                <w:color w:val="000000"/>
                <w:sz w:val="24"/>
              </w:rPr>
            </w:pPr>
            <w:r>
              <w:rPr>
                <w:color w:val="000000"/>
                <w:sz w:val="24"/>
              </w:rPr>
              <w:t xml:space="preserve">17</w:t>
            </w:r>
            <w:r>
              <w:rPr>
                <w:color w:val="000000"/>
                <w:sz w:val="24"/>
              </w:rPr>
            </w:r>
            <w:r/>
          </w:p>
        </w:tc>
      </w:tr>
      <w:tr>
        <w:trPr>
          <w:cantSplit/>
          <w:trHeight w:val="280"/>
        </w:trPr>
        <w:tc>
          <w:tcPr>
            <w:tcW w:w="706" w:type="dxa"/>
            <w:vAlign w:val="center"/>
            <w:textDirection w:val="lrTb"/>
            <w:noWrap/>
          </w:tcPr>
          <w:p>
            <w:pPr>
              <w:pStyle w:val="963"/>
              <w:jc w:val="center"/>
              <w:spacing w:line="360" w:lineRule="auto"/>
              <w:widowControl/>
              <w:rPr>
                <w:color w:val="000000"/>
                <w:sz w:val="24"/>
              </w:rPr>
            </w:pPr>
            <w:r>
              <w:rPr>
                <w:color w:val="000000"/>
                <w:sz w:val="24"/>
              </w:rPr>
              <w:t xml:space="preserve">5</w:t>
            </w:r>
            <w:r>
              <w:rPr>
                <w:color w:val="000000"/>
                <w:sz w:val="24"/>
              </w:rPr>
            </w:r>
            <w:r/>
          </w:p>
        </w:tc>
        <w:tc>
          <w:tcPr>
            <w:tcW w:w="1740" w:type="dxa"/>
            <w:vAlign w:val="center"/>
            <w:vMerge w:val="continue"/>
            <w:textDirection w:val="lrTb"/>
            <w:noWrap w:val="false"/>
          </w:tcPr>
          <w:p>
            <w:pPr>
              <w:pStyle w:val="963"/>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pStyle w:val="963"/>
              <w:jc w:val="center"/>
              <w:spacing w:line="360" w:lineRule="auto"/>
              <w:widowControl/>
              <w:rPr>
                <w:color w:val="000000"/>
                <w:sz w:val="24"/>
              </w:rPr>
            </w:pPr>
            <w:r>
              <w:rPr>
                <w:color w:val="000000"/>
                <w:sz w:val="24"/>
              </w:rPr>
              <w:t xml:space="preserve">PM</w:t>
            </w:r>
            <w:r>
              <w:rPr>
                <w:color w:val="000000"/>
                <w:sz w:val="24"/>
                <w:vertAlign w:val="subscript"/>
              </w:rPr>
              <w:t xml:space="preserve">10</w:t>
            </w:r>
            <w:r>
              <w:rPr>
                <w:color w:val="000000"/>
                <w:sz w:val="24"/>
              </w:rPr>
              <w:t xml:space="preserve">分析仪</w:t>
            </w:r>
            <w:r>
              <w:rPr>
                <w:color w:val="000000"/>
                <w:sz w:val="24"/>
              </w:rPr>
            </w:r>
            <w:r/>
          </w:p>
        </w:tc>
        <w:tc>
          <w:tcPr>
            <w:tcW w:w="2303" w:type="dxa"/>
            <w:vAlign w:val="center"/>
            <w:textDirection w:val="lrTb"/>
            <w:noWrap w:val="false"/>
          </w:tcPr>
          <w:p>
            <w:pPr>
              <w:pStyle w:val="963"/>
              <w:jc w:val="center"/>
              <w:spacing w:line="360" w:lineRule="auto"/>
              <w:widowControl/>
              <w:rPr>
                <w:color w:val="000000"/>
                <w:sz w:val="24"/>
              </w:rPr>
            </w:pPr>
            <w:r>
              <w:rPr>
                <w:color w:val="000000"/>
                <w:sz w:val="24"/>
              </w:rPr>
              <w:t xml:space="preserve">赛默飞、5014i</w:t>
            </w:r>
            <w:r>
              <w:rPr>
                <w:color w:val="000000"/>
                <w:sz w:val="24"/>
              </w:rPr>
            </w:r>
            <w:r/>
          </w:p>
        </w:tc>
        <w:tc>
          <w:tcPr>
            <w:tcW w:w="927" w:type="dxa"/>
            <w:vAlign w:val="center"/>
            <w:textDirection w:val="lrTb"/>
            <w:noWrap w:val="false"/>
          </w:tcPr>
          <w:p>
            <w:pPr>
              <w:pStyle w:val="963"/>
              <w:jc w:val="center"/>
              <w:spacing w:line="360" w:lineRule="auto"/>
              <w:widowControl/>
              <w:rPr>
                <w:color w:val="000000"/>
                <w:sz w:val="24"/>
              </w:rPr>
            </w:pPr>
            <w:r>
              <w:rPr>
                <w:color w:val="000000"/>
                <w:sz w:val="24"/>
              </w:rPr>
              <w:t xml:space="preserve">17</w:t>
            </w:r>
            <w:r>
              <w:rPr>
                <w:color w:val="000000"/>
                <w:sz w:val="24"/>
              </w:rPr>
            </w:r>
            <w:r/>
          </w:p>
        </w:tc>
      </w:tr>
      <w:tr>
        <w:trPr>
          <w:cantSplit/>
          <w:trHeight w:val="280"/>
        </w:trPr>
        <w:tc>
          <w:tcPr>
            <w:tcW w:w="706" w:type="dxa"/>
            <w:vAlign w:val="center"/>
            <w:textDirection w:val="lrTb"/>
            <w:noWrap/>
          </w:tcPr>
          <w:p>
            <w:pPr>
              <w:pStyle w:val="963"/>
              <w:jc w:val="center"/>
              <w:spacing w:line="360" w:lineRule="auto"/>
              <w:widowControl/>
              <w:rPr>
                <w:color w:val="000000"/>
                <w:sz w:val="24"/>
              </w:rPr>
            </w:pPr>
            <w:r>
              <w:rPr>
                <w:color w:val="000000"/>
                <w:sz w:val="24"/>
              </w:rPr>
              <w:t xml:space="preserve">6</w:t>
            </w:r>
            <w:r>
              <w:rPr>
                <w:color w:val="000000"/>
                <w:sz w:val="24"/>
              </w:rPr>
            </w:r>
            <w:r/>
          </w:p>
        </w:tc>
        <w:tc>
          <w:tcPr>
            <w:tcW w:w="1740" w:type="dxa"/>
            <w:vAlign w:val="center"/>
            <w:vMerge w:val="continue"/>
            <w:textDirection w:val="lrTb"/>
            <w:noWrap w:val="false"/>
          </w:tcPr>
          <w:p>
            <w:pPr>
              <w:pStyle w:val="963"/>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pStyle w:val="963"/>
              <w:jc w:val="center"/>
              <w:spacing w:line="360" w:lineRule="auto"/>
              <w:widowControl/>
              <w:rPr>
                <w:color w:val="000000"/>
                <w:sz w:val="24"/>
              </w:rPr>
            </w:pPr>
            <w:r>
              <w:rPr>
                <w:color w:val="000000"/>
                <w:sz w:val="24"/>
              </w:rPr>
              <w:t xml:space="preserve">采样系统</w:t>
            </w:r>
            <w:r>
              <w:rPr>
                <w:color w:val="000000"/>
                <w:sz w:val="24"/>
              </w:rPr>
            </w:r>
            <w:r/>
          </w:p>
        </w:tc>
        <w:tc>
          <w:tcPr>
            <w:tcW w:w="2303" w:type="dxa"/>
            <w:vAlign w:val="center"/>
            <w:textDirection w:val="lrTb"/>
            <w:noWrap w:val="false"/>
          </w:tcPr>
          <w:p>
            <w:pPr>
              <w:pStyle w:val="963"/>
              <w:jc w:val="center"/>
              <w:spacing w:line="360" w:lineRule="auto"/>
              <w:widowControl/>
              <w:rPr>
                <w:color w:val="000000"/>
                <w:sz w:val="24"/>
              </w:rPr>
            </w:pPr>
            <w:r>
              <w:rPr>
                <w:color w:val="000000"/>
                <w:sz w:val="24"/>
              </w:rPr>
              <w:t xml:space="preserve">DEA09</w:t>
            </w:r>
            <w:r>
              <w:rPr>
                <w:color w:val="000000"/>
                <w:sz w:val="24"/>
              </w:rPr>
            </w:r>
            <w:r/>
          </w:p>
        </w:tc>
        <w:tc>
          <w:tcPr>
            <w:tcW w:w="927" w:type="dxa"/>
            <w:vAlign w:val="center"/>
            <w:textDirection w:val="lrTb"/>
            <w:noWrap w:val="false"/>
          </w:tcPr>
          <w:p>
            <w:pPr>
              <w:pStyle w:val="963"/>
              <w:jc w:val="center"/>
              <w:spacing w:line="360" w:lineRule="auto"/>
              <w:widowControl/>
              <w:rPr>
                <w:color w:val="000000"/>
                <w:sz w:val="24"/>
              </w:rPr>
            </w:pPr>
            <w:r>
              <w:rPr>
                <w:color w:val="000000"/>
                <w:sz w:val="24"/>
              </w:rPr>
              <w:t xml:space="preserve">17</w:t>
            </w:r>
            <w:r>
              <w:rPr>
                <w:color w:val="000000"/>
                <w:sz w:val="24"/>
              </w:rPr>
            </w:r>
            <w:r/>
          </w:p>
        </w:tc>
      </w:tr>
      <w:tr>
        <w:trPr>
          <w:cantSplit/>
          <w:trHeight w:val="280"/>
        </w:trPr>
        <w:tc>
          <w:tcPr>
            <w:tcW w:w="706" w:type="dxa"/>
            <w:vAlign w:val="center"/>
            <w:textDirection w:val="lrTb"/>
            <w:noWrap/>
          </w:tcPr>
          <w:p>
            <w:pPr>
              <w:pStyle w:val="963"/>
              <w:jc w:val="center"/>
              <w:spacing w:line="360" w:lineRule="auto"/>
              <w:widowControl/>
              <w:rPr>
                <w:color w:val="000000"/>
                <w:sz w:val="24"/>
              </w:rPr>
            </w:pPr>
            <w:r>
              <w:rPr>
                <w:color w:val="000000"/>
                <w:sz w:val="24"/>
              </w:rPr>
              <w:t xml:space="preserve">7</w:t>
            </w:r>
            <w:r>
              <w:rPr>
                <w:color w:val="000000"/>
                <w:sz w:val="24"/>
              </w:rPr>
            </w:r>
            <w:r/>
          </w:p>
        </w:tc>
        <w:tc>
          <w:tcPr>
            <w:tcW w:w="1740" w:type="dxa"/>
            <w:vAlign w:val="center"/>
            <w:vMerge w:val="continue"/>
            <w:textDirection w:val="lrTb"/>
            <w:noWrap w:val="false"/>
          </w:tcPr>
          <w:p>
            <w:pPr>
              <w:pStyle w:val="963"/>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pStyle w:val="963"/>
              <w:jc w:val="center"/>
              <w:spacing w:line="360" w:lineRule="auto"/>
              <w:widowControl/>
              <w:rPr>
                <w:color w:val="000000"/>
                <w:sz w:val="24"/>
              </w:rPr>
            </w:pPr>
            <w:r>
              <w:rPr>
                <w:color w:val="000000"/>
                <w:sz w:val="24"/>
              </w:rPr>
              <w:t xml:space="preserve">机架等辅助设备</w:t>
            </w:r>
            <w:r>
              <w:rPr>
                <w:color w:val="000000"/>
                <w:sz w:val="24"/>
              </w:rPr>
            </w:r>
            <w:r/>
          </w:p>
        </w:tc>
        <w:tc>
          <w:tcPr>
            <w:tcW w:w="2303" w:type="dxa"/>
            <w:vAlign w:val="center"/>
            <w:textDirection w:val="lrTb"/>
            <w:noWrap w:val="false"/>
          </w:tcPr>
          <w:p>
            <w:pPr>
              <w:pStyle w:val="963"/>
              <w:jc w:val="center"/>
              <w:spacing w:line="360" w:lineRule="auto"/>
              <w:widowControl/>
              <w:rPr>
                <w:color w:val="000000"/>
                <w:sz w:val="24"/>
              </w:rPr>
            </w:pPr>
            <w:r>
              <w:rPr>
                <w:color w:val="000000"/>
                <w:sz w:val="24"/>
              </w:rPr>
              <w:t xml:space="preserve">2000*600*900mm</w:t>
            </w:r>
            <w:r>
              <w:rPr>
                <w:color w:val="000000"/>
                <w:sz w:val="24"/>
              </w:rPr>
            </w:r>
            <w:r/>
          </w:p>
        </w:tc>
        <w:tc>
          <w:tcPr>
            <w:tcW w:w="927" w:type="dxa"/>
            <w:vAlign w:val="center"/>
            <w:textDirection w:val="lrTb"/>
            <w:noWrap w:val="false"/>
          </w:tcPr>
          <w:p>
            <w:pPr>
              <w:pStyle w:val="963"/>
              <w:jc w:val="center"/>
              <w:spacing w:line="360" w:lineRule="auto"/>
              <w:widowControl/>
              <w:rPr>
                <w:color w:val="000000"/>
                <w:sz w:val="24"/>
              </w:rPr>
            </w:pPr>
            <w:r>
              <w:rPr>
                <w:color w:val="000000"/>
                <w:sz w:val="24"/>
              </w:rPr>
              <w:t xml:space="preserve">17</w:t>
            </w:r>
            <w:r>
              <w:rPr>
                <w:color w:val="000000"/>
                <w:sz w:val="24"/>
              </w:rPr>
            </w:r>
            <w:r/>
          </w:p>
        </w:tc>
      </w:tr>
      <w:tr>
        <w:trPr>
          <w:cantSplit/>
          <w:trHeight w:val="280"/>
        </w:trPr>
        <w:tc>
          <w:tcPr>
            <w:tcW w:w="706" w:type="dxa"/>
            <w:vAlign w:val="center"/>
            <w:textDirection w:val="lrTb"/>
            <w:noWrap/>
          </w:tcPr>
          <w:p>
            <w:pPr>
              <w:pStyle w:val="963"/>
              <w:jc w:val="center"/>
              <w:spacing w:line="360" w:lineRule="auto"/>
              <w:widowControl/>
              <w:rPr>
                <w:color w:val="000000"/>
                <w:sz w:val="24"/>
              </w:rPr>
            </w:pPr>
            <w:r>
              <w:rPr>
                <w:color w:val="000000"/>
                <w:sz w:val="24"/>
              </w:rPr>
              <w:t xml:space="preserve">8</w:t>
            </w:r>
            <w:r>
              <w:rPr>
                <w:color w:val="000000"/>
                <w:sz w:val="24"/>
              </w:rPr>
            </w:r>
            <w:r/>
          </w:p>
        </w:tc>
        <w:tc>
          <w:tcPr>
            <w:tcW w:w="1740" w:type="dxa"/>
            <w:vAlign w:val="center"/>
            <w:vMerge w:val="continue"/>
            <w:textDirection w:val="lrTb"/>
            <w:noWrap w:val="false"/>
          </w:tcPr>
          <w:p>
            <w:pPr>
              <w:pStyle w:val="963"/>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pStyle w:val="963"/>
              <w:jc w:val="center"/>
              <w:spacing w:line="360" w:lineRule="auto"/>
              <w:widowControl/>
              <w:rPr>
                <w:color w:val="000000"/>
                <w:sz w:val="24"/>
              </w:rPr>
            </w:pPr>
            <w:r>
              <w:rPr>
                <w:color w:val="000000"/>
                <w:sz w:val="24"/>
              </w:rPr>
              <w:t xml:space="preserve">数据采集系统（含工控机）</w:t>
            </w:r>
            <w:r>
              <w:rPr>
                <w:color w:val="000000"/>
                <w:sz w:val="24"/>
              </w:rPr>
            </w:r>
            <w:r/>
          </w:p>
        </w:tc>
        <w:tc>
          <w:tcPr>
            <w:tcW w:w="2303" w:type="dxa"/>
            <w:vAlign w:val="center"/>
            <w:textDirection w:val="lrTb"/>
            <w:noWrap w:val="false"/>
          </w:tcPr>
          <w:p>
            <w:pPr>
              <w:pStyle w:val="963"/>
              <w:jc w:val="center"/>
              <w:spacing w:line="360" w:lineRule="auto"/>
              <w:widowControl/>
              <w:rPr>
                <w:color w:val="000000"/>
                <w:sz w:val="24"/>
              </w:rPr>
            </w:pPr>
            <w:r>
              <w:rPr>
                <w:color w:val="000000"/>
                <w:sz w:val="24"/>
              </w:rPr>
              <w:t xml:space="preserve">聚光科技、AQMS plus</w:t>
            </w:r>
            <w:r>
              <w:rPr>
                <w:color w:val="000000"/>
                <w:sz w:val="24"/>
              </w:rPr>
            </w:r>
            <w:r/>
          </w:p>
        </w:tc>
        <w:tc>
          <w:tcPr>
            <w:tcW w:w="927" w:type="dxa"/>
            <w:vAlign w:val="center"/>
            <w:textDirection w:val="lrTb"/>
            <w:noWrap w:val="false"/>
          </w:tcPr>
          <w:p>
            <w:pPr>
              <w:pStyle w:val="963"/>
              <w:jc w:val="center"/>
              <w:spacing w:line="360" w:lineRule="auto"/>
              <w:widowControl/>
              <w:rPr>
                <w:color w:val="000000"/>
                <w:sz w:val="24"/>
              </w:rPr>
            </w:pPr>
            <w:r>
              <w:rPr>
                <w:color w:val="000000"/>
                <w:sz w:val="24"/>
              </w:rPr>
              <w:t xml:space="preserve">17</w:t>
            </w:r>
            <w:r>
              <w:rPr>
                <w:color w:val="000000"/>
                <w:sz w:val="24"/>
              </w:rPr>
            </w:r>
            <w:r/>
          </w:p>
        </w:tc>
      </w:tr>
      <w:tr>
        <w:trPr>
          <w:cantSplit/>
          <w:trHeight w:val="280"/>
        </w:trPr>
        <w:tc>
          <w:tcPr>
            <w:tcW w:w="706" w:type="dxa"/>
            <w:vAlign w:val="center"/>
            <w:textDirection w:val="lrTb"/>
            <w:noWrap/>
          </w:tcPr>
          <w:p>
            <w:pPr>
              <w:pStyle w:val="963"/>
              <w:jc w:val="center"/>
              <w:spacing w:line="360" w:lineRule="auto"/>
              <w:widowControl/>
              <w:rPr>
                <w:color w:val="000000"/>
                <w:sz w:val="24"/>
              </w:rPr>
            </w:pPr>
            <w:r>
              <w:rPr>
                <w:color w:val="000000"/>
                <w:sz w:val="24"/>
              </w:rPr>
              <w:t xml:space="preserve">9</w:t>
            </w:r>
            <w:r>
              <w:rPr>
                <w:color w:val="000000"/>
                <w:sz w:val="24"/>
              </w:rPr>
            </w:r>
            <w:r/>
          </w:p>
        </w:tc>
        <w:tc>
          <w:tcPr>
            <w:tcW w:w="1740" w:type="dxa"/>
            <w:vAlign w:val="center"/>
            <w:vMerge w:val="continue"/>
            <w:textDirection w:val="lrTb"/>
            <w:noWrap w:val="false"/>
          </w:tcPr>
          <w:p>
            <w:pPr>
              <w:pStyle w:val="963"/>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pStyle w:val="963"/>
              <w:jc w:val="center"/>
              <w:spacing w:line="360" w:lineRule="auto"/>
              <w:widowControl/>
              <w:rPr>
                <w:color w:val="000000"/>
                <w:sz w:val="24"/>
              </w:rPr>
            </w:pPr>
            <w:r>
              <w:rPr>
                <w:color w:val="000000"/>
                <w:sz w:val="24"/>
              </w:rPr>
              <w:t xml:space="preserve">质控设备</w:t>
            </w:r>
            <w:r>
              <w:rPr>
                <w:color w:val="000000"/>
                <w:sz w:val="24"/>
              </w:rPr>
            </w:r>
            <w:r/>
          </w:p>
        </w:tc>
        <w:tc>
          <w:tcPr>
            <w:tcW w:w="2303" w:type="dxa"/>
            <w:vAlign w:val="center"/>
            <w:textDirection w:val="lrTb"/>
            <w:noWrap w:val="false"/>
          </w:tcPr>
          <w:p>
            <w:pPr>
              <w:pStyle w:val="963"/>
              <w:jc w:val="center"/>
              <w:spacing w:line="360" w:lineRule="auto"/>
              <w:widowControl/>
              <w:rPr>
                <w:color w:val="000000"/>
                <w:sz w:val="24"/>
              </w:rPr>
            </w:pPr>
            <w:r>
              <w:rPr>
                <w:color w:val="000000"/>
                <w:sz w:val="24"/>
              </w:rPr>
              <w:t xml:space="preserve">/</w:t>
            </w:r>
            <w:r>
              <w:rPr>
                <w:color w:val="000000"/>
                <w:sz w:val="24"/>
              </w:rPr>
            </w:r>
            <w:r/>
          </w:p>
        </w:tc>
        <w:tc>
          <w:tcPr>
            <w:tcW w:w="927" w:type="dxa"/>
            <w:vAlign w:val="center"/>
            <w:textDirection w:val="lrTb"/>
            <w:noWrap w:val="false"/>
          </w:tcPr>
          <w:p>
            <w:pPr>
              <w:pStyle w:val="963"/>
              <w:jc w:val="center"/>
              <w:spacing w:line="360" w:lineRule="auto"/>
              <w:widowControl/>
              <w:rPr>
                <w:color w:val="000000"/>
                <w:sz w:val="24"/>
              </w:rPr>
            </w:pPr>
            <w:r>
              <w:rPr>
                <w:color w:val="000000"/>
                <w:sz w:val="24"/>
              </w:rPr>
              <w:t xml:space="preserve">17</w:t>
            </w:r>
            <w:r>
              <w:rPr>
                <w:color w:val="000000"/>
                <w:sz w:val="24"/>
              </w:rPr>
            </w:r>
            <w:r/>
          </w:p>
        </w:tc>
      </w:tr>
      <w:tr>
        <w:trPr>
          <w:cantSplit/>
          <w:trHeight w:val="280"/>
        </w:trPr>
        <w:tc>
          <w:tcPr>
            <w:tcW w:w="706" w:type="dxa"/>
            <w:vAlign w:val="center"/>
            <w:textDirection w:val="lrTb"/>
            <w:noWrap/>
          </w:tcPr>
          <w:p>
            <w:pPr>
              <w:pStyle w:val="963"/>
              <w:jc w:val="center"/>
              <w:spacing w:line="360" w:lineRule="auto"/>
              <w:widowControl/>
              <w:rPr>
                <w:color w:val="000000"/>
                <w:sz w:val="24"/>
              </w:rPr>
            </w:pPr>
            <w:r>
              <w:rPr>
                <w:color w:val="000000"/>
                <w:sz w:val="24"/>
              </w:rPr>
              <w:t xml:space="preserve">10</w:t>
            </w:r>
            <w:r>
              <w:rPr>
                <w:color w:val="000000"/>
                <w:sz w:val="24"/>
              </w:rPr>
            </w:r>
            <w:r/>
          </w:p>
        </w:tc>
        <w:tc>
          <w:tcPr>
            <w:tcW w:w="1740" w:type="dxa"/>
            <w:vAlign w:val="center"/>
            <w:vMerge w:val="continue"/>
            <w:textDirection w:val="lrTb"/>
            <w:noWrap w:val="false"/>
          </w:tcPr>
          <w:p>
            <w:pPr>
              <w:pStyle w:val="963"/>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pStyle w:val="963"/>
              <w:jc w:val="center"/>
              <w:spacing w:line="360" w:lineRule="auto"/>
              <w:widowControl/>
              <w:rPr>
                <w:color w:val="000000"/>
                <w:sz w:val="24"/>
              </w:rPr>
            </w:pPr>
            <w:r>
              <w:rPr>
                <w:color w:val="000000"/>
                <w:sz w:val="24"/>
              </w:rPr>
              <w:t xml:space="preserve">动态校准仪（含臭氧模块）</w:t>
            </w:r>
            <w:r>
              <w:rPr>
                <w:color w:val="000000"/>
                <w:sz w:val="24"/>
              </w:rPr>
            </w:r>
            <w:r/>
          </w:p>
        </w:tc>
        <w:tc>
          <w:tcPr>
            <w:tcW w:w="2303" w:type="dxa"/>
            <w:vAlign w:val="center"/>
            <w:textDirection w:val="lrTb"/>
            <w:noWrap w:val="false"/>
          </w:tcPr>
          <w:p>
            <w:pPr>
              <w:pStyle w:val="963"/>
              <w:jc w:val="center"/>
              <w:spacing w:line="360" w:lineRule="auto"/>
              <w:widowControl/>
              <w:rPr>
                <w:color w:val="000000"/>
                <w:sz w:val="24"/>
              </w:rPr>
            </w:pPr>
            <w:r>
              <w:rPr>
                <w:color w:val="000000"/>
                <w:sz w:val="24"/>
              </w:rPr>
              <w:t xml:space="preserve">聚光科技、AQMS-200</w:t>
            </w:r>
            <w:r>
              <w:rPr>
                <w:color w:val="000000"/>
                <w:sz w:val="24"/>
              </w:rPr>
            </w:r>
            <w:r/>
          </w:p>
        </w:tc>
        <w:tc>
          <w:tcPr>
            <w:tcW w:w="927" w:type="dxa"/>
            <w:vAlign w:val="center"/>
            <w:textDirection w:val="lrTb"/>
            <w:noWrap w:val="false"/>
          </w:tcPr>
          <w:p>
            <w:pPr>
              <w:pStyle w:val="963"/>
              <w:jc w:val="center"/>
              <w:spacing w:line="360" w:lineRule="auto"/>
              <w:widowControl/>
              <w:rPr>
                <w:color w:val="000000"/>
                <w:sz w:val="24"/>
              </w:rPr>
            </w:pPr>
            <w:r>
              <w:rPr>
                <w:color w:val="000000"/>
                <w:sz w:val="24"/>
              </w:rPr>
              <w:t xml:space="preserve">17</w:t>
            </w:r>
            <w:r>
              <w:rPr>
                <w:color w:val="000000"/>
                <w:sz w:val="24"/>
              </w:rPr>
            </w:r>
            <w:r/>
          </w:p>
        </w:tc>
      </w:tr>
      <w:tr>
        <w:trPr>
          <w:cantSplit/>
          <w:trHeight w:val="280"/>
        </w:trPr>
        <w:tc>
          <w:tcPr>
            <w:tcW w:w="706" w:type="dxa"/>
            <w:vAlign w:val="center"/>
            <w:textDirection w:val="lrTb"/>
            <w:noWrap/>
          </w:tcPr>
          <w:p>
            <w:pPr>
              <w:pStyle w:val="963"/>
              <w:jc w:val="center"/>
              <w:spacing w:line="360" w:lineRule="auto"/>
              <w:widowControl/>
              <w:rPr>
                <w:color w:val="000000"/>
                <w:sz w:val="24"/>
              </w:rPr>
            </w:pPr>
            <w:r>
              <w:rPr>
                <w:color w:val="000000"/>
                <w:sz w:val="24"/>
              </w:rPr>
              <w:t xml:space="preserve">11</w:t>
            </w:r>
            <w:r>
              <w:rPr>
                <w:color w:val="000000"/>
                <w:sz w:val="24"/>
              </w:rPr>
            </w:r>
            <w:r/>
          </w:p>
        </w:tc>
        <w:tc>
          <w:tcPr>
            <w:tcW w:w="1740" w:type="dxa"/>
            <w:vAlign w:val="center"/>
            <w:vMerge w:val="continue"/>
            <w:textDirection w:val="lrTb"/>
            <w:noWrap w:val="false"/>
          </w:tcPr>
          <w:p>
            <w:pPr>
              <w:pStyle w:val="963"/>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pStyle w:val="963"/>
              <w:jc w:val="center"/>
              <w:spacing w:line="360" w:lineRule="auto"/>
              <w:widowControl/>
              <w:rPr>
                <w:color w:val="000000"/>
                <w:sz w:val="24"/>
              </w:rPr>
            </w:pPr>
            <w:r>
              <w:rPr>
                <w:color w:val="000000"/>
                <w:sz w:val="24"/>
              </w:rPr>
              <w:t xml:space="preserve">零气发生器</w:t>
            </w:r>
            <w:r>
              <w:rPr>
                <w:color w:val="000000"/>
                <w:sz w:val="24"/>
              </w:rPr>
            </w:r>
            <w:r/>
          </w:p>
        </w:tc>
        <w:tc>
          <w:tcPr>
            <w:tcW w:w="2303" w:type="dxa"/>
            <w:vAlign w:val="center"/>
            <w:textDirection w:val="lrTb"/>
            <w:noWrap w:val="false"/>
          </w:tcPr>
          <w:p>
            <w:pPr>
              <w:pStyle w:val="963"/>
              <w:jc w:val="center"/>
              <w:spacing w:line="360" w:lineRule="auto"/>
              <w:widowControl/>
              <w:rPr>
                <w:color w:val="000000"/>
                <w:sz w:val="24"/>
              </w:rPr>
            </w:pPr>
            <w:r>
              <w:rPr>
                <w:color w:val="000000"/>
                <w:sz w:val="24"/>
              </w:rPr>
              <w:t xml:space="preserve">聚光科技、AQMS-100</w:t>
            </w:r>
            <w:r>
              <w:rPr>
                <w:color w:val="000000"/>
                <w:sz w:val="24"/>
              </w:rPr>
            </w:r>
            <w:r/>
          </w:p>
        </w:tc>
        <w:tc>
          <w:tcPr>
            <w:tcW w:w="927" w:type="dxa"/>
            <w:vAlign w:val="center"/>
            <w:textDirection w:val="lrTb"/>
            <w:noWrap w:val="false"/>
          </w:tcPr>
          <w:p>
            <w:pPr>
              <w:pStyle w:val="963"/>
              <w:jc w:val="center"/>
              <w:spacing w:line="360" w:lineRule="auto"/>
              <w:widowControl/>
              <w:rPr>
                <w:color w:val="000000"/>
                <w:sz w:val="24"/>
              </w:rPr>
            </w:pPr>
            <w:r>
              <w:rPr>
                <w:color w:val="000000"/>
                <w:sz w:val="24"/>
              </w:rPr>
              <w:t xml:space="preserve">17</w:t>
            </w:r>
            <w:r>
              <w:rPr>
                <w:color w:val="000000"/>
                <w:sz w:val="24"/>
              </w:rPr>
            </w:r>
            <w:r/>
          </w:p>
        </w:tc>
      </w:tr>
      <w:tr>
        <w:trPr>
          <w:cantSplit/>
          <w:trHeight w:val="280"/>
        </w:trPr>
        <w:tc>
          <w:tcPr>
            <w:tcW w:w="706" w:type="dxa"/>
            <w:vAlign w:val="center"/>
            <w:textDirection w:val="lrTb"/>
            <w:noWrap/>
          </w:tcPr>
          <w:p>
            <w:pPr>
              <w:pStyle w:val="963"/>
              <w:jc w:val="center"/>
              <w:spacing w:line="360" w:lineRule="auto"/>
              <w:widowControl/>
              <w:rPr>
                <w:color w:val="000000"/>
                <w:sz w:val="24"/>
              </w:rPr>
            </w:pPr>
            <w:r>
              <w:rPr>
                <w:color w:val="000000"/>
                <w:sz w:val="24"/>
              </w:rPr>
              <w:t xml:space="preserve">12</w:t>
            </w:r>
            <w:r>
              <w:rPr>
                <w:color w:val="000000"/>
                <w:sz w:val="24"/>
              </w:rPr>
            </w:r>
            <w:r/>
          </w:p>
        </w:tc>
        <w:tc>
          <w:tcPr>
            <w:tcW w:w="1740" w:type="dxa"/>
            <w:vAlign w:val="center"/>
            <w:vMerge w:val="continue"/>
            <w:textDirection w:val="lrTb"/>
            <w:noWrap w:val="false"/>
          </w:tcPr>
          <w:p>
            <w:pPr>
              <w:pStyle w:val="963"/>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pStyle w:val="963"/>
              <w:jc w:val="center"/>
              <w:spacing w:line="360" w:lineRule="auto"/>
              <w:widowControl/>
              <w:rPr>
                <w:color w:val="000000"/>
                <w:sz w:val="24"/>
              </w:rPr>
            </w:pPr>
            <w:r>
              <w:rPr>
                <w:color w:val="000000"/>
                <w:sz w:val="24"/>
              </w:rPr>
              <w:t xml:space="preserve">视频监控系统</w:t>
            </w:r>
            <w:r>
              <w:rPr>
                <w:color w:val="000000"/>
                <w:sz w:val="24"/>
              </w:rPr>
            </w:r>
            <w:r/>
          </w:p>
        </w:tc>
        <w:tc>
          <w:tcPr>
            <w:tcW w:w="2303" w:type="dxa"/>
            <w:vAlign w:val="center"/>
            <w:textDirection w:val="lrTb"/>
            <w:noWrap w:val="false"/>
          </w:tcPr>
          <w:p>
            <w:pPr>
              <w:pStyle w:val="963"/>
              <w:jc w:val="center"/>
              <w:spacing w:line="360" w:lineRule="auto"/>
              <w:widowControl/>
              <w:rPr>
                <w:color w:val="000000"/>
                <w:sz w:val="24"/>
              </w:rPr>
            </w:pPr>
            <w:r>
              <w:rPr>
                <w:color w:val="000000"/>
                <w:sz w:val="24"/>
              </w:rPr>
              <w:t xml:space="preserve">/</w:t>
            </w:r>
            <w:r>
              <w:rPr>
                <w:color w:val="000000"/>
                <w:sz w:val="24"/>
              </w:rPr>
            </w:r>
            <w:r/>
          </w:p>
        </w:tc>
        <w:tc>
          <w:tcPr>
            <w:tcW w:w="927" w:type="dxa"/>
            <w:vAlign w:val="center"/>
            <w:textDirection w:val="lrTb"/>
            <w:noWrap w:val="false"/>
          </w:tcPr>
          <w:p>
            <w:pPr>
              <w:pStyle w:val="963"/>
              <w:jc w:val="center"/>
              <w:spacing w:line="360" w:lineRule="auto"/>
              <w:widowControl/>
              <w:rPr>
                <w:color w:val="000000"/>
                <w:sz w:val="24"/>
              </w:rPr>
            </w:pPr>
            <w:r>
              <w:rPr>
                <w:color w:val="000000"/>
                <w:sz w:val="24"/>
              </w:rPr>
              <w:t xml:space="preserve">17</w:t>
            </w:r>
            <w:r>
              <w:rPr>
                <w:color w:val="000000"/>
                <w:sz w:val="24"/>
              </w:rPr>
            </w:r>
            <w:r/>
          </w:p>
        </w:tc>
      </w:tr>
      <w:tr>
        <w:trPr>
          <w:cantSplit/>
          <w:trHeight w:val="280"/>
        </w:trPr>
        <w:tc>
          <w:tcPr>
            <w:tcW w:w="706" w:type="dxa"/>
            <w:vAlign w:val="center"/>
            <w:textDirection w:val="lrTb"/>
            <w:noWrap/>
          </w:tcPr>
          <w:p>
            <w:pPr>
              <w:pStyle w:val="963"/>
              <w:jc w:val="center"/>
              <w:spacing w:line="360" w:lineRule="auto"/>
              <w:widowControl/>
              <w:rPr>
                <w:color w:val="000000"/>
                <w:sz w:val="24"/>
              </w:rPr>
            </w:pPr>
            <w:r>
              <w:rPr>
                <w:color w:val="000000"/>
                <w:sz w:val="24"/>
              </w:rPr>
              <w:t xml:space="preserve">13</w:t>
            </w:r>
            <w:r>
              <w:rPr>
                <w:color w:val="000000"/>
                <w:sz w:val="24"/>
              </w:rPr>
            </w:r>
            <w:r/>
          </w:p>
        </w:tc>
        <w:tc>
          <w:tcPr>
            <w:tcW w:w="1740" w:type="dxa"/>
            <w:vAlign w:val="center"/>
            <w:vMerge w:val="continue"/>
            <w:textDirection w:val="lrTb"/>
            <w:noWrap w:val="false"/>
          </w:tcPr>
          <w:p>
            <w:pPr>
              <w:pStyle w:val="963"/>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pStyle w:val="963"/>
              <w:jc w:val="center"/>
              <w:spacing w:line="360" w:lineRule="auto"/>
              <w:widowControl/>
              <w:rPr>
                <w:color w:val="000000"/>
                <w:sz w:val="24"/>
              </w:rPr>
            </w:pPr>
            <w:r>
              <w:rPr>
                <w:color w:val="000000"/>
                <w:sz w:val="24"/>
              </w:rPr>
              <w:t xml:space="preserve">备机、站房维护等</w:t>
            </w:r>
            <w:r>
              <w:rPr>
                <w:color w:val="000000"/>
                <w:sz w:val="24"/>
              </w:rPr>
            </w:r>
            <w:r/>
          </w:p>
        </w:tc>
        <w:tc>
          <w:tcPr>
            <w:tcW w:w="2303" w:type="dxa"/>
            <w:vAlign w:val="center"/>
            <w:textDirection w:val="lrTb"/>
            <w:noWrap w:val="false"/>
          </w:tcPr>
          <w:p>
            <w:pPr>
              <w:pStyle w:val="963"/>
              <w:jc w:val="center"/>
              <w:spacing w:line="360" w:lineRule="auto"/>
              <w:widowControl/>
              <w:rPr>
                <w:color w:val="000000"/>
                <w:sz w:val="24"/>
              </w:rPr>
            </w:pPr>
            <w:r>
              <w:rPr>
                <w:color w:val="000000"/>
                <w:sz w:val="24"/>
              </w:rPr>
              <w:t xml:space="preserve">/</w:t>
            </w:r>
            <w:r>
              <w:rPr>
                <w:color w:val="000000"/>
                <w:sz w:val="24"/>
              </w:rPr>
            </w:r>
            <w:r/>
          </w:p>
        </w:tc>
        <w:tc>
          <w:tcPr>
            <w:tcW w:w="927" w:type="dxa"/>
            <w:vAlign w:val="center"/>
            <w:textDirection w:val="lrTb"/>
            <w:noWrap w:val="false"/>
          </w:tcPr>
          <w:p>
            <w:pPr>
              <w:pStyle w:val="963"/>
              <w:jc w:val="center"/>
              <w:spacing w:line="360" w:lineRule="auto"/>
              <w:widowControl/>
              <w:rPr>
                <w:color w:val="000000"/>
                <w:sz w:val="24"/>
              </w:rPr>
            </w:pPr>
            <w:r>
              <w:rPr>
                <w:color w:val="000000"/>
                <w:sz w:val="24"/>
              </w:rPr>
              <w:t xml:space="preserve">17</w:t>
            </w:r>
            <w:r>
              <w:rPr>
                <w:color w:val="000000"/>
                <w:sz w:val="24"/>
              </w:rPr>
            </w:r>
            <w:r/>
          </w:p>
        </w:tc>
      </w:tr>
      <w:tr>
        <w:trPr>
          <w:cantSplit/>
          <w:trHeight w:val="280"/>
        </w:trPr>
        <w:tc>
          <w:tcPr>
            <w:tcW w:w="706" w:type="dxa"/>
            <w:vAlign w:val="center"/>
            <w:textDirection w:val="lrTb"/>
            <w:noWrap/>
          </w:tcPr>
          <w:p>
            <w:pPr>
              <w:pStyle w:val="963"/>
              <w:jc w:val="center"/>
              <w:spacing w:line="360" w:lineRule="auto"/>
              <w:widowControl/>
              <w:rPr>
                <w:color w:val="000000"/>
                <w:sz w:val="24"/>
              </w:rPr>
            </w:pPr>
            <w:r>
              <w:rPr>
                <w:color w:val="000000"/>
                <w:sz w:val="24"/>
              </w:rPr>
              <w:t xml:space="preserve">14</w:t>
            </w:r>
            <w:r>
              <w:rPr>
                <w:color w:val="000000"/>
                <w:sz w:val="24"/>
              </w:rPr>
            </w:r>
            <w:r/>
          </w:p>
        </w:tc>
        <w:tc>
          <w:tcPr>
            <w:tcW w:w="1740" w:type="dxa"/>
            <w:vAlign w:val="center"/>
            <w:vMerge w:val="restart"/>
            <w:textDirection w:val="lrTb"/>
            <w:noWrap w:val="false"/>
          </w:tcPr>
          <w:p>
            <w:pPr>
              <w:pStyle w:val="963"/>
              <w:jc w:val="center"/>
              <w:spacing w:line="360" w:lineRule="auto"/>
              <w:widowControl/>
              <w:rPr>
                <w:color w:val="000000"/>
                <w:sz w:val="24"/>
              </w:rPr>
            </w:pPr>
            <w:r>
              <w:rPr>
                <w:color w:val="000000"/>
                <w:sz w:val="24"/>
              </w:rPr>
              <w:t xml:space="preserve">市区街镇大气环境自动监测站（海州区12个站及连云区7个站）</w:t>
            </w:r>
            <w:r>
              <w:rPr>
                <w:color w:val="000000"/>
                <w:sz w:val="24"/>
              </w:rPr>
            </w:r>
            <w:r/>
          </w:p>
        </w:tc>
        <w:tc>
          <w:tcPr>
            <w:tcW w:w="2846" w:type="dxa"/>
            <w:vAlign w:val="center"/>
            <w:textDirection w:val="lrTb"/>
            <w:noWrap w:val="false"/>
          </w:tcPr>
          <w:p>
            <w:pPr>
              <w:pStyle w:val="963"/>
              <w:jc w:val="center"/>
              <w:spacing w:line="360" w:lineRule="auto"/>
              <w:widowControl/>
              <w:rPr>
                <w:color w:val="000000"/>
                <w:sz w:val="24"/>
              </w:rPr>
            </w:pPr>
            <w:r>
              <w:rPr>
                <w:color w:val="000000"/>
                <w:sz w:val="24"/>
              </w:rPr>
              <w:t xml:space="preserve">臭氧分析仪</w:t>
            </w:r>
            <w:r>
              <w:rPr>
                <w:color w:val="000000"/>
                <w:sz w:val="24"/>
              </w:rPr>
            </w:r>
            <w:r/>
          </w:p>
        </w:tc>
        <w:tc>
          <w:tcPr>
            <w:tcW w:w="2303" w:type="dxa"/>
            <w:vAlign w:val="center"/>
            <w:textDirection w:val="lrTb"/>
            <w:noWrap w:val="false"/>
          </w:tcPr>
          <w:p>
            <w:pPr>
              <w:pStyle w:val="963"/>
              <w:jc w:val="center"/>
              <w:spacing w:line="360" w:lineRule="auto"/>
              <w:widowControl/>
              <w:rPr>
                <w:color w:val="000000"/>
                <w:sz w:val="24"/>
              </w:rPr>
            </w:pPr>
            <w:r>
              <w:rPr>
                <w:color w:val="000000"/>
                <w:sz w:val="24"/>
              </w:rPr>
              <w:t xml:space="preserve">聚光科技、AQMS-300</w:t>
            </w:r>
            <w:r>
              <w:rPr>
                <w:color w:val="000000"/>
                <w:sz w:val="24"/>
              </w:rPr>
            </w:r>
            <w:r/>
          </w:p>
        </w:tc>
        <w:tc>
          <w:tcPr>
            <w:tcW w:w="927" w:type="dxa"/>
            <w:vAlign w:val="center"/>
            <w:textDirection w:val="lrTb"/>
            <w:noWrap w:val="false"/>
          </w:tcPr>
          <w:p>
            <w:pPr>
              <w:pStyle w:val="963"/>
              <w:jc w:val="center"/>
              <w:spacing w:line="360" w:lineRule="auto"/>
              <w:widowControl/>
              <w:rPr>
                <w:color w:val="000000"/>
                <w:sz w:val="24"/>
              </w:rPr>
            </w:pPr>
            <w:r>
              <w:rPr>
                <w:color w:val="000000"/>
                <w:sz w:val="24"/>
              </w:rPr>
              <w:t xml:space="preserve">19</w:t>
            </w:r>
            <w:r>
              <w:rPr>
                <w:color w:val="000000"/>
                <w:sz w:val="24"/>
              </w:rPr>
            </w:r>
            <w:r/>
          </w:p>
        </w:tc>
      </w:tr>
      <w:tr>
        <w:trPr>
          <w:cantSplit/>
          <w:trHeight w:val="280"/>
        </w:trPr>
        <w:tc>
          <w:tcPr>
            <w:tcW w:w="706" w:type="dxa"/>
            <w:vAlign w:val="center"/>
            <w:textDirection w:val="lrTb"/>
            <w:noWrap/>
          </w:tcPr>
          <w:p>
            <w:pPr>
              <w:pStyle w:val="963"/>
              <w:jc w:val="center"/>
              <w:spacing w:line="360" w:lineRule="auto"/>
              <w:widowControl/>
              <w:rPr>
                <w:color w:val="000000"/>
                <w:sz w:val="24"/>
              </w:rPr>
            </w:pPr>
            <w:r>
              <w:rPr>
                <w:color w:val="000000"/>
                <w:sz w:val="24"/>
              </w:rPr>
              <w:t xml:space="preserve">15</w:t>
            </w:r>
            <w:r>
              <w:rPr>
                <w:color w:val="000000"/>
                <w:sz w:val="24"/>
              </w:rPr>
            </w:r>
            <w:r/>
          </w:p>
        </w:tc>
        <w:tc>
          <w:tcPr>
            <w:tcW w:w="1740" w:type="dxa"/>
            <w:vAlign w:val="center"/>
            <w:vMerge w:val="continue"/>
            <w:textDirection w:val="lrTb"/>
            <w:noWrap w:val="false"/>
          </w:tcPr>
          <w:p>
            <w:pPr>
              <w:pStyle w:val="963"/>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pStyle w:val="963"/>
              <w:jc w:val="center"/>
              <w:spacing w:line="360" w:lineRule="auto"/>
              <w:widowControl/>
              <w:rPr>
                <w:color w:val="000000"/>
                <w:sz w:val="24"/>
              </w:rPr>
            </w:pPr>
            <w:r>
              <w:rPr>
                <w:color w:val="000000"/>
                <w:sz w:val="24"/>
              </w:rPr>
              <w:t xml:space="preserve">PM</w:t>
            </w:r>
            <w:r>
              <w:rPr>
                <w:color w:val="000000"/>
                <w:sz w:val="24"/>
                <w:vertAlign w:val="subscript"/>
              </w:rPr>
              <w:t xml:space="preserve">10</w:t>
            </w:r>
            <w:r>
              <w:rPr>
                <w:color w:val="000000"/>
                <w:sz w:val="24"/>
              </w:rPr>
              <w:t xml:space="preserve">分析仪</w:t>
            </w:r>
            <w:r>
              <w:rPr>
                <w:color w:val="000000"/>
                <w:sz w:val="24"/>
              </w:rPr>
            </w:r>
            <w:r/>
          </w:p>
        </w:tc>
        <w:tc>
          <w:tcPr>
            <w:tcW w:w="2303" w:type="dxa"/>
            <w:vAlign w:val="center"/>
            <w:textDirection w:val="lrTb"/>
            <w:noWrap w:val="false"/>
          </w:tcPr>
          <w:p>
            <w:pPr>
              <w:pStyle w:val="963"/>
              <w:jc w:val="center"/>
              <w:spacing w:line="360" w:lineRule="auto"/>
              <w:widowControl/>
              <w:rPr>
                <w:color w:val="000000"/>
                <w:sz w:val="24"/>
              </w:rPr>
            </w:pPr>
            <w:r>
              <w:rPr>
                <w:color w:val="000000"/>
                <w:sz w:val="24"/>
              </w:rPr>
              <w:t xml:space="preserve">赛默飞、5014i</w:t>
            </w:r>
            <w:r>
              <w:rPr>
                <w:color w:val="000000"/>
                <w:sz w:val="24"/>
              </w:rPr>
            </w:r>
            <w:r/>
          </w:p>
        </w:tc>
        <w:tc>
          <w:tcPr>
            <w:tcW w:w="927" w:type="dxa"/>
            <w:vAlign w:val="center"/>
            <w:textDirection w:val="lrTb"/>
            <w:noWrap w:val="false"/>
          </w:tcPr>
          <w:p>
            <w:pPr>
              <w:pStyle w:val="963"/>
              <w:jc w:val="center"/>
              <w:spacing w:line="360" w:lineRule="auto"/>
              <w:widowControl/>
              <w:rPr>
                <w:color w:val="000000"/>
                <w:sz w:val="24"/>
              </w:rPr>
            </w:pPr>
            <w:r>
              <w:rPr>
                <w:color w:val="000000"/>
                <w:sz w:val="24"/>
              </w:rPr>
              <w:t xml:space="preserve">19</w:t>
            </w:r>
            <w:r>
              <w:rPr>
                <w:color w:val="000000"/>
                <w:sz w:val="24"/>
              </w:rPr>
            </w:r>
            <w:r/>
          </w:p>
        </w:tc>
      </w:tr>
      <w:tr>
        <w:trPr>
          <w:cantSplit/>
          <w:trHeight w:val="280"/>
        </w:trPr>
        <w:tc>
          <w:tcPr>
            <w:tcW w:w="706" w:type="dxa"/>
            <w:vAlign w:val="center"/>
            <w:textDirection w:val="lrTb"/>
            <w:noWrap/>
          </w:tcPr>
          <w:p>
            <w:pPr>
              <w:pStyle w:val="963"/>
              <w:jc w:val="center"/>
              <w:spacing w:line="360" w:lineRule="auto"/>
              <w:widowControl/>
              <w:rPr>
                <w:color w:val="000000"/>
                <w:sz w:val="24"/>
              </w:rPr>
            </w:pPr>
            <w:r>
              <w:rPr>
                <w:color w:val="000000"/>
                <w:sz w:val="24"/>
              </w:rPr>
              <w:t xml:space="preserve">16</w:t>
            </w:r>
            <w:r>
              <w:rPr>
                <w:color w:val="000000"/>
                <w:sz w:val="24"/>
              </w:rPr>
            </w:r>
            <w:r/>
          </w:p>
        </w:tc>
        <w:tc>
          <w:tcPr>
            <w:tcW w:w="1740" w:type="dxa"/>
            <w:vAlign w:val="center"/>
            <w:vMerge w:val="continue"/>
            <w:textDirection w:val="lrTb"/>
            <w:noWrap w:val="false"/>
          </w:tcPr>
          <w:p>
            <w:pPr>
              <w:pStyle w:val="963"/>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pStyle w:val="963"/>
              <w:jc w:val="center"/>
              <w:spacing w:line="360" w:lineRule="auto"/>
              <w:widowControl/>
              <w:rPr>
                <w:color w:val="000000"/>
                <w:sz w:val="24"/>
              </w:rPr>
            </w:pPr>
            <w:r>
              <w:rPr>
                <w:color w:val="000000"/>
                <w:sz w:val="24"/>
              </w:rPr>
              <w:t xml:space="preserve">采样系统</w:t>
            </w:r>
            <w:r>
              <w:rPr>
                <w:color w:val="000000"/>
                <w:sz w:val="24"/>
              </w:rPr>
            </w:r>
            <w:r/>
          </w:p>
        </w:tc>
        <w:tc>
          <w:tcPr>
            <w:tcW w:w="2303" w:type="dxa"/>
            <w:vAlign w:val="center"/>
            <w:textDirection w:val="lrTb"/>
            <w:noWrap w:val="false"/>
          </w:tcPr>
          <w:p>
            <w:pPr>
              <w:pStyle w:val="963"/>
              <w:jc w:val="center"/>
              <w:spacing w:line="360" w:lineRule="auto"/>
              <w:widowControl/>
              <w:rPr>
                <w:color w:val="000000"/>
                <w:sz w:val="24"/>
              </w:rPr>
            </w:pPr>
            <w:r>
              <w:rPr>
                <w:color w:val="000000"/>
                <w:sz w:val="24"/>
              </w:rPr>
              <w:t xml:space="preserve">DEA09</w:t>
            </w:r>
            <w:r>
              <w:rPr>
                <w:color w:val="000000"/>
                <w:sz w:val="24"/>
              </w:rPr>
            </w:r>
            <w:r/>
          </w:p>
        </w:tc>
        <w:tc>
          <w:tcPr>
            <w:tcW w:w="927" w:type="dxa"/>
            <w:vAlign w:val="center"/>
            <w:textDirection w:val="lrTb"/>
            <w:noWrap w:val="false"/>
          </w:tcPr>
          <w:p>
            <w:pPr>
              <w:pStyle w:val="963"/>
              <w:jc w:val="center"/>
              <w:spacing w:line="360" w:lineRule="auto"/>
              <w:widowControl/>
              <w:rPr>
                <w:color w:val="000000"/>
                <w:sz w:val="24"/>
              </w:rPr>
            </w:pPr>
            <w:r>
              <w:rPr>
                <w:color w:val="000000"/>
                <w:sz w:val="24"/>
              </w:rPr>
              <w:t xml:space="preserve">19</w:t>
            </w:r>
            <w:r>
              <w:rPr>
                <w:color w:val="000000"/>
                <w:sz w:val="24"/>
              </w:rPr>
            </w:r>
            <w:r/>
          </w:p>
        </w:tc>
      </w:tr>
      <w:tr>
        <w:trPr>
          <w:cantSplit/>
          <w:trHeight w:val="280"/>
        </w:trPr>
        <w:tc>
          <w:tcPr>
            <w:tcW w:w="706" w:type="dxa"/>
            <w:vAlign w:val="center"/>
            <w:textDirection w:val="lrTb"/>
            <w:noWrap/>
          </w:tcPr>
          <w:p>
            <w:pPr>
              <w:pStyle w:val="963"/>
              <w:jc w:val="center"/>
              <w:spacing w:line="360" w:lineRule="auto"/>
              <w:widowControl/>
              <w:rPr>
                <w:color w:val="000000"/>
                <w:sz w:val="24"/>
              </w:rPr>
            </w:pPr>
            <w:r>
              <w:rPr>
                <w:color w:val="000000"/>
                <w:sz w:val="24"/>
              </w:rPr>
              <w:t xml:space="preserve">17</w:t>
            </w:r>
            <w:r>
              <w:rPr>
                <w:color w:val="000000"/>
                <w:sz w:val="24"/>
              </w:rPr>
            </w:r>
            <w:r/>
          </w:p>
        </w:tc>
        <w:tc>
          <w:tcPr>
            <w:tcW w:w="1740" w:type="dxa"/>
            <w:vAlign w:val="center"/>
            <w:vMerge w:val="continue"/>
            <w:textDirection w:val="lrTb"/>
            <w:noWrap w:val="false"/>
          </w:tcPr>
          <w:p>
            <w:pPr>
              <w:pStyle w:val="963"/>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pStyle w:val="963"/>
              <w:jc w:val="center"/>
              <w:spacing w:line="360" w:lineRule="auto"/>
              <w:widowControl/>
              <w:rPr>
                <w:color w:val="000000"/>
                <w:sz w:val="24"/>
              </w:rPr>
            </w:pPr>
            <w:r>
              <w:rPr>
                <w:color w:val="000000"/>
                <w:sz w:val="24"/>
              </w:rPr>
              <w:t xml:space="preserve">机架等辅助设备</w:t>
            </w:r>
            <w:r>
              <w:rPr>
                <w:color w:val="000000"/>
                <w:sz w:val="24"/>
              </w:rPr>
            </w:r>
            <w:r/>
          </w:p>
        </w:tc>
        <w:tc>
          <w:tcPr>
            <w:tcW w:w="2303" w:type="dxa"/>
            <w:vAlign w:val="center"/>
            <w:textDirection w:val="lrTb"/>
            <w:noWrap w:val="false"/>
          </w:tcPr>
          <w:p>
            <w:pPr>
              <w:pStyle w:val="963"/>
              <w:jc w:val="center"/>
              <w:spacing w:line="360" w:lineRule="auto"/>
              <w:widowControl/>
              <w:rPr>
                <w:color w:val="000000"/>
                <w:sz w:val="24"/>
              </w:rPr>
            </w:pPr>
            <w:r>
              <w:rPr>
                <w:color w:val="000000"/>
                <w:sz w:val="24"/>
              </w:rPr>
              <w:t xml:space="preserve">2000*600*900mm</w:t>
            </w:r>
            <w:r>
              <w:rPr>
                <w:color w:val="000000"/>
                <w:sz w:val="24"/>
              </w:rPr>
            </w:r>
            <w:r/>
          </w:p>
        </w:tc>
        <w:tc>
          <w:tcPr>
            <w:tcW w:w="927" w:type="dxa"/>
            <w:vAlign w:val="center"/>
            <w:textDirection w:val="lrTb"/>
            <w:noWrap w:val="false"/>
          </w:tcPr>
          <w:p>
            <w:pPr>
              <w:pStyle w:val="963"/>
              <w:jc w:val="center"/>
              <w:spacing w:line="360" w:lineRule="auto"/>
              <w:widowControl/>
              <w:rPr>
                <w:color w:val="000000"/>
                <w:sz w:val="24"/>
              </w:rPr>
            </w:pPr>
            <w:r>
              <w:rPr>
                <w:color w:val="000000"/>
                <w:sz w:val="24"/>
              </w:rPr>
              <w:t xml:space="preserve">19</w:t>
            </w:r>
            <w:r>
              <w:rPr>
                <w:color w:val="000000"/>
                <w:sz w:val="24"/>
              </w:rPr>
            </w:r>
            <w:r/>
          </w:p>
        </w:tc>
      </w:tr>
      <w:tr>
        <w:trPr>
          <w:cantSplit/>
          <w:trHeight w:val="280"/>
        </w:trPr>
        <w:tc>
          <w:tcPr>
            <w:tcW w:w="706" w:type="dxa"/>
            <w:vAlign w:val="center"/>
            <w:textDirection w:val="lrTb"/>
            <w:noWrap/>
          </w:tcPr>
          <w:p>
            <w:pPr>
              <w:pStyle w:val="963"/>
              <w:jc w:val="center"/>
              <w:spacing w:line="360" w:lineRule="auto"/>
              <w:widowControl/>
              <w:rPr>
                <w:color w:val="000000"/>
                <w:sz w:val="24"/>
              </w:rPr>
            </w:pPr>
            <w:r>
              <w:rPr>
                <w:color w:val="000000"/>
                <w:sz w:val="24"/>
              </w:rPr>
              <w:t xml:space="preserve">18</w:t>
            </w:r>
            <w:r>
              <w:rPr>
                <w:color w:val="000000"/>
                <w:sz w:val="24"/>
              </w:rPr>
            </w:r>
            <w:r/>
          </w:p>
        </w:tc>
        <w:tc>
          <w:tcPr>
            <w:tcW w:w="1740" w:type="dxa"/>
            <w:vAlign w:val="center"/>
            <w:vMerge w:val="continue"/>
            <w:textDirection w:val="lrTb"/>
            <w:noWrap w:val="false"/>
          </w:tcPr>
          <w:p>
            <w:pPr>
              <w:pStyle w:val="963"/>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pStyle w:val="963"/>
              <w:jc w:val="center"/>
              <w:spacing w:line="360" w:lineRule="auto"/>
              <w:widowControl/>
              <w:rPr>
                <w:color w:val="000000"/>
                <w:sz w:val="24"/>
              </w:rPr>
            </w:pPr>
            <w:r>
              <w:rPr>
                <w:color w:val="000000"/>
                <w:sz w:val="24"/>
              </w:rPr>
              <w:t xml:space="preserve">数据采集系统（含工控机）</w:t>
            </w:r>
            <w:r>
              <w:rPr>
                <w:color w:val="000000"/>
                <w:sz w:val="24"/>
              </w:rPr>
            </w:r>
            <w:r/>
          </w:p>
        </w:tc>
        <w:tc>
          <w:tcPr>
            <w:tcW w:w="2303" w:type="dxa"/>
            <w:vAlign w:val="center"/>
            <w:textDirection w:val="lrTb"/>
            <w:noWrap w:val="false"/>
          </w:tcPr>
          <w:p>
            <w:pPr>
              <w:pStyle w:val="963"/>
              <w:jc w:val="center"/>
              <w:spacing w:line="360" w:lineRule="auto"/>
              <w:widowControl/>
              <w:rPr>
                <w:color w:val="000000"/>
                <w:sz w:val="24"/>
              </w:rPr>
            </w:pPr>
            <w:r>
              <w:rPr>
                <w:color w:val="000000"/>
                <w:sz w:val="24"/>
              </w:rPr>
              <w:t xml:space="preserve">聚光科技、AQMS plus</w:t>
            </w:r>
            <w:r>
              <w:rPr>
                <w:color w:val="000000"/>
                <w:sz w:val="24"/>
              </w:rPr>
            </w:r>
            <w:r/>
          </w:p>
        </w:tc>
        <w:tc>
          <w:tcPr>
            <w:tcW w:w="927" w:type="dxa"/>
            <w:vAlign w:val="center"/>
            <w:textDirection w:val="lrTb"/>
            <w:noWrap w:val="false"/>
          </w:tcPr>
          <w:p>
            <w:pPr>
              <w:pStyle w:val="963"/>
              <w:jc w:val="center"/>
              <w:spacing w:line="360" w:lineRule="auto"/>
              <w:widowControl/>
              <w:rPr>
                <w:color w:val="000000"/>
                <w:sz w:val="24"/>
              </w:rPr>
            </w:pPr>
            <w:r>
              <w:rPr>
                <w:color w:val="000000"/>
                <w:sz w:val="24"/>
              </w:rPr>
              <w:t xml:space="preserve">19</w:t>
            </w:r>
            <w:r>
              <w:rPr>
                <w:color w:val="000000"/>
                <w:sz w:val="24"/>
              </w:rPr>
            </w:r>
            <w:r/>
          </w:p>
        </w:tc>
      </w:tr>
      <w:tr>
        <w:trPr>
          <w:cantSplit/>
          <w:trHeight w:val="280"/>
        </w:trPr>
        <w:tc>
          <w:tcPr>
            <w:tcW w:w="706" w:type="dxa"/>
            <w:vAlign w:val="center"/>
            <w:textDirection w:val="lrTb"/>
            <w:noWrap/>
          </w:tcPr>
          <w:p>
            <w:pPr>
              <w:pStyle w:val="963"/>
              <w:jc w:val="center"/>
              <w:spacing w:line="360" w:lineRule="auto"/>
              <w:widowControl/>
              <w:rPr>
                <w:color w:val="000000"/>
                <w:sz w:val="24"/>
              </w:rPr>
            </w:pPr>
            <w:r>
              <w:rPr>
                <w:color w:val="000000"/>
                <w:sz w:val="24"/>
              </w:rPr>
              <w:t xml:space="preserve">19</w:t>
            </w:r>
            <w:r>
              <w:rPr>
                <w:color w:val="000000"/>
                <w:sz w:val="24"/>
              </w:rPr>
            </w:r>
            <w:r/>
          </w:p>
        </w:tc>
        <w:tc>
          <w:tcPr>
            <w:tcW w:w="1740" w:type="dxa"/>
            <w:vAlign w:val="center"/>
            <w:vMerge w:val="continue"/>
            <w:textDirection w:val="lrTb"/>
            <w:noWrap w:val="false"/>
          </w:tcPr>
          <w:p>
            <w:pPr>
              <w:pStyle w:val="963"/>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pStyle w:val="963"/>
              <w:jc w:val="center"/>
              <w:spacing w:line="360" w:lineRule="auto"/>
              <w:widowControl/>
              <w:rPr>
                <w:color w:val="000000"/>
                <w:sz w:val="24"/>
              </w:rPr>
            </w:pPr>
            <w:r>
              <w:rPr>
                <w:color w:val="000000"/>
                <w:sz w:val="24"/>
              </w:rPr>
              <w:t xml:space="preserve">质控设备</w:t>
            </w:r>
            <w:r>
              <w:rPr>
                <w:color w:val="000000"/>
                <w:sz w:val="24"/>
              </w:rPr>
            </w:r>
            <w:r/>
          </w:p>
        </w:tc>
        <w:tc>
          <w:tcPr>
            <w:tcW w:w="2303" w:type="dxa"/>
            <w:vAlign w:val="center"/>
            <w:textDirection w:val="lrTb"/>
            <w:noWrap w:val="false"/>
          </w:tcPr>
          <w:p>
            <w:pPr>
              <w:pStyle w:val="963"/>
              <w:jc w:val="center"/>
              <w:spacing w:line="360" w:lineRule="auto"/>
              <w:widowControl/>
              <w:rPr>
                <w:color w:val="000000"/>
                <w:sz w:val="24"/>
              </w:rPr>
            </w:pPr>
            <w:r>
              <w:rPr>
                <w:color w:val="000000"/>
                <w:sz w:val="24"/>
              </w:rPr>
              <w:t xml:space="preserve">/</w:t>
            </w:r>
            <w:r>
              <w:rPr>
                <w:color w:val="000000"/>
                <w:sz w:val="24"/>
              </w:rPr>
            </w:r>
            <w:r/>
          </w:p>
        </w:tc>
        <w:tc>
          <w:tcPr>
            <w:tcW w:w="927" w:type="dxa"/>
            <w:vAlign w:val="center"/>
            <w:textDirection w:val="lrTb"/>
            <w:noWrap w:val="false"/>
          </w:tcPr>
          <w:p>
            <w:pPr>
              <w:pStyle w:val="963"/>
              <w:jc w:val="center"/>
              <w:spacing w:line="360" w:lineRule="auto"/>
              <w:widowControl/>
              <w:rPr>
                <w:color w:val="000000"/>
                <w:sz w:val="24"/>
              </w:rPr>
            </w:pPr>
            <w:r>
              <w:rPr>
                <w:color w:val="000000"/>
                <w:sz w:val="24"/>
              </w:rPr>
              <w:t xml:space="preserve">19</w:t>
            </w:r>
            <w:r>
              <w:rPr>
                <w:color w:val="000000"/>
                <w:sz w:val="24"/>
              </w:rPr>
            </w:r>
            <w:r/>
          </w:p>
        </w:tc>
      </w:tr>
      <w:tr>
        <w:trPr>
          <w:cantSplit/>
          <w:trHeight w:val="280"/>
        </w:trPr>
        <w:tc>
          <w:tcPr>
            <w:tcW w:w="706" w:type="dxa"/>
            <w:vAlign w:val="center"/>
            <w:textDirection w:val="lrTb"/>
            <w:noWrap/>
          </w:tcPr>
          <w:p>
            <w:pPr>
              <w:pStyle w:val="963"/>
              <w:jc w:val="center"/>
              <w:spacing w:line="360" w:lineRule="auto"/>
              <w:widowControl/>
              <w:rPr>
                <w:color w:val="000000"/>
                <w:sz w:val="24"/>
              </w:rPr>
            </w:pPr>
            <w:r>
              <w:rPr>
                <w:color w:val="000000"/>
                <w:sz w:val="24"/>
              </w:rPr>
              <w:t xml:space="preserve">20</w:t>
            </w:r>
            <w:r>
              <w:rPr>
                <w:color w:val="000000"/>
                <w:sz w:val="24"/>
              </w:rPr>
            </w:r>
            <w:r/>
          </w:p>
        </w:tc>
        <w:tc>
          <w:tcPr>
            <w:tcW w:w="1740" w:type="dxa"/>
            <w:vAlign w:val="center"/>
            <w:vMerge w:val="continue"/>
            <w:textDirection w:val="lrTb"/>
            <w:noWrap w:val="false"/>
          </w:tcPr>
          <w:p>
            <w:pPr>
              <w:pStyle w:val="963"/>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pStyle w:val="963"/>
              <w:jc w:val="center"/>
              <w:spacing w:line="360" w:lineRule="auto"/>
              <w:widowControl/>
              <w:rPr>
                <w:color w:val="000000"/>
                <w:sz w:val="24"/>
              </w:rPr>
            </w:pPr>
            <w:r>
              <w:rPr>
                <w:color w:val="000000"/>
                <w:sz w:val="24"/>
              </w:rPr>
              <w:t xml:space="preserve">动态校准仪（含臭氧模块）</w:t>
            </w:r>
            <w:r>
              <w:rPr>
                <w:color w:val="000000"/>
                <w:sz w:val="24"/>
              </w:rPr>
            </w:r>
            <w:r/>
          </w:p>
        </w:tc>
        <w:tc>
          <w:tcPr>
            <w:tcW w:w="2303" w:type="dxa"/>
            <w:vAlign w:val="center"/>
            <w:textDirection w:val="lrTb"/>
            <w:noWrap w:val="false"/>
          </w:tcPr>
          <w:p>
            <w:pPr>
              <w:pStyle w:val="963"/>
              <w:jc w:val="center"/>
              <w:spacing w:line="360" w:lineRule="auto"/>
              <w:widowControl/>
              <w:rPr>
                <w:color w:val="000000"/>
                <w:sz w:val="24"/>
              </w:rPr>
            </w:pPr>
            <w:r>
              <w:rPr>
                <w:color w:val="000000"/>
                <w:sz w:val="24"/>
              </w:rPr>
              <w:t xml:space="preserve">聚光科技、AQMS-200</w:t>
            </w:r>
            <w:r>
              <w:rPr>
                <w:color w:val="000000"/>
                <w:sz w:val="24"/>
              </w:rPr>
            </w:r>
            <w:r/>
          </w:p>
        </w:tc>
        <w:tc>
          <w:tcPr>
            <w:tcW w:w="927" w:type="dxa"/>
            <w:vAlign w:val="center"/>
            <w:textDirection w:val="lrTb"/>
            <w:noWrap w:val="false"/>
          </w:tcPr>
          <w:p>
            <w:pPr>
              <w:pStyle w:val="963"/>
              <w:jc w:val="center"/>
              <w:spacing w:line="360" w:lineRule="auto"/>
              <w:widowControl/>
              <w:rPr>
                <w:color w:val="000000"/>
                <w:sz w:val="24"/>
              </w:rPr>
            </w:pPr>
            <w:r>
              <w:rPr>
                <w:color w:val="000000"/>
                <w:sz w:val="24"/>
              </w:rPr>
              <w:t xml:space="preserve">19</w:t>
            </w:r>
            <w:r>
              <w:rPr>
                <w:color w:val="000000"/>
                <w:sz w:val="24"/>
              </w:rPr>
            </w:r>
            <w:r/>
          </w:p>
        </w:tc>
      </w:tr>
      <w:tr>
        <w:trPr>
          <w:cantSplit/>
          <w:trHeight w:val="280"/>
        </w:trPr>
        <w:tc>
          <w:tcPr>
            <w:tcW w:w="706" w:type="dxa"/>
            <w:vAlign w:val="center"/>
            <w:textDirection w:val="lrTb"/>
            <w:noWrap/>
          </w:tcPr>
          <w:p>
            <w:pPr>
              <w:pStyle w:val="963"/>
              <w:jc w:val="center"/>
              <w:spacing w:line="360" w:lineRule="auto"/>
              <w:widowControl/>
              <w:rPr>
                <w:color w:val="000000"/>
                <w:sz w:val="24"/>
              </w:rPr>
            </w:pPr>
            <w:r>
              <w:rPr>
                <w:color w:val="000000"/>
                <w:sz w:val="24"/>
              </w:rPr>
              <w:t xml:space="preserve">21</w:t>
            </w:r>
            <w:r>
              <w:rPr>
                <w:color w:val="000000"/>
                <w:sz w:val="24"/>
              </w:rPr>
            </w:r>
            <w:r/>
          </w:p>
        </w:tc>
        <w:tc>
          <w:tcPr>
            <w:tcW w:w="1740" w:type="dxa"/>
            <w:vAlign w:val="center"/>
            <w:vMerge w:val="continue"/>
            <w:textDirection w:val="lrTb"/>
            <w:noWrap w:val="false"/>
          </w:tcPr>
          <w:p>
            <w:pPr>
              <w:pStyle w:val="963"/>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pStyle w:val="963"/>
              <w:jc w:val="center"/>
              <w:spacing w:line="360" w:lineRule="auto"/>
              <w:widowControl/>
              <w:rPr>
                <w:color w:val="000000"/>
                <w:sz w:val="24"/>
              </w:rPr>
            </w:pPr>
            <w:r>
              <w:rPr>
                <w:color w:val="000000"/>
                <w:sz w:val="24"/>
              </w:rPr>
              <w:t xml:space="preserve">零气发生器</w:t>
            </w:r>
            <w:r>
              <w:rPr>
                <w:color w:val="000000"/>
                <w:sz w:val="24"/>
              </w:rPr>
            </w:r>
            <w:r/>
          </w:p>
        </w:tc>
        <w:tc>
          <w:tcPr>
            <w:tcW w:w="2303" w:type="dxa"/>
            <w:vAlign w:val="center"/>
            <w:textDirection w:val="lrTb"/>
            <w:noWrap w:val="false"/>
          </w:tcPr>
          <w:p>
            <w:pPr>
              <w:pStyle w:val="963"/>
              <w:jc w:val="center"/>
              <w:spacing w:line="360" w:lineRule="auto"/>
              <w:widowControl/>
              <w:rPr>
                <w:color w:val="000000"/>
                <w:sz w:val="24"/>
              </w:rPr>
            </w:pPr>
            <w:r>
              <w:rPr>
                <w:color w:val="000000"/>
                <w:sz w:val="24"/>
              </w:rPr>
              <w:t xml:space="preserve">聚光科技、AQMS-100</w:t>
            </w:r>
            <w:r>
              <w:rPr>
                <w:color w:val="000000"/>
                <w:sz w:val="24"/>
              </w:rPr>
            </w:r>
            <w:r/>
          </w:p>
        </w:tc>
        <w:tc>
          <w:tcPr>
            <w:tcW w:w="927" w:type="dxa"/>
            <w:vAlign w:val="center"/>
            <w:textDirection w:val="lrTb"/>
            <w:noWrap w:val="false"/>
          </w:tcPr>
          <w:p>
            <w:pPr>
              <w:pStyle w:val="963"/>
              <w:jc w:val="center"/>
              <w:spacing w:line="360" w:lineRule="auto"/>
              <w:widowControl/>
              <w:rPr>
                <w:color w:val="000000"/>
                <w:sz w:val="24"/>
              </w:rPr>
            </w:pPr>
            <w:r>
              <w:rPr>
                <w:color w:val="000000"/>
                <w:sz w:val="24"/>
              </w:rPr>
              <w:t xml:space="preserve">19</w:t>
            </w:r>
            <w:r>
              <w:rPr>
                <w:color w:val="000000"/>
                <w:sz w:val="24"/>
              </w:rPr>
            </w:r>
            <w:r/>
          </w:p>
        </w:tc>
      </w:tr>
      <w:tr>
        <w:trPr>
          <w:cantSplit/>
          <w:trHeight w:val="280"/>
        </w:trPr>
        <w:tc>
          <w:tcPr>
            <w:tcW w:w="706" w:type="dxa"/>
            <w:vAlign w:val="center"/>
            <w:textDirection w:val="lrTb"/>
            <w:noWrap/>
          </w:tcPr>
          <w:p>
            <w:pPr>
              <w:pStyle w:val="963"/>
              <w:jc w:val="center"/>
              <w:spacing w:line="360" w:lineRule="auto"/>
              <w:widowControl/>
              <w:rPr>
                <w:color w:val="000000"/>
                <w:sz w:val="24"/>
              </w:rPr>
            </w:pPr>
            <w:r>
              <w:rPr>
                <w:color w:val="000000"/>
                <w:sz w:val="24"/>
              </w:rPr>
              <w:t xml:space="preserve">22</w:t>
            </w:r>
            <w:r>
              <w:rPr>
                <w:color w:val="000000"/>
                <w:sz w:val="24"/>
              </w:rPr>
            </w:r>
            <w:r/>
          </w:p>
        </w:tc>
        <w:tc>
          <w:tcPr>
            <w:tcW w:w="1740" w:type="dxa"/>
            <w:vAlign w:val="center"/>
            <w:vMerge w:val="continue"/>
            <w:textDirection w:val="lrTb"/>
            <w:noWrap w:val="false"/>
          </w:tcPr>
          <w:p>
            <w:pPr>
              <w:pStyle w:val="963"/>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pStyle w:val="963"/>
              <w:jc w:val="center"/>
              <w:spacing w:line="360" w:lineRule="auto"/>
              <w:widowControl/>
              <w:rPr>
                <w:color w:val="000000"/>
                <w:sz w:val="24"/>
              </w:rPr>
            </w:pPr>
            <w:r>
              <w:rPr>
                <w:color w:val="000000"/>
                <w:sz w:val="24"/>
              </w:rPr>
              <w:t xml:space="preserve">视频监控系统</w:t>
            </w:r>
            <w:r>
              <w:rPr>
                <w:color w:val="000000"/>
                <w:sz w:val="24"/>
              </w:rPr>
            </w:r>
            <w:r/>
          </w:p>
        </w:tc>
        <w:tc>
          <w:tcPr>
            <w:tcW w:w="2303" w:type="dxa"/>
            <w:vAlign w:val="center"/>
            <w:textDirection w:val="lrTb"/>
            <w:noWrap w:val="false"/>
          </w:tcPr>
          <w:p>
            <w:pPr>
              <w:pStyle w:val="963"/>
              <w:jc w:val="center"/>
              <w:spacing w:line="360" w:lineRule="auto"/>
              <w:widowControl/>
              <w:rPr>
                <w:color w:val="000000"/>
                <w:sz w:val="24"/>
              </w:rPr>
            </w:pPr>
            <w:r>
              <w:rPr>
                <w:color w:val="000000"/>
                <w:sz w:val="24"/>
              </w:rPr>
              <w:t xml:space="preserve">/</w:t>
            </w:r>
            <w:r>
              <w:rPr>
                <w:color w:val="000000"/>
                <w:sz w:val="24"/>
              </w:rPr>
            </w:r>
            <w:r/>
          </w:p>
        </w:tc>
        <w:tc>
          <w:tcPr>
            <w:tcW w:w="927" w:type="dxa"/>
            <w:vAlign w:val="center"/>
            <w:textDirection w:val="lrTb"/>
            <w:noWrap w:val="false"/>
          </w:tcPr>
          <w:p>
            <w:pPr>
              <w:pStyle w:val="963"/>
              <w:jc w:val="center"/>
              <w:spacing w:line="360" w:lineRule="auto"/>
              <w:widowControl/>
              <w:rPr>
                <w:color w:val="000000"/>
                <w:sz w:val="24"/>
              </w:rPr>
            </w:pPr>
            <w:r>
              <w:rPr>
                <w:color w:val="000000"/>
                <w:sz w:val="24"/>
              </w:rPr>
              <w:t xml:space="preserve">19</w:t>
            </w:r>
            <w:r>
              <w:rPr>
                <w:color w:val="000000"/>
                <w:sz w:val="24"/>
              </w:rPr>
            </w:r>
            <w:r/>
          </w:p>
        </w:tc>
      </w:tr>
      <w:tr>
        <w:trPr>
          <w:cantSplit/>
          <w:trHeight w:val="280"/>
        </w:trPr>
        <w:tc>
          <w:tcPr>
            <w:tcW w:w="706" w:type="dxa"/>
            <w:vAlign w:val="center"/>
            <w:textDirection w:val="lrTb"/>
            <w:noWrap/>
          </w:tcPr>
          <w:p>
            <w:pPr>
              <w:pStyle w:val="963"/>
              <w:jc w:val="center"/>
              <w:spacing w:line="360" w:lineRule="auto"/>
              <w:widowControl/>
              <w:rPr>
                <w:color w:val="000000"/>
                <w:sz w:val="24"/>
              </w:rPr>
            </w:pPr>
            <w:r>
              <w:rPr>
                <w:color w:val="000000"/>
                <w:sz w:val="24"/>
              </w:rPr>
              <w:t xml:space="preserve">23</w:t>
            </w:r>
            <w:r>
              <w:rPr>
                <w:color w:val="000000"/>
                <w:sz w:val="24"/>
              </w:rPr>
            </w:r>
            <w:r/>
          </w:p>
        </w:tc>
        <w:tc>
          <w:tcPr>
            <w:tcW w:w="1740" w:type="dxa"/>
            <w:vAlign w:val="center"/>
            <w:vMerge w:val="continue"/>
            <w:textDirection w:val="lrTb"/>
            <w:noWrap w:val="false"/>
          </w:tcPr>
          <w:p>
            <w:pPr>
              <w:pStyle w:val="963"/>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pStyle w:val="963"/>
              <w:jc w:val="center"/>
              <w:spacing w:line="360" w:lineRule="auto"/>
              <w:widowControl/>
              <w:rPr>
                <w:color w:val="000000"/>
                <w:sz w:val="24"/>
              </w:rPr>
            </w:pPr>
            <w:r>
              <w:rPr>
                <w:color w:val="000000"/>
                <w:sz w:val="24"/>
              </w:rPr>
              <w:t xml:space="preserve">备机、站房维护等</w:t>
            </w:r>
            <w:r>
              <w:rPr>
                <w:color w:val="000000"/>
                <w:sz w:val="24"/>
              </w:rPr>
            </w:r>
            <w:r/>
          </w:p>
        </w:tc>
        <w:tc>
          <w:tcPr>
            <w:tcW w:w="2303" w:type="dxa"/>
            <w:vAlign w:val="center"/>
            <w:textDirection w:val="lrTb"/>
            <w:noWrap w:val="false"/>
          </w:tcPr>
          <w:p>
            <w:pPr>
              <w:pStyle w:val="963"/>
              <w:jc w:val="center"/>
              <w:spacing w:line="360" w:lineRule="auto"/>
              <w:widowControl/>
              <w:rPr>
                <w:color w:val="000000"/>
                <w:sz w:val="24"/>
              </w:rPr>
            </w:pPr>
            <w:r>
              <w:rPr>
                <w:color w:val="000000"/>
                <w:sz w:val="24"/>
              </w:rPr>
              <w:t xml:space="preserve">/</w:t>
            </w:r>
            <w:r>
              <w:rPr>
                <w:color w:val="000000"/>
                <w:sz w:val="24"/>
              </w:rPr>
            </w:r>
            <w:r/>
          </w:p>
        </w:tc>
        <w:tc>
          <w:tcPr>
            <w:tcW w:w="927" w:type="dxa"/>
            <w:vAlign w:val="center"/>
            <w:textDirection w:val="lrTb"/>
            <w:noWrap w:val="false"/>
          </w:tcPr>
          <w:p>
            <w:pPr>
              <w:pStyle w:val="963"/>
              <w:jc w:val="center"/>
              <w:spacing w:line="360" w:lineRule="auto"/>
              <w:widowControl/>
              <w:rPr>
                <w:color w:val="000000"/>
                <w:sz w:val="24"/>
              </w:rPr>
            </w:pPr>
            <w:r>
              <w:rPr>
                <w:color w:val="000000"/>
                <w:sz w:val="24"/>
              </w:rPr>
              <w:t xml:space="preserve">19</w:t>
            </w:r>
            <w:r>
              <w:rPr>
                <w:color w:val="000000"/>
                <w:sz w:val="24"/>
              </w:rPr>
            </w:r>
            <w:r/>
          </w:p>
        </w:tc>
      </w:tr>
      <w:tr>
        <w:trPr>
          <w:cantSplit/>
          <w:trHeight w:val="280"/>
        </w:trPr>
        <w:tc>
          <w:tcPr>
            <w:tcW w:w="706" w:type="dxa"/>
            <w:vAlign w:val="center"/>
            <w:textDirection w:val="lrTb"/>
            <w:noWrap/>
          </w:tcPr>
          <w:p>
            <w:pPr>
              <w:pStyle w:val="963"/>
              <w:jc w:val="center"/>
              <w:spacing w:line="360" w:lineRule="auto"/>
              <w:widowControl/>
              <w:rPr>
                <w:color w:val="000000"/>
                <w:sz w:val="24"/>
              </w:rPr>
            </w:pPr>
            <w:r>
              <w:rPr>
                <w:color w:val="000000"/>
                <w:sz w:val="24"/>
              </w:rPr>
              <w:t xml:space="preserve">24</w:t>
            </w:r>
            <w:r>
              <w:rPr>
                <w:color w:val="000000"/>
                <w:sz w:val="24"/>
              </w:rPr>
            </w:r>
            <w:r/>
          </w:p>
        </w:tc>
        <w:tc>
          <w:tcPr>
            <w:tcW w:w="1740" w:type="dxa"/>
            <w:vAlign w:val="center"/>
            <w:vMerge w:val="restart"/>
            <w:textDirection w:val="lrTb"/>
            <w:noWrap w:val="false"/>
          </w:tcPr>
          <w:p>
            <w:pPr>
              <w:pStyle w:val="963"/>
              <w:jc w:val="center"/>
              <w:spacing w:line="360" w:lineRule="auto"/>
              <w:widowControl/>
              <w:rPr>
                <w:color w:val="000000"/>
                <w:sz w:val="24"/>
              </w:rPr>
            </w:pPr>
            <w:r>
              <w:rPr>
                <w:color w:val="000000"/>
                <w:sz w:val="24"/>
              </w:rPr>
              <w:t xml:space="preserve">PM</w:t>
            </w:r>
            <w:r>
              <w:rPr>
                <w:color w:val="000000"/>
                <w:sz w:val="24"/>
                <w:vertAlign w:val="subscript"/>
              </w:rPr>
              <w:t xml:space="preserve">2.5</w:t>
            </w:r>
            <w:r>
              <w:rPr>
                <w:color w:val="000000"/>
                <w:sz w:val="24"/>
              </w:rPr>
              <w:t xml:space="preserve">站点（3个）</w:t>
            </w:r>
            <w:r>
              <w:rPr>
                <w:color w:val="000000"/>
                <w:sz w:val="24"/>
              </w:rPr>
            </w:r>
            <w:r/>
          </w:p>
        </w:tc>
        <w:tc>
          <w:tcPr>
            <w:tcW w:w="2846" w:type="dxa"/>
            <w:vAlign w:val="center"/>
            <w:textDirection w:val="lrTb"/>
            <w:noWrap w:val="false"/>
          </w:tcPr>
          <w:p>
            <w:pPr>
              <w:pStyle w:val="963"/>
              <w:jc w:val="center"/>
              <w:spacing w:line="360" w:lineRule="auto"/>
              <w:widowControl/>
              <w:rPr>
                <w:color w:val="000000"/>
                <w:sz w:val="24"/>
              </w:rPr>
            </w:pPr>
            <w:r>
              <w:rPr>
                <w:color w:val="000000"/>
                <w:sz w:val="24"/>
              </w:rPr>
              <w:t xml:space="preserve">PM</w:t>
            </w:r>
            <w:r>
              <w:rPr>
                <w:color w:val="000000"/>
                <w:sz w:val="24"/>
                <w:vertAlign w:val="subscript"/>
              </w:rPr>
              <w:t xml:space="preserve">2.5</w:t>
            </w:r>
            <w:r>
              <w:rPr>
                <w:color w:val="000000"/>
                <w:sz w:val="24"/>
              </w:rPr>
              <w:t xml:space="preserve">分析仪</w:t>
            </w:r>
            <w:r>
              <w:rPr>
                <w:color w:val="000000"/>
                <w:sz w:val="24"/>
              </w:rPr>
            </w:r>
            <w:r/>
          </w:p>
        </w:tc>
        <w:tc>
          <w:tcPr>
            <w:tcW w:w="2303" w:type="dxa"/>
            <w:vAlign w:val="center"/>
            <w:textDirection w:val="lrTb"/>
            <w:noWrap w:val="false"/>
          </w:tcPr>
          <w:p>
            <w:pPr>
              <w:pStyle w:val="963"/>
              <w:jc w:val="center"/>
              <w:spacing w:line="360" w:lineRule="auto"/>
              <w:widowControl/>
              <w:rPr>
                <w:color w:val="000000"/>
                <w:sz w:val="24"/>
              </w:rPr>
            </w:pPr>
            <w:r>
              <w:rPr>
                <w:color w:val="000000"/>
                <w:sz w:val="24"/>
              </w:rPr>
              <w:t xml:space="preserve">/</w:t>
            </w:r>
            <w:r>
              <w:rPr>
                <w:color w:val="000000"/>
                <w:sz w:val="24"/>
              </w:rPr>
            </w:r>
            <w:r/>
          </w:p>
        </w:tc>
        <w:tc>
          <w:tcPr>
            <w:tcW w:w="927" w:type="dxa"/>
            <w:vAlign w:val="center"/>
            <w:textDirection w:val="lrTb"/>
            <w:noWrap w:val="false"/>
          </w:tcPr>
          <w:p>
            <w:pPr>
              <w:pStyle w:val="963"/>
              <w:jc w:val="center"/>
              <w:spacing w:line="360" w:lineRule="auto"/>
              <w:widowControl/>
              <w:rPr>
                <w:color w:val="000000"/>
                <w:sz w:val="24"/>
              </w:rPr>
            </w:pPr>
            <w:r>
              <w:rPr>
                <w:color w:val="000000"/>
                <w:sz w:val="24"/>
              </w:rPr>
              <w:t xml:space="preserve">3</w:t>
            </w:r>
            <w:r>
              <w:rPr>
                <w:color w:val="000000"/>
                <w:sz w:val="24"/>
              </w:rPr>
            </w:r>
            <w:r/>
          </w:p>
        </w:tc>
      </w:tr>
      <w:tr>
        <w:trPr>
          <w:cantSplit/>
          <w:trHeight w:val="280"/>
        </w:trPr>
        <w:tc>
          <w:tcPr>
            <w:tcW w:w="706" w:type="dxa"/>
            <w:vAlign w:val="center"/>
            <w:textDirection w:val="lrTb"/>
            <w:noWrap/>
          </w:tcPr>
          <w:p>
            <w:pPr>
              <w:pStyle w:val="963"/>
              <w:jc w:val="center"/>
              <w:spacing w:line="360" w:lineRule="auto"/>
              <w:widowControl/>
              <w:rPr>
                <w:color w:val="000000"/>
                <w:sz w:val="24"/>
              </w:rPr>
            </w:pPr>
            <w:r>
              <w:rPr>
                <w:color w:val="000000"/>
                <w:sz w:val="24"/>
              </w:rPr>
              <w:t xml:space="preserve">25</w:t>
            </w:r>
            <w:r>
              <w:rPr>
                <w:color w:val="000000"/>
                <w:sz w:val="24"/>
              </w:rPr>
            </w:r>
            <w:r/>
          </w:p>
        </w:tc>
        <w:tc>
          <w:tcPr>
            <w:tcW w:w="1740" w:type="dxa"/>
            <w:vAlign w:val="center"/>
            <w:vMerge w:val="continue"/>
            <w:textDirection w:val="lrTb"/>
            <w:noWrap w:val="false"/>
          </w:tcPr>
          <w:p>
            <w:pPr>
              <w:pStyle w:val="963"/>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pStyle w:val="963"/>
              <w:jc w:val="center"/>
              <w:spacing w:line="360" w:lineRule="auto"/>
              <w:widowControl/>
              <w:rPr>
                <w:color w:val="000000"/>
                <w:sz w:val="24"/>
              </w:rPr>
            </w:pPr>
            <w:r>
              <w:rPr>
                <w:color w:val="000000"/>
                <w:sz w:val="24"/>
              </w:rPr>
              <w:t xml:space="preserve">气象五参数分析仪</w:t>
            </w:r>
            <w:r>
              <w:rPr>
                <w:color w:val="000000"/>
                <w:sz w:val="24"/>
              </w:rPr>
            </w:r>
            <w:r/>
          </w:p>
        </w:tc>
        <w:tc>
          <w:tcPr>
            <w:tcW w:w="2303" w:type="dxa"/>
            <w:vAlign w:val="center"/>
            <w:textDirection w:val="lrTb"/>
            <w:noWrap w:val="false"/>
          </w:tcPr>
          <w:p>
            <w:pPr>
              <w:pStyle w:val="963"/>
              <w:jc w:val="center"/>
              <w:spacing w:line="360" w:lineRule="auto"/>
              <w:widowControl/>
              <w:rPr>
                <w:color w:val="000000"/>
                <w:sz w:val="24"/>
              </w:rPr>
            </w:pPr>
            <w:r>
              <w:rPr>
                <w:color w:val="000000"/>
                <w:sz w:val="24"/>
              </w:rPr>
              <w:t xml:space="preserve">/</w:t>
            </w:r>
            <w:r>
              <w:rPr>
                <w:color w:val="000000"/>
                <w:sz w:val="24"/>
              </w:rPr>
            </w:r>
            <w:r/>
          </w:p>
        </w:tc>
        <w:tc>
          <w:tcPr>
            <w:tcW w:w="927" w:type="dxa"/>
            <w:vAlign w:val="center"/>
            <w:textDirection w:val="lrTb"/>
            <w:noWrap w:val="false"/>
          </w:tcPr>
          <w:p>
            <w:pPr>
              <w:pStyle w:val="963"/>
              <w:jc w:val="center"/>
              <w:spacing w:line="360" w:lineRule="auto"/>
              <w:widowControl/>
              <w:rPr>
                <w:color w:val="000000"/>
                <w:sz w:val="24"/>
              </w:rPr>
            </w:pPr>
            <w:r>
              <w:rPr>
                <w:color w:val="000000"/>
                <w:sz w:val="24"/>
              </w:rPr>
              <w:t xml:space="preserve">3</w:t>
            </w:r>
            <w:r>
              <w:rPr>
                <w:color w:val="000000"/>
                <w:sz w:val="24"/>
              </w:rPr>
            </w:r>
            <w:r/>
          </w:p>
        </w:tc>
      </w:tr>
      <w:tr>
        <w:trPr>
          <w:cantSplit/>
          <w:trHeight w:val="280"/>
        </w:trPr>
        <w:tc>
          <w:tcPr>
            <w:tcW w:w="706" w:type="dxa"/>
            <w:vAlign w:val="center"/>
            <w:textDirection w:val="lrTb"/>
            <w:noWrap/>
          </w:tcPr>
          <w:p>
            <w:pPr>
              <w:pStyle w:val="963"/>
              <w:jc w:val="center"/>
              <w:spacing w:line="360" w:lineRule="auto"/>
              <w:widowControl/>
              <w:rPr>
                <w:color w:val="000000"/>
                <w:sz w:val="24"/>
              </w:rPr>
            </w:pPr>
            <w:r>
              <w:rPr>
                <w:color w:val="000000"/>
                <w:sz w:val="24"/>
              </w:rPr>
              <w:t xml:space="preserve">26</w:t>
            </w:r>
            <w:r>
              <w:rPr>
                <w:color w:val="000000"/>
                <w:sz w:val="24"/>
              </w:rPr>
            </w:r>
            <w:r/>
          </w:p>
        </w:tc>
        <w:tc>
          <w:tcPr>
            <w:tcW w:w="1740" w:type="dxa"/>
            <w:vAlign w:val="center"/>
            <w:vMerge w:val="restart"/>
            <w:textDirection w:val="lrTb"/>
            <w:noWrap w:val="false"/>
          </w:tcPr>
          <w:p>
            <w:pPr>
              <w:pStyle w:val="963"/>
              <w:jc w:val="center"/>
              <w:spacing w:line="360" w:lineRule="auto"/>
              <w:widowControl/>
              <w:rPr>
                <w:color w:val="000000"/>
                <w:sz w:val="24"/>
              </w:rPr>
            </w:pPr>
            <w:r>
              <w:rPr>
                <w:color w:val="000000"/>
                <w:sz w:val="24"/>
              </w:rPr>
              <w:t xml:space="preserve">港口大气环境自动监测站（1个）</w:t>
            </w:r>
            <w:r>
              <w:rPr>
                <w:color w:val="000000"/>
                <w:sz w:val="24"/>
              </w:rPr>
            </w:r>
            <w:r/>
          </w:p>
        </w:tc>
        <w:tc>
          <w:tcPr>
            <w:tcW w:w="2846" w:type="dxa"/>
            <w:vAlign w:val="center"/>
            <w:textDirection w:val="lrTb"/>
            <w:noWrap w:val="false"/>
          </w:tcPr>
          <w:p>
            <w:pPr>
              <w:pStyle w:val="963"/>
              <w:jc w:val="center"/>
              <w:spacing w:line="360" w:lineRule="auto"/>
              <w:widowControl/>
              <w:rPr>
                <w:color w:val="000000"/>
                <w:sz w:val="24"/>
              </w:rPr>
            </w:pPr>
            <w:r>
              <w:rPr>
                <w:color w:val="000000"/>
                <w:sz w:val="24"/>
              </w:rPr>
              <w:t xml:space="preserve">TSP颗粒物分析仪</w:t>
            </w:r>
            <w:r>
              <w:rPr>
                <w:color w:val="000000"/>
                <w:sz w:val="24"/>
              </w:rPr>
            </w:r>
            <w:r/>
          </w:p>
        </w:tc>
        <w:tc>
          <w:tcPr>
            <w:tcW w:w="2303" w:type="dxa"/>
            <w:vAlign w:val="center"/>
            <w:textDirection w:val="lrTb"/>
            <w:noWrap w:val="false"/>
          </w:tcPr>
          <w:p>
            <w:pPr>
              <w:pStyle w:val="963"/>
              <w:jc w:val="center"/>
              <w:spacing w:line="360" w:lineRule="auto"/>
              <w:widowControl/>
              <w:rPr>
                <w:color w:val="000000"/>
                <w:sz w:val="24"/>
              </w:rPr>
            </w:pPr>
            <w:r>
              <w:rPr>
                <w:color w:val="000000"/>
                <w:sz w:val="24"/>
              </w:rPr>
              <w:t xml:space="preserve">赛默飞、DM5018</w:t>
            </w:r>
            <w:r>
              <w:rPr>
                <w:color w:val="000000"/>
                <w:sz w:val="24"/>
              </w:rPr>
            </w:r>
            <w:r/>
          </w:p>
        </w:tc>
        <w:tc>
          <w:tcPr>
            <w:tcW w:w="927" w:type="dxa"/>
            <w:vAlign w:val="center"/>
            <w:textDirection w:val="lrTb"/>
            <w:noWrap w:val="false"/>
          </w:tcPr>
          <w:p>
            <w:pPr>
              <w:pStyle w:val="963"/>
              <w:jc w:val="center"/>
              <w:spacing w:line="360" w:lineRule="auto"/>
              <w:widowControl/>
              <w:rPr>
                <w:color w:val="000000"/>
                <w:sz w:val="24"/>
              </w:rPr>
            </w:pPr>
            <w:r>
              <w:rPr>
                <w:color w:val="000000"/>
                <w:sz w:val="24"/>
              </w:rPr>
              <w:t xml:space="preserve">1</w:t>
            </w:r>
            <w:r>
              <w:rPr>
                <w:color w:val="000000"/>
                <w:sz w:val="24"/>
              </w:rPr>
            </w:r>
            <w:r/>
          </w:p>
        </w:tc>
      </w:tr>
      <w:tr>
        <w:trPr>
          <w:cantSplit/>
          <w:trHeight w:val="280"/>
        </w:trPr>
        <w:tc>
          <w:tcPr>
            <w:tcW w:w="706" w:type="dxa"/>
            <w:vAlign w:val="center"/>
            <w:textDirection w:val="lrTb"/>
            <w:noWrap/>
          </w:tcPr>
          <w:p>
            <w:pPr>
              <w:pStyle w:val="963"/>
              <w:jc w:val="center"/>
              <w:spacing w:line="360" w:lineRule="auto"/>
              <w:widowControl/>
              <w:rPr>
                <w:color w:val="000000"/>
                <w:sz w:val="24"/>
              </w:rPr>
            </w:pPr>
            <w:r>
              <w:rPr>
                <w:color w:val="000000"/>
                <w:sz w:val="24"/>
              </w:rPr>
              <w:t xml:space="preserve">27</w:t>
            </w:r>
            <w:r>
              <w:rPr>
                <w:color w:val="000000"/>
                <w:sz w:val="24"/>
              </w:rPr>
            </w:r>
            <w:r/>
          </w:p>
        </w:tc>
        <w:tc>
          <w:tcPr>
            <w:tcW w:w="1740" w:type="dxa"/>
            <w:vAlign w:val="center"/>
            <w:vMerge w:val="continue"/>
            <w:textDirection w:val="lrTb"/>
            <w:noWrap w:val="false"/>
          </w:tcPr>
          <w:p>
            <w:pPr>
              <w:pStyle w:val="963"/>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pStyle w:val="963"/>
              <w:jc w:val="center"/>
              <w:spacing w:line="360" w:lineRule="auto"/>
              <w:widowControl/>
              <w:rPr>
                <w:color w:val="000000"/>
                <w:sz w:val="24"/>
              </w:rPr>
            </w:pPr>
            <w:r>
              <w:rPr>
                <w:color w:val="000000"/>
                <w:sz w:val="24"/>
              </w:rPr>
              <w:t xml:space="preserve">H</w:t>
            </w:r>
            <w:r>
              <w:rPr>
                <w:color w:val="000000"/>
                <w:sz w:val="24"/>
                <w:vertAlign w:val="subscript"/>
              </w:rPr>
              <w:t xml:space="preserve">2</w:t>
            </w:r>
            <w:r>
              <w:rPr>
                <w:color w:val="000000"/>
                <w:sz w:val="24"/>
              </w:rPr>
              <w:t xml:space="preserve">S分析仪</w:t>
            </w:r>
            <w:r>
              <w:rPr>
                <w:color w:val="000000"/>
                <w:sz w:val="24"/>
              </w:rPr>
            </w:r>
            <w:r/>
          </w:p>
        </w:tc>
        <w:tc>
          <w:tcPr>
            <w:tcW w:w="2303" w:type="dxa"/>
            <w:vAlign w:val="center"/>
            <w:textDirection w:val="lrTb"/>
            <w:noWrap w:val="false"/>
          </w:tcPr>
          <w:p>
            <w:pPr>
              <w:pStyle w:val="963"/>
              <w:jc w:val="center"/>
              <w:spacing w:line="360" w:lineRule="auto"/>
              <w:widowControl/>
              <w:rPr>
                <w:color w:val="000000"/>
                <w:sz w:val="24"/>
              </w:rPr>
            </w:pPr>
            <w:r>
              <w:rPr>
                <w:color w:val="000000"/>
                <w:sz w:val="24"/>
              </w:rPr>
              <w:t xml:space="preserve">赛默飞、450i</w:t>
            </w:r>
            <w:r>
              <w:rPr>
                <w:color w:val="000000"/>
                <w:sz w:val="24"/>
              </w:rPr>
            </w:r>
            <w:r/>
          </w:p>
        </w:tc>
        <w:tc>
          <w:tcPr>
            <w:tcW w:w="927" w:type="dxa"/>
            <w:vAlign w:val="center"/>
            <w:textDirection w:val="lrTb"/>
            <w:noWrap w:val="false"/>
          </w:tcPr>
          <w:p>
            <w:pPr>
              <w:pStyle w:val="963"/>
              <w:jc w:val="center"/>
              <w:spacing w:line="360" w:lineRule="auto"/>
              <w:widowControl/>
              <w:rPr>
                <w:color w:val="000000"/>
                <w:sz w:val="24"/>
              </w:rPr>
            </w:pPr>
            <w:r>
              <w:rPr>
                <w:color w:val="000000"/>
                <w:sz w:val="24"/>
              </w:rPr>
              <w:t xml:space="preserve">1</w:t>
            </w:r>
            <w:r>
              <w:rPr>
                <w:color w:val="000000"/>
                <w:sz w:val="24"/>
              </w:rPr>
            </w:r>
            <w:r/>
          </w:p>
        </w:tc>
      </w:tr>
      <w:tr>
        <w:trPr>
          <w:cantSplit/>
          <w:trHeight w:val="280"/>
        </w:trPr>
        <w:tc>
          <w:tcPr>
            <w:tcW w:w="706" w:type="dxa"/>
            <w:vAlign w:val="center"/>
            <w:textDirection w:val="lrTb"/>
            <w:noWrap/>
          </w:tcPr>
          <w:p>
            <w:pPr>
              <w:pStyle w:val="963"/>
              <w:jc w:val="center"/>
              <w:spacing w:line="360" w:lineRule="auto"/>
              <w:widowControl/>
              <w:rPr>
                <w:color w:val="000000"/>
                <w:sz w:val="24"/>
              </w:rPr>
            </w:pPr>
            <w:r>
              <w:rPr>
                <w:color w:val="000000"/>
                <w:sz w:val="24"/>
              </w:rPr>
              <w:t xml:space="preserve">28</w:t>
            </w:r>
            <w:r>
              <w:rPr>
                <w:color w:val="000000"/>
                <w:sz w:val="24"/>
              </w:rPr>
            </w:r>
            <w:r/>
          </w:p>
        </w:tc>
        <w:tc>
          <w:tcPr>
            <w:tcW w:w="1740" w:type="dxa"/>
            <w:vAlign w:val="center"/>
            <w:vMerge w:val="continue"/>
            <w:textDirection w:val="lrTb"/>
            <w:noWrap w:val="false"/>
          </w:tcPr>
          <w:p>
            <w:pPr>
              <w:pStyle w:val="963"/>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pStyle w:val="963"/>
              <w:jc w:val="center"/>
              <w:spacing w:line="360" w:lineRule="auto"/>
              <w:widowControl/>
              <w:rPr>
                <w:color w:val="000000"/>
                <w:sz w:val="24"/>
              </w:rPr>
            </w:pPr>
            <w:r>
              <w:rPr>
                <w:color w:val="000000"/>
                <w:sz w:val="24"/>
              </w:rPr>
              <w:t xml:space="preserve">非甲烷总烃分析仪</w:t>
            </w:r>
            <w:r>
              <w:rPr>
                <w:color w:val="000000"/>
                <w:sz w:val="24"/>
              </w:rPr>
            </w:r>
            <w:r/>
          </w:p>
        </w:tc>
        <w:tc>
          <w:tcPr>
            <w:tcW w:w="2303" w:type="dxa"/>
            <w:vAlign w:val="center"/>
            <w:textDirection w:val="lrTb"/>
            <w:noWrap w:val="false"/>
          </w:tcPr>
          <w:p>
            <w:pPr>
              <w:pStyle w:val="963"/>
              <w:jc w:val="center"/>
              <w:spacing w:line="360" w:lineRule="auto"/>
              <w:widowControl/>
              <w:rPr>
                <w:color w:val="000000"/>
                <w:sz w:val="24"/>
              </w:rPr>
            </w:pPr>
            <w:r>
              <w:rPr>
                <w:color w:val="000000"/>
                <w:sz w:val="24"/>
              </w:rPr>
              <w:t xml:space="preserve">赛默飞、5900系列-A</w:t>
            </w:r>
            <w:r>
              <w:rPr>
                <w:color w:val="000000"/>
                <w:sz w:val="24"/>
              </w:rPr>
            </w:r>
            <w:r/>
          </w:p>
        </w:tc>
        <w:tc>
          <w:tcPr>
            <w:tcW w:w="927" w:type="dxa"/>
            <w:vAlign w:val="center"/>
            <w:textDirection w:val="lrTb"/>
            <w:noWrap w:val="false"/>
          </w:tcPr>
          <w:p>
            <w:pPr>
              <w:pStyle w:val="963"/>
              <w:jc w:val="center"/>
              <w:spacing w:line="360" w:lineRule="auto"/>
              <w:widowControl/>
              <w:rPr>
                <w:color w:val="000000"/>
                <w:sz w:val="24"/>
              </w:rPr>
            </w:pPr>
            <w:r>
              <w:rPr>
                <w:color w:val="000000"/>
                <w:sz w:val="24"/>
              </w:rPr>
              <w:t xml:space="preserve">1</w:t>
            </w:r>
            <w:r>
              <w:rPr>
                <w:color w:val="000000"/>
                <w:sz w:val="24"/>
              </w:rPr>
            </w:r>
            <w:r/>
          </w:p>
        </w:tc>
      </w:tr>
      <w:tr>
        <w:trPr>
          <w:cantSplit/>
          <w:trHeight w:val="280"/>
        </w:trPr>
        <w:tc>
          <w:tcPr>
            <w:tcW w:w="706" w:type="dxa"/>
            <w:vAlign w:val="center"/>
            <w:textDirection w:val="lrTb"/>
            <w:noWrap/>
          </w:tcPr>
          <w:p>
            <w:pPr>
              <w:pStyle w:val="963"/>
              <w:jc w:val="center"/>
              <w:spacing w:line="360" w:lineRule="auto"/>
              <w:widowControl/>
              <w:rPr>
                <w:color w:val="000000"/>
                <w:sz w:val="24"/>
              </w:rPr>
            </w:pPr>
            <w:r>
              <w:rPr>
                <w:color w:val="000000"/>
                <w:sz w:val="24"/>
              </w:rPr>
              <w:t xml:space="preserve">29</w:t>
            </w:r>
            <w:r>
              <w:rPr>
                <w:color w:val="000000"/>
                <w:sz w:val="24"/>
              </w:rPr>
            </w:r>
            <w:r/>
          </w:p>
        </w:tc>
        <w:tc>
          <w:tcPr>
            <w:tcW w:w="1740" w:type="dxa"/>
            <w:vAlign w:val="center"/>
            <w:vMerge w:val="continue"/>
            <w:textDirection w:val="lrTb"/>
            <w:noWrap w:val="false"/>
          </w:tcPr>
          <w:p>
            <w:pPr>
              <w:pStyle w:val="963"/>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pStyle w:val="963"/>
              <w:jc w:val="center"/>
              <w:spacing w:line="360" w:lineRule="auto"/>
              <w:widowControl/>
              <w:rPr>
                <w:color w:val="000000"/>
                <w:sz w:val="24"/>
              </w:rPr>
            </w:pPr>
            <w:r>
              <w:rPr>
                <w:color w:val="000000"/>
                <w:sz w:val="24"/>
              </w:rPr>
              <w:t xml:space="preserve">采样系统</w:t>
            </w:r>
            <w:r>
              <w:rPr>
                <w:color w:val="000000"/>
                <w:sz w:val="24"/>
              </w:rPr>
            </w:r>
            <w:r/>
          </w:p>
        </w:tc>
        <w:tc>
          <w:tcPr>
            <w:tcW w:w="2303" w:type="dxa"/>
            <w:vAlign w:val="center"/>
            <w:textDirection w:val="lrTb"/>
            <w:noWrap w:val="false"/>
          </w:tcPr>
          <w:p>
            <w:pPr>
              <w:pStyle w:val="963"/>
              <w:jc w:val="center"/>
              <w:spacing w:line="360" w:lineRule="auto"/>
              <w:widowControl/>
              <w:rPr>
                <w:color w:val="000000"/>
                <w:sz w:val="24"/>
              </w:rPr>
            </w:pPr>
            <w:r>
              <w:rPr>
                <w:color w:val="000000"/>
                <w:sz w:val="24"/>
              </w:rPr>
              <w:t xml:space="preserve">DEA09</w:t>
            </w:r>
            <w:r>
              <w:rPr>
                <w:color w:val="000000"/>
                <w:sz w:val="24"/>
              </w:rPr>
            </w:r>
            <w:r/>
          </w:p>
        </w:tc>
        <w:tc>
          <w:tcPr>
            <w:tcW w:w="927" w:type="dxa"/>
            <w:vAlign w:val="center"/>
            <w:textDirection w:val="lrTb"/>
            <w:noWrap w:val="false"/>
          </w:tcPr>
          <w:p>
            <w:pPr>
              <w:pStyle w:val="963"/>
              <w:jc w:val="center"/>
              <w:spacing w:line="360" w:lineRule="auto"/>
              <w:widowControl/>
              <w:rPr>
                <w:color w:val="000000"/>
                <w:sz w:val="24"/>
              </w:rPr>
            </w:pPr>
            <w:r>
              <w:rPr>
                <w:color w:val="000000"/>
                <w:sz w:val="24"/>
              </w:rPr>
              <w:t xml:space="preserve">1</w:t>
            </w:r>
            <w:r>
              <w:rPr>
                <w:color w:val="000000"/>
                <w:sz w:val="24"/>
              </w:rPr>
            </w:r>
            <w:r/>
          </w:p>
        </w:tc>
      </w:tr>
      <w:tr>
        <w:trPr>
          <w:cantSplit/>
          <w:trHeight w:val="280"/>
        </w:trPr>
        <w:tc>
          <w:tcPr>
            <w:tcW w:w="706" w:type="dxa"/>
            <w:vAlign w:val="center"/>
            <w:textDirection w:val="lrTb"/>
            <w:noWrap/>
          </w:tcPr>
          <w:p>
            <w:pPr>
              <w:pStyle w:val="963"/>
              <w:jc w:val="center"/>
              <w:spacing w:line="360" w:lineRule="auto"/>
              <w:widowControl/>
              <w:rPr>
                <w:color w:val="000000"/>
                <w:sz w:val="24"/>
              </w:rPr>
            </w:pPr>
            <w:r>
              <w:rPr>
                <w:color w:val="000000"/>
                <w:sz w:val="24"/>
              </w:rPr>
              <w:t xml:space="preserve">30</w:t>
            </w:r>
            <w:r>
              <w:rPr>
                <w:color w:val="000000"/>
                <w:sz w:val="24"/>
              </w:rPr>
            </w:r>
            <w:r/>
          </w:p>
        </w:tc>
        <w:tc>
          <w:tcPr>
            <w:tcW w:w="1740" w:type="dxa"/>
            <w:vAlign w:val="center"/>
            <w:vMerge w:val="continue"/>
            <w:textDirection w:val="lrTb"/>
            <w:noWrap w:val="false"/>
          </w:tcPr>
          <w:p>
            <w:pPr>
              <w:pStyle w:val="963"/>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pStyle w:val="963"/>
              <w:jc w:val="center"/>
              <w:spacing w:line="360" w:lineRule="auto"/>
              <w:widowControl/>
              <w:rPr>
                <w:color w:val="000000"/>
                <w:sz w:val="24"/>
              </w:rPr>
            </w:pPr>
            <w:r>
              <w:rPr>
                <w:color w:val="000000"/>
                <w:sz w:val="24"/>
              </w:rPr>
              <w:t xml:space="preserve">机架等辅助设备</w:t>
            </w:r>
            <w:r>
              <w:rPr>
                <w:color w:val="000000"/>
                <w:sz w:val="24"/>
              </w:rPr>
            </w:r>
            <w:r/>
          </w:p>
        </w:tc>
        <w:tc>
          <w:tcPr>
            <w:tcW w:w="2303" w:type="dxa"/>
            <w:vAlign w:val="center"/>
            <w:textDirection w:val="lrTb"/>
            <w:noWrap w:val="false"/>
          </w:tcPr>
          <w:p>
            <w:pPr>
              <w:pStyle w:val="963"/>
              <w:jc w:val="center"/>
              <w:spacing w:line="360" w:lineRule="auto"/>
              <w:widowControl/>
              <w:rPr>
                <w:color w:val="000000"/>
                <w:sz w:val="24"/>
              </w:rPr>
            </w:pPr>
            <w:r>
              <w:rPr>
                <w:color w:val="000000"/>
                <w:sz w:val="24"/>
              </w:rPr>
              <w:t xml:space="preserve">2000*600*900mm</w:t>
            </w:r>
            <w:r>
              <w:rPr>
                <w:color w:val="000000"/>
                <w:sz w:val="24"/>
              </w:rPr>
            </w:r>
            <w:r/>
          </w:p>
        </w:tc>
        <w:tc>
          <w:tcPr>
            <w:tcW w:w="927" w:type="dxa"/>
            <w:vAlign w:val="center"/>
            <w:textDirection w:val="lrTb"/>
            <w:noWrap w:val="false"/>
          </w:tcPr>
          <w:p>
            <w:pPr>
              <w:pStyle w:val="963"/>
              <w:jc w:val="center"/>
              <w:spacing w:line="360" w:lineRule="auto"/>
              <w:widowControl/>
              <w:rPr>
                <w:color w:val="000000"/>
                <w:sz w:val="24"/>
              </w:rPr>
            </w:pPr>
            <w:r>
              <w:rPr>
                <w:color w:val="000000"/>
                <w:sz w:val="24"/>
              </w:rPr>
              <w:t xml:space="preserve">1</w:t>
            </w:r>
            <w:r>
              <w:rPr>
                <w:color w:val="000000"/>
                <w:sz w:val="24"/>
              </w:rPr>
            </w:r>
            <w:r/>
          </w:p>
        </w:tc>
      </w:tr>
      <w:tr>
        <w:trPr>
          <w:cantSplit/>
          <w:trHeight w:val="280"/>
        </w:trPr>
        <w:tc>
          <w:tcPr>
            <w:tcW w:w="706" w:type="dxa"/>
            <w:vAlign w:val="center"/>
            <w:textDirection w:val="lrTb"/>
            <w:noWrap/>
          </w:tcPr>
          <w:p>
            <w:pPr>
              <w:pStyle w:val="963"/>
              <w:jc w:val="center"/>
              <w:spacing w:line="360" w:lineRule="auto"/>
              <w:widowControl/>
              <w:rPr>
                <w:color w:val="000000"/>
                <w:sz w:val="24"/>
              </w:rPr>
            </w:pPr>
            <w:r>
              <w:rPr>
                <w:color w:val="000000"/>
                <w:sz w:val="24"/>
              </w:rPr>
              <w:t xml:space="preserve">31</w:t>
            </w:r>
            <w:r>
              <w:rPr>
                <w:color w:val="000000"/>
                <w:sz w:val="24"/>
              </w:rPr>
            </w:r>
            <w:r/>
          </w:p>
        </w:tc>
        <w:tc>
          <w:tcPr>
            <w:tcW w:w="1740" w:type="dxa"/>
            <w:vAlign w:val="center"/>
            <w:vMerge w:val="continue"/>
            <w:textDirection w:val="lrTb"/>
            <w:noWrap w:val="false"/>
          </w:tcPr>
          <w:p>
            <w:pPr>
              <w:pStyle w:val="963"/>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pStyle w:val="963"/>
              <w:jc w:val="center"/>
              <w:spacing w:line="360" w:lineRule="auto"/>
              <w:widowControl/>
              <w:rPr>
                <w:color w:val="000000"/>
                <w:sz w:val="24"/>
              </w:rPr>
            </w:pPr>
            <w:r>
              <w:rPr>
                <w:color w:val="000000"/>
                <w:sz w:val="24"/>
              </w:rPr>
              <w:t xml:space="preserve">数据采集系统（含工控机）</w:t>
            </w:r>
            <w:r>
              <w:rPr>
                <w:color w:val="000000"/>
                <w:sz w:val="24"/>
              </w:rPr>
            </w:r>
            <w:r/>
          </w:p>
        </w:tc>
        <w:tc>
          <w:tcPr>
            <w:tcW w:w="2303" w:type="dxa"/>
            <w:vAlign w:val="center"/>
            <w:textDirection w:val="lrTb"/>
            <w:noWrap w:val="false"/>
          </w:tcPr>
          <w:p>
            <w:pPr>
              <w:pStyle w:val="963"/>
              <w:jc w:val="center"/>
              <w:spacing w:line="360" w:lineRule="auto"/>
              <w:widowControl/>
              <w:rPr>
                <w:color w:val="000000"/>
                <w:sz w:val="24"/>
              </w:rPr>
            </w:pPr>
            <w:r>
              <w:rPr>
                <w:color w:val="000000"/>
                <w:sz w:val="24"/>
              </w:rPr>
              <w:t xml:space="preserve">聚光科技、AQMS plus</w:t>
            </w:r>
            <w:r>
              <w:rPr>
                <w:color w:val="000000"/>
                <w:sz w:val="24"/>
              </w:rPr>
            </w:r>
            <w:r/>
          </w:p>
        </w:tc>
        <w:tc>
          <w:tcPr>
            <w:tcW w:w="927" w:type="dxa"/>
            <w:vAlign w:val="center"/>
            <w:textDirection w:val="lrTb"/>
            <w:noWrap w:val="false"/>
          </w:tcPr>
          <w:p>
            <w:pPr>
              <w:pStyle w:val="963"/>
              <w:jc w:val="center"/>
              <w:spacing w:line="360" w:lineRule="auto"/>
              <w:widowControl/>
              <w:rPr>
                <w:color w:val="000000"/>
                <w:sz w:val="24"/>
              </w:rPr>
            </w:pPr>
            <w:r>
              <w:rPr>
                <w:color w:val="000000"/>
                <w:sz w:val="24"/>
              </w:rPr>
              <w:t xml:space="preserve">1</w:t>
            </w:r>
            <w:r>
              <w:rPr>
                <w:color w:val="000000"/>
                <w:sz w:val="24"/>
              </w:rPr>
            </w:r>
            <w:r/>
          </w:p>
        </w:tc>
      </w:tr>
      <w:tr>
        <w:trPr>
          <w:cantSplit/>
          <w:trHeight w:val="280"/>
        </w:trPr>
        <w:tc>
          <w:tcPr>
            <w:tcW w:w="706" w:type="dxa"/>
            <w:vAlign w:val="center"/>
            <w:textDirection w:val="lrTb"/>
            <w:noWrap/>
          </w:tcPr>
          <w:p>
            <w:pPr>
              <w:pStyle w:val="963"/>
              <w:jc w:val="center"/>
              <w:spacing w:line="360" w:lineRule="auto"/>
              <w:widowControl/>
              <w:rPr>
                <w:color w:val="000000"/>
                <w:sz w:val="24"/>
              </w:rPr>
            </w:pPr>
            <w:r>
              <w:rPr>
                <w:color w:val="000000"/>
                <w:sz w:val="24"/>
              </w:rPr>
              <w:t xml:space="preserve">32</w:t>
            </w:r>
            <w:r>
              <w:rPr>
                <w:color w:val="000000"/>
                <w:sz w:val="24"/>
              </w:rPr>
            </w:r>
            <w:r/>
          </w:p>
        </w:tc>
        <w:tc>
          <w:tcPr>
            <w:tcW w:w="1740" w:type="dxa"/>
            <w:vAlign w:val="center"/>
            <w:vMerge w:val="continue"/>
            <w:textDirection w:val="lrTb"/>
            <w:noWrap w:val="false"/>
          </w:tcPr>
          <w:p>
            <w:pPr>
              <w:pStyle w:val="963"/>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pStyle w:val="963"/>
              <w:jc w:val="center"/>
              <w:spacing w:line="360" w:lineRule="auto"/>
              <w:widowControl/>
              <w:rPr>
                <w:color w:val="000000"/>
                <w:sz w:val="24"/>
              </w:rPr>
            </w:pPr>
            <w:r>
              <w:rPr>
                <w:color w:val="000000"/>
                <w:sz w:val="24"/>
              </w:rPr>
              <w:t xml:space="preserve">质控设备</w:t>
            </w:r>
            <w:r>
              <w:rPr>
                <w:color w:val="000000"/>
                <w:sz w:val="24"/>
              </w:rPr>
            </w:r>
            <w:r/>
          </w:p>
        </w:tc>
        <w:tc>
          <w:tcPr>
            <w:tcW w:w="2303" w:type="dxa"/>
            <w:vAlign w:val="center"/>
            <w:textDirection w:val="lrTb"/>
            <w:noWrap w:val="false"/>
          </w:tcPr>
          <w:p>
            <w:pPr>
              <w:pStyle w:val="963"/>
              <w:jc w:val="center"/>
              <w:spacing w:line="360" w:lineRule="auto"/>
              <w:widowControl/>
              <w:rPr>
                <w:color w:val="000000"/>
                <w:sz w:val="24"/>
              </w:rPr>
            </w:pPr>
            <w:r>
              <w:rPr>
                <w:color w:val="000000"/>
                <w:sz w:val="24"/>
              </w:rPr>
              <w:t xml:space="preserve">/</w:t>
            </w:r>
            <w:r>
              <w:rPr>
                <w:color w:val="000000"/>
                <w:sz w:val="24"/>
              </w:rPr>
            </w:r>
            <w:r/>
          </w:p>
        </w:tc>
        <w:tc>
          <w:tcPr>
            <w:tcW w:w="927" w:type="dxa"/>
            <w:vAlign w:val="center"/>
            <w:textDirection w:val="lrTb"/>
            <w:noWrap w:val="false"/>
          </w:tcPr>
          <w:p>
            <w:pPr>
              <w:pStyle w:val="963"/>
              <w:jc w:val="center"/>
              <w:spacing w:line="360" w:lineRule="auto"/>
              <w:widowControl/>
              <w:rPr>
                <w:color w:val="000000"/>
                <w:sz w:val="24"/>
              </w:rPr>
            </w:pPr>
            <w:r>
              <w:rPr>
                <w:color w:val="000000"/>
                <w:sz w:val="24"/>
              </w:rPr>
              <w:t xml:space="preserve">1</w:t>
            </w:r>
            <w:r>
              <w:rPr>
                <w:color w:val="000000"/>
                <w:sz w:val="24"/>
              </w:rPr>
            </w:r>
            <w:r/>
          </w:p>
        </w:tc>
      </w:tr>
      <w:tr>
        <w:trPr>
          <w:cantSplit/>
          <w:trHeight w:val="280"/>
        </w:trPr>
        <w:tc>
          <w:tcPr>
            <w:tcW w:w="706" w:type="dxa"/>
            <w:vAlign w:val="center"/>
            <w:textDirection w:val="lrTb"/>
            <w:noWrap/>
          </w:tcPr>
          <w:p>
            <w:pPr>
              <w:pStyle w:val="963"/>
              <w:jc w:val="center"/>
              <w:spacing w:line="360" w:lineRule="auto"/>
              <w:widowControl/>
              <w:rPr>
                <w:color w:val="000000"/>
                <w:sz w:val="24"/>
              </w:rPr>
            </w:pPr>
            <w:r>
              <w:rPr>
                <w:color w:val="000000"/>
                <w:sz w:val="24"/>
              </w:rPr>
              <w:t xml:space="preserve">33</w:t>
            </w:r>
            <w:r>
              <w:rPr>
                <w:color w:val="000000"/>
                <w:sz w:val="24"/>
              </w:rPr>
            </w:r>
            <w:r/>
          </w:p>
        </w:tc>
        <w:tc>
          <w:tcPr>
            <w:tcW w:w="1740" w:type="dxa"/>
            <w:vAlign w:val="center"/>
            <w:vMerge w:val="continue"/>
            <w:textDirection w:val="lrTb"/>
            <w:noWrap w:val="false"/>
          </w:tcPr>
          <w:p>
            <w:pPr>
              <w:pStyle w:val="963"/>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pStyle w:val="963"/>
              <w:jc w:val="center"/>
              <w:spacing w:line="360" w:lineRule="auto"/>
              <w:widowControl/>
              <w:rPr>
                <w:color w:val="000000"/>
                <w:sz w:val="24"/>
              </w:rPr>
            </w:pPr>
            <w:r>
              <w:rPr>
                <w:color w:val="000000"/>
                <w:sz w:val="24"/>
              </w:rPr>
              <w:t xml:space="preserve">动态气体校准仪</w:t>
            </w:r>
            <w:r>
              <w:rPr>
                <w:color w:val="000000"/>
                <w:sz w:val="24"/>
              </w:rPr>
            </w:r>
            <w:r/>
          </w:p>
        </w:tc>
        <w:tc>
          <w:tcPr>
            <w:tcW w:w="2303" w:type="dxa"/>
            <w:vAlign w:val="center"/>
            <w:textDirection w:val="lrTb"/>
            <w:noWrap w:val="false"/>
          </w:tcPr>
          <w:p>
            <w:pPr>
              <w:pStyle w:val="963"/>
              <w:jc w:val="center"/>
              <w:spacing w:line="360" w:lineRule="auto"/>
              <w:widowControl/>
              <w:rPr>
                <w:color w:val="000000"/>
                <w:sz w:val="24"/>
              </w:rPr>
            </w:pPr>
            <w:r>
              <w:rPr>
                <w:color w:val="000000"/>
                <w:sz w:val="24"/>
              </w:rPr>
              <w:t xml:space="preserve">赛默飞、146i</w:t>
            </w:r>
            <w:r>
              <w:rPr>
                <w:color w:val="000000"/>
                <w:sz w:val="24"/>
              </w:rPr>
            </w:r>
            <w:r/>
          </w:p>
        </w:tc>
        <w:tc>
          <w:tcPr>
            <w:tcW w:w="927" w:type="dxa"/>
            <w:vAlign w:val="center"/>
            <w:textDirection w:val="lrTb"/>
            <w:noWrap w:val="false"/>
          </w:tcPr>
          <w:p>
            <w:pPr>
              <w:pStyle w:val="963"/>
              <w:jc w:val="center"/>
              <w:spacing w:line="360" w:lineRule="auto"/>
              <w:widowControl/>
              <w:rPr>
                <w:color w:val="000000"/>
                <w:sz w:val="24"/>
              </w:rPr>
            </w:pPr>
            <w:r>
              <w:rPr>
                <w:color w:val="000000"/>
                <w:sz w:val="24"/>
              </w:rPr>
              <w:t xml:space="preserve">1</w:t>
            </w:r>
            <w:r>
              <w:rPr>
                <w:color w:val="000000"/>
                <w:sz w:val="24"/>
              </w:rPr>
            </w:r>
            <w:r/>
          </w:p>
        </w:tc>
      </w:tr>
      <w:tr>
        <w:trPr>
          <w:cantSplit/>
          <w:trHeight w:val="280"/>
        </w:trPr>
        <w:tc>
          <w:tcPr>
            <w:tcW w:w="706" w:type="dxa"/>
            <w:vAlign w:val="center"/>
            <w:textDirection w:val="lrTb"/>
            <w:noWrap/>
          </w:tcPr>
          <w:p>
            <w:pPr>
              <w:pStyle w:val="963"/>
              <w:jc w:val="center"/>
              <w:spacing w:line="360" w:lineRule="auto"/>
              <w:widowControl/>
              <w:rPr>
                <w:color w:val="000000"/>
                <w:sz w:val="24"/>
              </w:rPr>
            </w:pPr>
            <w:r>
              <w:rPr>
                <w:color w:val="000000"/>
                <w:sz w:val="24"/>
              </w:rPr>
              <w:t xml:space="preserve">34</w:t>
            </w:r>
            <w:r>
              <w:rPr>
                <w:color w:val="000000"/>
                <w:sz w:val="24"/>
              </w:rPr>
            </w:r>
            <w:r/>
          </w:p>
        </w:tc>
        <w:tc>
          <w:tcPr>
            <w:tcW w:w="1740" w:type="dxa"/>
            <w:vAlign w:val="center"/>
            <w:vMerge w:val="continue"/>
            <w:textDirection w:val="lrTb"/>
            <w:noWrap w:val="false"/>
          </w:tcPr>
          <w:p>
            <w:pPr>
              <w:pStyle w:val="963"/>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pStyle w:val="963"/>
              <w:jc w:val="center"/>
              <w:spacing w:line="360" w:lineRule="auto"/>
              <w:widowControl/>
              <w:rPr>
                <w:color w:val="000000"/>
                <w:sz w:val="24"/>
              </w:rPr>
            </w:pPr>
            <w:r>
              <w:rPr>
                <w:color w:val="000000"/>
                <w:sz w:val="24"/>
              </w:rPr>
              <w:t xml:space="preserve">零气发生器</w:t>
            </w:r>
            <w:r>
              <w:rPr>
                <w:color w:val="000000"/>
                <w:sz w:val="24"/>
              </w:rPr>
            </w:r>
            <w:r/>
          </w:p>
        </w:tc>
        <w:tc>
          <w:tcPr>
            <w:tcW w:w="2303" w:type="dxa"/>
            <w:vAlign w:val="center"/>
            <w:textDirection w:val="lrTb"/>
            <w:noWrap w:val="false"/>
          </w:tcPr>
          <w:p>
            <w:pPr>
              <w:pStyle w:val="963"/>
              <w:jc w:val="center"/>
              <w:spacing w:line="360" w:lineRule="auto"/>
              <w:widowControl/>
              <w:rPr>
                <w:color w:val="000000"/>
                <w:sz w:val="24"/>
              </w:rPr>
            </w:pPr>
            <w:r>
              <w:rPr>
                <w:color w:val="000000"/>
                <w:sz w:val="24"/>
              </w:rPr>
              <w:t xml:space="preserve">111</w:t>
            </w:r>
            <w:r>
              <w:rPr>
                <w:color w:val="000000"/>
                <w:sz w:val="24"/>
              </w:rPr>
            </w:r>
            <w:r/>
          </w:p>
        </w:tc>
        <w:tc>
          <w:tcPr>
            <w:tcW w:w="927" w:type="dxa"/>
            <w:vAlign w:val="center"/>
            <w:textDirection w:val="lrTb"/>
            <w:noWrap w:val="false"/>
          </w:tcPr>
          <w:p>
            <w:pPr>
              <w:pStyle w:val="963"/>
              <w:jc w:val="center"/>
              <w:spacing w:line="360" w:lineRule="auto"/>
              <w:widowControl/>
              <w:rPr>
                <w:color w:val="000000"/>
                <w:sz w:val="24"/>
              </w:rPr>
            </w:pPr>
            <w:r>
              <w:rPr>
                <w:color w:val="000000"/>
                <w:sz w:val="24"/>
              </w:rPr>
              <w:t xml:space="preserve">1</w:t>
            </w:r>
            <w:r>
              <w:rPr>
                <w:color w:val="000000"/>
                <w:sz w:val="24"/>
              </w:rPr>
            </w:r>
            <w:r/>
          </w:p>
        </w:tc>
      </w:tr>
      <w:tr>
        <w:trPr>
          <w:cantSplit/>
          <w:trHeight w:val="280"/>
        </w:trPr>
        <w:tc>
          <w:tcPr>
            <w:tcW w:w="706" w:type="dxa"/>
            <w:vAlign w:val="center"/>
            <w:textDirection w:val="lrTb"/>
            <w:noWrap/>
          </w:tcPr>
          <w:p>
            <w:pPr>
              <w:pStyle w:val="963"/>
              <w:jc w:val="center"/>
              <w:spacing w:line="360" w:lineRule="auto"/>
              <w:widowControl/>
              <w:rPr>
                <w:color w:val="000000"/>
                <w:sz w:val="24"/>
              </w:rPr>
            </w:pPr>
            <w:r>
              <w:rPr>
                <w:color w:val="000000"/>
                <w:sz w:val="24"/>
              </w:rPr>
              <w:t xml:space="preserve">35</w:t>
            </w:r>
            <w:r>
              <w:rPr>
                <w:color w:val="000000"/>
                <w:sz w:val="24"/>
              </w:rPr>
            </w:r>
            <w:r/>
          </w:p>
        </w:tc>
        <w:tc>
          <w:tcPr>
            <w:tcW w:w="1740" w:type="dxa"/>
            <w:vAlign w:val="center"/>
            <w:vMerge w:val="continue"/>
            <w:textDirection w:val="lrTb"/>
            <w:noWrap w:val="false"/>
          </w:tcPr>
          <w:p>
            <w:pPr>
              <w:pStyle w:val="963"/>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pStyle w:val="963"/>
              <w:jc w:val="center"/>
              <w:spacing w:line="360" w:lineRule="auto"/>
              <w:widowControl/>
              <w:rPr>
                <w:color w:val="000000"/>
                <w:sz w:val="24"/>
              </w:rPr>
            </w:pPr>
            <w:r>
              <w:rPr>
                <w:color w:val="000000"/>
                <w:sz w:val="24"/>
              </w:rPr>
              <w:t xml:space="preserve">氢气发生器</w:t>
            </w:r>
            <w:r>
              <w:rPr>
                <w:color w:val="000000"/>
                <w:sz w:val="24"/>
              </w:rPr>
            </w:r>
            <w:r/>
          </w:p>
        </w:tc>
        <w:tc>
          <w:tcPr>
            <w:tcW w:w="2303" w:type="dxa"/>
            <w:vAlign w:val="center"/>
            <w:textDirection w:val="lrTb"/>
            <w:noWrap w:val="false"/>
          </w:tcPr>
          <w:p>
            <w:pPr>
              <w:pStyle w:val="963"/>
              <w:jc w:val="center"/>
              <w:spacing w:line="360" w:lineRule="auto"/>
              <w:widowControl/>
              <w:rPr>
                <w:color w:val="000000"/>
                <w:sz w:val="24"/>
              </w:rPr>
            </w:pPr>
            <w:r>
              <w:rPr>
                <w:color w:val="000000"/>
                <w:sz w:val="24"/>
              </w:rPr>
              <w:t xml:space="preserve">北京科普生、KPS-H-300</w:t>
            </w:r>
            <w:r>
              <w:rPr>
                <w:color w:val="000000"/>
                <w:sz w:val="24"/>
              </w:rPr>
            </w:r>
            <w:r/>
          </w:p>
        </w:tc>
        <w:tc>
          <w:tcPr>
            <w:tcW w:w="927" w:type="dxa"/>
            <w:vAlign w:val="center"/>
            <w:textDirection w:val="lrTb"/>
            <w:noWrap w:val="false"/>
          </w:tcPr>
          <w:p>
            <w:pPr>
              <w:pStyle w:val="963"/>
              <w:jc w:val="center"/>
              <w:spacing w:line="360" w:lineRule="auto"/>
              <w:widowControl/>
              <w:rPr>
                <w:color w:val="000000"/>
                <w:sz w:val="24"/>
              </w:rPr>
            </w:pPr>
            <w:r>
              <w:rPr>
                <w:color w:val="000000"/>
                <w:sz w:val="24"/>
              </w:rPr>
              <w:t xml:space="preserve">1</w:t>
            </w:r>
            <w:r>
              <w:rPr>
                <w:color w:val="000000"/>
                <w:sz w:val="24"/>
              </w:rPr>
            </w:r>
            <w:r/>
          </w:p>
        </w:tc>
      </w:tr>
      <w:tr>
        <w:trPr>
          <w:cantSplit/>
          <w:trHeight w:val="280"/>
        </w:trPr>
        <w:tc>
          <w:tcPr>
            <w:tcW w:w="706" w:type="dxa"/>
            <w:vAlign w:val="center"/>
            <w:textDirection w:val="lrTb"/>
            <w:noWrap/>
          </w:tcPr>
          <w:p>
            <w:pPr>
              <w:pStyle w:val="963"/>
              <w:jc w:val="center"/>
              <w:spacing w:line="360" w:lineRule="auto"/>
              <w:widowControl/>
              <w:rPr>
                <w:color w:val="000000"/>
                <w:sz w:val="24"/>
              </w:rPr>
            </w:pPr>
            <w:r>
              <w:rPr>
                <w:color w:val="000000"/>
                <w:sz w:val="24"/>
              </w:rPr>
              <w:t xml:space="preserve">36</w:t>
            </w:r>
            <w:r>
              <w:rPr>
                <w:color w:val="000000"/>
                <w:sz w:val="24"/>
              </w:rPr>
            </w:r>
            <w:r/>
          </w:p>
        </w:tc>
        <w:tc>
          <w:tcPr>
            <w:tcW w:w="1740" w:type="dxa"/>
            <w:vAlign w:val="center"/>
            <w:vMerge w:val="continue"/>
            <w:textDirection w:val="lrTb"/>
            <w:noWrap w:val="false"/>
          </w:tcPr>
          <w:p>
            <w:pPr>
              <w:pStyle w:val="963"/>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pStyle w:val="963"/>
              <w:jc w:val="center"/>
              <w:spacing w:line="360" w:lineRule="auto"/>
              <w:widowControl/>
              <w:rPr>
                <w:color w:val="000000"/>
                <w:sz w:val="24"/>
              </w:rPr>
            </w:pPr>
            <w:r>
              <w:rPr>
                <w:color w:val="000000"/>
                <w:sz w:val="24"/>
              </w:rPr>
              <w:t xml:space="preserve">备机、站房维护等</w:t>
            </w:r>
            <w:r>
              <w:rPr>
                <w:color w:val="000000"/>
                <w:sz w:val="24"/>
              </w:rPr>
            </w:r>
            <w:r/>
          </w:p>
        </w:tc>
        <w:tc>
          <w:tcPr>
            <w:tcW w:w="2303" w:type="dxa"/>
            <w:vAlign w:val="center"/>
            <w:textDirection w:val="lrTb"/>
            <w:noWrap w:val="false"/>
          </w:tcPr>
          <w:p>
            <w:pPr>
              <w:pStyle w:val="963"/>
              <w:jc w:val="center"/>
              <w:spacing w:line="360" w:lineRule="auto"/>
              <w:widowControl/>
              <w:rPr>
                <w:color w:val="000000"/>
                <w:sz w:val="24"/>
              </w:rPr>
            </w:pPr>
            <w:r>
              <w:rPr>
                <w:color w:val="000000"/>
                <w:sz w:val="24"/>
              </w:rPr>
              <w:t xml:space="preserve">/</w:t>
            </w:r>
            <w:r>
              <w:rPr>
                <w:color w:val="000000"/>
                <w:sz w:val="24"/>
              </w:rPr>
            </w:r>
            <w:r/>
          </w:p>
        </w:tc>
        <w:tc>
          <w:tcPr>
            <w:tcW w:w="927" w:type="dxa"/>
            <w:vAlign w:val="center"/>
            <w:textDirection w:val="lrTb"/>
            <w:noWrap w:val="false"/>
          </w:tcPr>
          <w:p>
            <w:pPr>
              <w:pStyle w:val="963"/>
              <w:jc w:val="center"/>
              <w:spacing w:line="360" w:lineRule="auto"/>
              <w:widowControl/>
              <w:rPr>
                <w:color w:val="000000"/>
                <w:sz w:val="24"/>
              </w:rPr>
            </w:pPr>
            <w:r>
              <w:rPr>
                <w:color w:val="000000"/>
                <w:sz w:val="24"/>
              </w:rPr>
              <w:t xml:space="preserve">1</w:t>
            </w:r>
            <w:r>
              <w:rPr>
                <w:color w:val="000000"/>
                <w:sz w:val="24"/>
              </w:rPr>
            </w:r>
            <w:r/>
          </w:p>
        </w:tc>
      </w:tr>
      <w:tr>
        <w:trPr>
          <w:cantSplit/>
          <w:trHeight w:val="280"/>
        </w:trPr>
        <w:tc>
          <w:tcPr>
            <w:tcW w:w="706" w:type="dxa"/>
            <w:vAlign w:val="center"/>
            <w:textDirection w:val="lrTb"/>
            <w:noWrap/>
          </w:tcPr>
          <w:p>
            <w:pPr>
              <w:pStyle w:val="963"/>
              <w:jc w:val="center"/>
              <w:spacing w:line="360" w:lineRule="auto"/>
              <w:widowControl/>
              <w:rPr>
                <w:color w:val="000000"/>
                <w:sz w:val="24"/>
              </w:rPr>
            </w:pPr>
            <w:r>
              <w:rPr>
                <w:color w:val="000000"/>
                <w:sz w:val="24"/>
              </w:rPr>
              <w:t xml:space="preserve">37</w:t>
            </w:r>
            <w:r>
              <w:rPr>
                <w:color w:val="000000"/>
                <w:sz w:val="24"/>
              </w:rPr>
            </w:r>
            <w:r/>
          </w:p>
        </w:tc>
        <w:tc>
          <w:tcPr>
            <w:tcW w:w="1740" w:type="dxa"/>
            <w:vAlign w:val="center"/>
            <w:vMerge w:val="continue"/>
            <w:textDirection w:val="lrTb"/>
            <w:noWrap w:val="false"/>
          </w:tcPr>
          <w:p>
            <w:pPr>
              <w:pStyle w:val="963"/>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pStyle w:val="963"/>
              <w:jc w:val="center"/>
              <w:spacing w:line="360" w:lineRule="auto"/>
              <w:widowControl/>
              <w:rPr>
                <w:color w:val="000000"/>
                <w:sz w:val="24"/>
              </w:rPr>
            </w:pPr>
            <w:r>
              <w:rPr>
                <w:color w:val="000000"/>
                <w:sz w:val="24"/>
              </w:rPr>
              <w:t xml:space="preserve">视频监控系统</w:t>
            </w:r>
            <w:r>
              <w:rPr>
                <w:color w:val="000000"/>
                <w:sz w:val="24"/>
              </w:rPr>
            </w:r>
            <w:r/>
          </w:p>
        </w:tc>
        <w:tc>
          <w:tcPr>
            <w:tcW w:w="2303" w:type="dxa"/>
            <w:vAlign w:val="center"/>
            <w:textDirection w:val="lrTb"/>
            <w:noWrap w:val="false"/>
          </w:tcPr>
          <w:p>
            <w:pPr>
              <w:pStyle w:val="963"/>
              <w:jc w:val="center"/>
              <w:spacing w:line="360" w:lineRule="auto"/>
              <w:widowControl/>
              <w:rPr>
                <w:color w:val="000000"/>
                <w:sz w:val="24"/>
              </w:rPr>
            </w:pPr>
            <w:r>
              <w:rPr>
                <w:color w:val="000000"/>
                <w:sz w:val="24"/>
              </w:rPr>
              <w:t xml:space="preserve">/</w:t>
            </w:r>
            <w:r>
              <w:rPr>
                <w:color w:val="000000"/>
                <w:sz w:val="24"/>
              </w:rPr>
            </w:r>
            <w:r/>
          </w:p>
        </w:tc>
        <w:tc>
          <w:tcPr>
            <w:tcW w:w="927" w:type="dxa"/>
            <w:vAlign w:val="center"/>
            <w:textDirection w:val="lrTb"/>
            <w:noWrap w:val="false"/>
          </w:tcPr>
          <w:p>
            <w:pPr>
              <w:pStyle w:val="963"/>
              <w:jc w:val="center"/>
              <w:spacing w:line="360" w:lineRule="auto"/>
              <w:widowControl/>
              <w:rPr>
                <w:color w:val="000000"/>
                <w:sz w:val="24"/>
              </w:rPr>
            </w:pPr>
            <w:r>
              <w:rPr>
                <w:color w:val="000000"/>
                <w:sz w:val="24"/>
              </w:rPr>
              <w:t xml:space="preserve">1</w:t>
            </w:r>
            <w:r>
              <w:rPr>
                <w:color w:val="000000"/>
                <w:sz w:val="24"/>
              </w:rPr>
            </w:r>
            <w:r/>
          </w:p>
        </w:tc>
      </w:tr>
    </w:tbl>
    <w:p>
      <w:pPr>
        <w:pStyle w:val="963"/>
        <w:numPr>
          <w:ilvl w:val="0"/>
          <w:numId w:val="5"/>
        </w:numPr>
        <w:ind w:firstLine="482"/>
        <w:jc w:val="left"/>
        <w:spacing w:line="360" w:lineRule="auto"/>
        <w:widowControl/>
        <w:rPr>
          <w:color w:val="000000"/>
          <w:sz w:val="24"/>
        </w:rPr>
      </w:pPr>
      <w:r>
        <w:rPr>
          <w:rFonts w:hint="eastAsia"/>
          <w:b/>
          <w:bCs/>
          <w:color w:val="000000"/>
          <w:sz w:val="24"/>
        </w:rPr>
        <w:t xml:space="preserve">VOCs站点运行维护：</w:t>
      </w:r>
      <w:r>
        <w:rPr>
          <w:color w:val="000000"/>
          <w:sz w:val="24"/>
        </w:rPr>
        <w:t xml:space="preserve">完成连云区人民政府大楼和海州区孔望山2个VOCs自动监测站监测仪器、气象仪器、辅助设备、防雷等基础设施的日常维护、质量控制、故障维修、年度检修、应急等工作。保障设备运行正常，确保监测数据的有效性、准确性。</w:t>
      </w:r>
      <w:r>
        <w:rPr>
          <w:color w:val="000000"/>
          <w:sz w:val="24"/>
        </w:rPr>
      </w:r>
      <w:r/>
    </w:p>
    <w:p>
      <w:pPr>
        <w:pStyle w:val="963"/>
        <w:rPr>
          <w:sz w:val="24"/>
        </w:rPr>
      </w:pPr>
      <w:r>
        <w:rPr>
          <w:sz w:val="24"/>
        </w:rPr>
        <w:t xml:space="preserve">运行维护设备清单</w:t>
      </w:r>
      <w:r>
        <w:rPr>
          <w:rFonts w:hint="eastAsia"/>
          <w:sz w:val="24"/>
        </w:rPr>
        <w:t xml:space="preserve">：</w:t>
      </w:r>
      <w:r>
        <w:rPr>
          <w:sz w:val="24"/>
        </w:rPr>
      </w:r>
      <w:r/>
    </w:p>
    <w:tbl>
      <w:tblPr>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3"/>
        <w:gridCol w:w="4963"/>
        <w:gridCol w:w="2793"/>
      </w:tblGrid>
      <w:tr>
        <w:trPr>
          <w:trHeight w:val="278"/>
        </w:trPr>
        <w:tc>
          <w:tcPr>
            <w:tcW w:w="763" w:type="dxa"/>
            <w:vAlign w:val="center"/>
            <w:textDirection w:val="lrTb"/>
            <w:noWrap/>
          </w:tcPr>
          <w:p>
            <w:pPr>
              <w:pStyle w:val="963"/>
              <w:jc w:val="center"/>
              <w:spacing w:line="360" w:lineRule="auto"/>
              <w:rPr>
                <w:sz w:val="24"/>
              </w:rPr>
            </w:pPr>
            <w:r>
              <w:rPr>
                <w:sz w:val="24"/>
              </w:rPr>
              <w:t xml:space="preserve">序号</w:t>
            </w:r>
            <w:r>
              <w:rPr>
                <w:sz w:val="24"/>
              </w:rPr>
            </w:r>
            <w:r/>
          </w:p>
        </w:tc>
        <w:tc>
          <w:tcPr>
            <w:tcW w:w="4963" w:type="dxa"/>
            <w:vAlign w:val="center"/>
            <w:textDirection w:val="lrTb"/>
            <w:noWrap/>
          </w:tcPr>
          <w:p>
            <w:pPr>
              <w:pStyle w:val="963"/>
              <w:jc w:val="center"/>
              <w:spacing w:line="360" w:lineRule="auto"/>
              <w:rPr>
                <w:sz w:val="24"/>
              </w:rPr>
            </w:pPr>
            <w:r>
              <w:rPr>
                <w:sz w:val="24"/>
              </w:rPr>
              <w:t xml:space="preserve">设备/系统名称</w:t>
            </w:r>
            <w:r>
              <w:rPr>
                <w:sz w:val="24"/>
              </w:rPr>
            </w:r>
            <w:r/>
          </w:p>
        </w:tc>
        <w:tc>
          <w:tcPr>
            <w:tcW w:w="2793" w:type="dxa"/>
            <w:vAlign w:val="center"/>
            <w:textDirection w:val="lrTb"/>
            <w:noWrap/>
          </w:tcPr>
          <w:p>
            <w:pPr>
              <w:pStyle w:val="963"/>
              <w:jc w:val="center"/>
              <w:spacing w:line="360" w:lineRule="auto"/>
              <w:rPr>
                <w:sz w:val="24"/>
              </w:rPr>
            </w:pPr>
            <w:r>
              <w:rPr>
                <w:sz w:val="24"/>
              </w:rPr>
              <w:t xml:space="preserve">品牌、型号规格</w:t>
            </w:r>
            <w:r>
              <w:rPr>
                <w:sz w:val="24"/>
              </w:rPr>
            </w:r>
            <w:r/>
          </w:p>
        </w:tc>
      </w:tr>
      <w:tr>
        <w:trPr>
          <w:trHeight w:val="278"/>
        </w:trPr>
        <w:tc>
          <w:tcPr>
            <w:tcW w:w="763" w:type="dxa"/>
            <w:vAlign w:val="center"/>
            <w:textDirection w:val="lrTb"/>
            <w:noWrap/>
          </w:tcPr>
          <w:p>
            <w:pPr>
              <w:pStyle w:val="963"/>
              <w:jc w:val="center"/>
              <w:spacing w:line="360" w:lineRule="auto"/>
              <w:rPr>
                <w:sz w:val="24"/>
              </w:rPr>
            </w:pPr>
            <w:r>
              <w:rPr>
                <w:sz w:val="24"/>
              </w:rPr>
              <w:t xml:space="preserve">1</w:t>
            </w:r>
            <w:r>
              <w:rPr>
                <w:sz w:val="24"/>
              </w:rPr>
            </w:r>
            <w:r/>
          </w:p>
        </w:tc>
        <w:tc>
          <w:tcPr>
            <w:tcW w:w="4963" w:type="dxa"/>
            <w:vAlign w:val="center"/>
            <w:textDirection w:val="lrTb"/>
            <w:noWrap/>
          </w:tcPr>
          <w:p>
            <w:pPr>
              <w:pStyle w:val="963"/>
              <w:jc w:val="center"/>
              <w:rPr>
                <w:color w:val="000000"/>
                <w:sz w:val="24"/>
              </w:rPr>
            </w:pPr>
            <w:r>
              <w:rPr>
                <w:sz w:val="24"/>
              </w:rPr>
              <w:t xml:space="preserve">在线式气相色谱-质谱分析仪</w:t>
            </w:r>
            <w:r>
              <w:rPr>
                <w:color w:val="000000"/>
                <w:sz w:val="24"/>
              </w:rPr>
            </w:r>
            <w:r/>
          </w:p>
        </w:tc>
        <w:tc>
          <w:tcPr>
            <w:tcW w:w="2793" w:type="dxa"/>
            <w:vAlign w:val="center"/>
            <w:textDirection w:val="lrTb"/>
            <w:noWrap/>
          </w:tcPr>
          <w:p>
            <w:pPr>
              <w:pStyle w:val="963"/>
              <w:jc w:val="center"/>
              <w:rPr>
                <w:color w:val="000000"/>
                <w:sz w:val="24"/>
              </w:rPr>
            </w:pPr>
            <w:r>
              <w:rPr>
                <w:sz w:val="24"/>
              </w:rPr>
              <w:t xml:space="preserve">奥瑞 AR2200-FID</w:t>
            </w:r>
            <w:r>
              <w:rPr>
                <w:color w:val="000000"/>
                <w:sz w:val="24"/>
              </w:rPr>
            </w:r>
            <w:r/>
          </w:p>
        </w:tc>
      </w:tr>
      <w:tr>
        <w:trPr>
          <w:trHeight w:val="278"/>
        </w:trPr>
        <w:tc>
          <w:tcPr>
            <w:tcW w:w="763" w:type="dxa"/>
            <w:vAlign w:val="center"/>
            <w:textDirection w:val="lrTb"/>
            <w:noWrap/>
          </w:tcPr>
          <w:p>
            <w:pPr>
              <w:pStyle w:val="963"/>
              <w:jc w:val="center"/>
              <w:spacing w:line="360" w:lineRule="auto"/>
              <w:rPr>
                <w:sz w:val="24"/>
              </w:rPr>
            </w:pPr>
            <w:r>
              <w:rPr>
                <w:sz w:val="24"/>
              </w:rPr>
              <w:t xml:space="preserve">2</w:t>
            </w:r>
            <w:r>
              <w:rPr>
                <w:sz w:val="24"/>
              </w:rPr>
            </w:r>
            <w:r/>
          </w:p>
        </w:tc>
        <w:tc>
          <w:tcPr>
            <w:tcW w:w="4963" w:type="dxa"/>
            <w:vAlign w:val="center"/>
            <w:textDirection w:val="lrTb"/>
            <w:noWrap/>
          </w:tcPr>
          <w:p>
            <w:pPr>
              <w:pStyle w:val="963"/>
              <w:jc w:val="center"/>
              <w:rPr>
                <w:color w:val="000000"/>
                <w:sz w:val="24"/>
              </w:rPr>
            </w:pPr>
            <w:r>
              <w:rPr>
                <w:sz w:val="24"/>
              </w:rPr>
              <w:t xml:space="preserve">在线式气相色谱-质谱分析仪</w:t>
            </w:r>
            <w:r>
              <w:rPr>
                <w:color w:val="000000"/>
                <w:sz w:val="24"/>
              </w:rPr>
            </w:r>
            <w:r/>
          </w:p>
        </w:tc>
        <w:tc>
          <w:tcPr>
            <w:tcW w:w="2793" w:type="dxa"/>
            <w:vAlign w:val="center"/>
            <w:textDirection w:val="lrTb"/>
            <w:noWrap/>
          </w:tcPr>
          <w:p>
            <w:pPr>
              <w:pStyle w:val="963"/>
              <w:jc w:val="center"/>
              <w:rPr>
                <w:b/>
                <w:bCs/>
                <w:color w:val="000000"/>
                <w:sz w:val="24"/>
              </w:rPr>
            </w:pPr>
            <w:r>
              <w:rPr>
                <w:sz w:val="24"/>
              </w:rPr>
              <w:t xml:space="preserve">奥瑞 AR2200-MS</w:t>
            </w:r>
            <w:r>
              <w:rPr>
                <w:b/>
                <w:bCs/>
                <w:color w:val="000000"/>
                <w:sz w:val="24"/>
              </w:rPr>
            </w:r>
            <w:r/>
          </w:p>
        </w:tc>
      </w:tr>
      <w:tr>
        <w:trPr>
          <w:trHeight w:val="278"/>
        </w:trPr>
        <w:tc>
          <w:tcPr>
            <w:tcW w:w="763" w:type="dxa"/>
            <w:vAlign w:val="center"/>
            <w:textDirection w:val="lrTb"/>
            <w:noWrap/>
          </w:tcPr>
          <w:p>
            <w:pPr>
              <w:pStyle w:val="963"/>
              <w:jc w:val="center"/>
              <w:spacing w:line="360" w:lineRule="auto"/>
              <w:rPr>
                <w:sz w:val="24"/>
              </w:rPr>
            </w:pPr>
            <w:r>
              <w:rPr>
                <w:sz w:val="24"/>
              </w:rPr>
              <w:t xml:space="preserve">3</w:t>
            </w:r>
            <w:r>
              <w:rPr>
                <w:sz w:val="24"/>
              </w:rPr>
            </w:r>
            <w:r/>
          </w:p>
        </w:tc>
        <w:tc>
          <w:tcPr>
            <w:tcW w:w="4963" w:type="dxa"/>
            <w:vAlign w:val="center"/>
            <w:textDirection w:val="lrTb"/>
            <w:noWrap/>
          </w:tcPr>
          <w:p>
            <w:pPr>
              <w:pStyle w:val="963"/>
              <w:jc w:val="center"/>
              <w:rPr>
                <w:color w:val="000000"/>
                <w:sz w:val="24"/>
              </w:rPr>
            </w:pPr>
            <w:r>
              <w:rPr>
                <w:sz w:val="24"/>
              </w:rPr>
              <w:t xml:space="preserve">动态校准仪</w:t>
            </w:r>
            <w:r>
              <w:rPr>
                <w:color w:val="000000"/>
                <w:sz w:val="24"/>
              </w:rPr>
            </w:r>
            <w:r/>
          </w:p>
        </w:tc>
        <w:tc>
          <w:tcPr>
            <w:tcW w:w="2793" w:type="dxa"/>
            <w:vAlign w:val="center"/>
            <w:textDirection w:val="lrTb"/>
            <w:noWrap/>
          </w:tcPr>
          <w:p>
            <w:pPr>
              <w:pStyle w:val="963"/>
              <w:jc w:val="center"/>
              <w:rPr>
                <w:color w:val="000000"/>
                <w:sz w:val="24"/>
              </w:rPr>
            </w:pPr>
            <w:r>
              <w:rPr>
                <w:sz w:val="24"/>
              </w:rPr>
              <w:t xml:space="preserve">奥瑞 AR1046-V</w:t>
            </w:r>
            <w:r>
              <w:rPr>
                <w:color w:val="000000"/>
                <w:sz w:val="24"/>
              </w:rPr>
            </w:r>
            <w:r/>
          </w:p>
        </w:tc>
      </w:tr>
      <w:tr>
        <w:trPr>
          <w:trHeight w:val="278"/>
        </w:trPr>
        <w:tc>
          <w:tcPr>
            <w:tcW w:w="763" w:type="dxa"/>
            <w:vAlign w:val="center"/>
            <w:textDirection w:val="lrTb"/>
            <w:noWrap/>
          </w:tcPr>
          <w:p>
            <w:pPr>
              <w:pStyle w:val="963"/>
              <w:jc w:val="center"/>
              <w:spacing w:line="360" w:lineRule="auto"/>
              <w:rPr>
                <w:sz w:val="24"/>
              </w:rPr>
            </w:pPr>
            <w:r>
              <w:rPr>
                <w:sz w:val="24"/>
              </w:rPr>
              <w:t xml:space="preserve">4</w:t>
            </w:r>
            <w:r>
              <w:rPr>
                <w:sz w:val="24"/>
              </w:rPr>
            </w:r>
            <w:r/>
          </w:p>
        </w:tc>
        <w:tc>
          <w:tcPr>
            <w:tcW w:w="4963" w:type="dxa"/>
            <w:vAlign w:val="center"/>
            <w:textDirection w:val="lrTb"/>
            <w:noWrap/>
          </w:tcPr>
          <w:p>
            <w:pPr>
              <w:pStyle w:val="963"/>
              <w:jc w:val="center"/>
              <w:rPr>
                <w:color w:val="000000"/>
                <w:sz w:val="24"/>
              </w:rPr>
            </w:pPr>
            <w:r>
              <w:rPr>
                <w:sz w:val="24"/>
              </w:rPr>
              <w:t xml:space="preserve">零气发生器</w:t>
            </w:r>
            <w:r>
              <w:rPr>
                <w:color w:val="000000"/>
                <w:sz w:val="24"/>
              </w:rPr>
            </w:r>
            <w:r/>
          </w:p>
        </w:tc>
        <w:tc>
          <w:tcPr>
            <w:tcW w:w="2793" w:type="dxa"/>
            <w:vAlign w:val="center"/>
            <w:textDirection w:val="lrTb"/>
            <w:noWrap/>
          </w:tcPr>
          <w:p>
            <w:pPr>
              <w:pStyle w:val="963"/>
              <w:jc w:val="center"/>
              <w:rPr>
                <w:color w:val="000000"/>
                <w:sz w:val="24"/>
              </w:rPr>
            </w:pPr>
            <w:r>
              <w:rPr>
                <w:sz w:val="24"/>
              </w:rPr>
              <w:t xml:space="preserve">奥瑞 AR1011</w:t>
            </w:r>
            <w:r>
              <w:rPr>
                <w:color w:val="000000"/>
                <w:sz w:val="24"/>
              </w:rPr>
            </w:r>
            <w:r/>
          </w:p>
        </w:tc>
      </w:tr>
      <w:tr>
        <w:trPr>
          <w:trHeight w:val="278"/>
        </w:trPr>
        <w:tc>
          <w:tcPr>
            <w:tcW w:w="763" w:type="dxa"/>
            <w:vAlign w:val="center"/>
            <w:textDirection w:val="lrTb"/>
            <w:noWrap/>
          </w:tcPr>
          <w:p>
            <w:pPr>
              <w:pStyle w:val="963"/>
              <w:jc w:val="center"/>
              <w:spacing w:line="360" w:lineRule="auto"/>
              <w:rPr>
                <w:sz w:val="24"/>
              </w:rPr>
            </w:pPr>
            <w:r>
              <w:rPr>
                <w:sz w:val="24"/>
              </w:rPr>
              <w:t xml:space="preserve">5</w:t>
            </w:r>
            <w:r>
              <w:rPr>
                <w:sz w:val="24"/>
              </w:rPr>
            </w:r>
            <w:r/>
          </w:p>
        </w:tc>
        <w:tc>
          <w:tcPr>
            <w:tcW w:w="4963" w:type="dxa"/>
            <w:vAlign w:val="center"/>
            <w:textDirection w:val="lrTb"/>
            <w:noWrap/>
          </w:tcPr>
          <w:p>
            <w:pPr>
              <w:pStyle w:val="963"/>
              <w:jc w:val="center"/>
              <w:rPr>
                <w:color w:val="000000"/>
                <w:sz w:val="24"/>
              </w:rPr>
            </w:pPr>
            <w:r>
              <w:rPr>
                <w:sz w:val="24"/>
              </w:rPr>
              <w:t xml:space="preserve">氢气发生器</w:t>
            </w:r>
            <w:r>
              <w:rPr>
                <w:color w:val="000000"/>
                <w:sz w:val="24"/>
              </w:rPr>
            </w:r>
            <w:r/>
          </w:p>
        </w:tc>
        <w:tc>
          <w:tcPr>
            <w:tcW w:w="2793" w:type="dxa"/>
            <w:vAlign w:val="center"/>
            <w:textDirection w:val="lrTb"/>
            <w:noWrap/>
          </w:tcPr>
          <w:p>
            <w:pPr>
              <w:pStyle w:val="1153"/>
              <w:jc w:val="center"/>
              <w:widowControl/>
              <w:rPr>
                <w:rFonts w:ascii="Times New Roman" w:hAnsi="Times New Roman"/>
                <w:color w:val="000000"/>
                <w:sz w:val="24"/>
                <w:szCs w:val="24"/>
              </w:rPr>
            </w:pPr>
            <w:r>
              <w:rPr>
                <w:rFonts w:ascii="Times New Roman" w:hAnsi="Times New Roman"/>
                <w:sz w:val="24"/>
                <w:szCs w:val="24"/>
              </w:rPr>
              <w:t xml:space="preserve">科普生 HG-1085、北京</w:t>
            </w:r>
            <w:r>
              <w:rPr>
                <w:rFonts w:ascii="Times New Roman" w:hAnsi="Times New Roman"/>
                <w:color w:val="000000"/>
                <w:sz w:val="24"/>
                <w:szCs w:val="24"/>
              </w:rPr>
            </w:r>
            <w:r/>
          </w:p>
        </w:tc>
      </w:tr>
      <w:tr>
        <w:trPr>
          <w:trHeight w:val="278"/>
        </w:trPr>
        <w:tc>
          <w:tcPr>
            <w:tcW w:w="763" w:type="dxa"/>
            <w:vAlign w:val="center"/>
            <w:textDirection w:val="lrTb"/>
            <w:noWrap/>
          </w:tcPr>
          <w:p>
            <w:pPr>
              <w:pStyle w:val="963"/>
              <w:jc w:val="center"/>
              <w:spacing w:line="360" w:lineRule="auto"/>
              <w:rPr>
                <w:sz w:val="24"/>
              </w:rPr>
            </w:pPr>
            <w:r>
              <w:rPr>
                <w:sz w:val="24"/>
              </w:rPr>
              <w:t xml:space="preserve">6</w:t>
            </w:r>
            <w:r>
              <w:rPr>
                <w:sz w:val="24"/>
              </w:rPr>
            </w:r>
            <w:r/>
          </w:p>
        </w:tc>
        <w:tc>
          <w:tcPr>
            <w:tcW w:w="4963" w:type="dxa"/>
            <w:vAlign w:val="center"/>
            <w:textDirection w:val="lrTb"/>
            <w:noWrap/>
          </w:tcPr>
          <w:p>
            <w:pPr>
              <w:pStyle w:val="963"/>
              <w:jc w:val="center"/>
              <w:rPr>
                <w:sz w:val="24"/>
              </w:rPr>
            </w:pPr>
            <w:r>
              <w:rPr>
                <w:sz w:val="24"/>
              </w:rPr>
              <w:t xml:space="preserve">气象五参数</w:t>
            </w:r>
            <w:r>
              <w:rPr>
                <w:sz w:val="24"/>
              </w:rPr>
            </w:r>
            <w:r/>
          </w:p>
        </w:tc>
        <w:tc>
          <w:tcPr>
            <w:tcW w:w="2793" w:type="dxa"/>
            <w:vAlign w:val="center"/>
            <w:textDirection w:val="lrTb"/>
            <w:noWrap/>
          </w:tcPr>
          <w:p>
            <w:pPr>
              <w:pStyle w:val="963"/>
              <w:jc w:val="center"/>
              <w:rPr>
                <w:sz w:val="24"/>
              </w:rPr>
            </w:pPr>
            <w:r>
              <w:rPr>
                <w:sz w:val="24"/>
              </w:rPr>
              <w:t xml:space="preserve">维萨拉 WXT-536</w:t>
            </w:r>
            <w:r>
              <w:rPr>
                <w:sz w:val="24"/>
              </w:rPr>
            </w:r>
            <w:r/>
          </w:p>
        </w:tc>
      </w:tr>
      <w:tr>
        <w:trPr>
          <w:trHeight w:val="278"/>
        </w:trPr>
        <w:tc>
          <w:tcPr>
            <w:tcW w:w="763" w:type="dxa"/>
            <w:vAlign w:val="center"/>
            <w:textDirection w:val="lrTb"/>
            <w:noWrap/>
          </w:tcPr>
          <w:p>
            <w:pPr>
              <w:pStyle w:val="963"/>
              <w:jc w:val="center"/>
              <w:spacing w:line="360" w:lineRule="auto"/>
              <w:rPr>
                <w:sz w:val="24"/>
              </w:rPr>
            </w:pPr>
            <w:r>
              <w:rPr>
                <w:sz w:val="24"/>
              </w:rPr>
              <w:t xml:space="preserve">7</w:t>
            </w:r>
            <w:r>
              <w:rPr>
                <w:sz w:val="24"/>
              </w:rPr>
            </w:r>
            <w:r/>
          </w:p>
        </w:tc>
        <w:tc>
          <w:tcPr>
            <w:tcW w:w="4963" w:type="dxa"/>
            <w:vAlign w:val="center"/>
            <w:textDirection w:val="lrTb"/>
            <w:noWrap/>
          </w:tcPr>
          <w:p>
            <w:pPr>
              <w:pStyle w:val="963"/>
              <w:jc w:val="center"/>
              <w:rPr>
                <w:sz w:val="24"/>
              </w:rPr>
            </w:pPr>
            <w:r>
              <w:rPr>
                <w:color w:val="000000"/>
                <w:sz w:val="24"/>
              </w:rPr>
              <w:t xml:space="preserve">视频监控系统</w:t>
            </w:r>
            <w:r>
              <w:rPr>
                <w:sz w:val="24"/>
              </w:rPr>
            </w:r>
            <w:r/>
          </w:p>
        </w:tc>
        <w:tc>
          <w:tcPr>
            <w:tcW w:w="2793" w:type="dxa"/>
            <w:vAlign w:val="center"/>
            <w:textDirection w:val="lrTb"/>
            <w:noWrap/>
          </w:tcPr>
          <w:p>
            <w:pPr>
              <w:pStyle w:val="963"/>
              <w:jc w:val="center"/>
              <w:rPr>
                <w:sz w:val="24"/>
              </w:rPr>
            </w:pPr>
            <w:r>
              <w:rPr>
                <w:sz w:val="24"/>
              </w:rPr>
              <w:t xml:space="preserve">奥瑞 AR7101</w:t>
            </w:r>
            <w:r>
              <w:rPr>
                <w:sz w:val="24"/>
              </w:rPr>
            </w:r>
            <w:r/>
          </w:p>
        </w:tc>
      </w:tr>
      <w:tr>
        <w:trPr>
          <w:trHeight w:val="388"/>
        </w:trPr>
        <w:tc>
          <w:tcPr>
            <w:tcW w:w="763" w:type="dxa"/>
            <w:vAlign w:val="center"/>
            <w:textDirection w:val="lrTb"/>
            <w:noWrap/>
          </w:tcPr>
          <w:p>
            <w:pPr>
              <w:pStyle w:val="963"/>
              <w:jc w:val="center"/>
              <w:spacing w:line="360" w:lineRule="auto"/>
              <w:rPr>
                <w:sz w:val="24"/>
              </w:rPr>
            </w:pPr>
            <w:r>
              <w:rPr>
                <w:sz w:val="24"/>
              </w:rPr>
              <w:t xml:space="preserve">8</w:t>
            </w:r>
            <w:r>
              <w:rPr>
                <w:sz w:val="24"/>
              </w:rPr>
            </w:r>
            <w:r/>
          </w:p>
        </w:tc>
        <w:tc>
          <w:tcPr>
            <w:tcW w:w="4963" w:type="dxa"/>
            <w:vAlign w:val="center"/>
            <w:textDirection w:val="lrTb"/>
            <w:noWrap/>
          </w:tcPr>
          <w:p>
            <w:pPr>
              <w:pStyle w:val="963"/>
              <w:jc w:val="center"/>
              <w:rPr>
                <w:sz w:val="24"/>
              </w:rPr>
            </w:pPr>
            <w:r>
              <w:rPr>
                <w:color w:val="000000"/>
                <w:sz w:val="24"/>
              </w:rPr>
              <w:t xml:space="preserve">备机、站房维护等</w:t>
            </w:r>
            <w:r>
              <w:rPr>
                <w:sz w:val="24"/>
              </w:rPr>
            </w:r>
            <w:r/>
          </w:p>
        </w:tc>
        <w:tc>
          <w:tcPr>
            <w:tcW w:w="2793" w:type="dxa"/>
            <w:vAlign w:val="center"/>
            <w:textDirection w:val="lrTb"/>
            <w:noWrap/>
          </w:tcPr>
          <w:p>
            <w:pPr>
              <w:pStyle w:val="963"/>
              <w:jc w:val="center"/>
              <w:rPr>
                <w:sz w:val="24"/>
              </w:rPr>
            </w:pPr>
            <w:r>
              <w:rPr>
                <w:sz w:val="24"/>
              </w:rPr>
              <w:t xml:space="preserve">/</w:t>
            </w:r>
            <w:r>
              <w:rPr>
                <w:sz w:val="24"/>
              </w:rPr>
            </w:r>
            <w:r/>
          </w:p>
        </w:tc>
      </w:tr>
    </w:tbl>
    <w:p>
      <w:pPr>
        <w:pStyle w:val="963"/>
        <w:numPr>
          <w:ilvl w:val="0"/>
          <w:numId w:val="5"/>
        </w:numPr>
        <w:ind w:firstLine="482"/>
        <w:jc w:val="left"/>
        <w:spacing w:line="360" w:lineRule="auto"/>
        <w:widowControl/>
        <w:rPr>
          <w:color w:val="000000"/>
          <w:sz w:val="24"/>
        </w:rPr>
      </w:pPr>
      <w:r>
        <w:rPr>
          <w:b/>
          <w:bCs/>
          <w:color w:val="000000"/>
          <w:sz w:val="24"/>
        </w:rPr>
        <w:t xml:space="preserve">大气环境走航监测、机动车尾气及卫星遥感监测设施运行维护</w:t>
      </w:r>
      <w:r>
        <w:rPr>
          <w:rFonts w:hint="eastAsia"/>
          <w:b/>
          <w:bCs/>
          <w:color w:val="000000"/>
          <w:sz w:val="24"/>
        </w:rPr>
        <w:t xml:space="preserve">：</w:t>
      </w:r>
      <w:r>
        <w:rPr>
          <w:color w:val="000000"/>
          <w:sz w:val="24"/>
        </w:rPr>
        <w:t xml:space="preserve">完成VOCs环境走航监测系统及机动车尾气遥感监测设施日常运行维护、定期维修、监测数据深度分析等工作。保障设备运行正常，确保监测数据的有效性、准确性，协助发现污染源头并及时处理环境异常事件，缩短对大气环境的影响，保障空气质量。为开展PM</w:t>
      </w:r>
      <w:r>
        <w:rPr>
          <w:color w:val="000000"/>
          <w:sz w:val="24"/>
          <w:vertAlign w:val="subscript"/>
        </w:rPr>
        <w:t xml:space="preserve">2.5</w:t>
      </w:r>
      <w:r>
        <w:rPr>
          <w:color w:val="000000"/>
          <w:sz w:val="24"/>
        </w:rPr>
        <w:t xml:space="preserve">与臭氧协同管控提供技术支撑，推动全市空气质量持续改善。</w:t>
      </w:r>
      <w:r>
        <w:rPr>
          <w:color w:val="000000"/>
          <w:sz w:val="24"/>
        </w:rPr>
      </w:r>
      <w:r/>
    </w:p>
    <w:p>
      <w:pPr>
        <w:pStyle w:val="963"/>
        <w:rPr>
          <w:sz w:val="24"/>
        </w:rPr>
      </w:pPr>
      <w:r>
        <w:rPr>
          <w:sz w:val="24"/>
        </w:rPr>
        <w:t xml:space="preserve">运行维护设备清单</w:t>
      </w:r>
      <w:r>
        <w:rPr>
          <w:rFonts w:hint="eastAsia"/>
          <w:sz w:val="24"/>
        </w:rPr>
        <w:t xml:space="preserve">：</w:t>
      </w:r>
      <w:r>
        <w:rPr>
          <w:sz w:val="24"/>
        </w:rPr>
      </w:r>
      <w:r/>
    </w:p>
    <w:tbl>
      <w:tblPr>
        <w:tblW w:w="4601"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3500"/>
        <w:gridCol w:w="3644"/>
      </w:tblGrid>
      <w:tr>
        <w:trPr>
          <w:trHeight w:val="280"/>
        </w:trPr>
        <w:tc>
          <w:tcPr>
            <w:tcW w:w="698" w:type="dxa"/>
            <w:vAlign w:val="center"/>
            <w:textDirection w:val="lrTb"/>
            <w:noWrap/>
          </w:tcPr>
          <w:p>
            <w:pPr>
              <w:pStyle w:val="963"/>
              <w:jc w:val="center"/>
              <w:spacing w:line="360" w:lineRule="auto"/>
              <w:rPr>
                <w:b/>
                <w:bCs/>
                <w:color w:val="000000"/>
                <w:sz w:val="24"/>
              </w:rPr>
            </w:pPr>
            <w:r>
              <w:rPr>
                <w:b/>
                <w:bCs/>
                <w:color w:val="000000"/>
                <w:sz w:val="24"/>
              </w:rPr>
              <w:t xml:space="preserve">序号</w:t>
            </w:r>
            <w:r>
              <w:rPr>
                <w:b/>
                <w:bCs/>
                <w:color w:val="000000"/>
                <w:sz w:val="24"/>
              </w:rPr>
            </w:r>
            <w:r/>
          </w:p>
        </w:tc>
        <w:tc>
          <w:tcPr>
            <w:tcW w:w="3500" w:type="dxa"/>
            <w:vAlign w:val="center"/>
            <w:textDirection w:val="lrTb"/>
            <w:noWrap/>
          </w:tcPr>
          <w:p>
            <w:pPr>
              <w:pStyle w:val="963"/>
              <w:jc w:val="center"/>
              <w:spacing w:line="360" w:lineRule="auto"/>
              <w:rPr>
                <w:b/>
                <w:bCs/>
                <w:color w:val="000000"/>
                <w:sz w:val="24"/>
              </w:rPr>
            </w:pPr>
            <w:r>
              <w:rPr>
                <w:b/>
                <w:bCs/>
                <w:color w:val="000000"/>
                <w:sz w:val="24"/>
              </w:rPr>
              <w:t xml:space="preserve">设备/系统名称</w:t>
            </w:r>
            <w:r>
              <w:rPr>
                <w:b/>
                <w:bCs/>
                <w:color w:val="000000"/>
                <w:sz w:val="24"/>
              </w:rPr>
            </w:r>
            <w:r/>
          </w:p>
        </w:tc>
        <w:tc>
          <w:tcPr>
            <w:tcW w:w="3644" w:type="dxa"/>
            <w:vAlign w:val="center"/>
            <w:textDirection w:val="lrTb"/>
            <w:noWrap/>
          </w:tcPr>
          <w:p>
            <w:pPr>
              <w:pStyle w:val="963"/>
              <w:jc w:val="center"/>
              <w:spacing w:line="360" w:lineRule="auto"/>
              <w:rPr>
                <w:b/>
                <w:bCs/>
                <w:color w:val="000000"/>
                <w:sz w:val="24"/>
              </w:rPr>
            </w:pPr>
            <w:r>
              <w:rPr>
                <w:b/>
                <w:bCs/>
                <w:color w:val="000000"/>
                <w:sz w:val="24"/>
              </w:rPr>
              <w:t xml:space="preserve">品牌、型号规格</w:t>
            </w:r>
            <w:r>
              <w:rPr>
                <w:b/>
                <w:bCs/>
                <w:color w:val="000000"/>
                <w:sz w:val="24"/>
              </w:rPr>
            </w:r>
            <w:r/>
          </w:p>
        </w:tc>
      </w:tr>
      <w:tr>
        <w:trPr>
          <w:trHeight w:val="558"/>
        </w:trPr>
        <w:tc>
          <w:tcPr>
            <w:tcW w:w="698" w:type="dxa"/>
            <w:vAlign w:val="center"/>
            <w:textDirection w:val="lrTb"/>
            <w:noWrap/>
          </w:tcPr>
          <w:p>
            <w:pPr>
              <w:pStyle w:val="963"/>
              <w:jc w:val="center"/>
              <w:spacing w:line="360" w:lineRule="auto"/>
              <w:rPr>
                <w:color w:val="000000"/>
                <w:sz w:val="24"/>
              </w:rPr>
            </w:pPr>
            <w:r>
              <w:rPr>
                <w:color w:val="000000"/>
                <w:sz w:val="24"/>
              </w:rPr>
              <w:t xml:space="preserve">1</w:t>
            </w:r>
            <w:r>
              <w:rPr>
                <w:color w:val="000000"/>
                <w:sz w:val="24"/>
              </w:rPr>
            </w:r>
            <w:r/>
          </w:p>
        </w:tc>
        <w:tc>
          <w:tcPr>
            <w:tcW w:w="3500" w:type="dxa"/>
            <w:vAlign w:val="center"/>
            <w:textDirection w:val="lrTb"/>
            <w:noWrap w:val="false"/>
          </w:tcPr>
          <w:p>
            <w:pPr>
              <w:pStyle w:val="963"/>
              <w:jc w:val="center"/>
              <w:spacing w:line="360" w:lineRule="auto"/>
              <w:rPr>
                <w:color w:val="000000"/>
                <w:sz w:val="24"/>
              </w:rPr>
            </w:pPr>
            <w:r>
              <w:rPr>
                <w:color w:val="000000"/>
                <w:sz w:val="24"/>
              </w:rPr>
              <w:t xml:space="preserve">大气颗粒物激光雷达走航监测设施</w:t>
            </w:r>
            <w:r>
              <w:rPr>
                <w:color w:val="000000"/>
                <w:sz w:val="24"/>
              </w:rPr>
            </w:r>
            <w:r/>
          </w:p>
        </w:tc>
        <w:tc>
          <w:tcPr>
            <w:tcW w:w="3644" w:type="dxa"/>
            <w:vAlign w:val="center"/>
            <w:textDirection w:val="lrTb"/>
            <w:noWrap w:val="false"/>
          </w:tcPr>
          <w:p>
            <w:pPr>
              <w:pStyle w:val="963"/>
              <w:jc w:val="center"/>
              <w:spacing w:line="360" w:lineRule="auto"/>
              <w:rPr>
                <w:color w:val="000000"/>
                <w:sz w:val="24"/>
              </w:rPr>
            </w:pPr>
            <w:r>
              <w:rPr>
                <w:color w:val="000000"/>
                <w:sz w:val="24"/>
              </w:rPr>
              <w:t xml:space="preserve">安徽科创中光、RayAL-GB</w:t>
            </w:r>
            <w:r>
              <w:rPr>
                <w:color w:val="000000"/>
                <w:sz w:val="24"/>
              </w:rPr>
            </w:r>
            <w:r/>
          </w:p>
        </w:tc>
      </w:tr>
      <w:tr>
        <w:trPr>
          <w:trHeight w:val="558"/>
        </w:trPr>
        <w:tc>
          <w:tcPr>
            <w:tcW w:w="698" w:type="dxa"/>
            <w:vAlign w:val="center"/>
            <w:textDirection w:val="lrTb"/>
            <w:noWrap/>
          </w:tcPr>
          <w:p>
            <w:pPr>
              <w:pStyle w:val="963"/>
              <w:jc w:val="center"/>
              <w:spacing w:line="360" w:lineRule="auto"/>
              <w:rPr>
                <w:color w:val="000000"/>
                <w:sz w:val="24"/>
              </w:rPr>
            </w:pPr>
            <w:r>
              <w:rPr>
                <w:color w:val="000000"/>
                <w:sz w:val="24"/>
              </w:rPr>
              <w:t xml:space="preserve">2</w:t>
            </w:r>
            <w:r>
              <w:rPr>
                <w:color w:val="000000"/>
                <w:sz w:val="24"/>
              </w:rPr>
            </w:r>
            <w:r/>
          </w:p>
        </w:tc>
        <w:tc>
          <w:tcPr>
            <w:tcW w:w="3500" w:type="dxa"/>
            <w:vAlign w:val="center"/>
            <w:textDirection w:val="lrTb"/>
            <w:noWrap w:val="false"/>
          </w:tcPr>
          <w:p>
            <w:pPr>
              <w:pStyle w:val="963"/>
              <w:jc w:val="center"/>
              <w:spacing w:line="360" w:lineRule="auto"/>
              <w:rPr>
                <w:color w:val="000000"/>
                <w:sz w:val="24"/>
              </w:rPr>
            </w:pPr>
            <w:r>
              <w:rPr>
                <w:color w:val="000000"/>
                <w:sz w:val="24"/>
              </w:rPr>
              <w:t xml:space="preserve">VOCs环境走航监测设施</w:t>
            </w:r>
            <w:r>
              <w:rPr>
                <w:color w:val="000000"/>
                <w:sz w:val="24"/>
              </w:rPr>
            </w:r>
            <w:r/>
          </w:p>
        </w:tc>
        <w:tc>
          <w:tcPr>
            <w:tcW w:w="3644" w:type="dxa"/>
            <w:vAlign w:val="center"/>
            <w:textDirection w:val="lrTb"/>
            <w:noWrap w:val="false"/>
          </w:tcPr>
          <w:p>
            <w:pPr>
              <w:pStyle w:val="963"/>
              <w:jc w:val="center"/>
              <w:spacing w:line="360" w:lineRule="auto"/>
              <w:rPr>
                <w:color w:val="000000"/>
                <w:sz w:val="24"/>
              </w:rPr>
            </w:pPr>
            <w:r>
              <w:rPr>
                <w:color w:val="000000"/>
                <w:sz w:val="24"/>
              </w:rPr>
              <w:t xml:space="preserve">广州禾信、SPIMS2000</w:t>
            </w:r>
            <w:r>
              <w:rPr>
                <w:color w:val="000000"/>
                <w:sz w:val="24"/>
              </w:rPr>
            </w:r>
            <w:r/>
          </w:p>
        </w:tc>
      </w:tr>
      <w:tr>
        <w:trPr>
          <w:cantSplit/>
          <w:trHeight w:val="558"/>
        </w:trPr>
        <w:tc>
          <w:tcPr>
            <w:tcW w:w="698" w:type="dxa"/>
            <w:vAlign w:val="center"/>
            <w:textDirection w:val="lrTb"/>
            <w:noWrap/>
          </w:tcPr>
          <w:p>
            <w:pPr>
              <w:pStyle w:val="963"/>
              <w:jc w:val="center"/>
              <w:spacing w:line="360" w:lineRule="auto"/>
              <w:rPr>
                <w:color w:val="000000"/>
                <w:sz w:val="24"/>
              </w:rPr>
            </w:pPr>
            <w:r>
              <w:rPr>
                <w:color w:val="000000"/>
                <w:sz w:val="24"/>
              </w:rPr>
              <w:t xml:space="preserve">3</w:t>
            </w:r>
            <w:r>
              <w:rPr>
                <w:color w:val="000000"/>
                <w:sz w:val="24"/>
              </w:rPr>
            </w:r>
            <w:r/>
          </w:p>
        </w:tc>
        <w:tc>
          <w:tcPr>
            <w:tcW w:w="3500" w:type="dxa"/>
            <w:vAlign w:val="center"/>
            <w:vMerge w:val="restart"/>
            <w:textDirection w:val="lrTb"/>
            <w:noWrap w:val="false"/>
          </w:tcPr>
          <w:p>
            <w:pPr>
              <w:pStyle w:val="963"/>
              <w:jc w:val="center"/>
              <w:spacing w:line="360" w:lineRule="auto"/>
              <w:rPr>
                <w:color w:val="000000"/>
                <w:sz w:val="24"/>
              </w:rPr>
            </w:pPr>
            <w:r>
              <w:rPr>
                <w:color w:val="000000"/>
                <w:sz w:val="24"/>
              </w:rPr>
              <w:t xml:space="preserve">固定式机动车尾气遥感监测设施</w:t>
            </w:r>
            <w:r>
              <w:rPr>
                <w:color w:val="000000"/>
                <w:sz w:val="24"/>
              </w:rPr>
            </w:r>
            <w:r/>
          </w:p>
        </w:tc>
        <w:tc>
          <w:tcPr>
            <w:tcW w:w="3644" w:type="dxa"/>
            <w:vAlign w:val="center"/>
            <w:textDirection w:val="lrTb"/>
            <w:noWrap w:val="false"/>
          </w:tcPr>
          <w:p>
            <w:pPr>
              <w:pStyle w:val="963"/>
              <w:jc w:val="center"/>
              <w:spacing w:line="360" w:lineRule="auto"/>
              <w:rPr>
                <w:color w:val="000000"/>
                <w:sz w:val="24"/>
              </w:rPr>
            </w:pPr>
            <w:r>
              <w:rPr>
                <w:color w:val="000000"/>
                <w:sz w:val="24"/>
              </w:rPr>
              <w:t xml:space="preserve">天津同阳科技、TY-CGT-22</w:t>
            </w:r>
            <w:r>
              <w:rPr>
                <w:color w:val="000000"/>
                <w:sz w:val="24"/>
              </w:rPr>
            </w:r>
            <w:r/>
          </w:p>
        </w:tc>
      </w:tr>
      <w:tr>
        <w:trPr>
          <w:cantSplit/>
          <w:trHeight w:val="558"/>
        </w:trPr>
        <w:tc>
          <w:tcPr>
            <w:tcW w:w="698" w:type="dxa"/>
            <w:vAlign w:val="center"/>
            <w:textDirection w:val="lrTb"/>
            <w:noWrap/>
          </w:tcPr>
          <w:p>
            <w:pPr>
              <w:pStyle w:val="963"/>
              <w:jc w:val="center"/>
              <w:spacing w:line="360" w:lineRule="auto"/>
              <w:rPr>
                <w:color w:val="000000"/>
                <w:sz w:val="24"/>
              </w:rPr>
            </w:pPr>
            <w:r>
              <w:rPr>
                <w:color w:val="000000"/>
                <w:sz w:val="24"/>
              </w:rPr>
              <w:t xml:space="preserve">4</w:t>
            </w:r>
            <w:r>
              <w:rPr>
                <w:color w:val="000000"/>
                <w:sz w:val="24"/>
              </w:rPr>
            </w:r>
            <w:r/>
          </w:p>
        </w:tc>
        <w:tc>
          <w:tcPr>
            <w:tcW w:w="3500" w:type="dxa"/>
            <w:vAlign w:val="center"/>
            <w:vMerge w:val="continue"/>
            <w:textDirection w:val="lrTb"/>
            <w:noWrap w:val="false"/>
          </w:tcPr>
          <w:p>
            <w:pPr>
              <w:pStyle w:val="963"/>
              <w:jc w:val="center"/>
              <w:spacing w:line="360" w:lineRule="auto"/>
              <w:rPr>
                <w:rFonts w:eastAsia="仿宋"/>
                <w:color w:val="000000"/>
                <w:sz w:val="24"/>
              </w:rPr>
            </w:pPr>
            <w:r>
              <w:rPr>
                <w:rFonts w:eastAsia="仿宋"/>
                <w:color w:val="000000"/>
                <w:sz w:val="24"/>
              </w:rPr>
            </w:r>
            <w:r/>
          </w:p>
        </w:tc>
        <w:tc>
          <w:tcPr>
            <w:tcW w:w="3644" w:type="dxa"/>
            <w:vAlign w:val="center"/>
            <w:textDirection w:val="lrTb"/>
            <w:noWrap w:val="false"/>
          </w:tcPr>
          <w:p>
            <w:pPr>
              <w:pStyle w:val="963"/>
              <w:jc w:val="center"/>
              <w:spacing w:line="360" w:lineRule="auto"/>
              <w:rPr>
                <w:color w:val="000000"/>
                <w:sz w:val="24"/>
              </w:rPr>
            </w:pPr>
            <w:r>
              <w:rPr>
                <w:color w:val="000000"/>
                <w:sz w:val="24"/>
              </w:rPr>
              <w:t xml:space="preserve">安徽宝龙环保科技、BDH-1ZG</w:t>
            </w:r>
            <w:r>
              <w:rPr>
                <w:color w:val="000000"/>
                <w:sz w:val="24"/>
              </w:rPr>
            </w:r>
            <w:r/>
          </w:p>
        </w:tc>
      </w:tr>
      <w:tr>
        <w:trPr>
          <w:trHeight w:val="558"/>
        </w:trPr>
        <w:tc>
          <w:tcPr>
            <w:tcW w:w="698" w:type="dxa"/>
            <w:vAlign w:val="center"/>
            <w:textDirection w:val="lrTb"/>
            <w:noWrap/>
          </w:tcPr>
          <w:p>
            <w:pPr>
              <w:pStyle w:val="963"/>
              <w:jc w:val="center"/>
              <w:spacing w:line="360" w:lineRule="auto"/>
              <w:rPr>
                <w:color w:val="000000"/>
                <w:sz w:val="24"/>
              </w:rPr>
            </w:pPr>
            <w:r>
              <w:rPr>
                <w:color w:val="000000"/>
                <w:sz w:val="24"/>
              </w:rPr>
              <w:t xml:space="preserve">5</w:t>
            </w:r>
            <w:r>
              <w:rPr>
                <w:color w:val="000000"/>
                <w:sz w:val="24"/>
              </w:rPr>
            </w:r>
            <w:r/>
          </w:p>
        </w:tc>
        <w:tc>
          <w:tcPr>
            <w:tcW w:w="3500" w:type="dxa"/>
            <w:vAlign w:val="center"/>
            <w:textDirection w:val="lrTb"/>
            <w:noWrap w:val="false"/>
          </w:tcPr>
          <w:p>
            <w:pPr>
              <w:pStyle w:val="963"/>
              <w:jc w:val="center"/>
              <w:spacing w:line="360" w:lineRule="auto"/>
              <w:rPr>
                <w:color w:val="000000"/>
                <w:sz w:val="24"/>
              </w:rPr>
            </w:pPr>
            <w:r>
              <w:rPr>
                <w:color w:val="000000"/>
                <w:sz w:val="24"/>
              </w:rPr>
              <w:t xml:space="preserve">移动式机动车尾气遥感监测设施</w:t>
            </w:r>
            <w:r>
              <w:rPr>
                <w:color w:val="000000"/>
                <w:sz w:val="24"/>
              </w:rPr>
            </w:r>
            <w:r/>
          </w:p>
        </w:tc>
        <w:tc>
          <w:tcPr>
            <w:tcW w:w="3644" w:type="dxa"/>
            <w:vAlign w:val="center"/>
            <w:textDirection w:val="lrTb"/>
            <w:noWrap w:val="false"/>
          </w:tcPr>
          <w:p>
            <w:pPr>
              <w:pStyle w:val="963"/>
              <w:jc w:val="center"/>
              <w:spacing w:line="360" w:lineRule="auto"/>
              <w:rPr>
                <w:color w:val="000000"/>
                <w:sz w:val="24"/>
              </w:rPr>
            </w:pPr>
            <w:r>
              <w:rPr>
                <w:color w:val="000000"/>
                <w:sz w:val="24"/>
              </w:rPr>
              <w:t xml:space="preserve">天津同阳科技、TY-CGT-22</w:t>
            </w:r>
            <w:r>
              <w:rPr>
                <w:color w:val="000000"/>
                <w:sz w:val="24"/>
              </w:rPr>
            </w:r>
            <w:r/>
          </w:p>
        </w:tc>
      </w:tr>
    </w:tbl>
    <w:p>
      <w:pPr>
        <w:pStyle w:val="963"/>
        <w:numPr>
          <w:ilvl w:val="0"/>
          <w:numId w:val="5"/>
        </w:numPr>
        <w:ind w:firstLine="458"/>
        <w:jc w:val="left"/>
        <w:spacing w:line="360" w:lineRule="auto"/>
        <w:widowControl/>
        <w:rPr>
          <w:color w:val="000000"/>
          <w:sz w:val="24"/>
        </w:rPr>
      </w:pPr>
      <w:r>
        <w:rPr>
          <w:rFonts w:hint="eastAsia"/>
          <w:b/>
          <w:color w:val="000000"/>
          <w:spacing w:val="-6"/>
          <w:sz w:val="24"/>
        </w:rPr>
        <w:t xml:space="preserve">水质</w:t>
      </w:r>
      <w:r>
        <w:rPr>
          <w:b/>
          <w:color w:val="000000"/>
          <w:spacing w:val="-6"/>
          <w:sz w:val="24"/>
        </w:rPr>
        <w:t xml:space="preserve">自动监测站</w:t>
      </w:r>
      <w:r>
        <w:rPr>
          <w:rFonts w:hint="eastAsia"/>
          <w:b/>
          <w:color w:val="000000"/>
          <w:spacing w:val="-6"/>
          <w:sz w:val="24"/>
        </w:rPr>
        <w:t xml:space="preserve">运行维护：</w:t>
      </w:r>
      <w:r>
        <w:rPr>
          <w:rFonts w:hint="eastAsia"/>
          <w:bCs/>
          <w:color w:val="000000"/>
          <w:spacing w:val="-6"/>
          <w:sz w:val="24"/>
        </w:rPr>
        <w:t xml:space="preserve">完成</w:t>
      </w:r>
      <w:r>
        <w:rPr>
          <w:bCs/>
          <w:color w:val="000000"/>
          <w:sz w:val="24"/>
        </w:rPr>
        <w:t xml:space="preserve">各</w:t>
      </w:r>
      <w:r>
        <w:rPr>
          <w:color w:val="000000"/>
          <w:sz w:val="24"/>
        </w:rPr>
        <w:t xml:space="preserve">自动监测分析仪、数据采集与传输设备、质控设备、辅助设备（包括空调）、防雷等基础设施的日常巡检校准、质量控制、故障维修检修等运维工作。定期对水质自动监测站开展质量控制工作，保证监测数据有效率不低于85%。同时负责站房维护、水电供应、网络通讯保障、计量设备年度检定（包括防雷检定、消防器材更换等），接受上级主管部门质控检查和考核，确保各项监测仪器正常稳定运行，为连云港市环境监测监控中心提供数据分析月报、年报等。</w:t>
      </w:r>
      <w:r>
        <w:rPr>
          <w:color w:val="000000"/>
          <w:sz w:val="24"/>
        </w:rPr>
      </w:r>
      <w:r/>
    </w:p>
    <w:p>
      <w:pPr>
        <w:pStyle w:val="963"/>
        <w:rPr>
          <w:sz w:val="24"/>
        </w:rPr>
      </w:pPr>
      <w:r>
        <w:rPr>
          <w:sz w:val="24"/>
        </w:rPr>
        <w:t xml:space="preserve">运行维护设备清单</w:t>
      </w:r>
      <w:r>
        <w:rPr>
          <w:rFonts w:hint="eastAsia"/>
          <w:sz w:val="24"/>
        </w:rPr>
        <w:t xml:space="preserve">：</w:t>
      </w:r>
      <w:r>
        <w:rPr>
          <w:sz w:val="24"/>
        </w:rPr>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2038"/>
        <w:gridCol w:w="2196"/>
        <w:gridCol w:w="2896"/>
        <w:gridCol w:w="696"/>
      </w:tblGrid>
      <w:tr>
        <w:trPr>
          <w:trHeight w:val="280"/>
        </w:trPr>
        <w:tc>
          <w:tcPr>
            <w:tcW w:w="696" w:type="dxa"/>
            <w:vAlign w:val="center"/>
            <w:textDirection w:val="lrTb"/>
            <w:noWrap/>
          </w:tcPr>
          <w:p>
            <w:pPr>
              <w:pStyle w:val="963"/>
              <w:widowControl/>
              <w:rPr>
                <w:sz w:val="24"/>
              </w:rPr>
            </w:pPr>
            <w:r>
              <w:rPr>
                <w:sz w:val="24"/>
              </w:rPr>
              <w:t xml:space="preserve">序号</w:t>
            </w:r>
            <w:r>
              <w:rPr>
                <w:sz w:val="24"/>
              </w:rPr>
            </w:r>
            <w:r/>
          </w:p>
        </w:tc>
        <w:tc>
          <w:tcPr>
            <w:tcW w:w="2038" w:type="dxa"/>
            <w:vAlign w:val="center"/>
            <w:textDirection w:val="lrTb"/>
            <w:noWrap/>
          </w:tcPr>
          <w:p>
            <w:pPr>
              <w:pStyle w:val="963"/>
              <w:widowControl/>
              <w:rPr>
                <w:sz w:val="24"/>
              </w:rPr>
            </w:pPr>
            <w:r>
              <w:rPr>
                <w:sz w:val="24"/>
              </w:rPr>
              <w:t xml:space="preserve">类别</w:t>
            </w:r>
            <w:r>
              <w:rPr>
                <w:sz w:val="24"/>
              </w:rPr>
            </w:r>
            <w:r/>
          </w:p>
        </w:tc>
        <w:tc>
          <w:tcPr>
            <w:tcW w:w="2196" w:type="dxa"/>
            <w:vAlign w:val="center"/>
            <w:textDirection w:val="lrTb"/>
            <w:noWrap/>
          </w:tcPr>
          <w:p>
            <w:pPr>
              <w:pStyle w:val="963"/>
              <w:widowControl/>
              <w:rPr>
                <w:sz w:val="24"/>
              </w:rPr>
            </w:pPr>
            <w:r>
              <w:rPr>
                <w:sz w:val="24"/>
              </w:rPr>
              <w:t xml:space="preserve">设备/系统名称</w:t>
            </w:r>
            <w:r>
              <w:rPr>
                <w:sz w:val="24"/>
              </w:rPr>
            </w:r>
            <w:r/>
          </w:p>
        </w:tc>
        <w:tc>
          <w:tcPr>
            <w:tcW w:w="2896" w:type="dxa"/>
            <w:vAlign w:val="center"/>
            <w:textDirection w:val="lrTb"/>
            <w:noWrap/>
          </w:tcPr>
          <w:p>
            <w:pPr>
              <w:pStyle w:val="963"/>
              <w:widowControl/>
              <w:rPr>
                <w:sz w:val="24"/>
              </w:rPr>
            </w:pPr>
            <w:r>
              <w:rPr>
                <w:sz w:val="24"/>
              </w:rPr>
              <w:t xml:space="preserve">品牌、型号规格</w:t>
            </w:r>
            <w:r>
              <w:rPr>
                <w:sz w:val="24"/>
              </w:rPr>
            </w:r>
            <w:r/>
          </w:p>
        </w:tc>
        <w:tc>
          <w:tcPr>
            <w:tcW w:w="696" w:type="dxa"/>
            <w:vAlign w:val="center"/>
            <w:textDirection w:val="lrTb"/>
            <w:noWrap/>
          </w:tcPr>
          <w:p>
            <w:pPr>
              <w:pStyle w:val="963"/>
              <w:widowControl/>
              <w:rPr>
                <w:sz w:val="24"/>
              </w:rPr>
            </w:pPr>
            <w:r>
              <w:rPr>
                <w:sz w:val="24"/>
              </w:rPr>
              <w:t xml:space="preserve">数量</w:t>
            </w:r>
            <w:r>
              <w:rPr>
                <w:sz w:val="24"/>
              </w:rPr>
            </w:r>
            <w:r/>
          </w:p>
        </w:tc>
      </w:tr>
      <w:tr>
        <w:trPr>
          <w:cantSplit/>
          <w:trHeight w:val="280"/>
        </w:trPr>
        <w:tc>
          <w:tcPr>
            <w:tcW w:w="696" w:type="dxa"/>
            <w:vAlign w:val="center"/>
            <w:textDirection w:val="lrTb"/>
            <w:noWrap/>
          </w:tcPr>
          <w:p>
            <w:pPr>
              <w:pStyle w:val="963"/>
              <w:jc w:val="center"/>
              <w:widowControl/>
              <w:rPr>
                <w:sz w:val="24"/>
              </w:rPr>
            </w:pPr>
            <w:r>
              <w:rPr>
                <w:sz w:val="24"/>
              </w:rPr>
              <w:t xml:space="preserve">1</w:t>
            </w:r>
            <w:r>
              <w:rPr>
                <w:sz w:val="24"/>
              </w:rPr>
            </w:r>
            <w:r/>
          </w:p>
        </w:tc>
        <w:tc>
          <w:tcPr>
            <w:tcW w:w="2038" w:type="dxa"/>
            <w:vAlign w:val="center"/>
            <w:vMerge w:val="restart"/>
            <w:textDirection w:val="lrTb"/>
            <w:noWrap w:val="false"/>
          </w:tcPr>
          <w:p>
            <w:pPr>
              <w:pStyle w:val="963"/>
              <w:jc w:val="center"/>
              <w:widowControl/>
              <w:rPr>
                <w:sz w:val="24"/>
              </w:rPr>
            </w:pPr>
            <w:r>
              <w:rPr>
                <w:sz w:val="24"/>
              </w:rPr>
              <w:t xml:space="preserve">沭新渠、沭新闸集中式饮用水水源地水质自动监测站</w:t>
            </w:r>
            <w:r>
              <w:rPr>
                <w:sz w:val="24"/>
              </w:rPr>
            </w:r>
            <w:r/>
          </w:p>
        </w:tc>
        <w:tc>
          <w:tcPr>
            <w:tcW w:w="2196" w:type="dxa"/>
            <w:vAlign w:val="center"/>
            <w:textDirection w:val="lrTb"/>
            <w:noWrap w:val="false"/>
          </w:tcPr>
          <w:p>
            <w:pPr>
              <w:pStyle w:val="963"/>
              <w:jc w:val="center"/>
              <w:widowControl/>
              <w:rPr>
                <w:sz w:val="24"/>
              </w:rPr>
            </w:pPr>
            <w:r>
              <w:rPr>
                <w:sz w:val="24"/>
              </w:rPr>
              <w:t xml:space="preserve">五参数水质自动分析仪</w:t>
            </w:r>
            <w:r>
              <w:rPr>
                <w:sz w:val="24"/>
              </w:rPr>
            </w:r>
            <w:r/>
          </w:p>
        </w:tc>
        <w:tc>
          <w:tcPr>
            <w:tcW w:w="2896" w:type="dxa"/>
            <w:vAlign w:val="center"/>
            <w:textDirection w:val="lrTb"/>
            <w:noWrap w:val="false"/>
          </w:tcPr>
          <w:p>
            <w:pPr>
              <w:pStyle w:val="963"/>
              <w:jc w:val="center"/>
              <w:widowControl/>
              <w:rPr>
                <w:sz w:val="24"/>
              </w:rPr>
            </w:pPr>
            <w:r>
              <w:rPr>
                <w:sz w:val="24"/>
              </w:rPr>
              <w:t xml:space="preserve">美国哈希、SC1000</w:t>
            </w:r>
            <w:r>
              <w:rPr>
                <w:sz w:val="24"/>
              </w:rPr>
            </w:r>
            <w:r/>
          </w:p>
        </w:tc>
        <w:tc>
          <w:tcPr>
            <w:tcW w:w="696" w:type="dxa"/>
            <w:vAlign w:val="center"/>
            <w:textDirection w:val="lrTb"/>
            <w:noWrap w:val="false"/>
          </w:tcPr>
          <w:p>
            <w:pPr>
              <w:pStyle w:val="963"/>
              <w:jc w:val="center"/>
              <w:widowControl/>
              <w:rPr>
                <w:sz w:val="24"/>
              </w:rPr>
            </w:pPr>
            <w:r>
              <w:rPr>
                <w:sz w:val="24"/>
              </w:rPr>
              <w:t xml:space="preserve">2</w:t>
            </w:r>
            <w:r>
              <w:rPr>
                <w:sz w:val="24"/>
              </w:rPr>
            </w:r>
            <w:r/>
          </w:p>
        </w:tc>
      </w:tr>
      <w:tr>
        <w:trPr>
          <w:cantSplit/>
          <w:trHeight w:val="280"/>
        </w:trPr>
        <w:tc>
          <w:tcPr>
            <w:tcW w:w="696" w:type="dxa"/>
            <w:vAlign w:val="center"/>
            <w:textDirection w:val="lrTb"/>
            <w:noWrap/>
          </w:tcPr>
          <w:p>
            <w:pPr>
              <w:pStyle w:val="963"/>
              <w:jc w:val="center"/>
              <w:widowControl/>
              <w:rPr>
                <w:sz w:val="24"/>
              </w:rPr>
            </w:pPr>
            <w:r>
              <w:rPr>
                <w:sz w:val="24"/>
              </w:rPr>
              <w:t xml:space="preserve">2</w:t>
            </w:r>
            <w:r>
              <w:rPr>
                <w:sz w:val="24"/>
              </w:rPr>
            </w:r>
            <w:r/>
          </w:p>
        </w:tc>
        <w:tc>
          <w:tcPr>
            <w:tcW w:w="2038" w:type="dxa"/>
            <w:vAlign w:val="center"/>
            <w:vMerge w:val="continue"/>
            <w:textDirection w:val="lrTb"/>
            <w:noWrap w:val="false"/>
          </w:tcPr>
          <w:p>
            <w:pPr>
              <w:pStyle w:val="963"/>
              <w:jc w:val="center"/>
              <w:widowControl/>
              <w:rPr>
                <w:sz w:val="24"/>
              </w:rPr>
            </w:pPr>
            <w:r>
              <w:rPr>
                <w:sz w:val="24"/>
              </w:rPr>
            </w:r>
            <w:r/>
          </w:p>
        </w:tc>
        <w:tc>
          <w:tcPr>
            <w:tcW w:w="2196" w:type="dxa"/>
            <w:vAlign w:val="center"/>
            <w:textDirection w:val="lrTb"/>
            <w:noWrap w:val="false"/>
          </w:tcPr>
          <w:p>
            <w:pPr>
              <w:pStyle w:val="963"/>
              <w:jc w:val="center"/>
              <w:widowControl/>
              <w:rPr>
                <w:sz w:val="24"/>
              </w:rPr>
            </w:pPr>
            <w:r>
              <w:rPr>
                <w:sz w:val="24"/>
              </w:rPr>
              <w:t xml:space="preserve">氨氮水质自动分析仪</w:t>
            </w:r>
            <w:r>
              <w:rPr>
                <w:sz w:val="24"/>
              </w:rPr>
            </w:r>
            <w:r/>
          </w:p>
        </w:tc>
        <w:tc>
          <w:tcPr>
            <w:tcW w:w="2896" w:type="dxa"/>
            <w:vAlign w:val="center"/>
            <w:textDirection w:val="lrTb"/>
            <w:noWrap w:val="false"/>
          </w:tcPr>
          <w:p>
            <w:pPr>
              <w:pStyle w:val="963"/>
              <w:jc w:val="center"/>
              <w:widowControl/>
              <w:rPr>
                <w:sz w:val="24"/>
              </w:rPr>
            </w:pPr>
            <w:r>
              <w:rPr>
                <w:sz w:val="24"/>
              </w:rPr>
              <w:t xml:space="preserve">伊创科技、2100series</w:t>
            </w:r>
            <w:r>
              <w:rPr>
                <w:sz w:val="24"/>
              </w:rPr>
            </w:r>
            <w:r/>
          </w:p>
        </w:tc>
        <w:tc>
          <w:tcPr>
            <w:tcW w:w="696" w:type="dxa"/>
            <w:vAlign w:val="center"/>
            <w:textDirection w:val="lrTb"/>
            <w:noWrap w:val="false"/>
          </w:tcPr>
          <w:p>
            <w:pPr>
              <w:pStyle w:val="963"/>
              <w:jc w:val="center"/>
              <w:widowControl/>
              <w:rPr>
                <w:sz w:val="24"/>
              </w:rPr>
            </w:pPr>
            <w:r>
              <w:rPr>
                <w:sz w:val="24"/>
              </w:rPr>
              <w:t xml:space="preserve">2</w:t>
            </w:r>
            <w:r>
              <w:rPr>
                <w:sz w:val="24"/>
              </w:rPr>
            </w:r>
            <w:r/>
          </w:p>
        </w:tc>
      </w:tr>
      <w:tr>
        <w:trPr>
          <w:cantSplit/>
          <w:trHeight w:val="280"/>
        </w:trPr>
        <w:tc>
          <w:tcPr>
            <w:tcW w:w="696" w:type="dxa"/>
            <w:vAlign w:val="center"/>
            <w:textDirection w:val="lrTb"/>
            <w:noWrap/>
          </w:tcPr>
          <w:p>
            <w:pPr>
              <w:pStyle w:val="963"/>
              <w:jc w:val="center"/>
              <w:widowControl/>
              <w:rPr>
                <w:sz w:val="24"/>
              </w:rPr>
            </w:pPr>
            <w:r>
              <w:rPr>
                <w:sz w:val="24"/>
              </w:rPr>
              <w:t xml:space="preserve">3</w:t>
            </w:r>
            <w:r>
              <w:rPr>
                <w:sz w:val="24"/>
              </w:rPr>
            </w:r>
            <w:r/>
          </w:p>
        </w:tc>
        <w:tc>
          <w:tcPr>
            <w:tcW w:w="2038" w:type="dxa"/>
            <w:vAlign w:val="center"/>
            <w:vMerge w:val="continue"/>
            <w:textDirection w:val="lrTb"/>
            <w:noWrap w:val="false"/>
          </w:tcPr>
          <w:p>
            <w:pPr>
              <w:pStyle w:val="963"/>
              <w:jc w:val="center"/>
              <w:widowControl/>
              <w:rPr>
                <w:sz w:val="24"/>
              </w:rPr>
            </w:pPr>
            <w:r>
              <w:rPr>
                <w:sz w:val="24"/>
              </w:rPr>
            </w:r>
            <w:r/>
          </w:p>
        </w:tc>
        <w:tc>
          <w:tcPr>
            <w:tcW w:w="2196" w:type="dxa"/>
            <w:vAlign w:val="center"/>
            <w:textDirection w:val="lrTb"/>
            <w:noWrap w:val="false"/>
          </w:tcPr>
          <w:p>
            <w:pPr>
              <w:pStyle w:val="963"/>
              <w:jc w:val="center"/>
              <w:widowControl/>
              <w:rPr>
                <w:sz w:val="24"/>
              </w:rPr>
            </w:pPr>
            <w:r>
              <w:rPr>
                <w:sz w:val="24"/>
              </w:rPr>
              <w:t xml:space="preserve">高锰酸盐指数水质自动分析仪</w:t>
            </w:r>
            <w:r>
              <w:rPr>
                <w:sz w:val="24"/>
              </w:rPr>
            </w:r>
            <w:r/>
          </w:p>
        </w:tc>
        <w:tc>
          <w:tcPr>
            <w:tcW w:w="2896" w:type="dxa"/>
            <w:vAlign w:val="center"/>
            <w:textDirection w:val="lrTb"/>
            <w:noWrap w:val="false"/>
          </w:tcPr>
          <w:p>
            <w:pPr>
              <w:pStyle w:val="963"/>
              <w:jc w:val="center"/>
              <w:widowControl/>
              <w:rPr>
                <w:sz w:val="24"/>
              </w:rPr>
            </w:pPr>
            <w:r>
              <w:rPr>
                <w:sz w:val="24"/>
              </w:rPr>
              <w:t xml:space="preserve">伊创科技、4100TI</w:t>
            </w:r>
            <w:r>
              <w:rPr>
                <w:sz w:val="24"/>
              </w:rPr>
            </w:r>
            <w:r/>
          </w:p>
        </w:tc>
        <w:tc>
          <w:tcPr>
            <w:tcW w:w="696" w:type="dxa"/>
            <w:vAlign w:val="center"/>
            <w:textDirection w:val="lrTb"/>
            <w:noWrap w:val="false"/>
          </w:tcPr>
          <w:p>
            <w:pPr>
              <w:pStyle w:val="963"/>
              <w:jc w:val="center"/>
              <w:widowControl/>
              <w:rPr>
                <w:sz w:val="24"/>
              </w:rPr>
            </w:pPr>
            <w:r>
              <w:rPr>
                <w:sz w:val="24"/>
              </w:rPr>
              <w:t xml:space="preserve">2</w:t>
            </w:r>
            <w:r>
              <w:rPr>
                <w:sz w:val="24"/>
              </w:rPr>
            </w:r>
            <w:r/>
          </w:p>
        </w:tc>
      </w:tr>
      <w:tr>
        <w:trPr>
          <w:cantSplit/>
          <w:trHeight w:val="560"/>
        </w:trPr>
        <w:tc>
          <w:tcPr>
            <w:tcW w:w="696" w:type="dxa"/>
            <w:vAlign w:val="center"/>
            <w:textDirection w:val="lrTb"/>
            <w:noWrap/>
          </w:tcPr>
          <w:p>
            <w:pPr>
              <w:pStyle w:val="963"/>
              <w:jc w:val="center"/>
              <w:widowControl/>
              <w:rPr>
                <w:sz w:val="24"/>
              </w:rPr>
            </w:pPr>
            <w:r>
              <w:rPr>
                <w:sz w:val="24"/>
              </w:rPr>
              <w:t xml:space="preserve">4</w:t>
            </w:r>
            <w:r>
              <w:rPr>
                <w:sz w:val="24"/>
              </w:rPr>
            </w:r>
            <w:r/>
          </w:p>
        </w:tc>
        <w:tc>
          <w:tcPr>
            <w:tcW w:w="2038" w:type="dxa"/>
            <w:vAlign w:val="center"/>
            <w:vMerge w:val="continue"/>
            <w:textDirection w:val="lrTb"/>
            <w:noWrap w:val="false"/>
          </w:tcPr>
          <w:p>
            <w:pPr>
              <w:pStyle w:val="963"/>
              <w:jc w:val="center"/>
              <w:widowControl/>
              <w:rPr>
                <w:sz w:val="24"/>
              </w:rPr>
            </w:pPr>
            <w:r>
              <w:rPr>
                <w:sz w:val="24"/>
              </w:rPr>
            </w:r>
            <w:r/>
          </w:p>
        </w:tc>
        <w:tc>
          <w:tcPr>
            <w:tcW w:w="2196" w:type="dxa"/>
            <w:vAlign w:val="center"/>
            <w:textDirection w:val="lrTb"/>
            <w:noWrap w:val="false"/>
          </w:tcPr>
          <w:p>
            <w:pPr>
              <w:pStyle w:val="963"/>
              <w:jc w:val="center"/>
              <w:widowControl/>
              <w:rPr>
                <w:sz w:val="24"/>
              </w:rPr>
            </w:pPr>
            <w:r>
              <w:rPr>
                <w:sz w:val="24"/>
              </w:rPr>
              <w:t xml:space="preserve">总磷总氮水质自动分析仪</w:t>
            </w:r>
            <w:r>
              <w:rPr>
                <w:sz w:val="24"/>
              </w:rPr>
            </w:r>
            <w:r/>
          </w:p>
        </w:tc>
        <w:tc>
          <w:tcPr>
            <w:tcW w:w="2896" w:type="dxa"/>
            <w:vAlign w:val="center"/>
            <w:textDirection w:val="lrTb"/>
            <w:noWrap w:val="false"/>
          </w:tcPr>
          <w:p>
            <w:pPr>
              <w:pStyle w:val="963"/>
              <w:jc w:val="center"/>
              <w:widowControl/>
              <w:rPr>
                <w:sz w:val="24"/>
              </w:rPr>
            </w:pPr>
            <w:r>
              <w:rPr>
                <w:sz w:val="24"/>
              </w:rPr>
              <w:t xml:space="preserve">聚光科技、总磷TPN-2000(TP)、总氮TPN-2000(TN)</w:t>
            </w:r>
            <w:r>
              <w:rPr>
                <w:sz w:val="24"/>
              </w:rPr>
            </w:r>
            <w:r/>
          </w:p>
        </w:tc>
        <w:tc>
          <w:tcPr>
            <w:tcW w:w="696" w:type="dxa"/>
            <w:vAlign w:val="center"/>
            <w:textDirection w:val="lrTb"/>
            <w:noWrap w:val="false"/>
          </w:tcPr>
          <w:p>
            <w:pPr>
              <w:pStyle w:val="963"/>
              <w:jc w:val="center"/>
              <w:widowControl/>
              <w:rPr>
                <w:sz w:val="24"/>
              </w:rPr>
            </w:pPr>
            <w:r>
              <w:rPr>
                <w:sz w:val="24"/>
              </w:rPr>
              <w:t xml:space="preserve">2</w:t>
            </w:r>
            <w:r>
              <w:rPr>
                <w:sz w:val="24"/>
              </w:rPr>
            </w:r>
            <w:r/>
          </w:p>
        </w:tc>
      </w:tr>
      <w:tr>
        <w:trPr>
          <w:cantSplit/>
          <w:trHeight w:val="560"/>
        </w:trPr>
        <w:tc>
          <w:tcPr>
            <w:tcW w:w="696" w:type="dxa"/>
            <w:vAlign w:val="center"/>
            <w:textDirection w:val="lrTb"/>
            <w:noWrap/>
          </w:tcPr>
          <w:p>
            <w:pPr>
              <w:pStyle w:val="963"/>
              <w:jc w:val="center"/>
              <w:widowControl/>
              <w:rPr>
                <w:sz w:val="24"/>
              </w:rPr>
            </w:pPr>
            <w:r>
              <w:rPr>
                <w:sz w:val="24"/>
              </w:rPr>
              <w:t xml:space="preserve">5</w:t>
            </w:r>
            <w:r>
              <w:rPr>
                <w:sz w:val="24"/>
              </w:rPr>
            </w:r>
            <w:r/>
          </w:p>
        </w:tc>
        <w:tc>
          <w:tcPr>
            <w:tcW w:w="2038" w:type="dxa"/>
            <w:vAlign w:val="center"/>
            <w:vMerge w:val="continue"/>
            <w:textDirection w:val="lrTb"/>
            <w:noWrap w:val="false"/>
          </w:tcPr>
          <w:p>
            <w:pPr>
              <w:pStyle w:val="963"/>
              <w:jc w:val="center"/>
              <w:widowControl/>
              <w:rPr>
                <w:sz w:val="24"/>
              </w:rPr>
            </w:pPr>
            <w:r>
              <w:rPr>
                <w:sz w:val="24"/>
              </w:rPr>
            </w:r>
            <w:r/>
          </w:p>
        </w:tc>
        <w:tc>
          <w:tcPr>
            <w:tcW w:w="2196" w:type="dxa"/>
            <w:vAlign w:val="center"/>
            <w:textDirection w:val="lrTb"/>
            <w:noWrap w:val="false"/>
          </w:tcPr>
          <w:p>
            <w:pPr>
              <w:pStyle w:val="963"/>
              <w:jc w:val="center"/>
              <w:widowControl/>
              <w:rPr>
                <w:sz w:val="24"/>
              </w:rPr>
            </w:pPr>
            <w:r>
              <w:rPr>
                <w:sz w:val="24"/>
              </w:rPr>
              <w:t xml:space="preserve">水中挥发性有机物连续自动在线分析仪</w:t>
            </w:r>
            <w:r>
              <w:rPr>
                <w:sz w:val="24"/>
              </w:rPr>
            </w:r>
            <w:r/>
          </w:p>
        </w:tc>
        <w:tc>
          <w:tcPr>
            <w:tcW w:w="2896" w:type="dxa"/>
            <w:vAlign w:val="center"/>
            <w:textDirection w:val="lrTb"/>
            <w:noWrap w:val="false"/>
          </w:tcPr>
          <w:p>
            <w:pPr>
              <w:pStyle w:val="963"/>
              <w:jc w:val="center"/>
              <w:widowControl/>
              <w:rPr>
                <w:sz w:val="24"/>
              </w:rPr>
            </w:pPr>
            <w:r>
              <w:rPr>
                <w:sz w:val="24"/>
              </w:rPr>
              <w:t xml:space="preserve">INFICON、CMS5000</w:t>
            </w:r>
            <w:r>
              <w:rPr>
                <w:sz w:val="24"/>
              </w:rPr>
            </w:r>
            <w:r/>
          </w:p>
        </w:tc>
        <w:tc>
          <w:tcPr>
            <w:tcW w:w="696" w:type="dxa"/>
            <w:vAlign w:val="center"/>
            <w:textDirection w:val="lrTb"/>
            <w:noWrap w:val="false"/>
          </w:tcPr>
          <w:p>
            <w:pPr>
              <w:pStyle w:val="963"/>
              <w:jc w:val="center"/>
              <w:widowControl/>
              <w:rPr>
                <w:sz w:val="24"/>
              </w:rPr>
            </w:pPr>
            <w:r>
              <w:rPr>
                <w:sz w:val="24"/>
              </w:rPr>
              <w:t xml:space="preserve">2</w:t>
            </w:r>
            <w:r>
              <w:rPr>
                <w:sz w:val="24"/>
              </w:rPr>
            </w:r>
            <w:r/>
          </w:p>
        </w:tc>
      </w:tr>
      <w:tr>
        <w:trPr>
          <w:cantSplit/>
          <w:trHeight w:val="280"/>
        </w:trPr>
        <w:tc>
          <w:tcPr>
            <w:tcW w:w="696" w:type="dxa"/>
            <w:vAlign w:val="center"/>
            <w:textDirection w:val="lrTb"/>
            <w:noWrap/>
          </w:tcPr>
          <w:p>
            <w:pPr>
              <w:pStyle w:val="963"/>
              <w:jc w:val="center"/>
              <w:widowControl/>
              <w:rPr>
                <w:sz w:val="24"/>
              </w:rPr>
            </w:pPr>
            <w:r>
              <w:rPr>
                <w:sz w:val="24"/>
              </w:rPr>
              <w:t xml:space="preserve">6</w:t>
            </w:r>
            <w:r>
              <w:rPr>
                <w:sz w:val="24"/>
              </w:rPr>
            </w:r>
            <w:r/>
          </w:p>
        </w:tc>
        <w:tc>
          <w:tcPr>
            <w:tcW w:w="2038" w:type="dxa"/>
            <w:vAlign w:val="center"/>
            <w:vMerge w:val="continue"/>
            <w:textDirection w:val="lrTb"/>
            <w:noWrap w:val="false"/>
          </w:tcPr>
          <w:p>
            <w:pPr>
              <w:pStyle w:val="963"/>
              <w:jc w:val="center"/>
              <w:widowControl/>
              <w:rPr>
                <w:sz w:val="24"/>
              </w:rPr>
            </w:pPr>
            <w:r>
              <w:rPr>
                <w:sz w:val="24"/>
              </w:rPr>
            </w:r>
            <w:r/>
          </w:p>
        </w:tc>
        <w:tc>
          <w:tcPr>
            <w:tcW w:w="2196" w:type="dxa"/>
            <w:vAlign w:val="center"/>
            <w:textDirection w:val="lrTb"/>
            <w:noWrap w:val="false"/>
          </w:tcPr>
          <w:p>
            <w:pPr>
              <w:pStyle w:val="963"/>
              <w:jc w:val="center"/>
              <w:widowControl/>
              <w:rPr>
                <w:sz w:val="24"/>
              </w:rPr>
            </w:pPr>
            <w:r>
              <w:rPr>
                <w:sz w:val="24"/>
              </w:rPr>
              <w:t xml:space="preserve">备机、站房维护等</w:t>
            </w:r>
            <w:r>
              <w:rPr>
                <w:sz w:val="24"/>
              </w:rPr>
            </w:r>
            <w:r/>
          </w:p>
        </w:tc>
        <w:tc>
          <w:tcPr>
            <w:tcW w:w="2896" w:type="dxa"/>
            <w:vAlign w:val="center"/>
            <w:textDirection w:val="lrTb"/>
            <w:noWrap w:val="false"/>
          </w:tcPr>
          <w:p>
            <w:pPr>
              <w:pStyle w:val="963"/>
              <w:jc w:val="center"/>
              <w:widowControl/>
              <w:rPr>
                <w:sz w:val="24"/>
              </w:rPr>
            </w:pPr>
            <w:r>
              <w:rPr>
                <w:sz w:val="24"/>
              </w:rPr>
              <w:t xml:space="preserve">/</w:t>
            </w:r>
            <w:r>
              <w:rPr>
                <w:sz w:val="24"/>
              </w:rPr>
            </w:r>
            <w:r/>
          </w:p>
        </w:tc>
        <w:tc>
          <w:tcPr>
            <w:tcW w:w="696" w:type="dxa"/>
            <w:vAlign w:val="center"/>
            <w:textDirection w:val="lrTb"/>
            <w:noWrap w:val="false"/>
          </w:tcPr>
          <w:p>
            <w:pPr>
              <w:pStyle w:val="963"/>
              <w:jc w:val="center"/>
              <w:widowControl/>
              <w:rPr>
                <w:sz w:val="24"/>
              </w:rPr>
            </w:pPr>
            <w:r>
              <w:rPr>
                <w:sz w:val="24"/>
              </w:rPr>
              <w:t xml:space="preserve">2</w:t>
            </w:r>
            <w:r>
              <w:rPr>
                <w:sz w:val="24"/>
              </w:rPr>
            </w:r>
            <w:r/>
          </w:p>
        </w:tc>
      </w:tr>
      <w:tr>
        <w:trPr>
          <w:cantSplit/>
          <w:trHeight w:val="280"/>
        </w:trPr>
        <w:tc>
          <w:tcPr>
            <w:tcW w:w="696" w:type="dxa"/>
            <w:vAlign w:val="center"/>
            <w:textDirection w:val="lrTb"/>
            <w:noWrap/>
          </w:tcPr>
          <w:p>
            <w:pPr>
              <w:pStyle w:val="963"/>
              <w:jc w:val="center"/>
              <w:widowControl/>
              <w:rPr>
                <w:sz w:val="24"/>
              </w:rPr>
            </w:pPr>
            <w:r>
              <w:rPr>
                <w:sz w:val="24"/>
              </w:rPr>
              <w:t xml:space="preserve">7</w:t>
            </w:r>
            <w:r>
              <w:rPr>
                <w:sz w:val="24"/>
              </w:rPr>
            </w:r>
            <w:r/>
          </w:p>
        </w:tc>
        <w:tc>
          <w:tcPr>
            <w:tcW w:w="2038" w:type="dxa"/>
            <w:vAlign w:val="center"/>
            <w:vMerge w:val="continue"/>
            <w:textDirection w:val="lrTb"/>
            <w:noWrap w:val="false"/>
          </w:tcPr>
          <w:p>
            <w:pPr>
              <w:pStyle w:val="963"/>
              <w:jc w:val="center"/>
              <w:widowControl/>
              <w:rPr>
                <w:sz w:val="24"/>
              </w:rPr>
            </w:pPr>
            <w:r>
              <w:rPr>
                <w:sz w:val="24"/>
              </w:rPr>
            </w:r>
            <w:r/>
          </w:p>
        </w:tc>
        <w:tc>
          <w:tcPr>
            <w:tcW w:w="2196" w:type="dxa"/>
            <w:vAlign w:val="center"/>
            <w:textDirection w:val="lrTb"/>
            <w:noWrap w:val="false"/>
          </w:tcPr>
          <w:p>
            <w:pPr>
              <w:pStyle w:val="963"/>
              <w:jc w:val="center"/>
              <w:widowControl/>
              <w:rPr>
                <w:sz w:val="24"/>
              </w:rPr>
            </w:pPr>
            <w:r>
              <w:rPr>
                <w:sz w:val="24"/>
              </w:rPr>
              <w:t xml:space="preserve">采水单元</w:t>
            </w:r>
            <w:r>
              <w:rPr>
                <w:sz w:val="24"/>
              </w:rPr>
            </w:r>
            <w:r/>
          </w:p>
        </w:tc>
        <w:tc>
          <w:tcPr>
            <w:tcW w:w="2896" w:type="dxa"/>
            <w:vAlign w:val="center"/>
            <w:textDirection w:val="lrTb"/>
            <w:noWrap w:val="false"/>
          </w:tcPr>
          <w:p>
            <w:pPr>
              <w:pStyle w:val="963"/>
              <w:jc w:val="center"/>
              <w:widowControl/>
              <w:rPr>
                <w:sz w:val="24"/>
              </w:rPr>
            </w:pPr>
            <w:r>
              <w:rPr>
                <w:sz w:val="24"/>
              </w:rPr>
              <w:t xml:space="preserve">定制</w:t>
            </w:r>
            <w:r>
              <w:rPr>
                <w:sz w:val="24"/>
              </w:rPr>
            </w:r>
            <w:r/>
          </w:p>
        </w:tc>
        <w:tc>
          <w:tcPr>
            <w:tcW w:w="696" w:type="dxa"/>
            <w:vAlign w:val="center"/>
            <w:textDirection w:val="lrTb"/>
            <w:noWrap w:val="false"/>
          </w:tcPr>
          <w:p>
            <w:pPr>
              <w:pStyle w:val="963"/>
              <w:jc w:val="center"/>
              <w:widowControl/>
              <w:rPr>
                <w:sz w:val="24"/>
              </w:rPr>
            </w:pPr>
            <w:r>
              <w:rPr>
                <w:sz w:val="24"/>
              </w:rPr>
              <w:t xml:space="preserve">2</w:t>
            </w:r>
            <w:r>
              <w:rPr>
                <w:sz w:val="24"/>
              </w:rPr>
            </w:r>
            <w:r/>
          </w:p>
        </w:tc>
      </w:tr>
      <w:tr>
        <w:trPr>
          <w:cantSplit/>
          <w:trHeight w:val="280"/>
        </w:trPr>
        <w:tc>
          <w:tcPr>
            <w:tcW w:w="696" w:type="dxa"/>
            <w:vAlign w:val="center"/>
            <w:textDirection w:val="lrTb"/>
            <w:noWrap/>
          </w:tcPr>
          <w:p>
            <w:pPr>
              <w:pStyle w:val="963"/>
              <w:jc w:val="center"/>
              <w:widowControl/>
              <w:rPr>
                <w:sz w:val="24"/>
              </w:rPr>
            </w:pPr>
            <w:r>
              <w:rPr>
                <w:sz w:val="24"/>
              </w:rPr>
              <w:t xml:space="preserve">8</w:t>
            </w:r>
            <w:r>
              <w:rPr>
                <w:sz w:val="24"/>
              </w:rPr>
            </w:r>
            <w:r/>
          </w:p>
        </w:tc>
        <w:tc>
          <w:tcPr>
            <w:tcW w:w="2038" w:type="dxa"/>
            <w:vAlign w:val="center"/>
            <w:vMerge w:val="continue"/>
            <w:textDirection w:val="lrTb"/>
            <w:noWrap w:val="false"/>
          </w:tcPr>
          <w:p>
            <w:pPr>
              <w:pStyle w:val="963"/>
              <w:jc w:val="center"/>
              <w:widowControl/>
              <w:rPr>
                <w:sz w:val="24"/>
              </w:rPr>
            </w:pPr>
            <w:r>
              <w:rPr>
                <w:sz w:val="24"/>
              </w:rPr>
            </w:r>
            <w:r/>
          </w:p>
        </w:tc>
        <w:tc>
          <w:tcPr>
            <w:tcW w:w="2196" w:type="dxa"/>
            <w:vAlign w:val="center"/>
            <w:textDirection w:val="lrTb"/>
            <w:noWrap w:val="false"/>
          </w:tcPr>
          <w:p>
            <w:pPr>
              <w:pStyle w:val="963"/>
              <w:jc w:val="center"/>
              <w:widowControl/>
              <w:rPr>
                <w:sz w:val="24"/>
              </w:rPr>
            </w:pPr>
            <w:r>
              <w:rPr>
                <w:sz w:val="24"/>
              </w:rPr>
              <w:t xml:space="preserve">配水及预处理单元</w:t>
            </w:r>
            <w:r>
              <w:rPr>
                <w:sz w:val="24"/>
              </w:rPr>
            </w:r>
            <w:r/>
          </w:p>
        </w:tc>
        <w:tc>
          <w:tcPr>
            <w:tcW w:w="2896" w:type="dxa"/>
            <w:vAlign w:val="center"/>
            <w:textDirection w:val="lrTb"/>
            <w:noWrap w:val="false"/>
          </w:tcPr>
          <w:p>
            <w:pPr>
              <w:pStyle w:val="963"/>
              <w:jc w:val="center"/>
              <w:widowControl/>
              <w:rPr>
                <w:sz w:val="24"/>
              </w:rPr>
            </w:pPr>
            <w:r>
              <w:rPr>
                <w:sz w:val="24"/>
              </w:rPr>
              <w:t xml:space="preserve">定制</w:t>
            </w:r>
            <w:r>
              <w:rPr>
                <w:sz w:val="24"/>
              </w:rPr>
            </w:r>
            <w:r/>
          </w:p>
        </w:tc>
        <w:tc>
          <w:tcPr>
            <w:tcW w:w="696" w:type="dxa"/>
            <w:vAlign w:val="center"/>
            <w:textDirection w:val="lrTb"/>
            <w:noWrap w:val="false"/>
          </w:tcPr>
          <w:p>
            <w:pPr>
              <w:pStyle w:val="963"/>
              <w:jc w:val="center"/>
              <w:widowControl/>
              <w:rPr>
                <w:sz w:val="24"/>
              </w:rPr>
            </w:pPr>
            <w:r>
              <w:rPr>
                <w:sz w:val="24"/>
              </w:rPr>
              <w:t xml:space="preserve">2</w:t>
            </w:r>
            <w:r>
              <w:rPr>
                <w:sz w:val="24"/>
              </w:rPr>
            </w:r>
            <w:r/>
          </w:p>
        </w:tc>
      </w:tr>
      <w:tr>
        <w:trPr>
          <w:cantSplit/>
          <w:trHeight w:val="280"/>
        </w:trPr>
        <w:tc>
          <w:tcPr>
            <w:tcW w:w="696" w:type="dxa"/>
            <w:vAlign w:val="center"/>
            <w:textDirection w:val="lrTb"/>
            <w:noWrap/>
          </w:tcPr>
          <w:p>
            <w:pPr>
              <w:pStyle w:val="963"/>
              <w:jc w:val="center"/>
              <w:widowControl/>
              <w:rPr>
                <w:sz w:val="24"/>
              </w:rPr>
            </w:pPr>
            <w:r>
              <w:rPr>
                <w:sz w:val="24"/>
              </w:rPr>
              <w:t xml:space="preserve">9</w:t>
            </w:r>
            <w:r>
              <w:rPr>
                <w:sz w:val="24"/>
              </w:rPr>
            </w:r>
            <w:r/>
          </w:p>
        </w:tc>
        <w:tc>
          <w:tcPr>
            <w:tcW w:w="2038" w:type="dxa"/>
            <w:vAlign w:val="center"/>
            <w:vMerge w:val="continue"/>
            <w:textDirection w:val="lrTb"/>
            <w:noWrap w:val="false"/>
          </w:tcPr>
          <w:p>
            <w:pPr>
              <w:pStyle w:val="963"/>
              <w:jc w:val="center"/>
              <w:widowControl/>
              <w:rPr>
                <w:sz w:val="24"/>
              </w:rPr>
            </w:pPr>
            <w:r>
              <w:rPr>
                <w:sz w:val="24"/>
              </w:rPr>
            </w:r>
            <w:r/>
          </w:p>
        </w:tc>
        <w:tc>
          <w:tcPr>
            <w:tcW w:w="2196" w:type="dxa"/>
            <w:vAlign w:val="center"/>
            <w:textDirection w:val="lrTb"/>
            <w:noWrap w:val="false"/>
          </w:tcPr>
          <w:p>
            <w:pPr>
              <w:pStyle w:val="963"/>
              <w:jc w:val="center"/>
              <w:widowControl/>
              <w:rPr>
                <w:sz w:val="24"/>
              </w:rPr>
            </w:pPr>
            <w:r>
              <w:rPr>
                <w:sz w:val="24"/>
              </w:rPr>
              <w:t xml:space="preserve">控制单元</w:t>
            </w:r>
            <w:r>
              <w:rPr>
                <w:sz w:val="24"/>
              </w:rPr>
            </w:r>
            <w:r/>
          </w:p>
        </w:tc>
        <w:tc>
          <w:tcPr>
            <w:tcW w:w="2896" w:type="dxa"/>
            <w:vAlign w:val="center"/>
            <w:textDirection w:val="lrTb"/>
            <w:noWrap w:val="false"/>
          </w:tcPr>
          <w:p>
            <w:pPr>
              <w:pStyle w:val="963"/>
              <w:jc w:val="center"/>
              <w:widowControl/>
              <w:rPr>
                <w:sz w:val="24"/>
              </w:rPr>
            </w:pPr>
            <w:r>
              <w:rPr>
                <w:sz w:val="24"/>
              </w:rPr>
              <w:t xml:space="preserve">定制</w:t>
            </w:r>
            <w:r>
              <w:rPr>
                <w:sz w:val="24"/>
              </w:rPr>
            </w:r>
            <w:r/>
          </w:p>
        </w:tc>
        <w:tc>
          <w:tcPr>
            <w:tcW w:w="696" w:type="dxa"/>
            <w:vAlign w:val="center"/>
            <w:textDirection w:val="lrTb"/>
            <w:noWrap w:val="false"/>
          </w:tcPr>
          <w:p>
            <w:pPr>
              <w:pStyle w:val="963"/>
              <w:jc w:val="center"/>
              <w:widowControl/>
              <w:rPr>
                <w:sz w:val="24"/>
              </w:rPr>
            </w:pPr>
            <w:r>
              <w:rPr>
                <w:sz w:val="24"/>
              </w:rPr>
              <w:t xml:space="preserve">2</w:t>
            </w:r>
            <w:r>
              <w:rPr>
                <w:sz w:val="24"/>
              </w:rPr>
            </w:r>
            <w:r/>
          </w:p>
        </w:tc>
      </w:tr>
      <w:tr>
        <w:trPr>
          <w:cantSplit/>
          <w:trHeight w:val="280"/>
        </w:trPr>
        <w:tc>
          <w:tcPr>
            <w:tcW w:w="696" w:type="dxa"/>
            <w:vAlign w:val="center"/>
            <w:textDirection w:val="lrTb"/>
            <w:noWrap/>
          </w:tcPr>
          <w:p>
            <w:pPr>
              <w:pStyle w:val="963"/>
              <w:jc w:val="center"/>
              <w:widowControl/>
              <w:rPr>
                <w:sz w:val="24"/>
              </w:rPr>
            </w:pPr>
            <w:r>
              <w:rPr>
                <w:sz w:val="24"/>
              </w:rPr>
              <w:t xml:space="preserve">10</w:t>
            </w:r>
            <w:r>
              <w:rPr>
                <w:sz w:val="24"/>
              </w:rPr>
            </w:r>
            <w:r/>
          </w:p>
        </w:tc>
        <w:tc>
          <w:tcPr>
            <w:tcW w:w="2038" w:type="dxa"/>
            <w:vAlign w:val="center"/>
            <w:vMerge w:val="continue"/>
            <w:textDirection w:val="lrTb"/>
            <w:noWrap w:val="false"/>
          </w:tcPr>
          <w:p>
            <w:pPr>
              <w:pStyle w:val="963"/>
              <w:jc w:val="center"/>
              <w:widowControl/>
              <w:rPr>
                <w:sz w:val="24"/>
              </w:rPr>
            </w:pPr>
            <w:r>
              <w:rPr>
                <w:sz w:val="24"/>
              </w:rPr>
            </w:r>
            <w:r/>
          </w:p>
        </w:tc>
        <w:tc>
          <w:tcPr>
            <w:tcW w:w="2196" w:type="dxa"/>
            <w:vAlign w:val="center"/>
            <w:textDirection w:val="lrTb"/>
            <w:noWrap w:val="false"/>
          </w:tcPr>
          <w:p>
            <w:pPr>
              <w:pStyle w:val="963"/>
              <w:jc w:val="center"/>
              <w:widowControl/>
              <w:rPr>
                <w:sz w:val="24"/>
              </w:rPr>
            </w:pPr>
            <w:r>
              <w:rPr>
                <w:sz w:val="24"/>
              </w:rPr>
              <w:t xml:space="preserve">辅助单元</w:t>
            </w:r>
            <w:r>
              <w:rPr>
                <w:sz w:val="24"/>
              </w:rPr>
            </w:r>
            <w:r/>
          </w:p>
        </w:tc>
        <w:tc>
          <w:tcPr>
            <w:tcW w:w="2896" w:type="dxa"/>
            <w:vAlign w:val="center"/>
            <w:textDirection w:val="lrTb"/>
            <w:noWrap w:val="false"/>
          </w:tcPr>
          <w:p>
            <w:pPr>
              <w:pStyle w:val="963"/>
              <w:jc w:val="center"/>
              <w:widowControl/>
              <w:rPr>
                <w:sz w:val="24"/>
              </w:rPr>
            </w:pPr>
            <w:r>
              <w:rPr>
                <w:sz w:val="24"/>
              </w:rPr>
              <w:t xml:space="preserve">定制</w:t>
            </w:r>
            <w:r>
              <w:rPr>
                <w:sz w:val="24"/>
              </w:rPr>
            </w:r>
            <w:r/>
          </w:p>
        </w:tc>
        <w:tc>
          <w:tcPr>
            <w:tcW w:w="696" w:type="dxa"/>
            <w:vAlign w:val="center"/>
            <w:textDirection w:val="lrTb"/>
            <w:noWrap w:val="false"/>
          </w:tcPr>
          <w:p>
            <w:pPr>
              <w:pStyle w:val="963"/>
              <w:jc w:val="center"/>
              <w:widowControl/>
              <w:rPr>
                <w:sz w:val="24"/>
              </w:rPr>
            </w:pPr>
            <w:r>
              <w:rPr>
                <w:sz w:val="24"/>
              </w:rPr>
              <w:t xml:space="preserve">2</w:t>
            </w:r>
            <w:r>
              <w:rPr>
                <w:sz w:val="24"/>
              </w:rPr>
            </w:r>
            <w:r/>
          </w:p>
        </w:tc>
      </w:tr>
      <w:tr>
        <w:trPr>
          <w:cantSplit/>
          <w:trHeight w:val="280"/>
        </w:trPr>
        <w:tc>
          <w:tcPr>
            <w:tcW w:w="696" w:type="dxa"/>
            <w:vAlign w:val="center"/>
            <w:textDirection w:val="lrTb"/>
            <w:noWrap/>
          </w:tcPr>
          <w:p>
            <w:pPr>
              <w:pStyle w:val="963"/>
              <w:jc w:val="center"/>
              <w:widowControl/>
              <w:rPr>
                <w:sz w:val="24"/>
              </w:rPr>
            </w:pPr>
            <w:r>
              <w:rPr>
                <w:sz w:val="24"/>
              </w:rPr>
              <w:t xml:space="preserve">11</w:t>
            </w:r>
            <w:r>
              <w:rPr>
                <w:sz w:val="24"/>
              </w:rPr>
            </w:r>
            <w:r/>
          </w:p>
        </w:tc>
        <w:tc>
          <w:tcPr>
            <w:tcW w:w="2038" w:type="dxa"/>
            <w:vAlign w:val="center"/>
            <w:vMerge w:val="continue"/>
            <w:textDirection w:val="lrTb"/>
            <w:noWrap w:val="false"/>
          </w:tcPr>
          <w:p>
            <w:pPr>
              <w:pStyle w:val="963"/>
              <w:jc w:val="center"/>
              <w:widowControl/>
              <w:rPr>
                <w:sz w:val="24"/>
              </w:rPr>
            </w:pPr>
            <w:r>
              <w:rPr>
                <w:sz w:val="24"/>
              </w:rPr>
            </w:r>
            <w:r/>
          </w:p>
        </w:tc>
        <w:tc>
          <w:tcPr>
            <w:tcW w:w="2196" w:type="dxa"/>
            <w:vAlign w:val="center"/>
            <w:textDirection w:val="lrTb"/>
            <w:noWrap w:val="false"/>
          </w:tcPr>
          <w:p>
            <w:pPr>
              <w:pStyle w:val="963"/>
              <w:jc w:val="center"/>
              <w:widowControl/>
              <w:rPr>
                <w:sz w:val="24"/>
              </w:rPr>
            </w:pPr>
            <w:r>
              <w:rPr>
                <w:sz w:val="24"/>
              </w:rPr>
              <w:t xml:space="preserve">视频监控单元</w:t>
            </w:r>
            <w:r>
              <w:rPr>
                <w:sz w:val="24"/>
              </w:rPr>
            </w:r>
            <w:r/>
          </w:p>
        </w:tc>
        <w:tc>
          <w:tcPr>
            <w:tcW w:w="2896" w:type="dxa"/>
            <w:vAlign w:val="center"/>
            <w:textDirection w:val="lrTb"/>
            <w:noWrap w:val="false"/>
          </w:tcPr>
          <w:p>
            <w:pPr>
              <w:pStyle w:val="963"/>
              <w:jc w:val="center"/>
              <w:widowControl/>
              <w:rPr>
                <w:sz w:val="24"/>
              </w:rPr>
            </w:pPr>
            <w:r>
              <w:rPr>
                <w:sz w:val="24"/>
              </w:rPr>
              <w:t xml:space="preserve">定制</w:t>
            </w:r>
            <w:r>
              <w:rPr>
                <w:sz w:val="24"/>
              </w:rPr>
            </w:r>
            <w:r/>
          </w:p>
        </w:tc>
        <w:tc>
          <w:tcPr>
            <w:tcW w:w="696" w:type="dxa"/>
            <w:vAlign w:val="center"/>
            <w:textDirection w:val="lrTb"/>
            <w:noWrap w:val="false"/>
          </w:tcPr>
          <w:p>
            <w:pPr>
              <w:pStyle w:val="963"/>
              <w:jc w:val="center"/>
              <w:widowControl/>
              <w:rPr>
                <w:sz w:val="24"/>
              </w:rPr>
            </w:pPr>
            <w:r>
              <w:rPr>
                <w:sz w:val="24"/>
              </w:rPr>
              <w:t xml:space="preserve">2</w:t>
            </w:r>
            <w:r>
              <w:rPr>
                <w:sz w:val="24"/>
              </w:rPr>
            </w:r>
            <w:r/>
          </w:p>
        </w:tc>
      </w:tr>
      <w:tr>
        <w:trPr>
          <w:cantSplit/>
          <w:trHeight w:val="280"/>
        </w:trPr>
        <w:tc>
          <w:tcPr>
            <w:tcW w:w="696" w:type="dxa"/>
            <w:vAlign w:val="center"/>
            <w:textDirection w:val="lrTb"/>
            <w:noWrap/>
          </w:tcPr>
          <w:p>
            <w:pPr>
              <w:pStyle w:val="963"/>
              <w:jc w:val="center"/>
              <w:widowControl/>
              <w:rPr>
                <w:sz w:val="24"/>
              </w:rPr>
            </w:pPr>
            <w:r>
              <w:rPr>
                <w:sz w:val="24"/>
              </w:rPr>
              <w:t xml:space="preserve">12</w:t>
            </w:r>
            <w:r>
              <w:rPr>
                <w:sz w:val="24"/>
              </w:rPr>
            </w:r>
            <w:r/>
          </w:p>
        </w:tc>
        <w:tc>
          <w:tcPr>
            <w:tcW w:w="2038" w:type="dxa"/>
            <w:vAlign w:val="center"/>
            <w:vMerge w:val="continue"/>
            <w:textDirection w:val="lrTb"/>
            <w:noWrap w:val="false"/>
          </w:tcPr>
          <w:p>
            <w:pPr>
              <w:pStyle w:val="963"/>
              <w:jc w:val="center"/>
              <w:widowControl/>
              <w:rPr>
                <w:sz w:val="24"/>
              </w:rPr>
            </w:pPr>
            <w:r>
              <w:rPr>
                <w:sz w:val="24"/>
              </w:rPr>
            </w:r>
            <w:r/>
          </w:p>
        </w:tc>
        <w:tc>
          <w:tcPr>
            <w:tcW w:w="2196" w:type="dxa"/>
            <w:vAlign w:val="center"/>
            <w:textDirection w:val="lrTb"/>
            <w:noWrap w:val="false"/>
          </w:tcPr>
          <w:p>
            <w:pPr>
              <w:pStyle w:val="963"/>
              <w:jc w:val="center"/>
              <w:widowControl/>
              <w:rPr>
                <w:sz w:val="24"/>
              </w:rPr>
            </w:pPr>
            <w:r>
              <w:rPr>
                <w:sz w:val="24"/>
              </w:rPr>
              <w:t xml:space="preserve">留样单元</w:t>
            </w:r>
            <w:r>
              <w:rPr>
                <w:sz w:val="24"/>
              </w:rPr>
            </w:r>
            <w:r/>
          </w:p>
        </w:tc>
        <w:tc>
          <w:tcPr>
            <w:tcW w:w="2896" w:type="dxa"/>
            <w:vAlign w:val="center"/>
            <w:textDirection w:val="lrTb"/>
            <w:noWrap w:val="false"/>
          </w:tcPr>
          <w:p>
            <w:pPr>
              <w:pStyle w:val="963"/>
              <w:jc w:val="center"/>
              <w:widowControl/>
              <w:rPr>
                <w:sz w:val="24"/>
              </w:rPr>
            </w:pPr>
            <w:r>
              <w:rPr>
                <w:sz w:val="24"/>
              </w:rPr>
              <w:t xml:space="preserve">河北德润厚天、DR-803L</w:t>
            </w:r>
            <w:r>
              <w:rPr>
                <w:sz w:val="24"/>
              </w:rPr>
            </w:r>
            <w:r/>
          </w:p>
        </w:tc>
        <w:tc>
          <w:tcPr>
            <w:tcW w:w="696" w:type="dxa"/>
            <w:vAlign w:val="center"/>
            <w:textDirection w:val="lrTb"/>
            <w:noWrap w:val="false"/>
          </w:tcPr>
          <w:p>
            <w:pPr>
              <w:pStyle w:val="963"/>
              <w:jc w:val="center"/>
              <w:widowControl/>
              <w:rPr>
                <w:sz w:val="24"/>
              </w:rPr>
            </w:pPr>
            <w:r>
              <w:rPr>
                <w:sz w:val="24"/>
              </w:rPr>
              <w:t xml:space="preserve">2</w:t>
            </w:r>
            <w:r>
              <w:rPr>
                <w:sz w:val="24"/>
              </w:rPr>
            </w:r>
            <w:r/>
          </w:p>
        </w:tc>
      </w:tr>
      <w:tr>
        <w:trPr>
          <w:cantSplit/>
          <w:trHeight w:val="280"/>
        </w:trPr>
        <w:tc>
          <w:tcPr>
            <w:tcW w:w="696" w:type="dxa"/>
            <w:vAlign w:val="center"/>
            <w:textDirection w:val="lrTb"/>
            <w:noWrap/>
          </w:tcPr>
          <w:p>
            <w:pPr>
              <w:pStyle w:val="963"/>
              <w:jc w:val="center"/>
              <w:widowControl/>
              <w:rPr>
                <w:sz w:val="24"/>
              </w:rPr>
            </w:pPr>
            <w:r>
              <w:rPr>
                <w:sz w:val="24"/>
              </w:rPr>
              <w:t xml:space="preserve">13</w:t>
            </w:r>
            <w:r>
              <w:rPr>
                <w:sz w:val="24"/>
              </w:rPr>
            </w:r>
            <w:r/>
          </w:p>
        </w:tc>
        <w:tc>
          <w:tcPr>
            <w:tcW w:w="2038" w:type="dxa"/>
            <w:vAlign w:val="center"/>
            <w:vMerge w:val="restart"/>
            <w:textDirection w:val="lrTb"/>
            <w:noWrap w:val="false"/>
          </w:tcPr>
          <w:p>
            <w:pPr>
              <w:pStyle w:val="963"/>
              <w:jc w:val="center"/>
              <w:widowControl/>
              <w:rPr>
                <w:sz w:val="24"/>
              </w:rPr>
            </w:pPr>
            <w:r>
              <w:rPr>
                <w:sz w:val="24"/>
              </w:rPr>
              <w:t xml:space="preserve">生态补偿断面水质自动监测站（4个）</w:t>
            </w:r>
            <w:r>
              <w:rPr>
                <w:sz w:val="24"/>
              </w:rPr>
            </w:r>
            <w:r/>
          </w:p>
        </w:tc>
        <w:tc>
          <w:tcPr>
            <w:tcW w:w="2196" w:type="dxa"/>
            <w:vAlign w:val="center"/>
            <w:textDirection w:val="lrTb"/>
            <w:noWrap w:val="false"/>
          </w:tcPr>
          <w:p>
            <w:pPr>
              <w:pStyle w:val="963"/>
              <w:jc w:val="center"/>
              <w:widowControl/>
              <w:rPr>
                <w:sz w:val="24"/>
              </w:rPr>
            </w:pPr>
            <w:r>
              <w:rPr>
                <w:sz w:val="24"/>
              </w:rPr>
              <w:t xml:space="preserve">氨氮水质自动分析仪</w:t>
            </w:r>
            <w:r>
              <w:rPr>
                <w:sz w:val="24"/>
              </w:rPr>
            </w:r>
            <w:r/>
          </w:p>
        </w:tc>
        <w:tc>
          <w:tcPr>
            <w:tcW w:w="2896" w:type="dxa"/>
            <w:vAlign w:val="center"/>
            <w:textDirection w:val="lrTb"/>
            <w:noWrap w:val="false"/>
          </w:tcPr>
          <w:p>
            <w:pPr>
              <w:pStyle w:val="963"/>
              <w:jc w:val="center"/>
              <w:widowControl/>
              <w:rPr>
                <w:sz w:val="24"/>
              </w:rPr>
            </w:pPr>
            <w:r>
              <w:rPr>
                <w:sz w:val="24"/>
              </w:rPr>
              <w:t xml:space="preserve">伊创科技、2100series</w:t>
            </w:r>
            <w:r>
              <w:rPr>
                <w:sz w:val="24"/>
              </w:rPr>
            </w:r>
            <w:r/>
          </w:p>
        </w:tc>
        <w:tc>
          <w:tcPr>
            <w:tcW w:w="696" w:type="dxa"/>
            <w:vAlign w:val="center"/>
            <w:textDirection w:val="lrTb"/>
            <w:noWrap w:val="false"/>
          </w:tcPr>
          <w:p>
            <w:pPr>
              <w:pStyle w:val="963"/>
              <w:jc w:val="center"/>
              <w:widowControl/>
              <w:rPr>
                <w:sz w:val="24"/>
              </w:rPr>
            </w:pPr>
            <w:r>
              <w:rPr>
                <w:sz w:val="24"/>
              </w:rPr>
              <w:t xml:space="preserve">4</w:t>
            </w:r>
            <w:r>
              <w:rPr>
                <w:sz w:val="24"/>
              </w:rPr>
            </w:r>
            <w:r/>
          </w:p>
        </w:tc>
      </w:tr>
      <w:tr>
        <w:trPr>
          <w:cantSplit/>
          <w:trHeight w:val="280"/>
        </w:trPr>
        <w:tc>
          <w:tcPr>
            <w:tcW w:w="696" w:type="dxa"/>
            <w:vAlign w:val="center"/>
            <w:textDirection w:val="lrTb"/>
            <w:noWrap/>
          </w:tcPr>
          <w:p>
            <w:pPr>
              <w:pStyle w:val="963"/>
              <w:jc w:val="center"/>
              <w:widowControl/>
              <w:rPr>
                <w:sz w:val="24"/>
              </w:rPr>
            </w:pPr>
            <w:r>
              <w:rPr>
                <w:sz w:val="24"/>
              </w:rPr>
              <w:t xml:space="preserve">14</w:t>
            </w:r>
            <w:r>
              <w:rPr>
                <w:sz w:val="24"/>
              </w:rPr>
            </w:r>
            <w:r/>
          </w:p>
        </w:tc>
        <w:tc>
          <w:tcPr>
            <w:tcW w:w="2038" w:type="dxa"/>
            <w:vAlign w:val="center"/>
            <w:vMerge w:val="continue"/>
            <w:textDirection w:val="lrTb"/>
            <w:noWrap w:val="false"/>
          </w:tcPr>
          <w:p>
            <w:pPr>
              <w:pStyle w:val="963"/>
              <w:jc w:val="center"/>
              <w:widowControl/>
              <w:rPr>
                <w:sz w:val="24"/>
              </w:rPr>
            </w:pPr>
            <w:r>
              <w:rPr>
                <w:sz w:val="24"/>
              </w:rPr>
            </w:r>
            <w:r/>
          </w:p>
        </w:tc>
        <w:tc>
          <w:tcPr>
            <w:tcW w:w="2196" w:type="dxa"/>
            <w:vAlign w:val="center"/>
            <w:textDirection w:val="lrTb"/>
            <w:noWrap w:val="false"/>
          </w:tcPr>
          <w:p>
            <w:pPr>
              <w:pStyle w:val="963"/>
              <w:jc w:val="center"/>
              <w:widowControl/>
              <w:rPr>
                <w:sz w:val="24"/>
              </w:rPr>
            </w:pPr>
            <w:r>
              <w:rPr>
                <w:sz w:val="24"/>
              </w:rPr>
              <w:t xml:space="preserve">高锰酸盐指数水质自动分析仪</w:t>
            </w:r>
            <w:r>
              <w:rPr>
                <w:sz w:val="24"/>
              </w:rPr>
            </w:r>
            <w:r/>
          </w:p>
        </w:tc>
        <w:tc>
          <w:tcPr>
            <w:tcW w:w="2896" w:type="dxa"/>
            <w:vAlign w:val="center"/>
            <w:textDirection w:val="lrTb"/>
            <w:noWrap w:val="false"/>
          </w:tcPr>
          <w:p>
            <w:pPr>
              <w:pStyle w:val="963"/>
              <w:jc w:val="center"/>
              <w:widowControl/>
              <w:rPr>
                <w:sz w:val="24"/>
              </w:rPr>
            </w:pPr>
            <w:r>
              <w:rPr>
                <w:sz w:val="24"/>
              </w:rPr>
              <w:t xml:space="preserve">聚光科技、SIA-2000（IMN）</w:t>
            </w:r>
            <w:r>
              <w:rPr>
                <w:sz w:val="24"/>
              </w:rPr>
            </w:r>
            <w:r/>
          </w:p>
        </w:tc>
        <w:tc>
          <w:tcPr>
            <w:tcW w:w="696" w:type="dxa"/>
            <w:vAlign w:val="center"/>
            <w:textDirection w:val="lrTb"/>
            <w:noWrap w:val="false"/>
          </w:tcPr>
          <w:p>
            <w:pPr>
              <w:pStyle w:val="963"/>
              <w:jc w:val="center"/>
              <w:widowControl/>
              <w:rPr>
                <w:sz w:val="24"/>
              </w:rPr>
            </w:pPr>
            <w:r>
              <w:rPr>
                <w:sz w:val="24"/>
              </w:rPr>
              <w:t xml:space="preserve">4</w:t>
            </w:r>
            <w:r>
              <w:rPr>
                <w:sz w:val="24"/>
              </w:rPr>
            </w:r>
            <w:r/>
          </w:p>
        </w:tc>
      </w:tr>
      <w:tr>
        <w:trPr>
          <w:cantSplit/>
          <w:trHeight w:val="280"/>
        </w:trPr>
        <w:tc>
          <w:tcPr>
            <w:tcW w:w="696" w:type="dxa"/>
            <w:vAlign w:val="center"/>
            <w:textDirection w:val="lrTb"/>
            <w:noWrap/>
          </w:tcPr>
          <w:p>
            <w:pPr>
              <w:pStyle w:val="963"/>
              <w:jc w:val="center"/>
              <w:widowControl/>
              <w:rPr>
                <w:sz w:val="24"/>
              </w:rPr>
            </w:pPr>
            <w:r>
              <w:rPr>
                <w:sz w:val="24"/>
              </w:rPr>
              <w:t xml:space="preserve">15</w:t>
            </w:r>
            <w:r>
              <w:rPr>
                <w:sz w:val="24"/>
              </w:rPr>
            </w:r>
            <w:r/>
          </w:p>
        </w:tc>
        <w:tc>
          <w:tcPr>
            <w:tcW w:w="2038" w:type="dxa"/>
            <w:vAlign w:val="center"/>
            <w:vMerge w:val="continue"/>
            <w:textDirection w:val="lrTb"/>
            <w:noWrap w:val="false"/>
          </w:tcPr>
          <w:p>
            <w:pPr>
              <w:pStyle w:val="963"/>
              <w:jc w:val="center"/>
              <w:widowControl/>
              <w:rPr>
                <w:sz w:val="24"/>
              </w:rPr>
            </w:pPr>
            <w:r>
              <w:rPr>
                <w:sz w:val="24"/>
              </w:rPr>
            </w:r>
            <w:r/>
          </w:p>
        </w:tc>
        <w:tc>
          <w:tcPr>
            <w:tcW w:w="2196" w:type="dxa"/>
            <w:vAlign w:val="center"/>
            <w:textDirection w:val="lrTb"/>
            <w:noWrap w:val="false"/>
          </w:tcPr>
          <w:p>
            <w:pPr>
              <w:pStyle w:val="963"/>
              <w:jc w:val="center"/>
              <w:widowControl/>
              <w:rPr>
                <w:sz w:val="24"/>
              </w:rPr>
            </w:pPr>
            <w:r>
              <w:rPr>
                <w:sz w:val="24"/>
              </w:rPr>
              <w:t xml:space="preserve">总磷水质自动分析仪</w:t>
            </w:r>
            <w:r>
              <w:rPr>
                <w:sz w:val="24"/>
              </w:rPr>
            </w:r>
            <w:r/>
          </w:p>
        </w:tc>
        <w:tc>
          <w:tcPr>
            <w:tcW w:w="2896" w:type="dxa"/>
            <w:vAlign w:val="center"/>
            <w:textDirection w:val="lrTb"/>
            <w:noWrap w:val="false"/>
          </w:tcPr>
          <w:p>
            <w:pPr>
              <w:pStyle w:val="963"/>
              <w:jc w:val="center"/>
              <w:widowControl/>
              <w:rPr>
                <w:sz w:val="24"/>
              </w:rPr>
            </w:pPr>
            <w:r>
              <w:rPr>
                <w:sz w:val="24"/>
              </w:rPr>
              <w:t xml:space="preserve">聚光科技、TPN-2000(TP)</w:t>
            </w:r>
            <w:r>
              <w:rPr>
                <w:sz w:val="24"/>
              </w:rPr>
            </w:r>
            <w:r/>
          </w:p>
        </w:tc>
        <w:tc>
          <w:tcPr>
            <w:tcW w:w="696" w:type="dxa"/>
            <w:vAlign w:val="center"/>
            <w:textDirection w:val="lrTb"/>
            <w:noWrap w:val="false"/>
          </w:tcPr>
          <w:p>
            <w:pPr>
              <w:pStyle w:val="963"/>
              <w:jc w:val="center"/>
              <w:widowControl/>
              <w:rPr>
                <w:sz w:val="24"/>
              </w:rPr>
            </w:pPr>
            <w:r>
              <w:rPr>
                <w:sz w:val="24"/>
              </w:rPr>
              <w:t xml:space="preserve">4</w:t>
            </w:r>
            <w:r>
              <w:rPr>
                <w:sz w:val="24"/>
              </w:rPr>
            </w:r>
            <w:r/>
          </w:p>
        </w:tc>
      </w:tr>
      <w:tr>
        <w:trPr>
          <w:cantSplit/>
          <w:trHeight w:val="280"/>
        </w:trPr>
        <w:tc>
          <w:tcPr>
            <w:tcW w:w="696" w:type="dxa"/>
            <w:vAlign w:val="center"/>
            <w:textDirection w:val="lrTb"/>
            <w:noWrap/>
          </w:tcPr>
          <w:p>
            <w:pPr>
              <w:pStyle w:val="963"/>
              <w:jc w:val="center"/>
              <w:widowControl/>
              <w:rPr>
                <w:sz w:val="24"/>
              </w:rPr>
            </w:pPr>
            <w:r>
              <w:rPr>
                <w:sz w:val="24"/>
              </w:rPr>
              <w:t xml:space="preserve">16</w:t>
            </w:r>
            <w:r>
              <w:rPr>
                <w:sz w:val="24"/>
              </w:rPr>
            </w:r>
            <w:r/>
          </w:p>
        </w:tc>
        <w:tc>
          <w:tcPr>
            <w:tcW w:w="2038" w:type="dxa"/>
            <w:vAlign w:val="center"/>
            <w:vMerge w:val="continue"/>
            <w:textDirection w:val="lrTb"/>
            <w:noWrap w:val="false"/>
          </w:tcPr>
          <w:p>
            <w:pPr>
              <w:pStyle w:val="963"/>
              <w:jc w:val="center"/>
              <w:widowControl/>
              <w:rPr>
                <w:sz w:val="24"/>
              </w:rPr>
            </w:pPr>
            <w:r>
              <w:rPr>
                <w:sz w:val="24"/>
              </w:rPr>
            </w:r>
            <w:r/>
          </w:p>
        </w:tc>
        <w:tc>
          <w:tcPr>
            <w:tcW w:w="2196" w:type="dxa"/>
            <w:vAlign w:val="center"/>
            <w:textDirection w:val="lrTb"/>
            <w:noWrap w:val="false"/>
          </w:tcPr>
          <w:p>
            <w:pPr>
              <w:pStyle w:val="963"/>
              <w:jc w:val="center"/>
              <w:widowControl/>
              <w:rPr>
                <w:sz w:val="24"/>
              </w:rPr>
            </w:pPr>
            <w:r>
              <w:rPr>
                <w:sz w:val="24"/>
              </w:rPr>
              <w:t xml:space="preserve">总氮水质自动分析仪</w:t>
            </w:r>
            <w:r>
              <w:rPr>
                <w:sz w:val="24"/>
              </w:rPr>
            </w:r>
            <w:r/>
          </w:p>
        </w:tc>
        <w:tc>
          <w:tcPr>
            <w:tcW w:w="2896" w:type="dxa"/>
            <w:vAlign w:val="center"/>
            <w:textDirection w:val="lrTb"/>
            <w:noWrap w:val="false"/>
          </w:tcPr>
          <w:p>
            <w:pPr>
              <w:pStyle w:val="963"/>
              <w:jc w:val="center"/>
              <w:widowControl/>
              <w:rPr>
                <w:sz w:val="24"/>
              </w:rPr>
            </w:pPr>
            <w:r>
              <w:rPr>
                <w:sz w:val="24"/>
              </w:rPr>
              <w:t xml:space="preserve">聚光科技、TPN-2000(TN)</w:t>
            </w:r>
            <w:r>
              <w:rPr>
                <w:sz w:val="24"/>
              </w:rPr>
            </w:r>
            <w:r/>
          </w:p>
        </w:tc>
        <w:tc>
          <w:tcPr>
            <w:tcW w:w="696" w:type="dxa"/>
            <w:vAlign w:val="center"/>
            <w:textDirection w:val="lrTb"/>
            <w:noWrap w:val="false"/>
          </w:tcPr>
          <w:p>
            <w:pPr>
              <w:pStyle w:val="963"/>
              <w:jc w:val="center"/>
              <w:widowControl/>
              <w:rPr>
                <w:sz w:val="24"/>
              </w:rPr>
            </w:pPr>
            <w:r>
              <w:rPr>
                <w:sz w:val="24"/>
              </w:rPr>
              <w:t xml:space="preserve">4</w:t>
            </w:r>
            <w:r>
              <w:rPr>
                <w:sz w:val="24"/>
              </w:rPr>
            </w:r>
            <w:r/>
          </w:p>
        </w:tc>
      </w:tr>
      <w:tr>
        <w:trPr>
          <w:cantSplit/>
          <w:trHeight w:val="280"/>
        </w:trPr>
        <w:tc>
          <w:tcPr>
            <w:tcW w:w="696" w:type="dxa"/>
            <w:vAlign w:val="center"/>
            <w:textDirection w:val="lrTb"/>
            <w:noWrap/>
          </w:tcPr>
          <w:p>
            <w:pPr>
              <w:pStyle w:val="963"/>
              <w:jc w:val="center"/>
              <w:widowControl/>
              <w:rPr>
                <w:sz w:val="24"/>
              </w:rPr>
            </w:pPr>
            <w:r>
              <w:rPr>
                <w:sz w:val="24"/>
              </w:rPr>
              <w:t xml:space="preserve">17</w:t>
            </w:r>
            <w:r>
              <w:rPr>
                <w:sz w:val="24"/>
              </w:rPr>
            </w:r>
            <w:r/>
          </w:p>
        </w:tc>
        <w:tc>
          <w:tcPr>
            <w:tcW w:w="2038" w:type="dxa"/>
            <w:vAlign w:val="center"/>
            <w:vMerge w:val="continue"/>
            <w:textDirection w:val="lrTb"/>
            <w:noWrap w:val="false"/>
          </w:tcPr>
          <w:p>
            <w:pPr>
              <w:pStyle w:val="963"/>
              <w:jc w:val="center"/>
              <w:widowControl/>
              <w:rPr>
                <w:sz w:val="24"/>
              </w:rPr>
            </w:pPr>
            <w:r>
              <w:rPr>
                <w:sz w:val="24"/>
              </w:rPr>
            </w:r>
            <w:r/>
          </w:p>
        </w:tc>
        <w:tc>
          <w:tcPr>
            <w:tcW w:w="2196" w:type="dxa"/>
            <w:vAlign w:val="center"/>
            <w:textDirection w:val="lrTb"/>
            <w:noWrap w:val="false"/>
          </w:tcPr>
          <w:p>
            <w:pPr>
              <w:pStyle w:val="963"/>
              <w:jc w:val="center"/>
              <w:widowControl/>
              <w:rPr>
                <w:sz w:val="24"/>
              </w:rPr>
            </w:pPr>
            <w:r>
              <w:rPr>
                <w:sz w:val="24"/>
              </w:rPr>
              <w:t xml:space="preserve">备机、站房维护等</w:t>
            </w:r>
            <w:r>
              <w:rPr>
                <w:sz w:val="24"/>
              </w:rPr>
            </w:r>
            <w:r/>
          </w:p>
        </w:tc>
        <w:tc>
          <w:tcPr>
            <w:tcW w:w="2896" w:type="dxa"/>
            <w:vAlign w:val="center"/>
            <w:textDirection w:val="lrTb"/>
            <w:noWrap w:val="false"/>
          </w:tcPr>
          <w:p>
            <w:pPr>
              <w:pStyle w:val="963"/>
              <w:jc w:val="center"/>
              <w:widowControl/>
              <w:rPr>
                <w:sz w:val="24"/>
              </w:rPr>
            </w:pPr>
            <w:r>
              <w:rPr>
                <w:sz w:val="24"/>
              </w:rPr>
              <w:t xml:space="preserve">/</w:t>
            </w:r>
            <w:r>
              <w:rPr>
                <w:sz w:val="24"/>
              </w:rPr>
            </w:r>
            <w:r/>
          </w:p>
        </w:tc>
        <w:tc>
          <w:tcPr>
            <w:tcW w:w="696" w:type="dxa"/>
            <w:vAlign w:val="center"/>
            <w:textDirection w:val="lrTb"/>
            <w:noWrap w:val="false"/>
          </w:tcPr>
          <w:p>
            <w:pPr>
              <w:pStyle w:val="963"/>
              <w:jc w:val="center"/>
              <w:widowControl/>
              <w:rPr>
                <w:sz w:val="24"/>
              </w:rPr>
            </w:pPr>
            <w:r>
              <w:rPr>
                <w:sz w:val="24"/>
              </w:rPr>
              <w:t xml:space="preserve">4</w:t>
            </w:r>
            <w:r>
              <w:rPr>
                <w:sz w:val="24"/>
              </w:rPr>
            </w:r>
            <w:r/>
          </w:p>
        </w:tc>
      </w:tr>
      <w:tr>
        <w:trPr>
          <w:cantSplit/>
          <w:trHeight w:val="280"/>
        </w:trPr>
        <w:tc>
          <w:tcPr>
            <w:tcW w:w="696" w:type="dxa"/>
            <w:vAlign w:val="center"/>
            <w:textDirection w:val="lrTb"/>
            <w:noWrap/>
          </w:tcPr>
          <w:p>
            <w:pPr>
              <w:pStyle w:val="963"/>
              <w:jc w:val="center"/>
              <w:widowControl/>
              <w:rPr>
                <w:sz w:val="24"/>
              </w:rPr>
            </w:pPr>
            <w:r>
              <w:rPr>
                <w:sz w:val="24"/>
              </w:rPr>
              <w:t xml:space="preserve">18</w:t>
            </w:r>
            <w:r>
              <w:rPr>
                <w:sz w:val="24"/>
              </w:rPr>
            </w:r>
            <w:r/>
          </w:p>
        </w:tc>
        <w:tc>
          <w:tcPr>
            <w:tcW w:w="2038" w:type="dxa"/>
            <w:vAlign w:val="center"/>
            <w:vMerge w:val="continue"/>
            <w:textDirection w:val="lrTb"/>
            <w:noWrap w:val="false"/>
          </w:tcPr>
          <w:p>
            <w:pPr>
              <w:pStyle w:val="963"/>
              <w:jc w:val="center"/>
              <w:widowControl/>
              <w:rPr>
                <w:sz w:val="24"/>
              </w:rPr>
            </w:pPr>
            <w:r>
              <w:rPr>
                <w:sz w:val="24"/>
              </w:rPr>
            </w:r>
            <w:r/>
          </w:p>
        </w:tc>
        <w:tc>
          <w:tcPr>
            <w:tcW w:w="2196" w:type="dxa"/>
            <w:vAlign w:val="center"/>
            <w:textDirection w:val="lrTb"/>
            <w:noWrap w:val="false"/>
          </w:tcPr>
          <w:p>
            <w:pPr>
              <w:pStyle w:val="963"/>
              <w:jc w:val="center"/>
              <w:widowControl/>
              <w:rPr>
                <w:sz w:val="24"/>
              </w:rPr>
            </w:pPr>
            <w:r>
              <w:rPr>
                <w:sz w:val="24"/>
              </w:rPr>
              <w:t xml:space="preserve">采水单元</w:t>
            </w:r>
            <w:r>
              <w:rPr>
                <w:sz w:val="24"/>
              </w:rPr>
            </w:r>
            <w:r/>
          </w:p>
        </w:tc>
        <w:tc>
          <w:tcPr>
            <w:tcW w:w="2896" w:type="dxa"/>
            <w:vAlign w:val="center"/>
            <w:textDirection w:val="lrTb"/>
            <w:noWrap w:val="false"/>
          </w:tcPr>
          <w:p>
            <w:pPr>
              <w:pStyle w:val="963"/>
              <w:jc w:val="center"/>
              <w:widowControl/>
              <w:rPr>
                <w:sz w:val="24"/>
              </w:rPr>
            </w:pPr>
            <w:r>
              <w:rPr>
                <w:sz w:val="24"/>
              </w:rPr>
              <w:t xml:space="preserve">定制</w:t>
            </w:r>
            <w:r>
              <w:rPr>
                <w:sz w:val="24"/>
              </w:rPr>
            </w:r>
            <w:r/>
          </w:p>
        </w:tc>
        <w:tc>
          <w:tcPr>
            <w:tcW w:w="696" w:type="dxa"/>
            <w:vAlign w:val="center"/>
            <w:textDirection w:val="lrTb"/>
            <w:noWrap w:val="false"/>
          </w:tcPr>
          <w:p>
            <w:pPr>
              <w:pStyle w:val="963"/>
              <w:jc w:val="center"/>
              <w:widowControl/>
              <w:rPr>
                <w:sz w:val="24"/>
              </w:rPr>
            </w:pPr>
            <w:r>
              <w:rPr>
                <w:sz w:val="24"/>
              </w:rPr>
              <w:t xml:space="preserve">4</w:t>
            </w:r>
            <w:r>
              <w:rPr>
                <w:sz w:val="24"/>
              </w:rPr>
            </w:r>
            <w:r/>
          </w:p>
        </w:tc>
      </w:tr>
      <w:tr>
        <w:trPr>
          <w:cantSplit/>
          <w:trHeight w:val="280"/>
        </w:trPr>
        <w:tc>
          <w:tcPr>
            <w:tcW w:w="696" w:type="dxa"/>
            <w:vAlign w:val="center"/>
            <w:textDirection w:val="lrTb"/>
            <w:noWrap/>
          </w:tcPr>
          <w:p>
            <w:pPr>
              <w:pStyle w:val="963"/>
              <w:jc w:val="center"/>
              <w:widowControl/>
              <w:rPr>
                <w:sz w:val="24"/>
              </w:rPr>
            </w:pPr>
            <w:r>
              <w:rPr>
                <w:sz w:val="24"/>
              </w:rPr>
              <w:t xml:space="preserve">19</w:t>
            </w:r>
            <w:r>
              <w:rPr>
                <w:sz w:val="24"/>
              </w:rPr>
            </w:r>
            <w:r/>
          </w:p>
        </w:tc>
        <w:tc>
          <w:tcPr>
            <w:tcW w:w="2038" w:type="dxa"/>
            <w:vAlign w:val="center"/>
            <w:vMerge w:val="continue"/>
            <w:textDirection w:val="lrTb"/>
            <w:noWrap w:val="false"/>
          </w:tcPr>
          <w:p>
            <w:pPr>
              <w:pStyle w:val="963"/>
              <w:jc w:val="center"/>
              <w:widowControl/>
              <w:rPr>
                <w:sz w:val="24"/>
              </w:rPr>
            </w:pPr>
            <w:r>
              <w:rPr>
                <w:sz w:val="24"/>
              </w:rPr>
            </w:r>
            <w:r/>
          </w:p>
        </w:tc>
        <w:tc>
          <w:tcPr>
            <w:tcW w:w="2196" w:type="dxa"/>
            <w:vAlign w:val="center"/>
            <w:textDirection w:val="lrTb"/>
            <w:noWrap w:val="false"/>
          </w:tcPr>
          <w:p>
            <w:pPr>
              <w:pStyle w:val="963"/>
              <w:jc w:val="center"/>
              <w:widowControl/>
              <w:rPr>
                <w:sz w:val="24"/>
              </w:rPr>
            </w:pPr>
            <w:r>
              <w:rPr>
                <w:sz w:val="24"/>
              </w:rPr>
              <w:t xml:space="preserve">配水及预处理单元</w:t>
            </w:r>
            <w:r>
              <w:rPr>
                <w:sz w:val="24"/>
              </w:rPr>
            </w:r>
            <w:r/>
          </w:p>
        </w:tc>
        <w:tc>
          <w:tcPr>
            <w:tcW w:w="2896" w:type="dxa"/>
            <w:vAlign w:val="center"/>
            <w:textDirection w:val="lrTb"/>
            <w:noWrap w:val="false"/>
          </w:tcPr>
          <w:p>
            <w:pPr>
              <w:pStyle w:val="963"/>
              <w:jc w:val="center"/>
              <w:widowControl/>
              <w:rPr>
                <w:sz w:val="24"/>
              </w:rPr>
            </w:pPr>
            <w:r>
              <w:rPr>
                <w:sz w:val="24"/>
              </w:rPr>
              <w:t xml:space="preserve">定制</w:t>
            </w:r>
            <w:r>
              <w:rPr>
                <w:sz w:val="24"/>
              </w:rPr>
            </w:r>
            <w:r/>
          </w:p>
        </w:tc>
        <w:tc>
          <w:tcPr>
            <w:tcW w:w="696" w:type="dxa"/>
            <w:vAlign w:val="center"/>
            <w:textDirection w:val="lrTb"/>
            <w:noWrap w:val="false"/>
          </w:tcPr>
          <w:p>
            <w:pPr>
              <w:pStyle w:val="963"/>
              <w:jc w:val="center"/>
              <w:widowControl/>
              <w:rPr>
                <w:sz w:val="24"/>
              </w:rPr>
            </w:pPr>
            <w:r>
              <w:rPr>
                <w:sz w:val="24"/>
              </w:rPr>
              <w:t xml:space="preserve">4</w:t>
            </w:r>
            <w:r>
              <w:rPr>
                <w:sz w:val="24"/>
              </w:rPr>
            </w:r>
            <w:r/>
          </w:p>
        </w:tc>
      </w:tr>
      <w:tr>
        <w:trPr>
          <w:cantSplit/>
          <w:trHeight w:val="280"/>
        </w:trPr>
        <w:tc>
          <w:tcPr>
            <w:tcW w:w="696" w:type="dxa"/>
            <w:vAlign w:val="center"/>
            <w:textDirection w:val="lrTb"/>
            <w:noWrap/>
          </w:tcPr>
          <w:p>
            <w:pPr>
              <w:pStyle w:val="963"/>
              <w:jc w:val="center"/>
              <w:widowControl/>
              <w:rPr>
                <w:sz w:val="24"/>
              </w:rPr>
            </w:pPr>
            <w:r>
              <w:rPr>
                <w:sz w:val="24"/>
              </w:rPr>
              <w:t xml:space="preserve">20</w:t>
            </w:r>
            <w:r>
              <w:rPr>
                <w:sz w:val="24"/>
              </w:rPr>
            </w:r>
            <w:r/>
          </w:p>
        </w:tc>
        <w:tc>
          <w:tcPr>
            <w:tcW w:w="2038" w:type="dxa"/>
            <w:vAlign w:val="center"/>
            <w:vMerge w:val="continue"/>
            <w:textDirection w:val="lrTb"/>
            <w:noWrap w:val="false"/>
          </w:tcPr>
          <w:p>
            <w:pPr>
              <w:pStyle w:val="963"/>
              <w:jc w:val="center"/>
              <w:widowControl/>
              <w:rPr>
                <w:sz w:val="24"/>
              </w:rPr>
            </w:pPr>
            <w:r>
              <w:rPr>
                <w:sz w:val="24"/>
              </w:rPr>
            </w:r>
            <w:r/>
          </w:p>
        </w:tc>
        <w:tc>
          <w:tcPr>
            <w:tcW w:w="2196" w:type="dxa"/>
            <w:vAlign w:val="center"/>
            <w:textDirection w:val="lrTb"/>
            <w:noWrap w:val="false"/>
          </w:tcPr>
          <w:p>
            <w:pPr>
              <w:pStyle w:val="963"/>
              <w:jc w:val="center"/>
              <w:widowControl/>
              <w:rPr>
                <w:sz w:val="24"/>
              </w:rPr>
            </w:pPr>
            <w:r>
              <w:rPr>
                <w:sz w:val="24"/>
              </w:rPr>
              <w:t xml:space="preserve">控制单元</w:t>
            </w:r>
            <w:r>
              <w:rPr>
                <w:sz w:val="24"/>
              </w:rPr>
            </w:r>
            <w:r/>
          </w:p>
        </w:tc>
        <w:tc>
          <w:tcPr>
            <w:tcW w:w="2896" w:type="dxa"/>
            <w:vAlign w:val="center"/>
            <w:textDirection w:val="lrTb"/>
            <w:noWrap w:val="false"/>
          </w:tcPr>
          <w:p>
            <w:pPr>
              <w:pStyle w:val="963"/>
              <w:jc w:val="center"/>
              <w:widowControl/>
              <w:rPr>
                <w:sz w:val="24"/>
              </w:rPr>
            </w:pPr>
            <w:r>
              <w:rPr>
                <w:sz w:val="24"/>
              </w:rPr>
              <w:t xml:space="preserve">定制</w:t>
            </w:r>
            <w:r>
              <w:rPr>
                <w:sz w:val="24"/>
              </w:rPr>
            </w:r>
            <w:r/>
          </w:p>
        </w:tc>
        <w:tc>
          <w:tcPr>
            <w:tcW w:w="696" w:type="dxa"/>
            <w:vAlign w:val="center"/>
            <w:textDirection w:val="lrTb"/>
            <w:noWrap w:val="false"/>
          </w:tcPr>
          <w:p>
            <w:pPr>
              <w:pStyle w:val="963"/>
              <w:jc w:val="center"/>
              <w:widowControl/>
              <w:rPr>
                <w:sz w:val="24"/>
              </w:rPr>
            </w:pPr>
            <w:r>
              <w:rPr>
                <w:sz w:val="24"/>
              </w:rPr>
              <w:t xml:space="preserve">4</w:t>
            </w:r>
            <w:r>
              <w:rPr>
                <w:sz w:val="24"/>
              </w:rPr>
            </w:r>
            <w:r/>
          </w:p>
        </w:tc>
      </w:tr>
      <w:tr>
        <w:trPr>
          <w:cantSplit/>
          <w:trHeight w:val="280"/>
        </w:trPr>
        <w:tc>
          <w:tcPr>
            <w:tcW w:w="696" w:type="dxa"/>
            <w:vAlign w:val="center"/>
            <w:textDirection w:val="lrTb"/>
            <w:noWrap/>
          </w:tcPr>
          <w:p>
            <w:pPr>
              <w:pStyle w:val="963"/>
              <w:jc w:val="center"/>
              <w:widowControl/>
              <w:rPr>
                <w:sz w:val="24"/>
              </w:rPr>
            </w:pPr>
            <w:r>
              <w:rPr>
                <w:sz w:val="24"/>
              </w:rPr>
              <w:t xml:space="preserve">21</w:t>
            </w:r>
            <w:r>
              <w:rPr>
                <w:sz w:val="24"/>
              </w:rPr>
            </w:r>
            <w:r/>
          </w:p>
        </w:tc>
        <w:tc>
          <w:tcPr>
            <w:tcW w:w="2038" w:type="dxa"/>
            <w:vAlign w:val="center"/>
            <w:vMerge w:val="continue"/>
            <w:textDirection w:val="lrTb"/>
            <w:noWrap w:val="false"/>
          </w:tcPr>
          <w:p>
            <w:pPr>
              <w:pStyle w:val="963"/>
              <w:jc w:val="center"/>
              <w:widowControl/>
              <w:rPr>
                <w:sz w:val="24"/>
              </w:rPr>
            </w:pPr>
            <w:r>
              <w:rPr>
                <w:sz w:val="24"/>
              </w:rPr>
            </w:r>
            <w:r/>
          </w:p>
        </w:tc>
        <w:tc>
          <w:tcPr>
            <w:tcW w:w="2196" w:type="dxa"/>
            <w:vAlign w:val="center"/>
            <w:textDirection w:val="lrTb"/>
            <w:noWrap w:val="false"/>
          </w:tcPr>
          <w:p>
            <w:pPr>
              <w:pStyle w:val="963"/>
              <w:jc w:val="center"/>
              <w:widowControl/>
              <w:rPr>
                <w:sz w:val="24"/>
              </w:rPr>
            </w:pPr>
            <w:r>
              <w:rPr>
                <w:sz w:val="24"/>
              </w:rPr>
              <w:t xml:space="preserve">辅助单元</w:t>
            </w:r>
            <w:r>
              <w:rPr>
                <w:sz w:val="24"/>
              </w:rPr>
            </w:r>
            <w:r/>
          </w:p>
        </w:tc>
        <w:tc>
          <w:tcPr>
            <w:tcW w:w="2896" w:type="dxa"/>
            <w:vAlign w:val="center"/>
            <w:textDirection w:val="lrTb"/>
            <w:noWrap w:val="false"/>
          </w:tcPr>
          <w:p>
            <w:pPr>
              <w:pStyle w:val="963"/>
              <w:jc w:val="center"/>
              <w:widowControl/>
              <w:rPr>
                <w:sz w:val="24"/>
              </w:rPr>
            </w:pPr>
            <w:r>
              <w:rPr>
                <w:sz w:val="24"/>
              </w:rPr>
              <w:t xml:space="preserve">定制</w:t>
            </w:r>
            <w:r>
              <w:rPr>
                <w:sz w:val="24"/>
              </w:rPr>
            </w:r>
            <w:r/>
          </w:p>
        </w:tc>
        <w:tc>
          <w:tcPr>
            <w:tcW w:w="696" w:type="dxa"/>
            <w:vAlign w:val="center"/>
            <w:textDirection w:val="lrTb"/>
            <w:noWrap w:val="false"/>
          </w:tcPr>
          <w:p>
            <w:pPr>
              <w:pStyle w:val="963"/>
              <w:jc w:val="center"/>
              <w:widowControl/>
              <w:rPr>
                <w:sz w:val="24"/>
              </w:rPr>
            </w:pPr>
            <w:r>
              <w:rPr>
                <w:sz w:val="24"/>
              </w:rPr>
              <w:t xml:space="preserve">4</w:t>
            </w:r>
            <w:r>
              <w:rPr>
                <w:sz w:val="24"/>
              </w:rPr>
            </w:r>
            <w:r/>
          </w:p>
        </w:tc>
      </w:tr>
      <w:tr>
        <w:trPr>
          <w:cantSplit/>
          <w:trHeight w:val="280"/>
        </w:trPr>
        <w:tc>
          <w:tcPr>
            <w:tcW w:w="696" w:type="dxa"/>
            <w:vAlign w:val="center"/>
            <w:textDirection w:val="lrTb"/>
            <w:noWrap/>
          </w:tcPr>
          <w:p>
            <w:pPr>
              <w:pStyle w:val="963"/>
              <w:jc w:val="center"/>
              <w:widowControl/>
              <w:rPr>
                <w:sz w:val="24"/>
              </w:rPr>
            </w:pPr>
            <w:r>
              <w:rPr>
                <w:sz w:val="24"/>
              </w:rPr>
              <w:t xml:space="preserve">22</w:t>
            </w:r>
            <w:r>
              <w:rPr>
                <w:sz w:val="24"/>
              </w:rPr>
            </w:r>
            <w:r/>
          </w:p>
        </w:tc>
        <w:tc>
          <w:tcPr>
            <w:tcW w:w="2038" w:type="dxa"/>
            <w:vAlign w:val="center"/>
            <w:vMerge w:val="continue"/>
            <w:textDirection w:val="lrTb"/>
            <w:noWrap w:val="false"/>
          </w:tcPr>
          <w:p>
            <w:pPr>
              <w:pStyle w:val="963"/>
              <w:jc w:val="center"/>
              <w:widowControl/>
              <w:rPr>
                <w:sz w:val="24"/>
              </w:rPr>
            </w:pPr>
            <w:r>
              <w:rPr>
                <w:sz w:val="24"/>
              </w:rPr>
            </w:r>
            <w:r/>
          </w:p>
        </w:tc>
        <w:tc>
          <w:tcPr>
            <w:tcW w:w="2196" w:type="dxa"/>
            <w:vAlign w:val="center"/>
            <w:textDirection w:val="lrTb"/>
            <w:noWrap w:val="false"/>
          </w:tcPr>
          <w:p>
            <w:pPr>
              <w:pStyle w:val="963"/>
              <w:jc w:val="center"/>
              <w:widowControl/>
              <w:rPr>
                <w:sz w:val="24"/>
              </w:rPr>
            </w:pPr>
            <w:r>
              <w:rPr>
                <w:sz w:val="24"/>
              </w:rPr>
              <w:t xml:space="preserve">视频监控单元</w:t>
            </w:r>
            <w:r>
              <w:rPr>
                <w:sz w:val="24"/>
              </w:rPr>
            </w:r>
            <w:r/>
          </w:p>
        </w:tc>
        <w:tc>
          <w:tcPr>
            <w:tcW w:w="2896" w:type="dxa"/>
            <w:vAlign w:val="center"/>
            <w:textDirection w:val="lrTb"/>
            <w:noWrap w:val="false"/>
          </w:tcPr>
          <w:p>
            <w:pPr>
              <w:pStyle w:val="963"/>
              <w:jc w:val="center"/>
              <w:widowControl/>
              <w:rPr>
                <w:sz w:val="24"/>
              </w:rPr>
            </w:pPr>
            <w:r>
              <w:rPr>
                <w:sz w:val="24"/>
              </w:rPr>
              <w:t xml:space="preserve">定制</w:t>
            </w:r>
            <w:r>
              <w:rPr>
                <w:sz w:val="24"/>
              </w:rPr>
            </w:r>
            <w:r/>
          </w:p>
        </w:tc>
        <w:tc>
          <w:tcPr>
            <w:tcW w:w="696" w:type="dxa"/>
            <w:vAlign w:val="center"/>
            <w:textDirection w:val="lrTb"/>
            <w:noWrap w:val="false"/>
          </w:tcPr>
          <w:p>
            <w:pPr>
              <w:pStyle w:val="963"/>
              <w:jc w:val="center"/>
              <w:widowControl/>
              <w:rPr>
                <w:sz w:val="24"/>
              </w:rPr>
            </w:pPr>
            <w:r>
              <w:rPr>
                <w:sz w:val="24"/>
              </w:rPr>
              <w:t xml:space="preserve">4</w:t>
            </w:r>
            <w:r>
              <w:rPr>
                <w:sz w:val="24"/>
              </w:rPr>
            </w:r>
            <w:r/>
          </w:p>
        </w:tc>
      </w:tr>
      <w:tr>
        <w:trPr>
          <w:cantSplit/>
          <w:trHeight w:val="280"/>
        </w:trPr>
        <w:tc>
          <w:tcPr>
            <w:tcW w:w="696" w:type="dxa"/>
            <w:vAlign w:val="center"/>
            <w:textDirection w:val="lrTb"/>
            <w:noWrap/>
          </w:tcPr>
          <w:p>
            <w:pPr>
              <w:pStyle w:val="963"/>
              <w:jc w:val="center"/>
              <w:widowControl/>
              <w:rPr>
                <w:sz w:val="24"/>
              </w:rPr>
            </w:pPr>
            <w:r>
              <w:rPr>
                <w:sz w:val="24"/>
              </w:rPr>
              <w:t xml:space="preserve">23</w:t>
            </w:r>
            <w:r>
              <w:rPr>
                <w:sz w:val="24"/>
              </w:rPr>
            </w:r>
            <w:r/>
          </w:p>
        </w:tc>
        <w:tc>
          <w:tcPr>
            <w:tcW w:w="2038" w:type="dxa"/>
            <w:vAlign w:val="center"/>
            <w:vMerge w:val="restart"/>
            <w:textDirection w:val="lrTb"/>
            <w:noWrap w:val="false"/>
          </w:tcPr>
          <w:p>
            <w:pPr>
              <w:pStyle w:val="963"/>
              <w:jc w:val="center"/>
              <w:widowControl/>
              <w:rPr>
                <w:sz w:val="24"/>
              </w:rPr>
            </w:pPr>
            <w:r>
              <w:rPr>
                <w:sz w:val="24"/>
              </w:rPr>
              <w:t xml:space="preserve">海州区、东海县尾水通道泵站水质自动监测站</w:t>
            </w:r>
            <w:r>
              <w:rPr>
                <w:sz w:val="24"/>
              </w:rPr>
            </w:r>
            <w:r/>
          </w:p>
        </w:tc>
        <w:tc>
          <w:tcPr>
            <w:tcW w:w="2196" w:type="dxa"/>
            <w:vAlign w:val="center"/>
            <w:textDirection w:val="lrTb"/>
            <w:noWrap w:val="false"/>
          </w:tcPr>
          <w:p>
            <w:pPr>
              <w:pStyle w:val="963"/>
              <w:jc w:val="center"/>
              <w:widowControl/>
              <w:rPr>
                <w:sz w:val="24"/>
              </w:rPr>
            </w:pPr>
            <w:r>
              <w:rPr>
                <w:sz w:val="24"/>
              </w:rPr>
              <w:t xml:space="preserve">五参数水质自动分析仪</w:t>
            </w:r>
            <w:r>
              <w:rPr>
                <w:sz w:val="24"/>
              </w:rPr>
            </w:r>
            <w:r/>
          </w:p>
        </w:tc>
        <w:tc>
          <w:tcPr>
            <w:tcW w:w="2896" w:type="dxa"/>
            <w:vAlign w:val="center"/>
            <w:textDirection w:val="lrTb"/>
            <w:noWrap w:val="false"/>
          </w:tcPr>
          <w:p>
            <w:pPr>
              <w:pStyle w:val="963"/>
              <w:jc w:val="center"/>
              <w:widowControl/>
              <w:rPr>
                <w:sz w:val="24"/>
              </w:rPr>
            </w:pPr>
            <w:r>
              <w:rPr>
                <w:sz w:val="24"/>
              </w:rPr>
              <w:t xml:space="preserve">聚光科技、WCS-2000</w:t>
            </w:r>
            <w:r>
              <w:rPr>
                <w:sz w:val="24"/>
              </w:rPr>
            </w:r>
            <w:r/>
          </w:p>
        </w:tc>
        <w:tc>
          <w:tcPr>
            <w:tcW w:w="696" w:type="dxa"/>
            <w:vAlign w:val="center"/>
            <w:textDirection w:val="lrTb"/>
            <w:noWrap w:val="false"/>
          </w:tcPr>
          <w:p>
            <w:pPr>
              <w:pStyle w:val="963"/>
              <w:jc w:val="center"/>
              <w:widowControl/>
              <w:rPr>
                <w:sz w:val="24"/>
              </w:rPr>
            </w:pPr>
            <w:r>
              <w:rPr>
                <w:sz w:val="24"/>
              </w:rPr>
              <w:t xml:space="preserve">2</w:t>
            </w:r>
            <w:r>
              <w:rPr>
                <w:sz w:val="24"/>
              </w:rPr>
            </w:r>
            <w:r/>
          </w:p>
        </w:tc>
      </w:tr>
      <w:tr>
        <w:trPr>
          <w:cantSplit/>
          <w:trHeight w:val="280"/>
        </w:trPr>
        <w:tc>
          <w:tcPr>
            <w:tcW w:w="696" w:type="dxa"/>
            <w:vAlign w:val="center"/>
            <w:textDirection w:val="lrTb"/>
            <w:noWrap/>
          </w:tcPr>
          <w:p>
            <w:pPr>
              <w:pStyle w:val="963"/>
              <w:jc w:val="center"/>
              <w:widowControl/>
              <w:rPr>
                <w:sz w:val="24"/>
              </w:rPr>
            </w:pPr>
            <w:r>
              <w:rPr>
                <w:sz w:val="24"/>
              </w:rPr>
              <w:t xml:space="preserve">24</w:t>
            </w:r>
            <w:r>
              <w:rPr>
                <w:sz w:val="24"/>
              </w:rPr>
            </w:r>
            <w:r/>
          </w:p>
        </w:tc>
        <w:tc>
          <w:tcPr>
            <w:tcW w:w="2038" w:type="dxa"/>
            <w:vAlign w:val="center"/>
            <w:vMerge w:val="continue"/>
            <w:textDirection w:val="lrTb"/>
            <w:noWrap w:val="false"/>
          </w:tcPr>
          <w:p>
            <w:pPr>
              <w:pStyle w:val="963"/>
              <w:jc w:val="center"/>
              <w:widowControl/>
              <w:rPr>
                <w:sz w:val="24"/>
              </w:rPr>
            </w:pPr>
            <w:r>
              <w:rPr>
                <w:sz w:val="24"/>
              </w:rPr>
            </w:r>
            <w:r/>
          </w:p>
        </w:tc>
        <w:tc>
          <w:tcPr>
            <w:tcW w:w="2196" w:type="dxa"/>
            <w:vAlign w:val="center"/>
            <w:textDirection w:val="lrTb"/>
            <w:noWrap w:val="false"/>
          </w:tcPr>
          <w:p>
            <w:pPr>
              <w:pStyle w:val="963"/>
              <w:jc w:val="center"/>
              <w:widowControl/>
              <w:rPr>
                <w:sz w:val="24"/>
              </w:rPr>
            </w:pPr>
            <w:r>
              <w:rPr>
                <w:sz w:val="24"/>
              </w:rPr>
              <w:t xml:space="preserve">氨氮水质自动分析仪</w:t>
            </w:r>
            <w:r>
              <w:rPr>
                <w:sz w:val="24"/>
              </w:rPr>
            </w:r>
            <w:r/>
          </w:p>
        </w:tc>
        <w:tc>
          <w:tcPr>
            <w:tcW w:w="2896" w:type="dxa"/>
            <w:vAlign w:val="center"/>
            <w:textDirection w:val="lrTb"/>
            <w:noWrap w:val="false"/>
          </w:tcPr>
          <w:p>
            <w:pPr>
              <w:pStyle w:val="963"/>
              <w:jc w:val="center"/>
              <w:widowControl/>
              <w:rPr>
                <w:sz w:val="24"/>
              </w:rPr>
            </w:pPr>
            <w:r>
              <w:rPr>
                <w:sz w:val="24"/>
              </w:rPr>
              <w:t xml:space="preserve">伊创科技、2100series</w:t>
            </w:r>
            <w:r>
              <w:rPr>
                <w:sz w:val="24"/>
              </w:rPr>
            </w:r>
            <w:r/>
          </w:p>
        </w:tc>
        <w:tc>
          <w:tcPr>
            <w:tcW w:w="696" w:type="dxa"/>
            <w:vAlign w:val="center"/>
            <w:textDirection w:val="lrTb"/>
            <w:noWrap w:val="false"/>
          </w:tcPr>
          <w:p>
            <w:pPr>
              <w:pStyle w:val="963"/>
              <w:jc w:val="center"/>
              <w:widowControl/>
              <w:rPr>
                <w:sz w:val="24"/>
              </w:rPr>
            </w:pPr>
            <w:r>
              <w:rPr>
                <w:sz w:val="24"/>
              </w:rPr>
              <w:t xml:space="preserve">2</w:t>
            </w:r>
            <w:r>
              <w:rPr>
                <w:sz w:val="24"/>
              </w:rPr>
            </w:r>
            <w:r/>
          </w:p>
        </w:tc>
      </w:tr>
      <w:tr>
        <w:trPr>
          <w:cantSplit/>
          <w:trHeight w:val="280"/>
        </w:trPr>
        <w:tc>
          <w:tcPr>
            <w:tcW w:w="696" w:type="dxa"/>
            <w:vAlign w:val="center"/>
            <w:textDirection w:val="lrTb"/>
            <w:noWrap/>
          </w:tcPr>
          <w:p>
            <w:pPr>
              <w:pStyle w:val="963"/>
              <w:jc w:val="center"/>
              <w:widowControl/>
              <w:rPr>
                <w:sz w:val="24"/>
              </w:rPr>
            </w:pPr>
            <w:r>
              <w:rPr>
                <w:sz w:val="24"/>
              </w:rPr>
              <w:t xml:space="preserve">25</w:t>
            </w:r>
            <w:r>
              <w:rPr>
                <w:sz w:val="24"/>
              </w:rPr>
            </w:r>
            <w:r/>
          </w:p>
        </w:tc>
        <w:tc>
          <w:tcPr>
            <w:tcW w:w="2038" w:type="dxa"/>
            <w:vAlign w:val="center"/>
            <w:vMerge w:val="continue"/>
            <w:textDirection w:val="lrTb"/>
            <w:noWrap w:val="false"/>
          </w:tcPr>
          <w:p>
            <w:pPr>
              <w:pStyle w:val="963"/>
              <w:jc w:val="center"/>
              <w:widowControl/>
              <w:rPr>
                <w:sz w:val="24"/>
              </w:rPr>
            </w:pPr>
            <w:r>
              <w:rPr>
                <w:sz w:val="24"/>
              </w:rPr>
            </w:r>
            <w:r/>
          </w:p>
        </w:tc>
        <w:tc>
          <w:tcPr>
            <w:tcW w:w="2196" w:type="dxa"/>
            <w:vAlign w:val="center"/>
            <w:textDirection w:val="lrTb"/>
            <w:noWrap w:val="false"/>
          </w:tcPr>
          <w:p>
            <w:pPr>
              <w:pStyle w:val="963"/>
              <w:jc w:val="center"/>
              <w:widowControl/>
              <w:rPr>
                <w:sz w:val="24"/>
              </w:rPr>
            </w:pPr>
            <w:r>
              <w:rPr>
                <w:sz w:val="24"/>
              </w:rPr>
              <w:t xml:space="preserve">化学需氧量水质自动分析仪</w:t>
            </w:r>
            <w:r>
              <w:rPr>
                <w:sz w:val="24"/>
              </w:rPr>
            </w:r>
            <w:r/>
          </w:p>
        </w:tc>
        <w:tc>
          <w:tcPr>
            <w:tcW w:w="2896" w:type="dxa"/>
            <w:vAlign w:val="center"/>
            <w:textDirection w:val="lrTb"/>
            <w:noWrap w:val="false"/>
          </w:tcPr>
          <w:p>
            <w:pPr>
              <w:pStyle w:val="963"/>
              <w:jc w:val="center"/>
              <w:widowControl/>
              <w:rPr>
                <w:sz w:val="24"/>
              </w:rPr>
            </w:pPr>
            <w:r>
              <w:rPr>
                <w:sz w:val="24"/>
              </w:rPr>
              <w:t xml:space="preserve">COD-2000</w:t>
            </w:r>
            <w:r>
              <w:rPr>
                <w:sz w:val="24"/>
              </w:rPr>
            </w:r>
            <w:r/>
          </w:p>
        </w:tc>
        <w:tc>
          <w:tcPr>
            <w:tcW w:w="696" w:type="dxa"/>
            <w:vAlign w:val="center"/>
            <w:textDirection w:val="lrTb"/>
            <w:noWrap w:val="false"/>
          </w:tcPr>
          <w:p>
            <w:pPr>
              <w:pStyle w:val="963"/>
              <w:jc w:val="center"/>
              <w:widowControl/>
              <w:rPr>
                <w:sz w:val="24"/>
              </w:rPr>
            </w:pPr>
            <w:r>
              <w:rPr>
                <w:sz w:val="24"/>
              </w:rPr>
              <w:t xml:space="preserve">2</w:t>
            </w:r>
            <w:r>
              <w:rPr>
                <w:sz w:val="24"/>
              </w:rPr>
            </w:r>
            <w:r/>
          </w:p>
        </w:tc>
      </w:tr>
      <w:tr>
        <w:trPr>
          <w:cantSplit/>
          <w:trHeight w:val="280"/>
        </w:trPr>
        <w:tc>
          <w:tcPr>
            <w:tcW w:w="696" w:type="dxa"/>
            <w:vAlign w:val="center"/>
            <w:textDirection w:val="lrTb"/>
            <w:noWrap/>
          </w:tcPr>
          <w:p>
            <w:pPr>
              <w:pStyle w:val="963"/>
              <w:jc w:val="center"/>
              <w:widowControl/>
              <w:rPr>
                <w:sz w:val="24"/>
              </w:rPr>
            </w:pPr>
            <w:r>
              <w:rPr>
                <w:sz w:val="24"/>
              </w:rPr>
              <w:t xml:space="preserve">26</w:t>
            </w:r>
            <w:r>
              <w:rPr>
                <w:sz w:val="24"/>
              </w:rPr>
            </w:r>
            <w:r/>
          </w:p>
        </w:tc>
        <w:tc>
          <w:tcPr>
            <w:tcW w:w="2038" w:type="dxa"/>
            <w:vAlign w:val="center"/>
            <w:vMerge w:val="continue"/>
            <w:textDirection w:val="lrTb"/>
            <w:noWrap w:val="false"/>
          </w:tcPr>
          <w:p>
            <w:pPr>
              <w:pStyle w:val="963"/>
              <w:jc w:val="center"/>
              <w:widowControl/>
              <w:rPr>
                <w:sz w:val="24"/>
              </w:rPr>
            </w:pPr>
            <w:r>
              <w:rPr>
                <w:sz w:val="24"/>
              </w:rPr>
            </w:r>
            <w:r/>
          </w:p>
        </w:tc>
        <w:tc>
          <w:tcPr>
            <w:tcW w:w="2196" w:type="dxa"/>
            <w:vAlign w:val="center"/>
            <w:textDirection w:val="lrTb"/>
            <w:noWrap w:val="false"/>
          </w:tcPr>
          <w:p>
            <w:pPr>
              <w:pStyle w:val="963"/>
              <w:jc w:val="center"/>
              <w:widowControl/>
              <w:rPr>
                <w:sz w:val="24"/>
              </w:rPr>
            </w:pPr>
            <w:r>
              <w:rPr>
                <w:sz w:val="24"/>
              </w:rPr>
              <w:t xml:space="preserve">总磷水质自动分析仪</w:t>
            </w:r>
            <w:r>
              <w:rPr>
                <w:sz w:val="24"/>
              </w:rPr>
            </w:r>
            <w:r/>
          </w:p>
        </w:tc>
        <w:tc>
          <w:tcPr>
            <w:tcW w:w="2896" w:type="dxa"/>
            <w:vAlign w:val="center"/>
            <w:textDirection w:val="lrTb"/>
            <w:noWrap w:val="false"/>
          </w:tcPr>
          <w:p>
            <w:pPr>
              <w:pStyle w:val="963"/>
              <w:jc w:val="center"/>
              <w:widowControl/>
              <w:rPr>
                <w:sz w:val="24"/>
              </w:rPr>
            </w:pPr>
            <w:r>
              <w:rPr>
                <w:sz w:val="24"/>
              </w:rPr>
              <w:t xml:space="preserve">聚光科技、TPN-2000(TP)</w:t>
            </w:r>
            <w:r>
              <w:rPr>
                <w:sz w:val="24"/>
              </w:rPr>
            </w:r>
            <w:r/>
          </w:p>
        </w:tc>
        <w:tc>
          <w:tcPr>
            <w:tcW w:w="696" w:type="dxa"/>
            <w:vAlign w:val="center"/>
            <w:textDirection w:val="lrTb"/>
            <w:noWrap w:val="false"/>
          </w:tcPr>
          <w:p>
            <w:pPr>
              <w:pStyle w:val="963"/>
              <w:jc w:val="center"/>
              <w:widowControl/>
              <w:rPr>
                <w:sz w:val="24"/>
              </w:rPr>
            </w:pPr>
            <w:r>
              <w:rPr>
                <w:sz w:val="24"/>
              </w:rPr>
              <w:t xml:space="preserve">2</w:t>
            </w:r>
            <w:r>
              <w:rPr>
                <w:sz w:val="24"/>
              </w:rPr>
            </w:r>
            <w:r/>
          </w:p>
        </w:tc>
      </w:tr>
      <w:tr>
        <w:trPr>
          <w:cantSplit/>
          <w:trHeight w:val="280"/>
        </w:trPr>
        <w:tc>
          <w:tcPr>
            <w:tcW w:w="696" w:type="dxa"/>
            <w:vAlign w:val="center"/>
            <w:textDirection w:val="lrTb"/>
            <w:noWrap/>
          </w:tcPr>
          <w:p>
            <w:pPr>
              <w:pStyle w:val="963"/>
              <w:jc w:val="center"/>
              <w:widowControl/>
              <w:rPr>
                <w:sz w:val="24"/>
              </w:rPr>
            </w:pPr>
            <w:r>
              <w:rPr>
                <w:sz w:val="24"/>
              </w:rPr>
              <w:t xml:space="preserve">27</w:t>
            </w:r>
            <w:r>
              <w:rPr>
                <w:sz w:val="24"/>
              </w:rPr>
            </w:r>
            <w:r/>
          </w:p>
        </w:tc>
        <w:tc>
          <w:tcPr>
            <w:tcW w:w="2038" w:type="dxa"/>
            <w:vAlign w:val="center"/>
            <w:vMerge w:val="continue"/>
            <w:textDirection w:val="lrTb"/>
            <w:noWrap w:val="false"/>
          </w:tcPr>
          <w:p>
            <w:pPr>
              <w:pStyle w:val="963"/>
              <w:jc w:val="center"/>
              <w:widowControl/>
              <w:rPr>
                <w:sz w:val="24"/>
              </w:rPr>
            </w:pPr>
            <w:r>
              <w:rPr>
                <w:sz w:val="24"/>
              </w:rPr>
            </w:r>
            <w:r/>
          </w:p>
        </w:tc>
        <w:tc>
          <w:tcPr>
            <w:tcW w:w="2196" w:type="dxa"/>
            <w:vAlign w:val="center"/>
            <w:textDirection w:val="lrTb"/>
            <w:noWrap w:val="false"/>
          </w:tcPr>
          <w:p>
            <w:pPr>
              <w:pStyle w:val="963"/>
              <w:jc w:val="center"/>
              <w:widowControl/>
              <w:rPr>
                <w:sz w:val="24"/>
              </w:rPr>
            </w:pPr>
            <w:r>
              <w:rPr>
                <w:sz w:val="24"/>
              </w:rPr>
              <w:t xml:space="preserve">总氮水质自动分析仪</w:t>
            </w:r>
            <w:r>
              <w:rPr>
                <w:sz w:val="24"/>
              </w:rPr>
            </w:r>
            <w:r/>
          </w:p>
        </w:tc>
        <w:tc>
          <w:tcPr>
            <w:tcW w:w="2896" w:type="dxa"/>
            <w:vAlign w:val="center"/>
            <w:textDirection w:val="lrTb"/>
            <w:noWrap w:val="false"/>
          </w:tcPr>
          <w:p>
            <w:pPr>
              <w:pStyle w:val="963"/>
              <w:jc w:val="center"/>
              <w:widowControl/>
              <w:rPr>
                <w:sz w:val="24"/>
              </w:rPr>
            </w:pPr>
            <w:r>
              <w:rPr>
                <w:sz w:val="24"/>
              </w:rPr>
              <w:t xml:space="preserve">聚光科技、TPN-2000(TN)</w:t>
            </w:r>
            <w:r>
              <w:rPr>
                <w:sz w:val="24"/>
              </w:rPr>
            </w:r>
            <w:r/>
          </w:p>
        </w:tc>
        <w:tc>
          <w:tcPr>
            <w:tcW w:w="696" w:type="dxa"/>
            <w:vAlign w:val="center"/>
            <w:textDirection w:val="lrTb"/>
            <w:noWrap w:val="false"/>
          </w:tcPr>
          <w:p>
            <w:pPr>
              <w:pStyle w:val="963"/>
              <w:jc w:val="center"/>
              <w:widowControl/>
              <w:rPr>
                <w:sz w:val="24"/>
              </w:rPr>
            </w:pPr>
            <w:r>
              <w:rPr>
                <w:sz w:val="24"/>
              </w:rPr>
              <w:t xml:space="preserve">2</w:t>
            </w:r>
            <w:r>
              <w:rPr>
                <w:sz w:val="24"/>
              </w:rPr>
            </w:r>
            <w:r/>
          </w:p>
        </w:tc>
      </w:tr>
      <w:tr>
        <w:trPr>
          <w:cantSplit/>
          <w:trHeight w:val="280"/>
        </w:trPr>
        <w:tc>
          <w:tcPr>
            <w:tcW w:w="696" w:type="dxa"/>
            <w:vAlign w:val="center"/>
            <w:textDirection w:val="lrTb"/>
            <w:noWrap/>
          </w:tcPr>
          <w:p>
            <w:pPr>
              <w:pStyle w:val="963"/>
              <w:jc w:val="center"/>
              <w:widowControl/>
              <w:rPr>
                <w:sz w:val="24"/>
              </w:rPr>
            </w:pPr>
            <w:r>
              <w:rPr>
                <w:sz w:val="24"/>
              </w:rPr>
              <w:t xml:space="preserve">28</w:t>
            </w:r>
            <w:r>
              <w:rPr>
                <w:sz w:val="24"/>
              </w:rPr>
            </w:r>
            <w:r/>
          </w:p>
        </w:tc>
        <w:tc>
          <w:tcPr>
            <w:tcW w:w="2038" w:type="dxa"/>
            <w:vAlign w:val="center"/>
            <w:vMerge w:val="continue"/>
            <w:textDirection w:val="lrTb"/>
            <w:noWrap w:val="false"/>
          </w:tcPr>
          <w:p>
            <w:pPr>
              <w:pStyle w:val="963"/>
              <w:jc w:val="center"/>
              <w:widowControl/>
              <w:rPr>
                <w:sz w:val="24"/>
              </w:rPr>
            </w:pPr>
            <w:r>
              <w:rPr>
                <w:sz w:val="24"/>
              </w:rPr>
            </w:r>
            <w:r/>
          </w:p>
        </w:tc>
        <w:tc>
          <w:tcPr>
            <w:tcW w:w="2196" w:type="dxa"/>
            <w:vAlign w:val="center"/>
            <w:textDirection w:val="lrTb"/>
            <w:noWrap w:val="false"/>
          </w:tcPr>
          <w:p>
            <w:pPr>
              <w:pStyle w:val="963"/>
              <w:jc w:val="center"/>
              <w:widowControl/>
              <w:rPr>
                <w:sz w:val="24"/>
              </w:rPr>
            </w:pPr>
            <w:r>
              <w:rPr>
                <w:sz w:val="24"/>
              </w:rPr>
              <w:t xml:space="preserve">流量流速分析仪</w:t>
            </w:r>
            <w:r>
              <w:rPr>
                <w:sz w:val="24"/>
              </w:rPr>
            </w:r>
            <w:r/>
          </w:p>
        </w:tc>
        <w:tc>
          <w:tcPr>
            <w:tcW w:w="2896" w:type="dxa"/>
            <w:vAlign w:val="center"/>
            <w:textDirection w:val="lrTb"/>
            <w:noWrap w:val="false"/>
          </w:tcPr>
          <w:p>
            <w:pPr>
              <w:pStyle w:val="963"/>
              <w:jc w:val="center"/>
              <w:widowControl/>
              <w:rPr>
                <w:sz w:val="24"/>
              </w:rPr>
            </w:pPr>
            <w:r>
              <w:rPr>
                <w:sz w:val="24"/>
              </w:rPr>
              <w:t xml:space="preserve">LK-S1000</w:t>
            </w:r>
            <w:r>
              <w:rPr>
                <w:sz w:val="24"/>
              </w:rPr>
            </w:r>
            <w:r/>
          </w:p>
        </w:tc>
        <w:tc>
          <w:tcPr>
            <w:tcW w:w="696" w:type="dxa"/>
            <w:vAlign w:val="center"/>
            <w:textDirection w:val="lrTb"/>
            <w:noWrap w:val="false"/>
          </w:tcPr>
          <w:p>
            <w:pPr>
              <w:pStyle w:val="963"/>
              <w:jc w:val="center"/>
              <w:widowControl/>
              <w:rPr>
                <w:sz w:val="24"/>
              </w:rPr>
            </w:pPr>
            <w:r>
              <w:rPr>
                <w:sz w:val="24"/>
              </w:rPr>
              <w:t xml:space="preserve">2</w:t>
            </w:r>
            <w:r>
              <w:rPr>
                <w:sz w:val="24"/>
              </w:rPr>
            </w:r>
            <w:r/>
          </w:p>
        </w:tc>
      </w:tr>
      <w:tr>
        <w:trPr>
          <w:cantSplit/>
          <w:trHeight w:val="280"/>
        </w:trPr>
        <w:tc>
          <w:tcPr>
            <w:tcW w:w="696" w:type="dxa"/>
            <w:vAlign w:val="center"/>
            <w:textDirection w:val="lrTb"/>
            <w:noWrap/>
          </w:tcPr>
          <w:p>
            <w:pPr>
              <w:pStyle w:val="963"/>
              <w:jc w:val="center"/>
              <w:widowControl/>
              <w:rPr>
                <w:sz w:val="24"/>
              </w:rPr>
            </w:pPr>
            <w:r>
              <w:rPr>
                <w:sz w:val="24"/>
              </w:rPr>
              <w:t xml:space="preserve">29</w:t>
            </w:r>
            <w:r>
              <w:rPr>
                <w:sz w:val="24"/>
              </w:rPr>
            </w:r>
            <w:r/>
          </w:p>
        </w:tc>
        <w:tc>
          <w:tcPr>
            <w:tcW w:w="2038" w:type="dxa"/>
            <w:vAlign w:val="center"/>
            <w:vMerge w:val="continue"/>
            <w:textDirection w:val="lrTb"/>
            <w:noWrap w:val="false"/>
          </w:tcPr>
          <w:p>
            <w:pPr>
              <w:pStyle w:val="963"/>
              <w:jc w:val="center"/>
              <w:widowControl/>
              <w:rPr>
                <w:sz w:val="24"/>
              </w:rPr>
            </w:pPr>
            <w:r>
              <w:rPr>
                <w:sz w:val="24"/>
              </w:rPr>
            </w:r>
            <w:r/>
          </w:p>
        </w:tc>
        <w:tc>
          <w:tcPr>
            <w:tcW w:w="2196" w:type="dxa"/>
            <w:vAlign w:val="center"/>
            <w:textDirection w:val="lrTb"/>
            <w:noWrap w:val="false"/>
          </w:tcPr>
          <w:p>
            <w:pPr>
              <w:pStyle w:val="963"/>
              <w:jc w:val="center"/>
              <w:widowControl/>
              <w:rPr>
                <w:sz w:val="24"/>
              </w:rPr>
            </w:pPr>
            <w:r>
              <w:rPr>
                <w:sz w:val="24"/>
              </w:rPr>
              <w:t xml:space="preserve">备机、站房维护等</w:t>
            </w:r>
            <w:r>
              <w:rPr>
                <w:sz w:val="24"/>
              </w:rPr>
            </w:r>
            <w:r/>
          </w:p>
        </w:tc>
        <w:tc>
          <w:tcPr>
            <w:tcW w:w="2896" w:type="dxa"/>
            <w:vAlign w:val="center"/>
            <w:textDirection w:val="lrTb"/>
            <w:noWrap w:val="false"/>
          </w:tcPr>
          <w:p>
            <w:pPr>
              <w:pStyle w:val="963"/>
              <w:jc w:val="center"/>
              <w:widowControl/>
              <w:rPr>
                <w:sz w:val="24"/>
              </w:rPr>
            </w:pPr>
            <w:r>
              <w:rPr>
                <w:sz w:val="24"/>
              </w:rPr>
              <w:t xml:space="preserve">/</w:t>
            </w:r>
            <w:r>
              <w:rPr>
                <w:sz w:val="24"/>
              </w:rPr>
            </w:r>
            <w:r/>
          </w:p>
        </w:tc>
        <w:tc>
          <w:tcPr>
            <w:tcW w:w="696" w:type="dxa"/>
            <w:vAlign w:val="center"/>
            <w:textDirection w:val="lrTb"/>
            <w:noWrap w:val="false"/>
          </w:tcPr>
          <w:p>
            <w:pPr>
              <w:pStyle w:val="963"/>
              <w:jc w:val="center"/>
              <w:widowControl/>
              <w:rPr>
                <w:sz w:val="24"/>
              </w:rPr>
            </w:pPr>
            <w:r>
              <w:rPr>
                <w:sz w:val="24"/>
              </w:rPr>
              <w:t xml:space="preserve">2</w:t>
            </w:r>
            <w:r>
              <w:rPr>
                <w:sz w:val="24"/>
              </w:rPr>
            </w:r>
            <w:r/>
          </w:p>
        </w:tc>
      </w:tr>
      <w:tr>
        <w:trPr>
          <w:cantSplit/>
          <w:trHeight w:val="280"/>
        </w:trPr>
        <w:tc>
          <w:tcPr>
            <w:tcW w:w="696" w:type="dxa"/>
            <w:vAlign w:val="center"/>
            <w:textDirection w:val="lrTb"/>
            <w:noWrap/>
          </w:tcPr>
          <w:p>
            <w:pPr>
              <w:pStyle w:val="963"/>
              <w:jc w:val="center"/>
              <w:widowControl/>
              <w:rPr>
                <w:sz w:val="24"/>
              </w:rPr>
            </w:pPr>
            <w:r>
              <w:rPr>
                <w:sz w:val="24"/>
              </w:rPr>
              <w:t xml:space="preserve">30</w:t>
            </w:r>
            <w:r>
              <w:rPr>
                <w:sz w:val="24"/>
              </w:rPr>
            </w:r>
            <w:r/>
          </w:p>
        </w:tc>
        <w:tc>
          <w:tcPr>
            <w:tcW w:w="2038" w:type="dxa"/>
            <w:vAlign w:val="center"/>
            <w:vMerge w:val="continue"/>
            <w:textDirection w:val="lrTb"/>
            <w:noWrap w:val="false"/>
          </w:tcPr>
          <w:p>
            <w:pPr>
              <w:pStyle w:val="963"/>
              <w:jc w:val="center"/>
              <w:widowControl/>
              <w:rPr>
                <w:sz w:val="24"/>
              </w:rPr>
            </w:pPr>
            <w:r>
              <w:rPr>
                <w:sz w:val="24"/>
              </w:rPr>
            </w:r>
            <w:r/>
          </w:p>
        </w:tc>
        <w:tc>
          <w:tcPr>
            <w:tcW w:w="2196" w:type="dxa"/>
            <w:vAlign w:val="center"/>
            <w:textDirection w:val="lrTb"/>
            <w:noWrap w:val="false"/>
          </w:tcPr>
          <w:p>
            <w:pPr>
              <w:pStyle w:val="963"/>
              <w:jc w:val="center"/>
              <w:widowControl/>
              <w:rPr>
                <w:sz w:val="24"/>
              </w:rPr>
            </w:pPr>
            <w:r>
              <w:rPr>
                <w:sz w:val="24"/>
              </w:rPr>
              <w:t xml:space="preserve">采水单元</w:t>
            </w:r>
            <w:r>
              <w:rPr>
                <w:sz w:val="24"/>
              </w:rPr>
            </w:r>
            <w:r/>
          </w:p>
        </w:tc>
        <w:tc>
          <w:tcPr>
            <w:tcW w:w="2896" w:type="dxa"/>
            <w:vAlign w:val="center"/>
            <w:textDirection w:val="lrTb"/>
            <w:noWrap w:val="false"/>
          </w:tcPr>
          <w:p>
            <w:pPr>
              <w:pStyle w:val="963"/>
              <w:jc w:val="center"/>
              <w:widowControl/>
              <w:rPr>
                <w:sz w:val="24"/>
              </w:rPr>
            </w:pPr>
            <w:r>
              <w:rPr>
                <w:sz w:val="24"/>
              </w:rPr>
              <w:t xml:space="preserve">定制</w:t>
            </w:r>
            <w:r>
              <w:rPr>
                <w:sz w:val="24"/>
              </w:rPr>
            </w:r>
            <w:r/>
          </w:p>
        </w:tc>
        <w:tc>
          <w:tcPr>
            <w:tcW w:w="696" w:type="dxa"/>
            <w:vAlign w:val="center"/>
            <w:textDirection w:val="lrTb"/>
            <w:noWrap w:val="false"/>
          </w:tcPr>
          <w:p>
            <w:pPr>
              <w:pStyle w:val="963"/>
              <w:jc w:val="center"/>
              <w:widowControl/>
              <w:rPr>
                <w:sz w:val="24"/>
              </w:rPr>
            </w:pPr>
            <w:r>
              <w:rPr>
                <w:sz w:val="24"/>
              </w:rPr>
              <w:t xml:space="preserve">2</w:t>
            </w:r>
            <w:r>
              <w:rPr>
                <w:sz w:val="24"/>
              </w:rPr>
            </w:r>
            <w:r/>
          </w:p>
        </w:tc>
      </w:tr>
      <w:tr>
        <w:trPr>
          <w:cantSplit/>
          <w:trHeight w:val="280"/>
        </w:trPr>
        <w:tc>
          <w:tcPr>
            <w:tcW w:w="696" w:type="dxa"/>
            <w:vAlign w:val="center"/>
            <w:textDirection w:val="lrTb"/>
            <w:noWrap/>
          </w:tcPr>
          <w:p>
            <w:pPr>
              <w:pStyle w:val="963"/>
              <w:jc w:val="center"/>
              <w:widowControl/>
              <w:rPr>
                <w:sz w:val="24"/>
              </w:rPr>
            </w:pPr>
            <w:r>
              <w:rPr>
                <w:sz w:val="24"/>
              </w:rPr>
              <w:t xml:space="preserve">31</w:t>
            </w:r>
            <w:r>
              <w:rPr>
                <w:sz w:val="24"/>
              </w:rPr>
            </w:r>
            <w:r/>
          </w:p>
        </w:tc>
        <w:tc>
          <w:tcPr>
            <w:tcW w:w="2038" w:type="dxa"/>
            <w:vAlign w:val="center"/>
            <w:vMerge w:val="continue"/>
            <w:textDirection w:val="lrTb"/>
            <w:noWrap w:val="false"/>
          </w:tcPr>
          <w:p>
            <w:pPr>
              <w:pStyle w:val="963"/>
              <w:jc w:val="center"/>
              <w:widowControl/>
              <w:rPr>
                <w:sz w:val="24"/>
              </w:rPr>
            </w:pPr>
            <w:r>
              <w:rPr>
                <w:sz w:val="24"/>
              </w:rPr>
            </w:r>
            <w:r/>
          </w:p>
        </w:tc>
        <w:tc>
          <w:tcPr>
            <w:tcW w:w="2196" w:type="dxa"/>
            <w:vAlign w:val="center"/>
            <w:textDirection w:val="lrTb"/>
            <w:noWrap w:val="false"/>
          </w:tcPr>
          <w:p>
            <w:pPr>
              <w:pStyle w:val="963"/>
              <w:jc w:val="center"/>
              <w:widowControl/>
              <w:rPr>
                <w:sz w:val="24"/>
              </w:rPr>
            </w:pPr>
            <w:r>
              <w:rPr>
                <w:sz w:val="24"/>
              </w:rPr>
              <w:t xml:space="preserve">配水及预处理单元</w:t>
            </w:r>
            <w:r>
              <w:rPr>
                <w:sz w:val="24"/>
              </w:rPr>
            </w:r>
            <w:r/>
          </w:p>
        </w:tc>
        <w:tc>
          <w:tcPr>
            <w:tcW w:w="2896" w:type="dxa"/>
            <w:vAlign w:val="center"/>
            <w:textDirection w:val="lrTb"/>
            <w:noWrap w:val="false"/>
          </w:tcPr>
          <w:p>
            <w:pPr>
              <w:pStyle w:val="963"/>
              <w:jc w:val="center"/>
              <w:widowControl/>
              <w:rPr>
                <w:sz w:val="24"/>
              </w:rPr>
            </w:pPr>
            <w:r>
              <w:rPr>
                <w:sz w:val="24"/>
              </w:rPr>
              <w:t xml:space="preserve">定制</w:t>
            </w:r>
            <w:r>
              <w:rPr>
                <w:sz w:val="24"/>
              </w:rPr>
            </w:r>
            <w:r/>
          </w:p>
        </w:tc>
        <w:tc>
          <w:tcPr>
            <w:tcW w:w="696" w:type="dxa"/>
            <w:vAlign w:val="center"/>
            <w:textDirection w:val="lrTb"/>
            <w:noWrap w:val="false"/>
          </w:tcPr>
          <w:p>
            <w:pPr>
              <w:pStyle w:val="963"/>
              <w:jc w:val="center"/>
              <w:widowControl/>
              <w:rPr>
                <w:sz w:val="24"/>
              </w:rPr>
            </w:pPr>
            <w:r>
              <w:rPr>
                <w:sz w:val="24"/>
              </w:rPr>
              <w:t xml:space="preserve">2</w:t>
            </w:r>
            <w:r>
              <w:rPr>
                <w:sz w:val="24"/>
              </w:rPr>
            </w:r>
            <w:r/>
          </w:p>
        </w:tc>
      </w:tr>
      <w:tr>
        <w:trPr>
          <w:cantSplit/>
          <w:trHeight w:val="280"/>
        </w:trPr>
        <w:tc>
          <w:tcPr>
            <w:tcW w:w="696" w:type="dxa"/>
            <w:vAlign w:val="center"/>
            <w:textDirection w:val="lrTb"/>
            <w:noWrap/>
          </w:tcPr>
          <w:p>
            <w:pPr>
              <w:pStyle w:val="963"/>
              <w:jc w:val="center"/>
              <w:widowControl/>
              <w:rPr>
                <w:sz w:val="24"/>
              </w:rPr>
            </w:pPr>
            <w:r>
              <w:rPr>
                <w:sz w:val="24"/>
              </w:rPr>
              <w:t xml:space="preserve">32</w:t>
            </w:r>
            <w:r>
              <w:rPr>
                <w:sz w:val="24"/>
              </w:rPr>
            </w:r>
            <w:r/>
          </w:p>
        </w:tc>
        <w:tc>
          <w:tcPr>
            <w:tcW w:w="2038" w:type="dxa"/>
            <w:vAlign w:val="center"/>
            <w:vMerge w:val="continue"/>
            <w:textDirection w:val="lrTb"/>
            <w:noWrap w:val="false"/>
          </w:tcPr>
          <w:p>
            <w:pPr>
              <w:pStyle w:val="963"/>
              <w:jc w:val="center"/>
              <w:widowControl/>
              <w:rPr>
                <w:sz w:val="24"/>
              </w:rPr>
            </w:pPr>
            <w:r>
              <w:rPr>
                <w:sz w:val="24"/>
              </w:rPr>
            </w:r>
            <w:r/>
          </w:p>
        </w:tc>
        <w:tc>
          <w:tcPr>
            <w:tcW w:w="2196" w:type="dxa"/>
            <w:vAlign w:val="center"/>
            <w:textDirection w:val="lrTb"/>
            <w:noWrap w:val="false"/>
          </w:tcPr>
          <w:p>
            <w:pPr>
              <w:pStyle w:val="963"/>
              <w:jc w:val="center"/>
              <w:widowControl/>
              <w:rPr>
                <w:sz w:val="24"/>
              </w:rPr>
            </w:pPr>
            <w:r>
              <w:rPr>
                <w:sz w:val="24"/>
              </w:rPr>
              <w:t xml:space="preserve">控制单元</w:t>
            </w:r>
            <w:r>
              <w:rPr>
                <w:sz w:val="24"/>
              </w:rPr>
            </w:r>
            <w:r/>
          </w:p>
        </w:tc>
        <w:tc>
          <w:tcPr>
            <w:tcW w:w="2896" w:type="dxa"/>
            <w:vAlign w:val="center"/>
            <w:textDirection w:val="lrTb"/>
            <w:noWrap w:val="false"/>
          </w:tcPr>
          <w:p>
            <w:pPr>
              <w:pStyle w:val="963"/>
              <w:jc w:val="center"/>
              <w:widowControl/>
              <w:rPr>
                <w:sz w:val="24"/>
              </w:rPr>
            </w:pPr>
            <w:r>
              <w:rPr>
                <w:sz w:val="24"/>
              </w:rPr>
              <w:t xml:space="preserve">定制</w:t>
            </w:r>
            <w:r>
              <w:rPr>
                <w:sz w:val="24"/>
              </w:rPr>
            </w:r>
            <w:r/>
          </w:p>
        </w:tc>
        <w:tc>
          <w:tcPr>
            <w:tcW w:w="696" w:type="dxa"/>
            <w:vAlign w:val="center"/>
            <w:textDirection w:val="lrTb"/>
            <w:noWrap w:val="false"/>
          </w:tcPr>
          <w:p>
            <w:pPr>
              <w:pStyle w:val="963"/>
              <w:jc w:val="center"/>
              <w:widowControl/>
              <w:rPr>
                <w:sz w:val="24"/>
              </w:rPr>
            </w:pPr>
            <w:r>
              <w:rPr>
                <w:sz w:val="24"/>
              </w:rPr>
              <w:t xml:space="preserve">2</w:t>
            </w:r>
            <w:r>
              <w:rPr>
                <w:sz w:val="24"/>
              </w:rPr>
            </w:r>
            <w:r/>
          </w:p>
        </w:tc>
      </w:tr>
      <w:tr>
        <w:trPr>
          <w:cantSplit/>
          <w:trHeight w:val="280"/>
        </w:trPr>
        <w:tc>
          <w:tcPr>
            <w:tcW w:w="696" w:type="dxa"/>
            <w:vAlign w:val="center"/>
            <w:textDirection w:val="lrTb"/>
            <w:noWrap/>
          </w:tcPr>
          <w:p>
            <w:pPr>
              <w:pStyle w:val="963"/>
              <w:jc w:val="center"/>
              <w:widowControl/>
              <w:rPr>
                <w:sz w:val="24"/>
              </w:rPr>
            </w:pPr>
            <w:r>
              <w:rPr>
                <w:sz w:val="24"/>
              </w:rPr>
              <w:t xml:space="preserve">33</w:t>
            </w:r>
            <w:r>
              <w:rPr>
                <w:sz w:val="24"/>
              </w:rPr>
            </w:r>
            <w:r/>
          </w:p>
        </w:tc>
        <w:tc>
          <w:tcPr>
            <w:tcW w:w="2038" w:type="dxa"/>
            <w:vAlign w:val="center"/>
            <w:vMerge w:val="continue"/>
            <w:textDirection w:val="lrTb"/>
            <w:noWrap w:val="false"/>
          </w:tcPr>
          <w:p>
            <w:pPr>
              <w:pStyle w:val="963"/>
              <w:jc w:val="center"/>
              <w:widowControl/>
              <w:rPr>
                <w:sz w:val="24"/>
              </w:rPr>
            </w:pPr>
            <w:r>
              <w:rPr>
                <w:sz w:val="24"/>
              </w:rPr>
            </w:r>
            <w:r/>
          </w:p>
        </w:tc>
        <w:tc>
          <w:tcPr>
            <w:tcW w:w="2196" w:type="dxa"/>
            <w:vAlign w:val="center"/>
            <w:textDirection w:val="lrTb"/>
            <w:noWrap w:val="false"/>
          </w:tcPr>
          <w:p>
            <w:pPr>
              <w:pStyle w:val="963"/>
              <w:jc w:val="center"/>
              <w:widowControl/>
              <w:rPr>
                <w:sz w:val="24"/>
              </w:rPr>
            </w:pPr>
            <w:r>
              <w:rPr>
                <w:sz w:val="24"/>
              </w:rPr>
              <w:t xml:space="preserve">辅助单元</w:t>
            </w:r>
            <w:r>
              <w:rPr>
                <w:sz w:val="24"/>
              </w:rPr>
            </w:r>
            <w:r/>
          </w:p>
        </w:tc>
        <w:tc>
          <w:tcPr>
            <w:tcW w:w="2896" w:type="dxa"/>
            <w:vAlign w:val="center"/>
            <w:textDirection w:val="lrTb"/>
            <w:noWrap w:val="false"/>
          </w:tcPr>
          <w:p>
            <w:pPr>
              <w:pStyle w:val="963"/>
              <w:jc w:val="center"/>
              <w:widowControl/>
              <w:rPr>
                <w:sz w:val="24"/>
              </w:rPr>
            </w:pPr>
            <w:r>
              <w:rPr>
                <w:sz w:val="24"/>
              </w:rPr>
              <w:t xml:space="preserve">定制</w:t>
            </w:r>
            <w:r>
              <w:rPr>
                <w:sz w:val="24"/>
              </w:rPr>
            </w:r>
            <w:r/>
          </w:p>
        </w:tc>
        <w:tc>
          <w:tcPr>
            <w:tcW w:w="696" w:type="dxa"/>
            <w:vAlign w:val="center"/>
            <w:textDirection w:val="lrTb"/>
            <w:noWrap w:val="false"/>
          </w:tcPr>
          <w:p>
            <w:pPr>
              <w:pStyle w:val="963"/>
              <w:jc w:val="center"/>
              <w:widowControl/>
              <w:rPr>
                <w:sz w:val="24"/>
              </w:rPr>
            </w:pPr>
            <w:r>
              <w:rPr>
                <w:sz w:val="24"/>
              </w:rPr>
              <w:t xml:space="preserve">2</w:t>
            </w:r>
            <w:r>
              <w:rPr>
                <w:sz w:val="24"/>
              </w:rPr>
            </w:r>
            <w:r/>
          </w:p>
        </w:tc>
      </w:tr>
      <w:tr>
        <w:trPr>
          <w:cantSplit/>
          <w:trHeight w:val="280"/>
        </w:trPr>
        <w:tc>
          <w:tcPr>
            <w:tcW w:w="696" w:type="dxa"/>
            <w:vAlign w:val="center"/>
            <w:textDirection w:val="lrTb"/>
            <w:noWrap/>
          </w:tcPr>
          <w:p>
            <w:pPr>
              <w:pStyle w:val="963"/>
              <w:jc w:val="center"/>
              <w:widowControl/>
              <w:rPr>
                <w:sz w:val="24"/>
              </w:rPr>
            </w:pPr>
            <w:r>
              <w:rPr>
                <w:sz w:val="24"/>
              </w:rPr>
              <w:t xml:space="preserve">34</w:t>
            </w:r>
            <w:r>
              <w:rPr>
                <w:sz w:val="24"/>
              </w:rPr>
            </w:r>
            <w:r/>
          </w:p>
        </w:tc>
        <w:tc>
          <w:tcPr>
            <w:tcW w:w="2038" w:type="dxa"/>
            <w:vAlign w:val="center"/>
            <w:vMerge w:val="continue"/>
            <w:textDirection w:val="lrTb"/>
            <w:noWrap w:val="false"/>
          </w:tcPr>
          <w:p>
            <w:pPr>
              <w:pStyle w:val="963"/>
              <w:jc w:val="center"/>
              <w:widowControl/>
              <w:rPr>
                <w:sz w:val="24"/>
              </w:rPr>
            </w:pPr>
            <w:r>
              <w:rPr>
                <w:sz w:val="24"/>
              </w:rPr>
            </w:r>
            <w:r/>
          </w:p>
        </w:tc>
        <w:tc>
          <w:tcPr>
            <w:tcW w:w="2196" w:type="dxa"/>
            <w:vAlign w:val="center"/>
            <w:textDirection w:val="lrTb"/>
            <w:noWrap w:val="false"/>
          </w:tcPr>
          <w:p>
            <w:pPr>
              <w:pStyle w:val="963"/>
              <w:jc w:val="center"/>
              <w:widowControl/>
              <w:rPr>
                <w:sz w:val="24"/>
              </w:rPr>
            </w:pPr>
            <w:r>
              <w:rPr>
                <w:sz w:val="24"/>
              </w:rPr>
              <w:t xml:space="preserve">视频监控单元</w:t>
            </w:r>
            <w:r>
              <w:rPr>
                <w:sz w:val="24"/>
              </w:rPr>
            </w:r>
            <w:r/>
          </w:p>
        </w:tc>
        <w:tc>
          <w:tcPr>
            <w:tcW w:w="2896" w:type="dxa"/>
            <w:vAlign w:val="center"/>
            <w:textDirection w:val="lrTb"/>
            <w:noWrap w:val="false"/>
          </w:tcPr>
          <w:p>
            <w:pPr>
              <w:pStyle w:val="963"/>
              <w:jc w:val="center"/>
              <w:widowControl/>
              <w:rPr>
                <w:sz w:val="24"/>
              </w:rPr>
            </w:pPr>
            <w:r>
              <w:rPr>
                <w:sz w:val="24"/>
              </w:rPr>
              <w:t xml:space="preserve">定制</w:t>
            </w:r>
            <w:r>
              <w:rPr>
                <w:sz w:val="24"/>
              </w:rPr>
            </w:r>
            <w:r/>
          </w:p>
        </w:tc>
        <w:tc>
          <w:tcPr>
            <w:tcW w:w="696" w:type="dxa"/>
            <w:vAlign w:val="center"/>
            <w:textDirection w:val="lrTb"/>
            <w:noWrap w:val="false"/>
          </w:tcPr>
          <w:p>
            <w:pPr>
              <w:pStyle w:val="963"/>
              <w:jc w:val="center"/>
              <w:widowControl/>
              <w:rPr>
                <w:sz w:val="24"/>
              </w:rPr>
            </w:pPr>
            <w:r>
              <w:rPr>
                <w:sz w:val="24"/>
              </w:rPr>
              <w:t xml:space="preserve">2</w:t>
            </w:r>
            <w:r>
              <w:rPr>
                <w:sz w:val="24"/>
              </w:rPr>
            </w:r>
            <w:r/>
          </w:p>
        </w:tc>
      </w:tr>
      <w:tr>
        <w:trPr>
          <w:cantSplit/>
          <w:trHeight w:val="280"/>
        </w:trPr>
        <w:tc>
          <w:tcPr>
            <w:tcW w:w="696" w:type="dxa"/>
            <w:vAlign w:val="center"/>
            <w:textDirection w:val="lrTb"/>
            <w:noWrap/>
          </w:tcPr>
          <w:p>
            <w:pPr>
              <w:pStyle w:val="963"/>
              <w:jc w:val="center"/>
              <w:widowControl/>
              <w:rPr>
                <w:sz w:val="24"/>
              </w:rPr>
            </w:pPr>
            <w:r>
              <w:rPr>
                <w:sz w:val="24"/>
              </w:rPr>
              <w:t xml:space="preserve">35</w:t>
            </w:r>
            <w:r>
              <w:rPr>
                <w:sz w:val="24"/>
              </w:rPr>
            </w:r>
            <w:r/>
          </w:p>
        </w:tc>
        <w:tc>
          <w:tcPr>
            <w:tcW w:w="2038" w:type="dxa"/>
            <w:vAlign w:val="center"/>
            <w:vMerge w:val="restart"/>
            <w:textDirection w:val="lrTb"/>
            <w:noWrap w:val="false"/>
          </w:tcPr>
          <w:p>
            <w:pPr>
              <w:pStyle w:val="963"/>
              <w:jc w:val="center"/>
              <w:widowControl/>
              <w:rPr>
                <w:sz w:val="24"/>
              </w:rPr>
            </w:pPr>
            <w:r>
              <w:rPr>
                <w:sz w:val="24"/>
              </w:rPr>
              <w:t xml:space="preserve">水污染预警溯源仪</w:t>
            </w:r>
            <w:r>
              <w:rPr>
                <w:sz w:val="24"/>
              </w:rPr>
            </w:r>
            <w:r/>
          </w:p>
        </w:tc>
        <w:tc>
          <w:tcPr>
            <w:tcW w:w="2196" w:type="dxa"/>
            <w:vAlign w:val="center"/>
            <w:textDirection w:val="lrTb"/>
            <w:noWrap w:val="false"/>
          </w:tcPr>
          <w:p>
            <w:pPr>
              <w:pStyle w:val="963"/>
              <w:jc w:val="center"/>
              <w:widowControl/>
              <w:rPr>
                <w:sz w:val="24"/>
              </w:rPr>
            </w:pPr>
            <w:r>
              <w:rPr>
                <w:sz w:val="24"/>
              </w:rPr>
              <w:t xml:space="preserve">在线式水污染溯源仪</w:t>
            </w:r>
            <w:r>
              <w:rPr>
                <w:sz w:val="24"/>
              </w:rPr>
            </w:r>
            <w:r/>
          </w:p>
        </w:tc>
        <w:tc>
          <w:tcPr>
            <w:tcW w:w="2896" w:type="dxa"/>
            <w:vAlign w:val="center"/>
            <w:textDirection w:val="lrTb"/>
            <w:noWrap w:val="false"/>
          </w:tcPr>
          <w:p>
            <w:pPr>
              <w:pStyle w:val="963"/>
              <w:jc w:val="center"/>
              <w:widowControl/>
              <w:rPr>
                <w:sz w:val="24"/>
              </w:rPr>
            </w:pPr>
            <w:r>
              <w:rPr>
                <w:sz w:val="24"/>
              </w:rPr>
              <w:t xml:space="preserve">国溯、G-YSY(Z)-2000</w:t>
            </w:r>
            <w:r>
              <w:rPr>
                <w:sz w:val="24"/>
              </w:rPr>
            </w:r>
            <w:r/>
          </w:p>
        </w:tc>
        <w:tc>
          <w:tcPr>
            <w:tcW w:w="696" w:type="dxa"/>
            <w:vAlign w:val="center"/>
            <w:textDirection w:val="lrTb"/>
            <w:noWrap w:val="false"/>
          </w:tcPr>
          <w:p>
            <w:pPr>
              <w:pStyle w:val="963"/>
              <w:jc w:val="center"/>
              <w:widowControl/>
              <w:rPr>
                <w:sz w:val="24"/>
              </w:rPr>
            </w:pPr>
            <w:r>
              <w:rPr>
                <w:sz w:val="24"/>
              </w:rPr>
              <w:t xml:space="preserve">2</w:t>
            </w:r>
            <w:r>
              <w:rPr>
                <w:sz w:val="24"/>
              </w:rPr>
            </w:r>
            <w:r/>
          </w:p>
        </w:tc>
      </w:tr>
      <w:tr>
        <w:trPr>
          <w:cantSplit/>
          <w:trHeight w:val="560"/>
        </w:trPr>
        <w:tc>
          <w:tcPr>
            <w:tcW w:w="696" w:type="dxa"/>
            <w:vAlign w:val="center"/>
            <w:textDirection w:val="lrTb"/>
            <w:noWrap/>
          </w:tcPr>
          <w:p>
            <w:pPr>
              <w:pStyle w:val="963"/>
              <w:jc w:val="center"/>
              <w:widowControl/>
              <w:rPr>
                <w:sz w:val="24"/>
              </w:rPr>
            </w:pPr>
            <w:r>
              <w:rPr>
                <w:sz w:val="24"/>
              </w:rPr>
              <w:t xml:space="preserve">36</w:t>
            </w:r>
            <w:r>
              <w:rPr>
                <w:sz w:val="24"/>
              </w:rPr>
            </w:r>
            <w:r/>
          </w:p>
        </w:tc>
        <w:tc>
          <w:tcPr>
            <w:tcW w:w="2038" w:type="dxa"/>
            <w:vAlign w:val="center"/>
            <w:vMerge w:val="continue"/>
            <w:textDirection w:val="lrTb"/>
            <w:noWrap w:val="false"/>
          </w:tcPr>
          <w:p>
            <w:pPr>
              <w:pStyle w:val="963"/>
              <w:jc w:val="center"/>
              <w:widowControl/>
              <w:rPr>
                <w:sz w:val="24"/>
              </w:rPr>
            </w:pPr>
            <w:r>
              <w:rPr>
                <w:sz w:val="24"/>
              </w:rPr>
            </w:r>
            <w:r/>
          </w:p>
        </w:tc>
        <w:tc>
          <w:tcPr>
            <w:tcW w:w="2196" w:type="dxa"/>
            <w:vAlign w:val="center"/>
            <w:textDirection w:val="lrTb"/>
            <w:noWrap w:val="false"/>
          </w:tcPr>
          <w:p>
            <w:pPr>
              <w:pStyle w:val="963"/>
              <w:jc w:val="center"/>
              <w:widowControl/>
              <w:rPr>
                <w:sz w:val="24"/>
              </w:rPr>
            </w:pPr>
            <w:r>
              <w:rPr>
                <w:sz w:val="24"/>
              </w:rPr>
              <w:t xml:space="preserve">水质指纹库</w:t>
            </w:r>
            <w:r>
              <w:rPr>
                <w:sz w:val="24"/>
              </w:rPr>
            </w:r>
            <w:r/>
          </w:p>
        </w:tc>
        <w:tc>
          <w:tcPr>
            <w:tcW w:w="2896" w:type="dxa"/>
            <w:vAlign w:val="center"/>
            <w:textDirection w:val="lrTb"/>
            <w:noWrap w:val="false"/>
          </w:tcPr>
          <w:p>
            <w:pPr>
              <w:pStyle w:val="963"/>
              <w:jc w:val="center"/>
              <w:widowControl/>
              <w:rPr>
                <w:sz w:val="24"/>
              </w:rPr>
            </w:pPr>
            <w:r>
              <w:rPr>
                <w:sz w:val="24"/>
              </w:rPr>
              <w:t xml:space="preserve">国溯、水质指纹数据库软件V1.0</w:t>
            </w:r>
            <w:r>
              <w:rPr>
                <w:sz w:val="24"/>
              </w:rPr>
            </w:r>
            <w:r/>
          </w:p>
        </w:tc>
        <w:tc>
          <w:tcPr>
            <w:tcW w:w="696" w:type="dxa"/>
            <w:vAlign w:val="center"/>
            <w:textDirection w:val="lrTb"/>
            <w:noWrap w:val="false"/>
          </w:tcPr>
          <w:p>
            <w:pPr>
              <w:pStyle w:val="963"/>
              <w:jc w:val="center"/>
              <w:widowControl/>
              <w:rPr>
                <w:sz w:val="24"/>
              </w:rPr>
            </w:pPr>
            <w:r>
              <w:rPr>
                <w:sz w:val="24"/>
              </w:rPr>
              <w:t xml:space="preserve">2</w:t>
            </w:r>
            <w:r>
              <w:rPr>
                <w:sz w:val="24"/>
              </w:rPr>
            </w:r>
            <w:r/>
          </w:p>
        </w:tc>
      </w:tr>
      <w:tr>
        <w:trPr>
          <w:cantSplit/>
          <w:trHeight w:val="280"/>
        </w:trPr>
        <w:tc>
          <w:tcPr>
            <w:tcW w:w="696" w:type="dxa"/>
            <w:vAlign w:val="center"/>
            <w:textDirection w:val="lrTb"/>
            <w:noWrap/>
          </w:tcPr>
          <w:p>
            <w:pPr>
              <w:pStyle w:val="963"/>
              <w:jc w:val="center"/>
              <w:widowControl/>
              <w:rPr>
                <w:sz w:val="24"/>
              </w:rPr>
            </w:pPr>
            <w:r>
              <w:rPr>
                <w:sz w:val="24"/>
              </w:rPr>
              <w:t xml:space="preserve">37</w:t>
            </w:r>
            <w:r>
              <w:rPr>
                <w:sz w:val="24"/>
              </w:rPr>
            </w:r>
            <w:r/>
          </w:p>
        </w:tc>
        <w:tc>
          <w:tcPr>
            <w:tcW w:w="2038" w:type="dxa"/>
            <w:vAlign w:val="center"/>
            <w:vMerge w:val="continue"/>
            <w:textDirection w:val="lrTb"/>
            <w:noWrap w:val="false"/>
          </w:tcPr>
          <w:p>
            <w:pPr>
              <w:pStyle w:val="963"/>
              <w:jc w:val="center"/>
              <w:widowControl/>
              <w:rPr>
                <w:sz w:val="24"/>
              </w:rPr>
            </w:pPr>
            <w:r>
              <w:rPr>
                <w:sz w:val="24"/>
              </w:rPr>
            </w:r>
            <w:r/>
          </w:p>
        </w:tc>
        <w:tc>
          <w:tcPr>
            <w:tcW w:w="2196" w:type="dxa"/>
            <w:vAlign w:val="center"/>
            <w:textDirection w:val="lrTb"/>
            <w:noWrap w:val="false"/>
          </w:tcPr>
          <w:p>
            <w:pPr>
              <w:pStyle w:val="963"/>
              <w:jc w:val="center"/>
              <w:widowControl/>
              <w:rPr>
                <w:sz w:val="24"/>
              </w:rPr>
            </w:pPr>
            <w:r>
              <w:rPr>
                <w:sz w:val="24"/>
              </w:rPr>
              <w:t xml:space="preserve">备品备件</w:t>
            </w:r>
            <w:r>
              <w:rPr>
                <w:sz w:val="24"/>
              </w:rPr>
            </w:r>
            <w:r/>
          </w:p>
        </w:tc>
        <w:tc>
          <w:tcPr>
            <w:tcW w:w="2896" w:type="dxa"/>
            <w:vAlign w:val="center"/>
            <w:textDirection w:val="lrTb"/>
            <w:noWrap w:val="false"/>
          </w:tcPr>
          <w:p>
            <w:pPr>
              <w:pStyle w:val="963"/>
              <w:jc w:val="center"/>
              <w:widowControl/>
              <w:rPr>
                <w:sz w:val="24"/>
              </w:rPr>
            </w:pPr>
            <w:r>
              <w:rPr>
                <w:sz w:val="24"/>
              </w:rPr>
              <w:t xml:space="preserve">定制</w:t>
            </w:r>
            <w:r>
              <w:rPr>
                <w:sz w:val="24"/>
              </w:rPr>
            </w:r>
            <w:r/>
          </w:p>
        </w:tc>
        <w:tc>
          <w:tcPr>
            <w:tcW w:w="696" w:type="dxa"/>
            <w:vAlign w:val="center"/>
            <w:textDirection w:val="lrTb"/>
            <w:noWrap w:val="false"/>
          </w:tcPr>
          <w:p>
            <w:pPr>
              <w:pStyle w:val="963"/>
              <w:jc w:val="center"/>
              <w:widowControl/>
              <w:rPr>
                <w:sz w:val="24"/>
              </w:rPr>
            </w:pPr>
            <w:r>
              <w:rPr>
                <w:sz w:val="24"/>
              </w:rPr>
              <w:t xml:space="preserve">2</w:t>
            </w:r>
            <w:r>
              <w:rPr>
                <w:sz w:val="24"/>
              </w:rPr>
            </w:r>
            <w:r/>
          </w:p>
        </w:tc>
      </w:tr>
      <w:tr>
        <w:trPr>
          <w:cantSplit/>
          <w:trHeight w:val="280"/>
        </w:trPr>
        <w:tc>
          <w:tcPr>
            <w:tcW w:w="696" w:type="dxa"/>
            <w:vAlign w:val="center"/>
            <w:textDirection w:val="lrTb"/>
            <w:noWrap/>
          </w:tcPr>
          <w:p>
            <w:pPr>
              <w:pStyle w:val="963"/>
              <w:jc w:val="center"/>
              <w:widowControl/>
              <w:rPr>
                <w:sz w:val="24"/>
              </w:rPr>
            </w:pPr>
            <w:r>
              <w:rPr>
                <w:sz w:val="24"/>
              </w:rPr>
              <w:t xml:space="preserve">38</w:t>
            </w:r>
            <w:r>
              <w:rPr>
                <w:sz w:val="24"/>
              </w:rPr>
            </w:r>
            <w:r/>
          </w:p>
        </w:tc>
        <w:tc>
          <w:tcPr>
            <w:tcW w:w="2038" w:type="dxa"/>
            <w:vAlign w:val="center"/>
            <w:vMerge w:val="restart"/>
            <w:textDirection w:val="lrTb"/>
            <w:noWrap w:val="false"/>
          </w:tcPr>
          <w:p>
            <w:pPr>
              <w:pStyle w:val="963"/>
              <w:jc w:val="center"/>
              <w:widowControl/>
              <w:rPr>
                <w:sz w:val="24"/>
              </w:rPr>
            </w:pPr>
            <w:r>
              <w:rPr>
                <w:sz w:val="24"/>
              </w:rPr>
              <w:t xml:space="preserve">水质浮标在线监测系统</w:t>
            </w:r>
            <w:r>
              <w:rPr>
                <w:sz w:val="24"/>
              </w:rPr>
            </w:r>
            <w:r/>
          </w:p>
        </w:tc>
        <w:tc>
          <w:tcPr>
            <w:tcW w:w="2196" w:type="dxa"/>
            <w:vAlign w:val="center"/>
            <w:textDirection w:val="lrTb"/>
            <w:noWrap w:val="false"/>
          </w:tcPr>
          <w:p>
            <w:pPr>
              <w:pStyle w:val="963"/>
              <w:jc w:val="center"/>
              <w:widowControl/>
              <w:rPr>
                <w:sz w:val="24"/>
              </w:rPr>
            </w:pPr>
            <w:r>
              <w:rPr>
                <w:sz w:val="24"/>
              </w:rPr>
              <w:t xml:space="preserve">浮标标体</w:t>
            </w:r>
            <w:r>
              <w:rPr>
                <w:sz w:val="24"/>
              </w:rPr>
            </w:r>
            <w:r/>
          </w:p>
        </w:tc>
        <w:tc>
          <w:tcPr>
            <w:tcW w:w="2896" w:type="dxa"/>
            <w:vAlign w:val="center"/>
            <w:textDirection w:val="lrTb"/>
            <w:noWrap w:val="false"/>
          </w:tcPr>
          <w:p>
            <w:pPr>
              <w:pStyle w:val="963"/>
              <w:jc w:val="center"/>
              <w:widowControl/>
              <w:rPr>
                <w:sz w:val="24"/>
              </w:rPr>
            </w:pPr>
            <w:r>
              <w:rPr>
                <w:sz w:val="24"/>
              </w:rPr>
              <w:t xml:space="preserve">上海摩威、MB3A-B8W11N</w:t>
            </w:r>
            <w:r>
              <w:rPr>
                <w:sz w:val="24"/>
              </w:rPr>
            </w:r>
            <w:r/>
          </w:p>
        </w:tc>
        <w:tc>
          <w:tcPr>
            <w:tcW w:w="696" w:type="dxa"/>
            <w:vAlign w:val="center"/>
            <w:textDirection w:val="lrTb"/>
            <w:noWrap w:val="false"/>
          </w:tcPr>
          <w:p>
            <w:pPr>
              <w:pStyle w:val="963"/>
              <w:jc w:val="center"/>
              <w:widowControl/>
              <w:rPr>
                <w:sz w:val="24"/>
              </w:rPr>
            </w:pPr>
            <w:r>
              <w:rPr>
                <w:sz w:val="24"/>
              </w:rPr>
              <w:t xml:space="preserve">1</w:t>
            </w:r>
            <w:r>
              <w:rPr>
                <w:sz w:val="24"/>
              </w:rPr>
            </w:r>
            <w:r/>
          </w:p>
        </w:tc>
      </w:tr>
      <w:tr>
        <w:trPr>
          <w:cantSplit/>
          <w:trHeight w:val="280"/>
        </w:trPr>
        <w:tc>
          <w:tcPr>
            <w:tcW w:w="696" w:type="dxa"/>
            <w:vAlign w:val="center"/>
            <w:textDirection w:val="lrTb"/>
            <w:noWrap/>
          </w:tcPr>
          <w:p>
            <w:pPr>
              <w:pStyle w:val="963"/>
              <w:jc w:val="center"/>
              <w:widowControl/>
              <w:rPr>
                <w:sz w:val="24"/>
              </w:rPr>
            </w:pPr>
            <w:r>
              <w:rPr>
                <w:sz w:val="24"/>
              </w:rPr>
              <w:t xml:space="preserve">39</w:t>
            </w:r>
            <w:r>
              <w:rPr>
                <w:sz w:val="24"/>
              </w:rPr>
            </w:r>
            <w:r/>
          </w:p>
        </w:tc>
        <w:tc>
          <w:tcPr>
            <w:tcW w:w="2038" w:type="dxa"/>
            <w:vAlign w:val="center"/>
            <w:vMerge w:val="continue"/>
            <w:textDirection w:val="lrTb"/>
            <w:noWrap w:val="false"/>
          </w:tcPr>
          <w:p>
            <w:pPr>
              <w:pStyle w:val="963"/>
              <w:jc w:val="center"/>
              <w:widowControl/>
              <w:rPr>
                <w:sz w:val="24"/>
              </w:rPr>
            </w:pPr>
            <w:r>
              <w:rPr>
                <w:sz w:val="24"/>
              </w:rPr>
            </w:r>
            <w:r/>
          </w:p>
        </w:tc>
        <w:tc>
          <w:tcPr>
            <w:tcW w:w="2196" w:type="dxa"/>
            <w:vAlign w:val="center"/>
            <w:textDirection w:val="lrTb"/>
            <w:noWrap w:val="false"/>
          </w:tcPr>
          <w:p>
            <w:pPr>
              <w:pStyle w:val="963"/>
              <w:jc w:val="center"/>
              <w:widowControl/>
              <w:rPr>
                <w:sz w:val="24"/>
              </w:rPr>
            </w:pPr>
            <w:r>
              <w:rPr>
                <w:sz w:val="24"/>
              </w:rPr>
              <w:t xml:space="preserve">浮标锚系</w:t>
            </w:r>
            <w:r>
              <w:rPr>
                <w:sz w:val="24"/>
              </w:rPr>
            </w:r>
            <w:r/>
          </w:p>
        </w:tc>
        <w:tc>
          <w:tcPr>
            <w:tcW w:w="2896" w:type="dxa"/>
            <w:vAlign w:val="center"/>
            <w:textDirection w:val="lrTb"/>
            <w:noWrap w:val="false"/>
          </w:tcPr>
          <w:p>
            <w:pPr>
              <w:pStyle w:val="963"/>
              <w:jc w:val="center"/>
              <w:widowControl/>
              <w:rPr>
                <w:sz w:val="24"/>
              </w:rPr>
            </w:pPr>
            <w:r>
              <w:rPr>
                <w:sz w:val="24"/>
              </w:rPr>
              <w:t xml:space="preserve">上海摩威、MW-MX</w:t>
            </w:r>
            <w:r>
              <w:rPr>
                <w:sz w:val="24"/>
              </w:rPr>
            </w:r>
            <w:r/>
          </w:p>
        </w:tc>
        <w:tc>
          <w:tcPr>
            <w:tcW w:w="696" w:type="dxa"/>
            <w:vAlign w:val="center"/>
            <w:textDirection w:val="lrTb"/>
            <w:noWrap w:val="false"/>
          </w:tcPr>
          <w:p>
            <w:pPr>
              <w:pStyle w:val="963"/>
              <w:jc w:val="center"/>
              <w:widowControl/>
              <w:rPr>
                <w:sz w:val="24"/>
              </w:rPr>
            </w:pPr>
            <w:r>
              <w:rPr>
                <w:sz w:val="24"/>
              </w:rPr>
              <w:t xml:space="preserve">1</w:t>
            </w:r>
            <w:r>
              <w:rPr>
                <w:sz w:val="24"/>
              </w:rPr>
            </w:r>
            <w:r/>
          </w:p>
        </w:tc>
      </w:tr>
      <w:tr>
        <w:trPr>
          <w:cantSplit/>
          <w:trHeight w:val="560"/>
        </w:trPr>
        <w:tc>
          <w:tcPr>
            <w:tcW w:w="696" w:type="dxa"/>
            <w:vAlign w:val="center"/>
            <w:textDirection w:val="lrTb"/>
            <w:noWrap/>
          </w:tcPr>
          <w:p>
            <w:pPr>
              <w:pStyle w:val="963"/>
              <w:jc w:val="center"/>
              <w:widowControl/>
              <w:rPr>
                <w:sz w:val="24"/>
              </w:rPr>
            </w:pPr>
            <w:r>
              <w:rPr>
                <w:sz w:val="24"/>
              </w:rPr>
              <w:t xml:space="preserve">40</w:t>
            </w:r>
            <w:r>
              <w:rPr>
                <w:sz w:val="24"/>
              </w:rPr>
            </w:r>
            <w:r/>
          </w:p>
        </w:tc>
        <w:tc>
          <w:tcPr>
            <w:tcW w:w="2038" w:type="dxa"/>
            <w:vAlign w:val="center"/>
            <w:vMerge w:val="continue"/>
            <w:textDirection w:val="lrTb"/>
            <w:noWrap w:val="false"/>
          </w:tcPr>
          <w:p>
            <w:pPr>
              <w:pStyle w:val="963"/>
              <w:jc w:val="center"/>
              <w:widowControl/>
              <w:rPr>
                <w:sz w:val="24"/>
              </w:rPr>
            </w:pPr>
            <w:r>
              <w:rPr>
                <w:sz w:val="24"/>
              </w:rPr>
            </w:r>
            <w:r/>
          </w:p>
        </w:tc>
        <w:tc>
          <w:tcPr>
            <w:tcW w:w="2196" w:type="dxa"/>
            <w:vAlign w:val="center"/>
            <w:textDirection w:val="lrTb"/>
            <w:noWrap w:val="false"/>
          </w:tcPr>
          <w:p>
            <w:pPr>
              <w:pStyle w:val="963"/>
              <w:jc w:val="center"/>
              <w:widowControl/>
              <w:rPr>
                <w:sz w:val="24"/>
              </w:rPr>
            </w:pPr>
            <w:r>
              <w:rPr>
                <w:sz w:val="24"/>
              </w:rPr>
              <w:t xml:space="preserve">多普勒流速流向剖面仪</w:t>
            </w:r>
            <w:r>
              <w:rPr>
                <w:sz w:val="24"/>
              </w:rPr>
            </w:r>
            <w:r/>
          </w:p>
        </w:tc>
        <w:tc>
          <w:tcPr>
            <w:tcW w:w="2896" w:type="dxa"/>
            <w:vAlign w:val="center"/>
            <w:textDirection w:val="lrTb"/>
            <w:noWrap w:val="false"/>
          </w:tcPr>
          <w:p>
            <w:pPr>
              <w:pStyle w:val="963"/>
              <w:jc w:val="center"/>
              <w:widowControl/>
              <w:rPr>
                <w:sz w:val="24"/>
              </w:rPr>
            </w:pPr>
            <w:r>
              <w:rPr>
                <w:sz w:val="24"/>
              </w:rPr>
              <w:t xml:space="preserve">美国AANDERAA、SEAGUARD II型</w:t>
            </w:r>
            <w:r>
              <w:rPr>
                <w:sz w:val="24"/>
              </w:rPr>
            </w:r>
            <w:r/>
          </w:p>
        </w:tc>
        <w:tc>
          <w:tcPr>
            <w:tcW w:w="696" w:type="dxa"/>
            <w:vAlign w:val="center"/>
            <w:textDirection w:val="lrTb"/>
            <w:noWrap w:val="false"/>
          </w:tcPr>
          <w:p>
            <w:pPr>
              <w:pStyle w:val="963"/>
              <w:jc w:val="center"/>
              <w:widowControl/>
              <w:rPr>
                <w:sz w:val="24"/>
              </w:rPr>
            </w:pPr>
            <w:r>
              <w:rPr>
                <w:sz w:val="24"/>
              </w:rPr>
              <w:t xml:space="preserve">1</w:t>
            </w:r>
            <w:r>
              <w:rPr>
                <w:sz w:val="24"/>
              </w:rPr>
            </w:r>
            <w:r/>
          </w:p>
        </w:tc>
      </w:tr>
      <w:tr>
        <w:trPr>
          <w:cantSplit/>
          <w:trHeight w:val="280"/>
        </w:trPr>
        <w:tc>
          <w:tcPr>
            <w:tcW w:w="696" w:type="dxa"/>
            <w:vAlign w:val="center"/>
            <w:textDirection w:val="lrTb"/>
            <w:noWrap/>
          </w:tcPr>
          <w:p>
            <w:pPr>
              <w:pStyle w:val="963"/>
              <w:jc w:val="center"/>
              <w:widowControl/>
              <w:rPr>
                <w:sz w:val="24"/>
              </w:rPr>
            </w:pPr>
            <w:r>
              <w:rPr>
                <w:sz w:val="24"/>
              </w:rPr>
              <w:t xml:space="preserve">41</w:t>
            </w:r>
            <w:r>
              <w:rPr>
                <w:sz w:val="24"/>
              </w:rPr>
            </w:r>
            <w:r/>
          </w:p>
        </w:tc>
        <w:tc>
          <w:tcPr>
            <w:tcW w:w="2038" w:type="dxa"/>
            <w:vAlign w:val="center"/>
            <w:vMerge w:val="continue"/>
            <w:textDirection w:val="lrTb"/>
            <w:noWrap w:val="false"/>
          </w:tcPr>
          <w:p>
            <w:pPr>
              <w:pStyle w:val="963"/>
              <w:jc w:val="center"/>
              <w:widowControl/>
              <w:rPr>
                <w:sz w:val="24"/>
              </w:rPr>
            </w:pPr>
            <w:r>
              <w:rPr>
                <w:sz w:val="24"/>
              </w:rPr>
            </w:r>
            <w:r/>
          </w:p>
        </w:tc>
        <w:tc>
          <w:tcPr>
            <w:tcW w:w="2196" w:type="dxa"/>
            <w:vAlign w:val="center"/>
            <w:textDirection w:val="lrTb"/>
            <w:noWrap w:val="false"/>
          </w:tcPr>
          <w:p>
            <w:pPr>
              <w:pStyle w:val="963"/>
              <w:jc w:val="center"/>
              <w:widowControl/>
              <w:rPr>
                <w:sz w:val="24"/>
              </w:rPr>
            </w:pPr>
            <w:r>
              <w:rPr>
                <w:sz w:val="24"/>
              </w:rPr>
              <w:t xml:space="preserve">气象传感器</w:t>
            </w:r>
            <w:r>
              <w:rPr>
                <w:sz w:val="24"/>
              </w:rPr>
            </w:r>
            <w:r/>
          </w:p>
        </w:tc>
        <w:tc>
          <w:tcPr>
            <w:tcW w:w="2896" w:type="dxa"/>
            <w:vAlign w:val="center"/>
            <w:textDirection w:val="lrTb"/>
            <w:noWrap w:val="false"/>
          </w:tcPr>
          <w:p>
            <w:pPr>
              <w:pStyle w:val="963"/>
              <w:jc w:val="center"/>
              <w:widowControl/>
              <w:rPr>
                <w:sz w:val="24"/>
              </w:rPr>
            </w:pPr>
            <w:r>
              <w:rPr>
                <w:sz w:val="24"/>
              </w:rPr>
              <w:t xml:space="preserve">德国LUFFT、WS600</w:t>
            </w:r>
            <w:r>
              <w:rPr>
                <w:sz w:val="24"/>
              </w:rPr>
            </w:r>
            <w:r/>
          </w:p>
        </w:tc>
        <w:tc>
          <w:tcPr>
            <w:tcW w:w="696" w:type="dxa"/>
            <w:vAlign w:val="center"/>
            <w:textDirection w:val="lrTb"/>
            <w:noWrap w:val="false"/>
          </w:tcPr>
          <w:p>
            <w:pPr>
              <w:pStyle w:val="963"/>
              <w:jc w:val="center"/>
              <w:widowControl/>
              <w:rPr>
                <w:sz w:val="24"/>
              </w:rPr>
            </w:pPr>
            <w:r>
              <w:rPr>
                <w:sz w:val="24"/>
              </w:rPr>
              <w:t xml:space="preserve">1</w:t>
            </w:r>
            <w:r>
              <w:rPr>
                <w:sz w:val="24"/>
              </w:rPr>
            </w:r>
            <w:r/>
          </w:p>
        </w:tc>
      </w:tr>
      <w:tr>
        <w:trPr>
          <w:cantSplit/>
          <w:trHeight w:val="280"/>
        </w:trPr>
        <w:tc>
          <w:tcPr>
            <w:tcW w:w="696" w:type="dxa"/>
            <w:vAlign w:val="center"/>
            <w:textDirection w:val="lrTb"/>
            <w:noWrap/>
          </w:tcPr>
          <w:p>
            <w:pPr>
              <w:pStyle w:val="963"/>
              <w:jc w:val="center"/>
              <w:widowControl/>
              <w:rPr>
                <w:sz w:val="24"/>
              </w:rPr>
            </w:pPr>
            <w:r>
              <w:rPr>
                <w:sz w:val="24"/>
              </w:rPr>
              <w:t xml:space="preserve">42</w:t>
            </w:r>
            <w:r>
              <w:rPr>
                <w:sz w:val="24"/>
              </w:rPr>
            </w:r>
            <w:r/>
          </w:p>
        </w:tc>
        <w:tc>
          <w:tcPr>
            <w:tcW w:w="2038" w:type="dxa"/>
            <w:vAlign w:val="center"/>
            <w:vMerge w:val="continue"/>
            <w:textDirection w:val="lrTb"/>
            <w:noWrap w:val="false"/>
          </w:tcPr>
          <w:p>
            <w:pPr>
              <w:pStyle w:val="963"/>
              <w:jc w:val="center"/>
              <w:widowControl/>
              <w:rPr>
                <w:sz w:val="24"/>
              </w:rPr>
            </w:pPr>
            <w:r>
              <w:rPr>
                <w:sz w:val="24"/>
              </w:rPr>
            </w:r>
            <w:r/>
          </w:p>
        </w:tc>
        <w:tc>
          <w:tcPr>
            <w:tcW w:w="2196" w:type="dxa"/>
            <w:vAlign w:val="center"/>
            <w:textDirection w:val="lrTb"/>
            <w:noWrap w:val="false"/>
          </w:tcPr>
          <w:p>
            <w:pPr>
              <w:pStyle w:val="963"/>
              <w:jc w:val="center"/>
              <w:widowControl/>
              <w:rPr>
                <w:sz w:val="24"/>
              </w:rPr>
            </w:pPr>
            <w:r>
              <w:rPr>
                <w:sz w:val="24"/>
              </w:rPr>
              <w:t xml:space="preserve">水质多参数传感器</w:t>
            </w:r>
            <w:r>
              <w:rPr>
                <w:sz w:val="24"/>
              </w:rPr>
            </w:r>
            <w:r/>
          </w:p>
        </w:tc>
        <w:tc>
          <w:tcPr>
            <w:tcW w:w="2896" w:type="dxa"/>
            <w:vAlign w:val="center"/>
            <w:textDirection w:val="lrTb"/>
            <w:noWrap w:val="false"/>
          </w:tcPr>
          <w:p>
            <w:pPr>
              <w:pStyle w:val="963"/>
              <w:jc w:val="center"/>
              <w:widowControl/>
              <w:rPr>
                <w:sz w:val="24"/>
              </w:rPr>
            </w:pPr>
            <w:r>
              <w:rPr>
                <w:sz w:val="24"/>
              </w:rPr>
              <w:t xml:space="preserve">美国YSI、EX02</w:t>
            </w:r>
            <w:r>
              <w:rPr>
                <w:sz w:val="24"/>
              </w:rPr>
            </w:r>
            <w:r/>
          </w:p>
        </w:tc>
        <w:tc>
          <w:tcPr>
            <w:tcW w:w="696" w:type="dxa"/>
            <w:vAlign w:val="center"/>
            <w:textDirection w:val="lrTb"/>
            <w:noWrap w:val="false"/>
          </w:tcPr>
          <w:p>
            <w:pPr>
              <w:pStyle w:val="963"/>
              <w:jc w:val="center"/>
              <w:widowControl/>
              <w:rPr>
                <w:sz w:val="24"/>
              </w:rPr>
            </w:pPr>
            <w:r>
              <w:rPr>
                <w:sz w:val="24"/>
              </w:rPr>
              <w:t xml:space="preserve">1</w:t>
            </w:r>
            <w:r>
              <w:rPr>
                <w:sz w:val="24"/>
              </w:rPr>
            </w:r>
            <w:r/>
          </w:p>
        </w:tc>
      </w:tr>
      <w:tr>
        <w:trPr>
          <w:cantSplit/>
          <w:trHeight w:val="280"/>
        </w:trPr>
        <w:tc>
          <w:tcPr>
            <w:tcW w:w="696" w:type="dxa"/>
            <w:vAlign w:val="center"/>
            <w:textDirection w:val="lrTb"/>
            <w:noWrap/>
          </w:tcPr>
          <w:p>
            <w:pPr>
              <w:pStyle w:val="963"/>
              <w:jc w:val="center"/>
              <w:widowControl/>
              <w:rPr>
                <w:sz w:val="24"/>
              </w:rPr>
            </w:pPr>
            <w:r>
              <w:rPr>
                <w:sz w:val="24"/>
              </w:rPr>
              <w:t xml:space="preserve">43</w:t>
            </w:r>
            <w:r>
              <w:rPr>
                <w:sz w:val="24"/>
              </w:rPr>
            </w:r>
            <w:r/>
          </w:p>
        </w:tc>
        <w:tc>
          <w:tcPr>
            <w:tcW w:w="2038" w:type="dxa"/>
            <w:vAlign w:val="center"/>
            <w:vMerge w:val="continue"/>
            <w:textDirection w:val="lrTb"/>
            <w:noWrap w:val="false"/>
          </w:tcPr>
          <w:p>
            <w:pPr>
              <w:pStyle w:val="963"/>
              <w:jc w:val="center"/>
              <w:widowControl/>
              <w:rPr>
                <w:sz w:val="24"/>
              </w:rPr>
            </w:pPr>
            <w:r>
              <w:rPr>
                <w:sz w:val="24"/>
              </w:rPr>
            </w:r>
            <w:r/>
          </w:p>
        </w:tc>
        <w:tc>
          <w:tcPr>
            <w:tcW w:w="2196" w:type="dxa"/>
            <w:vAlign w:val="center"/>
            <w:textDirection w:val="lrTb"/>
            <w:noWrap w:val="false"/>
          </w:tcPr>
          <w:p>
            <w:pPr>
              <w:pStyle w:val="963"/>
              <w:jc w:val="center"/>
              <w:widowControl/>
              <w:rPr>
                <w:sz w:val="24"/>
              </w:rPr>
            </w:pPr>
            <w:r>
              <w:rPr>
                <w:sz w:val="24"/>
              </w:rPr>
              <w:t xml:space="preserve">水质营养盐传感器</w:t>
            </w:r>
            <w:r>
              <w:rPr>
                <w:sz w:val="24"/>
              </w:rPr>
            </w:r>
            <w:r/>
          </w:p>
        </w:tc>
        <w:tc>
          <w:tcPr>
            <w:tcW w:w="2896" w:type="dxa"/>
            <w:vAlign w:val="center"/>
            <w:textDirection w:val="lrTb"/>
            <w:noWrap w:val="false"/>
          </w:tcPr>
          <w:p>
            <w:pPr>
              <w:pStyle w:val="963"/>
              <w:jc w:val="center"/>
              <w:widowControl/>
              <w:rPr>
                <w:sz w:val="24"/>
              </w:rPr>
            </w:pPr>
            <w:r>
              <w:rPr>
                <w:sz w:val="24"/>
              </w:rPr>
              <w:t xml:space="preserve">厦门斯坦道、OSTD-NutriS</w:t>
            </w:r>
            <w:r>
              <w:rPr>
                <w:sz w:val="24"/>
              </w:rPr>
            </w:r>
            <w:r/>
          </w:p>
        </w:tc>
        <w:tc>
          <w:tcPr>
            <w:tcW w:w="696" w:type="dxa"/>
            <w:vAlign w:val="center"/>
            <w:textDirection w:val="lrTb"/>
            <w:noWrap w:val="false"/>
          </w:tcPr>
          <w:p>
            <w:pPr>
              <w:pStyle w:val="963"/>
              <w:jc w:val="center"/>
              <w:widowControl/>
              <w:rPr>
                <w:sz w:val="24"/>
              </w:rPr>
            </w:pPr>
            <w:r>
              <w:rPr>
                <w:sz w:val="24"/>
              </w:rPr>
              <w:t xml:space="preserve">1</w:t>
            </w:r>
            <w:r>
              <w:rPr>
                <w:sz w:val="24"/>
              </w:rPr>
            </w:r>
            <w:r/>
          </w:p>
        </w:tc>
      </w:tr>
      <w:tr>
        <w:trPr>
          <w:cantSplit/>
          <w:trHeight w:val="280"/>
        </w:trPr>
        <w:tc>
          <w:tcPr>
            <w:tcW w:w="696" w:type="dxa"/>
            <w:vAlign w:val="center"/>
            <w:textDirection w:val="lrTb"/>
            <w:noWrap/>
          </w:tcPr>
          <w:p>
            <w:pPr>
              <w:pStyle w:val="963"/>
              <w:jc w:val="center"/>
              <w:widowControl/>
              <w:rPr>
                <w:sz w:val="24"/>
              </w:rPr>
            </w:pPr>
            <w:r>
              <w:rPr>
                <w:sz w:val="24"/>
              </w:rPr>
              <w:t xml:space="preserve">44</w:t>
            </w:r>
            <w:r>
              <w:rPr>
                <w:sz w:val="24"/>
              </w:rPr>
            </w:r>
            <w:r/>
          </w:p>
        </w:tc>
        <w:tc>
          <w:tcPr>
            <w:tcW w:w="2038" w:type="dxa"/>
            <w:vAlign w:val="center"/>
            <w:vMerge w:val="continue"/>
            <w:textDirection w:val="lrTb"/>
            <w:noWrap w:val="false"/>
          </w:tcPr>
          <w:p>
            <w:pPr>
              <w:pStyle w:val="963"/>
              <w:jc w:val="center"/>
              <w:widowControl/>
              <w:rPr>
                <w:sz w:val="24"/>
              </w:rPr>
            </w:pPr>
            <w:r>
              <w:rPr>
                <w:sz w:val="24"/>
              </w:rPr>
            </w:r>
            <w:r/>
          </w:p>
        </w:tc>
        <w:tc>
          <w:tcPr>
            <w:tcW w:w="2196" w:type="dxa"/>
            <w:vAlign w:val="center"/>
            <w:textDirection w:val="lrTb"/>
            <w:noWrap w:val="false"/>
          </w:tcPr>
          <w:p>
            <w:pPr>
              <w:pStyle w:val="963"/>
              <w:jc w:val="center"/>
              <w:widowControl/>
              <w:rPr>
                <w:sz w:val="24"/>
              </w:rPr>
            </w:pPr>
            <w:r>
              <w:rPr>
                <w:sz w:val="24"/>
              </w:rPr>
              <w:t xml:space="preserve">COD传感器</w:t>
            </w:r>
            <w:r>
              <w:rPr>
                <w:sz w:val="24"/>
              </w:rPr>
            </w:r>
            <w:r/>
          </w:p>
        </w:tc>
        <w:tc>
          <w:tcPr>
            <w:tcW w:w="2896" w:type="dxa"/>
            <w:vAlign w:val="center"/>
            <w:textDirection w:val="lrTb"/>
            <w:noWrap w:val="false"/>
          </w:tcPr>
          <w:p>
            <w:pPr>
              <w:pStyle w:val="963"/>
              <w:jc w:val="center"/>
              <w:widowControl/>
              <w:rPr>
                <w:sz w:val="24"/>
              </w:rPr>
            </w:pPr>
            <w:r>
              <w:rPr>
                <w:sz w:val="24"/>
              </w:rPr>
              <w:t xml:space="preserve">美国Pyxis、HM-610</w:t>
            </w:r>
            <w:r>
              <w:rPr>
                <w:sz w:val="24"/>
              </w:rPr>
            </w:r>
            <w:r/>
          </w:p>
        </w:tc>
        <w:tc>
          <w:tcPr>
            <w:tcW w:w="696" w:type="dxa"/>
            <w:vAlign w:val="center"/>
            <w:textDirection w:val="lrTb"/>
            <w:noWrap w:val="false"/>
          </w:tcPr>
          <w:p>
            <w:pPr>
              <w:pStyle w:val="963"/>
              <w:jc w:val="center"/>
              <w:widowControl/>
              <w:rPr>
                <w:sz w:val="24"/>
              </w:rPr>
            </w:pPr>
            <w:r>
              <w:rPr>
                <w:sz w:val="24"/>
              </w:rPr>
              <w:t xml:space="preserve">1</w:t>
            </w:r>
            <w:r>
              <w:rPr>
                <w:sz w:val="24"/>
              </w:rPr>
            </w:r>
            <w:r/>
          </w:p>
        </w:tc>
      </w:tr>
      <w:tr>
        <w:trPr>
          <w:cantSplit/>
          <w:trHeight w:val="560"/>
        </w:trPr>
        <w:tc>
          <w:tcPr>
            <w:tcW w:w="696" w:type="dxa"/>
            <w:vAlign w:val="center"/>
            <w:textDirection w:val="lrTb"/>
            <w:noWrap/>
          </w:tcPr>
          <w:p>
            <w:pPr>
              <w:pStyle w:val="963"/>
              <w:jc w:val="center"/>
              <w:widowControl/>
              <w:rPr>
                <w:sz w:val="24"/>
              </w:rPr>
            </w:pPr>
            <w:r>
              <w:rPr>
                <w:sz w:val="24"/>
              </w:rPr>
              <w:t xml:space="preserve">45</w:t>
            </w:r>
            <w:r>
              <w:rPr>
                <w:sz w:val="24"/>
              </w:rPr>
            </w:r>
            <w:r/>
          </w:p>
        </w:tc>
        <w:tc>
          <w:tcPr>
            <w:tcW w:w="2038" w:type="dxa"/>
            <w:vAlign w:val="center"/>
            <w:vMerge w:val="continue"/>
            <w:textDirection w:val="lrTb"/>
            <w:noWrap w:val="false"/>
          </w:tcPr>
          <w:p>
            <w:pPr>
              <w:pStyle w:val="963"/>
              <w:jc w:val="center"/>
              <w:widowControl/>
              <w:rPr>
                <w:sz w:val="24"/>
              </w:rPr>
            </w:pPr>
            <w:r>
              <w:rPr>
                <w:sz w:val="24"/>
              </w:rPr>
            </w:r>
            <w:r/>
          </w:p>
        </w:tc>
        <w:tc>
          <w:tcPr>
            <w:tcW w:w="2196" w:type="dxa"/>
            <w:vAlign w:val="center"/>
            <w:textDirection w:val="lrTb"/>
            <w:noWrap w:val="false"/>
          </w:tcPr>
          <w:p>
            <w:pPr>
              <w:pStyle w:val="963"/>
              <w:jc w:val="center"/>
              <w:widowControl/>
              <w:rPr>
                <w:sz w:val="24"/>
              </w:rPr>
            </w:pPr>
            <w:r>
              <w:rPr>
                <w:sz w:val="24"/>
              </w:rPr>
              <w:t xml:space="preserve">GPS</w:t>
            </w:r>
            <w:r>
              <w:rPr>
                <w:sz w:val="24"/>
              </w:rPr>
            </w:r>
            <w:r/>
          </w:p>
        </w:tc>
        <w:tc>
          <w:tcPr>
            <w:tcW w:w="2896" w:type="dxa"/>
            <w:vAlign w:val="center"/>
            <w:textDirection w:val="lrTb"/>
            <w:noWrap w:val="false"/>
          </w:tcPr>
          <w:p>
            <w:pPr>
              <w:pStyle w:val="963"/>
              <w:jc w:val="center"/>
              <w:widowControl/>
              <w:rPr>
                <w:sz w:val="24"/>
              </w:rPr>
            </w:pPr>
            <w:r>
              <w:rPr>
                <w:sz w:val="24"/>
              </w:rPr>
              <w:t xml:space="preserve">中国环天、BR-355、RS232DC5V</w:t>
            </w:r>
            <w:r>
              <w:rPr>
                <w:sz w:val="24"/>
              </w:rPr>
            </w:r>
            <w:r/>
          </w:p>
        </w:tc>
        <w:tc>
          <w:tcPr>
            <w:tcW w:w="696" w:type="dxa"/>
            <w:vAlign w:val="center"/>
            <w:textDirection w:val="lrTb"/>
            <w:noWrap w:val="false"/>
          </w:tcPr>
          <w:p>
            <w:pPr>
              <w:pStyle w:val="963"/>
              <w:jc w:val="center"/>
              <w:widowControl/>
              <w:rPr>
                <w:sz w:val="24"/>
              </w:rPr>
            </w:pPr>
            <w:r>
              <w:rPr>
                <w:sz w:val="24"/>
              </w:rPr>
              <w:t xml:space="preserve">1</w:t>
            </w:r>
            <w:r>
              <w:rPr>
                <w:sz w:val="24"/>
              </w:rPr>
            </w:r>
            <w:r/>
          </w:p>
        </w:tc>
      </w:tr>
      <w:tr>
        <w:trPr>
          <w:cantSplit/>
          <w:trHeight w:val="560"/>
        </w:trPr>
        <w:tc>
          <w:tcPr>
            <w:tcW w:w="696" w:type="dxa"/>
            <w:vAlign w:val="center"/>
            <w:textDirection w:val="lrTb"/>
            <w:noWrap/>
          </w:tcPr>
          <w:p>
            <w:pPr>
              <w:pStyle w:val="963"/>
              <w:jc w:val="center"/>
              <w:widowControl/>
              <w:rPr>
                <w:sz w:val="24"/>
              </w:rPr>
            </w:pPr>
            <w:r>
              <w:rPr>
                <w:sz w:val="24"/>
              </w:rPr>
              <w:t xml:space="preserve">46</w:t>
            </w:r>
            <w:r>
              <w:rPr>
                <w:sz w:val="24"/>
              </w:rPr>
            </w:r>
            <w:r/>
          </w:p>
        </w:tc>
        <w:tc>
          <w:tcPr>
            <w:tcW w:w="2038" w:type="dxa"/>
            <w:vAlign w:val="center"/>
            <w:vMerge w:val="continue"/>
            <w:textDirection w:val="lrTb"/>
            <w:noWrap w:val="false"/>
          </w:tcPr>
          <w:p>
            <w:pPr>
              <w:pStyle w:val="963"/>
              <w:jc w:val="center"/>
              <w:widowControl/>
              <w:rPr>
                <w:sz w:val="24"/>
              </w:rPr>
            </w:pPr>
            <w:r>
              <w:rPr>
                <w:sz w:val="24"/>
              </w:rPr>
            </w:r>
            <w:r/>
          </w:p>
        </w:tc>
        <w:tc>
          <w:tcPr>
            <w:tcW w:w="2196" w:type="dxa"/>
            <w:vAlign w:val="center"/>
            <w:textDirection w:val="lrTb"/>
            <w:noWrap w:val="false"/>
          </w:tcPr>
          <w:p>
            <w:pPr>
              <w:pStyle w:val="963"/>
              <w:jc w:val="center"/>
              <w:widowControl/>
              <w:rPr>
                <w:sz w:val="24"/>
              </w:rPr>
            </w:pPr>
            <w:r>
              <w:rPr>
                <w:sz w:val="24"/>
              </w:rPr>
              <w:t xml:space="preserve">方位传感器</w:t>
            </w:r>
            <w:r>
              <w:rPr>
                <w:sz w:val="24"/>
              </w:rPr>
            </w:r>
            <w:r/>
          </w:p>
        </w:tc>
        <w:tc>
          <w:tcPr>
            <w:tcW w:w="2896" w:type="dxa"/>
            <w:vAlign w:val="center"/>
            <w:textDirection w:val="lrTb"/>
            <w:noWrap w:val="false"/>
          </w:tcPr>
          <w:p>
            <w:pPr>
              <w:pStyle w:val="963"/>
              <w:jc w:val="center"/>
              <w:widowControl/>
              <w:rPr>
                <w:sz w:val="24"/>
              </w:rPr>
            </w:pPr>
            <w:r>
              <w:rPr>
                <w:sz w:val="24"/>
              </w:rPr>
              <w:t xml:space="preserve">中国北微传感、LEC315、MODBUS DC5V</w:t>
            </w:r>
            <w:r>
              <w:rPr>
                <w:sz w:val="24"/>
              </w:rPr>
            </w:r>
            <w:r/>
          </w:p>
        </w:tc>
        <w:tc>
          <w:tcPr>
            <w:tcW w:w="696" w:type="dxa"/>
            <w:vAlign w:val="center"/>
            <w:textDirection w:val="lrTb"/>
            <w:noWrap w:val="false"/>
          </w:tcPr>
          <w:p>
            <w:pPr>
              <w:pStyle w:val="963"/>
              <w:jc w:val="center"/>
              <w:widowControl/>
              <w:rPr>
                <w:sz w:val="24"/>
              </w:rPr>
            </w:pPr>
            <w:r>
              <w:rPr>
                <w:sz w:val="24"/>
              </w:rPr>
              <w:t xml:space="preserve">1</w:t>
            </w:r>
            <w:r>
              <w:rPr>
                <w:sz w:val="24"/>
              </w:rPr>
            </w:r>
            <w:r/>
          </w:p>
        </w:tc>
      </w:tr>
      <w:tr>
        <w:trPr>
          <w:cantSplit/>
          <w:trHeight w:val="280"/>
        </w:trPr>
        <w:tc>
          <w:tcPr>
            <w:tcW w:w="696" w:type="dxa"/>
            <w:vAlign w:val="center"/>
            <w:textDirection w:val="lrTb"/>
            <w:noWrap/>
          </w:tcPr>
          <w:p>
            <w:pPr>
              <w:pStyle w:val="963"/>
              <w:jc w:val="center"/>
              <w:widowControl/>
              <w:rPr>
                <w:sz w:val="24"/>
              </w:rPr>
            </w:pPr>
            <w:r>
              <w:rPr>
                <w:sz w:val="24"/>
              </w:rPr>
              <w:t xml:space="preserve">47</w:t>
            </w:r>
            <w:r>
              <w:rPr>
                <w:sz w:val="24"/>
              </w:rPr>
            </w:r>
            <w:r/>
          </w:p>
        </w:tc>
        <w:tc>
          <w:tcPr>
            <w:tcW w:w="2038" w:type="dxa"/>
            <w:vAlign w:val="center"/>
            <w:vMerge w:val="continue"/>
            <w:textDirection w:val="lrTb"/>
            <w:noWrap w:val="false"/>
          </w:tcPr>
          <w:p>
            <w:pPr>
              <w:pStyle w:val="963"/>
              <w:jc w:val="center"/>
              <w:widowControl/>
              <w:rPr>
                <w:sz w:val="24"/>
              </w:rPr>
            </w:pPr>
            <w:r>
              <w:rPr>
                <w:sz w:val="24"/>
              </w:rPr>
            </w:r>
            <w:r/>
          </w:p>
        </w:tc>
        <w:tc>
          <w:tcPr>
            <w:tcW w:w="2196" w:type="dxa"/>
            <w:vAlign w:val="center"/>
            <w:textDirection w:val="lrTb"/>
            <w:noWrap w:val="false"/>
          </w:tcPr>
          <w:p>
            <w:pPr>
              <w:pStyle w:val="963"/>
              <w:jc w:val="center"/>
              <w:widowControl/>
              <w:rPr>
                <w:sz w:val="24"/>
              </w:rPr>
            </w:pPr>
            <w:r>
              <w:rPr>
                <w:sz w:val="24"/>
              </w:rPr>
              <w:t xml:space="preserve">电信3G（工业4G路由器）</w:t>
            </w:r>
            <w:r>
              <w:rPr>
                <w:sz w:val="24"/>
              </w:rPr>
            </w:r>
            <w:r/>
          </w:p>
        </w:tc>
        <w:tc>
          <w:tcPr>
            <w:tcW w:w="2896" w:type="dxa"/>
            <w:vAlign w:val="center"/>
            <w:textDirection w:val="lrTb"/>
            <w:noWrap w:val="false"/>
          </w:tcPr>
          <w:p>
            <w:pPr>
              <w:pStyle w:val="963"/>
              <w:jc w:val="center"/>
              <w:widowControl/>
              <w:rPr>
                <w:sz w:val="24"/>
              </w:rPr>
            </w:pPr>
            <w:r>
              <w:rPr>
                <w:sz w:val="24"/>
              </w:rPr>
              <w:t xml:space="preserve">深圳宏电、H7920</w:t>
            </w:r>
            <w:r>
              <w:rPr>
                <w:sz w:val="24"/>
              </w:rPr>
            </w:r>
            <w:r/>
          </w:p>
        </w:tc>
        <w:tc>
          <w:tcPr>
            <w:tcW w:w="696" w:type="dxa"/>
            <w:vAlign w:val="center"/>
            <w:textDirection w:val="lrTb"/>
            <w:noWrap w:val="false"/>
          </w:tcPr>
          <w:p>
            <w:pPr>
              <w:pStyle w:val="963"/>
              <w:jc w:val="center"/>
              <w:widowControl/>
              <w:rPr>
                <w:sz w:val="24"/>
              </w:rPr>
            </w:pPr>
            <w:r>
              <w:rPr>
                <w:sz w:val="24"/>
              </w:rPr>
              <w:t xml:space="preserve">1</w:t>
            </w:r>
            <w:r>
              <w:rPr>
                <w:sz w:val="24"/>
              </w:rPr>
            </w:r>
            <w:r/>
          </w:p>
        </w:tc>
      </w:tr>
      <w:tr>
        <w:trPr>
          <w:cantSplit/>
          <w:trHeight w:val="280"/>
        </w:trPr>
        <w:tc>
          <w:tcPr>
            <w:tcW w:w="696" w:type="dxa"/>
            <w:vAlign w:val="center"/>
            <w:textDirection w:val="lrTb"/>
            <w:noWrap/>
          </w:tcPr>
          <w:p>
            <w:pPr>
              <w:pStyle w:val="963"/>
              <w:jc w:val="center"/>
              <w:widowControl/>
              <w:rPr>
                <w:sz w:val="24"/>
              </w:rPr>
            </w:pPr>
            <w:r>
              <w:rPr>
                <w:sz w:val="24"/>
              </w:rPr>
              <w:t xml:space="preserve">48</w:t>
            </w:r>
            <w:r>
              <w:rPr>
                <w:sz w:val="24"/>
              </w:rPr>
            </w:r>
            <w:r/>
          </w:p>
        </w:tc>
        <w:tc>
          <w:tcPr>
            <w:tcW w:w="2038" w:type="dxa"/>
            <w:vAlign w:val="center"/>
            <w:vMerge w:val="continue"/>
            <w:textDirection w:val="lrTb"/>
            <w:noWrap w:val="false"/>
          </w:tcPr>
          <w:p>
            <w:pPr>
              <w:pStyle w:val="963"/>
              <w:jc w:val="center"/>
              <w:widowControl/>
              <w:rPr>
                <w:sz w:val="24"/>
              </w:rPr>
            </w:pPr>
            <w:r>
              <w:rPr>
                <w:sz w:val="24"/>
              </w:rPr>
            </w:r>
            <w:r/>
          </w:p>
        </w:tc>
        <w:tc>
          <w:tcPr>
            <w:tcW w:w="2196" w:type="dxa"/>
            <w:vAlign w:val="center"/>
            <w:textDirection w:val="lrTb"/>
            <w:noWrap w:val="false"/>
          </w:tcPr>
          <w:p>
            <w:pPr>
              <w:pStyle w:val="963"/>
              <w:jc w:val="center"/>
              <w:widowControl/>
              <w:rPr>
                <w:sz w:val="24"/>
              </w:rPr>
            </w:pPr>
            <w:r>
              <w:rPr>
                <w:sz w:val="24"/>
              </w:rPr>
              <w:t xml:space="preserve">电信3G通讯卡</w:t>
            </w:r>
            <w:r>
              <w:rPr>
                <w:sz w:val="24"/>
              </w:rPr>
            </w:r>
            <w:r/>
          </w:p>
        </w:tc>
        <w:tc>
          <w:tcPr>
            <w:tcW w:w="2896" w:type="dxa"/>
            <w:vAlign w:val="center"/>
            <w:textDirection w:val="lrTb"/>
            <w:noWrap w:val="false"/>
          </w:tcPr>
          <w:p>
            <w:pPr>
              <w:pStyle w:val="963"/>
              <w:jc w:val="center"/>
              <w:widowControl/>
              <w:rPr>
                <w:sz w:val="24"/>
              </w:rPr>
            </w:pPr>
            <w:r>
              <w:rPr>
                <w:sz w:val="24"/>
              </w:rPr>
              <w:t xml:space="preserve">中国电信、物联网卡</w:t>
            </w:r>
            <w:r>
              <w:rPr>
                <w:sz w:val="24"/>
              </w:rPr>
            </w:r>
            <w:r/>
          </w:p>
        </w:tc>
        <w:tc>
          <w:tcPr>
            <w:tcW w:w="696" w:type="dxa"/>
            <w:vAlign w:val="center"/>
            <w:textDirection w:val="lrTb"/>
            <w:noWrap w:val="false"/>
          </w:tcPr>
          <w:p>
            <w:pPr>
              <w:pStyle w:val="963"/>
              <w:jc w:val="center"/>
              <w:widowControl/>
              <w:rPr>
                <w:sz w:val="24"/>
              </w:rPr>
            </w:pPr>
            <w:r>
              <w:rPr>
                <w:sz w:val="24"/>
              </w:rPr>
              <w:t xml:space="preserve">1</w:t>
            </w:r>
            <w:r>
              <w:rPr>
                <w:sz w:val="24"/>
              </w:rPr>
            </w:r>
            <w:r/>
          </w:p>
        </w:tc>
      </w:tr>
      <w:tr>
        <w:trPr>
          <w:cantSplit/>
          <w:trHeight w:val="280"/>
        </w:trPr>
        <w:tc>
          <w:tcPr>
            <w:tcW w:w="696" w:type="dxa"/>
            <w:vAlign w:val="center"/>
            <w:textDirection w:val="lrTb"/>
            <w:noWrap/>
          </w:tcPr>
          <w:p>
            <w:pPr>
              <w:pStyle w:val="963"/>
              <w:jc w:val="center"/>
              <w:widowControl/>
              <w:rPr>
                <w:sz w:val="24"/>
              </w:rPr>
            </w:pPr>
            <w:r>
              <w:rPr>
                <w:sz w:val="24"/>
              </w:rPr>
              <w:t xml:space="preserve">49</w:t>
            </w:r>
            <w:r>
              <w:rPr>
                <w:sz w:val="24"/>
              </w:rPr>
            </w:r>
            <w:r/>
          </w:p>
        </w:tc>
        <w:tc>
          <w:tcPr>
            <w:tcW w:w="2038" w:type="dxa"/>
            <w:vAlign w:val="center"/>
            <w:vMerge w:val="continue"/>
            <w:textDirection w:val="lrTb"/>
            <w:noWrap w:val="false"/>
          </w:tcPr>
          <w:p>
            <w:pPr>
              <w:pStyle w:val="963"/>
              <w:jc w:val="center"/>
              <w:widowControl/>
              <w:rPr>
                <w:sz w:val="24"/>
              </w:rPr>
            </w:pPr>
            <w:r>
              <w:rPr>
                <w:sz w:val="24"/>
              </w:rPr>
            </w:r>
            <w:r/>
          </w:p>
        </w:tc>
        <w:tc>
          <w:tcPr>
            <w:tcW w:w="2196" w:type="dxa"/>
            <w:vAlign w:val="center"/>
            <w:textDirection w:val="lrTb"/>
            <w:noWrap w:val="false"/>
          </w:tcPr>
          <w:p>
            <w:pPr>
              <w:pStyle w:val="963"/>
              <w:jc w:val="center"/>
              <w:widowControl/>
              <w:rPr>
                <w:sz w:val="24"/>
              </w:rPr>
            </w:pPr>
            <w:r>
              <w:rPr>
                <w:sz w:val="24"/>
              </w:rPr>
              <w:t xml:space="preserve">服务器</w:t>
            </w:r>
            <w:r>
              <w:rPr>
                <w:sz w:val="24"/>
              </w:rPr>
            </w:r>
            <w:r/>
          </w:p>
        </w:tc>
        <w:tc>
          <w:tcPr>
            <w:tcW w:w="2896" w:type="dxa"/>
            <w:vAlign w:val="center"/>
            <w:textDirection w:val="lrTb"/>
            <w:noWrap w:val="false"/>
          </w:tcPr>
          <w:p>
            <w:pPr>
              <w:pStyle w:val="963"/>
              <w:jc w:val="center"/>
              <w:widowControl/>
              <w:rPr>
                <w:sz w:val="24"/>
              </w:rPr>
            </w:pPr>
            <w:r>
              <w:rPr>
                <w:sz w:val="24"/>
              </w:rPr>
              <w:t xml:space="preserve">惠普、Proliant DL388 Gen9</w:t>
            </w:r>
            <w:r>
              <w:rPr>
                <w:sz w:val="24"/>
              </w:rPr>
            </w:r>
            <w:r/>
          </w:p>
        </w:tc>
        <w:tc>
          <w:tcPr>
            <w:tcW w:w="696" w:type="dxa"/>
            <w:vAlign w:val="center"/>
            <w:textDirection w:val="lrTb"/>
            <w:noWrap w:val="false"/>
          </w:tcPr>
          <w:p>
            <w:pPr>
              <w:pStyle w:val="963"/>
              <w:jc w:val="center"/>
              <w:widowControl/>
              <w:rPr>
                <w:sz w:val="24"/>
              </w:rPr>
            </w:pPr>
            <w:r>
              <w:rPr>
                <w:sz w:val="24"/>
              </w:rPr>
              <w:t xml:space="preserve">1</w:t>
            </w:r>
            <w:r>
              <w:rPr>
                <w:sz w:val="24"/>
              </w:rPr>
            </w:r>
            <w:r/>
          </w:p>
        </w:tc>
      </w:tr>
      <w:tr>
        <w:trPr>
          <w:cantSplit/>
          <w:trHeight w:val="280"/>
        </w:trPr>
        <w:tc>
          <w:tcPr>
            <w:tcW w:w="696" w:type="dxa"/>
            <w:vAlign w:val="center"/>
            <w:textDirection w:val="lrTb"/>
            <w:noWrap/>
          </w:tcPr>
          <w:p>
            <w:pPr>
              <w:pStyle w:val="963"/>
              <w:jc w:val="center"/>
              <w:widowControl/>
              <w:rPr>
                <w:sz w:val="24"/>
              </w:rPr>
            </w:pPr>
            <w:r>
              <w:rPr>
                <w:sz w:val="24"/>
              </w:rPr>
              <w:t xml:space="preserve">50</w:t>
            </w:r>
            <w:r>
              <w:rPr>
                <w:sz w:val="24"/>
              </w:rPr>
            </w:r>
            <w:r/>
          </w:p>
        </w:tc>
        <w:tc>
          <w:tcPr>
            <w:tcW w:w="2038" w:type="dxa"/>
            <w:vAlign w:val="center"/>
            <w:vMerge w:val="continue"/>
            <w:textDirection w:val="lrTb"/>
            <w:noWrap w:val="false"/>
          </w:tcPr>
          <w:p>
            <w:pPr>
              <w:pStyle w:val="963"/>
              <w:jc w:val="center"/>
              <w:widowControl/>
              <w:rPr>
                <w:sz w:val="24"/>
              </w:rPr>
            </w:pPr>
            <w:r>
              <w:rPr>
                <w:sz w:val="24"/>
              </w:rPr>
            </w:r>
            <w:r/>
          </w:p>
        </w:tc>
        <w:tc>
          <w:tcPr>
            <w:tcW w:w="2196" w:type="dxa"/>
            <w:vAlign w:val="center"/>
            <w:textDirection w:val="lrTb"/>
            <w:noWrap w:val="false"/>
          </w:tcPr>
          <w:p>
            <w:pPr>
              <w:pStyle w:val="963"/>
              <w:jc w:val="center"/>
              <w:widowControl/>
              <w:rPr>
                <w:sz w:val="24"/>
              </w:rPr>
            </w:pPr>
            <w:r>
              <w:rPr>
                <w:sz w:val="24"/>
              </w:rPr>
              <w:t xml:space="preserve">网站固定IP网络</w:t>
            </w:r>
            <w:r>
              <w:rPr>
                <w:sz w:val="24"/>
              </w:rPr>
            </w:r>
            <w:r/>
          </w:p>
        </w:tc>
        <w:tc>
          <w:tcPr>
            <w:tcW w:w="2896" w:type="dxa"/>
            <w:vAlign w:val="center"/>
            <w:textDirection w:val="lrTb"/>
            <w:noWrap w:val="false"/>
          </w:tcPr>
          <w:p>
            <w:pPr>
              <w:pStyle w:val="963"/>
              <w:jc w:val="center"/>
              <w:widowControl/>
              <w:rPr>
                <w:sz w:val="24"/>
              </w:rPr>
            </w:pPr>
            <w:r>
              <w:rPr>
                <w:sz w:val="24"/>
              </w:rPr>
              <w:t xml:space="preserve">中国电信、50M对等网络</w:t>
            </w:r>
            <w:r>
              <w:rPr>
                <w:sz w:val="24"/>
              </w:rPr>
            </w:r>
            <w:r/>
          </w:p>
        </w:tc>
        <w:tc>
          <w:tcPr>
            <w:tcW w:w="696" w:type="dxa"/>
            <w:vAlign w:val="center"/>
            <w:textDirection w:val="lrTb"/>
            <w:noWrap w:val="false"/>
          </w:tcPr>
          <w:p>
            <w:pPr>
              <w:pStyle w:val="963"/>
              <w:jc w:val="center"/>
              <w:widowControl/>
              <w:rPr>
                <w:sz w:val="24"/>
              </w:rPr>
            </w:pPr>
            <w:r>
              <w:rPr>
                <w:sz w:val="24"/>
              </w:rPr>
              <w:t xml:space="preserve">1</w:t>
            </w:r>
            <w:r>
              <w:rPr>
                <w:sz w:val="24"/>
              </w:rPr>
            </w:r>
            <w:r/>
          </w:p>
        </w:tc>
      </w:tr>
      <w:tr>
        <w:trPr>
          <w:cantSplit/>
          <w:trHeight w:val="560"/>
        </w:trPr>
        <w:tc>
          <w:tcPr>
            <w:tcW w:w="696" w:type="dxa"/>
            <w:vAlign w:val="center"/>
            <w:textDirection w:val="lrTb"/>
            <w:noWrap/>
          </w:tcPr>
          <w:p>
            <w:pPr>
              <w:pStyle w:val="963"/>
              <w:jc w:val="center"/>
              <w:widowControl/>
              <w:rPr>
                <w:sz w:val="24"/>
              </w:rPr>
            </w:pPr>
            <w:r>
              <w:rPr>
                <w:sz w:val="24"/>
              </w:rPr>
              <w:t xml:space="preserve">51</w:t>
            </w:r>
            <w:r>
              <w:rPr>
                <w:sz w:val="24"/>
              </w:rPr>
            </w:r>
            <w:r/>
          </w:p>
        </w:tc>
        <w:tc>
          <w:tcPr>
            <w:tcW w:w="2038" w:type="dxa"/>
            <w:vAlign w:val="center"/>
            <w:vMerge w:val="continue"/>
            <w:textDirection w:val="lrTb"/>
            <w:noWrap w:val="false"/>
          </w:tcPr>
          <w:p>
            <w:pPr>
              <w:pStyle w:val="963"/>
              <w:jc w:val="center"/>
              <w:widowControl/>
              <w:rPr>
                <w:sz w:val="24"/>
              </w:rPr>
            </w:pPr>
            <w:r>
              <w:rPr>
                <w:sz w:val="24"/>
              </w:rPr>
            </w:r>
            <w:r/>
          </w:p>
        </w:tc>
        <w:tc>
          <w:tcPr>
            <w:tcW w:w="2196" w:type="dxa"/>
            <w:vAlign w:val="center"/>
            <w:textDirection w:val="lrTb"/>
            <w:noWrap w:val="false"/>
          </w:tcPr>
          <w:p>
            <w:pPr>
              <w:pStyle w:val="963"/>
              <w:jc w:val="center"/>
              <w:widowControl/>
              <w:rPr>
                <w:sz w:val="24"/>
              </w:rPr>
            </w:pPr>
            <w:r>
              <w:rPr>
                <w:sz w:val="24"/>
              </w:rPr>
              <w:t xml:space="preserve">数据采集器</w:t>
            </w:r>
            <w:r>
              <w:rPr>
                <w:sz w:val="24"/>
              </w:rPr>
            </w:r>
            <w:r/>
          </w:p>
        </w:tc>
        <w:tc>
          <w:tcPr>
            <w:tcW w:w="2896" w:type="dxa"/>
            <w:vAlign w:val="center"/>
            <w:textDirection w:val="lrTb"/>
            <w:noWrap w:val="false"/>
          </w:tcPr>
          <w:p>
            <w:pPr>
              <w:pStyle w:val="963"/>
              <w:jc w:val="center"/>
              <w:widowControl/>
              <w:rPr>
                <w:sz w:val="24"/>
              </w:rPr>
            </w:pPr>
            <w:r>
              <w:rPr>
                <w:sz w:val="24"/>
              </w:rPr>
              <w:t xml:space="preserve">上海摩威环境、molway-Tiny6410、RS232DC5V</w:t>
            </w:r>
            <w:r>
              <w:rPr>
                <w:sz w:val="24"/>
              </w:rPr>
            </w:r>
            <w:r/>
          </w:p>
        </w:tc>
        <w:tc>
          <w:tcPr>
            <w:tcW w:w="696" w:type="dxa"/>
            <w:vAlign w:val="center"/>
            <w:textDirection w:val="lrTb"/>
            <w:noWrap w:val="false"/>
          </w:tcPr>
          <w:p>
            <w:pPr>
              <w:pStyle w:val="963"/>
              <w:jc w:val="center"/>
              <w:widowControl/>
              <w:rPr>
                <w:sz w:val="24"/>
              </w:rPr>
            </w:pPr>
            <w:r>
              <w:rPr>
                <w:sz w:val="24"/>
              </w:rPr>
              <w:t xml:space="preserve">1</w:t>
            </w:r>
            <w:r>
              <w:rPr>
                <w:sz w:val="24"/>
              </w:rPr>
            </w:r>
            <w:r/>
          </w:p>
        </w:tc>
      </w:tr>
      <w:tr>
        <w:trPr>
          <w:cantSplit/>
          <w:trHeight w:val="280"/>
        </w:trPr>
        <w:tc>
          <w:tcPr>
            <w:tcW w:w="696" w:type="dxa"/>
            <w:vAlign w:val="center"/>
            <w:textDirection w:val="lrTb"/>
            <w:noWrap/>
          </w:tcPr>
          <w:p>
            <w:pPr>
              <w:pStyle w:val="963"/>
              <w:jc w:val="center"/>
              <w:widowControl/>
              <w:rPr>
                <w:sz w:val="24"/>
              </w:rPr>
            </w:pPr>
            <w:r>
              <w:rPr>
                <w:sz w:val="24"/>
              </w:rPr>
              <w:t xml:space="preserve">52</w:t>
            </w:r>
            <w:r>
              <w:rPr>
                <w:sz w:val="24"/>
              </w:rPr>
            </w:r>
            <w:r/>
          </w:p>
        </w:tc>
        <w:tc>
          <w:tcPr>
            <w:tcW w:w="2038" w:type="dxa"/>
            <w:vAlign w:val="center"/>
            <w:vMerge w:val="continue"/>
            <w:textDirection w:val="lrTb"/>
            <w:noWrap w:val="false"/>
          </w:tcPr>
          <w:p>
            <w:pPr>
              <w:pStyle w:val="963"/>
              <w:jc w:val="center"/>
              <w:widowControl/>
              <w:rPr>
                <w:sz w:val="24"/>
              </w:rPr>
            </w:pPr>
            <w:r>
              <w:rPr>
                <w:sz w:val="24"/>
              </w:rPr>
            </w:r>
            <w:r/>
          </w:p>
        </w:tc>
        <w:tc>
          <w:tcPr>
            <w:tcW w:w="2196" w:type="dxa"/>
            <w:vAlign w:val="center"/>
            <w:textDirection w:val="lrTb"/>
            <w:noWrap w:val="false"/>
          </w:tcPr>
          <w:p>
            <w:pPr>
              <w:pStyle w:val="963"/>
              <w:jc w:val="center"/>
              <w:widowControl/>
              <w:rPr>
                <w:sz w:val="24"/>
              </w:rPr>
            </w:pPr>
            <w:r>
              <w:rPr>
                <w:sz w:val="24"/>
              </w:rPr>
              <w:t xml:space="preserve">AIS避碰</w:t>
            </w:r>
            <w:r>
              <w:rPr>
                <w:sz w:val="24"/>
              </w:rPr>
            </w:r>
            <w:r/>
          </w:p>
        </w:tc>
        <w:tc>
          <w:tcPr>
            <w:tcW w:w="2896" w:type="dxa"/>
            <w:vAlign w:val="center"/>
            <w:textDirection w:val="lrTb"/>
            <w:noWrap w:val="false"/>
          </w:tcPr>
          <w:p>
            <w:pPr>
              <w:pStyle w:val="963"/>
              <w:jc w:val="center"/>
              <w:widowControl/>
              <w:rPr>
                <w:sz w:val="24"/>
              </w:rPr>
            </w:pPr>
            <w:r>
              <w:rPr>
                <w:sz w:val="24"/>
              </w:rPr>
              <w:t xml:space="preserve">上海摩威环境、FT系列</w:t>
            </w:r>
            <w:r>
              <w:rPr>
                <w:sz w:val="24"/>
              </w:rPr>
            </w:r>
            <w:r/>
          </w:p>
        </w:tc>
        <w:tc>
          <w:tcPr>
            <w:tcW w:w="696" w:type="dxa"/>
            <w:vAlign w:val="center"/>
            <w:textDirection w:val="lrTb"/>
            <w:noWrap w:val="false"/>
          </w:tcPr>
          <w:p>
            <w:pPr>
              <w:pStyle w:val="963"/>
              <w:jc w:val="center"/>
              <w:widowControl/>
              <w:rPr>
                <w:sz w:val="24"/>
              </w:rPr>
            </w:pPr>
            <w:r>
              <w:rPr>
                <w:sz w:val="24"/>
              </w:rPr>
              <w:t xml:space="preserve">1</w:t>
            </w:r>
            <w:r>
              <w:rPr>
                <w:sz w:val="24"/>
              </w:rPr>
            </w:r>
            <w:r/>
          </w:p>
        </w:tc>
      </w:tr>
      <w:tr>
        <w:trPr>
          <w:cantSplit/>
          <w:trHeight w:val="280"/>
        </w:trPr>
        <w:tc>
          <w:tcPr>
            <w:tcW w:w="696" w:type="dxa"/>
            <w:vAlign w:val="center"/>
            <w:textDirection w:val="lrTb"/>
            <w:noWrap/>
          </w:tcPr>
          <w:p>
            <w:pPr>
              <w:pStyle w:val="963"/>
              <w:jc w:val="center"/>
              <w:widowControl/>
              <w:rPr>
                <w:sz w:val="24"/>
              </w:rPr>
            </w:pPr>
            <w:r>
              <w:rPr>
                <w:sz w:val="24"/>
              </w:rPr>
              <w:t xml:space="preserve">53</w:t>
            </w:r>
            <w:r>
              <w:rPr>
                <w:sz w:val="24"/>
              </w:rPr>
            </w:r>
            <w:r/>
          </w:p>
        </w:tc>
        <w:tc>
          <w:tcPr>
            <w:tcW w:w="2038" w:type="dxa"/>
            <w:vAlign w:val="center"/>
            <w:vMerge w:val="continue"/>
            <w:textDirection w:val="lrTb"/>
            <w:noWrap w:val="false"/>
          </w:tcPr>
          <w:p>
            <w:pPr>
              <w:pStyle w:val="963"/>
              <w:jc w:val="center"/>
              <w:widowControl/>
              <w:rPr>
                <w:sz w:val="24"/>
              </w:rPr>
            </w:pPr>
            <w:r>
              <w:rPr>
                <w:sz w:val="24"/>
              </w:rPr>
            </w:r>
            <w:r/>
          </w:p>
        </w:tc>
        <w:tc>
          <w:tcPr>
            <w:tcW w:w="2196" w:type="dxa"/>
            <w:vAlign w:val="center"/>
            <w:textDirection w:val="lrTb"/>
            <w:noWrap w:val="false"/>
          </w:tcPr>
          <w:p>
            <w:pPr>
              <w:pStyle w:val="963"/>
              <w:jc w:val="center"/>
              <w:widowControl/>
              <w:rPr>
                <w:sz w:val="24"/>
              </w:rPr>
            </w:pPr>
            <w:r>
              <w:rPr>
                <w:sz w:val="24"/>
              </w:rPr>
              <w:t xml:space="preserve">显示软件</w:t>
            </w:r>
            <w:r>
              <w:rPr>
                <w:sz w:val="24"/>
              </w:rPr>
            </w:r>
            <w:r/>
          </w:p>
        </w:tc>
        <w:tc>
          <w:tcPr>
            <w:tcW w:w="2896" w:type="dxa"/>
            <w:vAlign w:val="center"/>
            <w:textDirection w:val="lrTb"/>
            <w:noWrap w:val="false"/>
          </w:tcPr>
          <w:p>
            <w:pPr>
              <w:pStyle w:val="963"/>
              <w:jc w:val="center"/>
              <w:widowControl/>
              <w:rPr>
                <w:sz w:val="24"/>
              </w:rPr>
            </w:pPr>
            <w:r>
              <w:rPr>
                <w:sz w:val="24"/>
              </w:rPr>
              <w:t xml:space="preserve">上海摩威环境、MW-RJ</w:t>
            </w:r>
            <w:r>
              <w:rPr>
                <w:sz w:val="24"/>
              </w:rPr>
            </w:r>
            <w:r/>
          </w:p>
        </w:tc>
        <w:tc>
          <w:tcPr>
            <w:tcW w:w="696" w:type="dxa"/>
            <w:vAlign w:val="center"/>
            <w:textDirection w:val="lrTb"/>
            <w:noWrap w:val="false"/>
          </w:tcPr>
          <w:p>
            <w:pPr>
              <w:pStyle w:val="963"/>
              <w:jc w:val="center"/>
              <w:widowControl/>
              <w:rPr>
                <w:sz w:val="24"/>
              </w:rPr>
            </w:pPr>
            <w:r>
              <w:rPr>
                <w:sz w:val="24"/>
              </w:rPr>
              <w:t xml:space="preserve">1</w:t>
            </w:r>
            <w:r>
              <w:rPr>
                <w:sz w:val="24"/>
              </w:rPr>
            </w:r>
            <w:r/>
          </w:p>
        </w:tc>
      </w:tr>
      <w:tr>
        <w:trPr>
          <w:cantSplit/>
          <w:trHeight w:val="280"/>
        </w:trPr>
        <w:tc>
          <w:tcPr>
            <w:tcW w:w="696" w:type="dxa"/>
            <w:vAlign w:val="center"/>
            <w:textDirection w:val="lrTb"/>
            <w:noWrap/>
          </w:tcPr>
          <w:p>
            <w:pPr>
              <w:pStyle w:val="963"/>
              <w:jc w:val="center"/>
              <w:widowControl/>
              <w:rPr>
                <w:sz w:val="24"/>
              </w:rPr>
            </w:pPr>
            <w:r>
              <w:rPr>
                <w:sz w:val="24"/>
              </w:rPr>
              <w:t xml:space="preserve">54</w:t>
            </w:r>
            <w:r>
              <w:rPr>
                <w:sz w:val="24"/>
              </w:rPr>
            </w:r>
            <w:r/>
          </w:p>
        </w:tc>
        <w:tc>
          <w:tcPr>
            <w:tcW w:w="2038" w:type="dxa"/>
            <w:vAlign w:val="center"/>
            <w:vMerge w:val="continue"/>
            <w:textDirection w:val="lrTb"/>
            <w:noWrap w:val="false"/>
          </w:tcPr>
          <w:p>
            <w:pPr>
              <w:pStyle w:val="963"/>
              <w:jc w:val="center"/>
              <w:widowControl/>
              <w:rPr>
                <w:sz w:val="24"/>
              </w:rPr>
            </w:pPr>
            <w:r>
              <w:rPr>
                <w:sz w:val="24"/>
              </w:rPr>
            </w:r>
            <w:r/>
          </w:p>
        </w:tc>
        <w:tc>
          <w:tcPr>
            <w:tcW w:w="2196" w:type="dxa"/>
            <w:vAlign w:val="center"/>
            <w:textDirection w:val="lrTb"/>
            <w:noWrap w:val="false"/>
          </w:tcPr>
          <w:p>
            <w:pPr>
              <w:pStyle w:val="963"/>
              <w:jc w:val="center"/>
              <w:widowControl/>
              <w:rPr>
                <w:sz w:val="24"/>
              </w:rPr>
            </w:pPr>
            <w:r>
              <w:rPr>
                <w:sz w:val="24"/>
              </w:rPr>
              <w:t xml:space="preserve">台式电脑</w:t>
            </w:r>
            <w:r>
              <w:rPr>
                <w:sz w:val="24"/>
              </w:rPr>
            </w:r>
            <w:r/>
          </w:p>
        </w:tc>
        <w:tc>
          <w:tcPr>
            <w:tcW w:w="2896" w:type="dxa"/>
            <w:vAlign w:val="center"/>
            <w:textDirection w:val="lrTb"/>
            <w:noWrap w:val="false"/>
          </w:tcPr>
          <w:p>
            <w:pPr>
              <w:pStyle w:val="963"/>
              <w:jc w:val="center"/>
              <w:widowControl/>
              <w:rPr>
                <w:sz w:val="24"/>
              </w:rPr>
            </w:pPr>
            <w:r>
              <w:rPr>
                <w:sz w:val="24"/>
              </w:rPr>
              <w:t xml:space="preserve">中国联想、扬天系列</w:t>
            </w:r>
            <w:r>
              <w:rPr>
                <w:sz w:val="24"/>
              </w:rPr>
            </w:r>
            <w:r/>
          </w:p>
        </w:tc>
        <w:tc>
          <w:tcPr>
            <w:tcW w:w="696" w:type="dxa"/>
            <w:vAlign w:val="center"/>
            <w:textDirection w:val="lrTb"/>
            <w:noWrap w:val="false"/>
          </w:tcPr>
          <w:p>
            <w:pPr>
              <w:pStyle w:val="963"/>
              <w:jc w:val="center"/>
              <w:widowControl/>
              <w:rPr>
                <w:sz w:val="24"/>
              </w:rPr>
            </w:pPr>
            <w:r>
              <w:rPr>
                <w:sz w:val="24"/>
              </w:rPr>
              <w:t xml:space="preserve">1</w:t>
            </w:r>
            <w:r>
              <w:rPr>
                <w:sz w:val="24"/>
              </w:rPr>
            </w:r>
            <w:r/>
          </w:p>
        </w:tc>
      </w:tr>
      <w:tr>
        <w:trPr>
          <w:cantSplit/>
          <w:trHeight w:val="280"/>
        </w:trPr>
        <w:tc>
          <w:tcPr>
            <w:tcW w:w="696" w:type="dxa"/>
            <w:vAlign w:val="center"/>
            <w:textDirection w:val="lrTb"/>
            <w:noWrap/>
          </w:tcPr>
          <w:p>
            <w:pPr>
              <w:pStyle w:val="963"/>
              <w:jc w:val="center"/>
              <w:widowControl/>
              <w:rPr>
                <w:sz w:val="24"/>
              </w:rPr>
            </w:pPr>
            <w:r>
              <w:rPr>
                <w:sz w:val="24"/>
              </w:rPr>
              <w:t xml:space="preserve">55</w:t>
            </w:r>
            <w:r>
              <w:rPr>
                <w:sz w:val="24"/>
              </w:rPr>
            </w:r>
            <w:r/>
          </w:p>
        </w:tc>
        <w:tc>
          <w:tcPr>
            <w:tcW w:w="2038" w:type="dxa"/>
            <w:vAlign w:val="center"/>
            <w:vMerge w:val="continue"/>
            <w:textDirection w:val="lrTb"/>
            <w:noWrap w:val="false"/>
          </w:tcPr>
          <w:p>
            <w:pPr>
              <w:pStyle w:val="963"/>
              <w:jc w:val="center"/>
              <w:widowControl/>
              <w:rPr>
                <w:sz w:val="24"/>
              </w:rPr>
            </w:pPr>
            <w:r>
              <w:rPr>
                <w:sz w:val="24"/>
              </w:rPr>
            </w:r>
            <w:r/>
          </w:p>
        </w:tc>
        <w:tc>
          <w:tcPr>
            <w:tcW w:w="2196" w:type="dxa"/>
            <w:vAlign w:val="center"/>
            <w:textDirection w:val="lrTb"/>
            <w:noWrap w:val="false"/>
          </w:tcPr>
          <w:p>
            <w:pPr>
              <w:pStyle w:val="963"/>
              <w:jc w:val="center"/>
              <w:widowControl/>
              <w:rPr>
                <w:sz w:val="24"/>
              </w:rPr>
            </w:pPr>
            <w:r>
              <w:rPr>
                <w:sz w:val="24"/>
              </w:rPr>
              <w:t xml:space="preserve">笔记本电脑</w:t>
            </w:r>
            <w:r>
              <w:rPr>
                <w:sz w:val="24"/>
              </w:rPr>
            </w:r>
            <w:r/>
          </w:p>
        </w:tc>
        <w:tc>
          <w:tcPr>
            <w:tcW w:w="2896" w:type="dxa"/>
            <w:vAlign w:val="center"/>
            <w:textDirection w:val="lrTb"/>
            <w:noWrap w:val="false"/>
          </w:tcPr>
          <w:p>
            <w:pPr>
              <w:pStyle w:val="963"/>
              <w:jc w:val="center"/>
              <w:widowControl/>
              <w:rPr>
                <w:sz w:val="24"/>
              </w:rPr>
            </w:pPr>
            <w:r>
              <w:rPr>
                <w:sz w:val="24"/>
              </w:rPr>
              <w:t xml:space="preserve">中国联想、Thinkpad X系列</w:t>
            </w:r>
            <w:r>
              <w:rPr>
                <w:sz w:val="24"/>
              </w:rPr>
            </w:r>
            <w:r/>
          </w:p>
        </w:tc>
        <w:tc>
          <w:tcPr>
            <w:tcW w:w="696" w:type="dxa"/>
            <w:vAlign w:val="center"/>
            <w:textDirection w:val="lrTb"/>
            <w:noWrap w:val="false"/>
          </w:tcPr>
          <w:p>
            <w:pPr>
              <w:pStyle w:val="963"/>
              <w:jc w:val="center"/>
              <w:widowControl/>
              <w:rPr>
                <w:sz w:val="24"/>
              </w:rPr>
            </w:pPr>
            <w:r>
              <w:rPr>
                <w:sz w:val="24"/>
              </w:rPr>
              <w:t xml:space="preserve">2</w:t>
            </w:r>
            <w:r>
              <w:rPr>
                <w:sz w:val="24"/>
              </w:rPr>
            </w:r>
            <w:r/>
          </w:p>
        </w:tc>
      </w:tr>
    </w:tbl>
    <w:p>
      <w:pPr>
        <w:pStyle w:val="963"/>
        <w:numPr>
          <w:ilvl w:val="0"/>
          <w:numId w:val="4"/>
        </w:numPr>
        <w:ind w:firstLine="482"/>
        <w:jc w:val="left"/>
        <w:spacing w:line="360" w:lineRule="auto"/>
        <w:widowControl/>
        <w:rPr>
          <w:b/>
          <w:bCs/>
          <w:sz w:val="24"/>
        </w:rPr>
        <w:outlineLvl w:val="2"/>
      </w:pPr>
      <w:r>
        <w:rPr>
          <w:b/>
          <w:bCs/>
          <w:sz w:val="24"/>
        </w:rPr>
        <w:t xml:space="preserve">服务技术要求</w:t>
      </w:r>
      <w:r>
        <w:rPr>
          <w:b/>
          <w:bCs/>
          <w:sz w:val="24"/>
        </w:rPr>
      </w:r>
      <w:r/>
    </w:p>
    <w:p>
      <w:pPr>
        <w:pStyle w:val="981"/>
        <w:ind w:firstLine="482"/>
        <w:spacing w:line="360" w:lineRule="auto"/>
        <w:rPr>
          <w:color w:val="000000"/>
          <w:sz w:val="24"/>
          <w:szCs w:val="24"/>
          <w:lang w:val="en-US"/>
        </w:rPr>
        <w:outlineLvl w:val="3"/>
      </w:pPr>
      <w:r>
        <w:rPr>
          <w:rFonts w:hint="eastAsia" w:eastAsia="宋体"/>
          <w:color w:val="000000"/>
          <w:sz w:val="24"/>
          <w:szCs w:val="24"/>
          <w:lang w:val="en-US"/>
        </w:rPr>
        <w:t xml:space="preserve">2.1 </w:t>
      </w:r>
      <w:r>
        <w:rPr>
          <w:rFonts w:eastAsia="宋体"/>
          <w:color w:val="000000"/>
          <w:spacing w:val="-6"/>
          <w:sz w:val="24"/>
          <w:szCs w:val="24"/>
        </w:rPr>
        <w:t xml:space="preserve">空气自动监测站</w:t>
      </w:r>
      <w:r>
        <w:rPr>
          <w:rFonts w:hint="eastAsia" w:eastAsia="宋体"/>
          <w:color w:val="000000"/>
          <w:spacing w:val="-6"/>
          <w:sz w:val="24"/>
          <w:szCs w:val="24"/>
          <w:lang w:val="en-US"/>
        </w:rPr>
        <w:t xml:space="preserve">运维</w:t>
      </w:r>
      <w:r>
        <w:rPr>
          <w:rFonts w:eastAsia="宋体"/>
          <w:color w:val="000000"/>
          <w:sz w:val="24"/>
          <w:szCs w:val="24"/>
          <w:lang w:val="en-US"/>
        </w:rPr>
        <w:t xml:space="preserve">服务技术要求</w:t>
      </w:r>
      <w:r>
        <w:rPr>
          <w:color w:val="000000"/>
          <w:sz w:val="24"/>
          <w:szCs w:val="24"/>
          <w:lang w:val="en-US"/>
        </w:rPr>
      </w:r>
      <w:r/>
    </w:p>
    <w:p>
      <w:pPr>
        <w:pStyle w:val="963"/>
        <w:ind w:firstLine="480"/>
        <w:jc w:val="left"/>
        <w:spacing w:line="360" w:lineRule="auto"/>
        <w:widowControl/>
        <w:rPr>
          <w:color w:val="000000"/>
          <w:sz w:val="24"/>
        </w:rPr>
      </w:pPr>
      <w:r>
        <w:rPr>
          <w:color w:val="000000"/>
          <w:sz w:val="24"/>
        </w:rPr>
        <w:t xml:space="preserve">在空气自动监测系统运维及管理期间，运维单位应严格按照业主制订的操作规范和规章制度，对所管理的系统及仪器设备进行规范操作和精心维护及必要维修，保证系统及仪器设备的正常运行，达到连云港市环境监测监控中心提出的系统及仪器设备考核指标要求。</w:t>
      </w:r>
      <w:r>
        <w:rPr>
          <w:color w:val="000000"/>
          <w:sz w:val="24"/>
        </w:rPr>
      </w:r>
      <w:r/>
    </w:p>
    <w:p>
      <w:pPr>
        <w:pStyle w:val="963"/>
        <w:ind w:firstLine="480"/>
        <w:jc w:val="left"/>
        <w:spacing w:line="360" w:lineRule="auto"/>
        <w:widowControl/>
        <w:rPr>
          <w:color w:val="000000"/>
          <w:sz w:val="24"/>
        </w:rPr>
      </w:pPr>
      <w:r>
        <w:rPr>
          <w:color w:val="000000"/>
          <w:sz w:val="24"/>
        </w:rPr>
        <w:t xml:space="preserve">运维单位必须接受连云港市环境监测监控中心的定期、不定期检查和考核。仪器设备关键技术参数的种类及其使用、调整等应执行《国家环境空气质量监测网城市站自动监测仪器关键技术参数管理规定(试行)》，严禁擅自改变采样管路连接方式和更改仪器参数设置，如有存在《环境监测数据弄虚作假行为判定及处理办法》中认定的篡改、伪造或者指使篡改、伪造监测数据行为的，市环境监测监控中心将扣除余款的10%-50%。</w:t>
      </w:r>
      <w:r>
        <w:rPr>
          <w:color w:val="000000"/>
          <w:sz w:val="24"/>
        </w:rPr>
      </w:r>
      <w:r/>
    </w:p>
    <w:p>
      <w:pPr>
        <w:pStyle w:val="963"/>
        <w:numPr>
          <w:ilvl w:val="2"/>
          <w:numId w:val="6"/>
        </w:numPr>
        <w:jc w:val="left"/>
        <w:keepLines/>
        <w:keepNext/>
        <w:spacing w:line="360" w:lineRule="auto"/>
        <w:rPr>
          <w:b/>
          <w:bCs/>
          <w:color w:val="000000"/>
          <w:sz w:val="24"/>
        </w:rPr>
        <w:outlineLvl w:val="3"/>
      </w:pPr>
      <w:r>
        <w:rPr>
          <w:rFonts w:hint="eastAsia"/>
          <w:b/>
          <w:bCs/>
          <w:color w:val="000000"/>
          <w:sz w:val="24"/>
        </w:rPr>
        <w:t xml:space="preserve"> </w:t>
      </w:r>
      <w:r>
        <w:rPr>
          <w:b/>
          <w:bCs/>
          <w:color w:val="000000"/>
          <w:sz w:val="24"/>
        </w:rPr>
        <w:t xml:space="preserve">人员、车辆配备要求</w:t>
      </w:r>
      <w:r>
        <w:rPr>
          <w:b/>
          <w:bCs/>
          <w:color w:val="000000"/>
          <w:sz w:val="24"/>
        </w:rPr>
      </w:r>
      <w:r/>
    </w:p>
    <w:p>
      <w:pPr>
        <w:pStyle w:val="963"/>
        <w:numPr>
          <w:ilvl w:val="0"/>
          <w:numId w:val="7"/>
        </w:numPr>
        <w:ind w:firstLine="480"/>
        <w:jc w:val="left"/>
        <w:spacing w:line="360" w:lineRule="auto"/>
        <w:widowControl/>
        <w:rPr>
          <w:bCs/>
          <w:color w:val="000000"/>
          <w:spacing w:val="-6"/>
          <w:sz w:val="24"/>
        </w:rPr>
      </w:pPr>
      <w:r>
        <w:rPr>
          <w:color w:val="000000"/>
          <w:sz w:val="24"/>
        </w:rPr>
        <w:t xml:space="preserve">运维单位</w:t>
      </w:r>
      <w:r>
        <w:rPr>
          <w:bCs/>
          <w:color w:val="000000"/>
          <w:spacing w:val="-6"/>
          <w:sz w:val="24"/>
        </w:rPr>
        <w:t xml:space="preserve">须</w:t>
      </w:r>
      <w:r>
        <w:rPr>
          <w:rFonts w:hint="eastAsia"/>
          <w:bCs/>
          <w:color w:val="000000"/>
          <w:spacing w:val="-6"/>
          <w:sz w:val="24"/>
        </w:rPr>
        <w:t xml:space="preserve">根据采购人要求提供技术支持服务，</w:t>
      </w:r>
      <w:r>
        <w:rPr>
          <w:bCs/>
          <w:color w:val="000000"/>
          <w:spacing w:val="-6"/>
          <w:sz w:val="24"/>
        </w:rPr>
        <w:t xml:space="preserve">在建立备品备件库，用于对所运维空气站仪器进行标定、校准、量值传递和审核，对检修后的仪器设备进行校准和主要技术指标的运行测试，以及其他有关质量控制措施的制定和落实。</w:t>
      </w:r>
      <w:r>
        <w:rPr>
          <w:bCs/>
          <w:color w:val="000000"/>
          <w:spacing w:val="-6"/>
          <w:sz w:val="24"/>
        </w:rPr>
      </w:r>
      <w:r/>
    </w:p>
    <w:p>
      <w:pPr>
        <w:pStyle w:val="963"/>
        <w:numPr>
          <w:ilvl w:val="0"/>
          <w:numId w:val="7"/>
        </w:numPr>
        <w:ind w:firstLine="480"/>
        <w:jc w:val="left"/>
        <w:spacing w:line="360" w:lineRule="auto"/>
        <w:widowControl/>
        <w:rPr>
          <w:bCs/>
          <w:color w:val="000000"/>
          <w:spacing w:val="-6"/>
          <w:sz w:val="24"/>
        </w:rPr>
      </w:pPr>
      <w:r>
        <w:rPr>
          <w:color w:val="000000"/>
          <w:sz w:val="24"/>
        </w:rPr>
        <w:t xml:space="preserve">运维单位</w:t>
      </w:r>
      <w:r>
        <w:rPr>
          <w:bCs/>
          <w:color w:val="000000"/>
          <w:spacing w:val="-6"/>
          <w:sz w:val="24"/>
        </w:rPr>
        <w:t xml:space="preserve">需安排不少于</w:t>
      </w:r>
      <w:r>
        <w:rPr>
          <w:rFonts w:hint="eastAsia"/>
          <w:bCs/>
          <w:color w:val="000000"/>
          <w:spacing w:val="-6"/>
          <w:sz w:val="24"/>
        </w:rPr>
        <w:t xml:space="preserve">14</w:t>
      </w:r>
      <w:r>
        <w:rPr>
          <w:bCs/>
          <w:color w:val="000000"/>
          <w:spacing w:val="-6"/>
          <w:sz w:val="24"/>
        </w:rPr>
        <w:t xml:space="preserve">名运维人员在运维期内长期驻守。同时配备专车用于日常巡检，应保证配备的专用巡检车辆数量不少于</w:t>
      </w:r>
      <w:r>
        <w:rPr>
          <w:rFonts w:hint="eastAsia"/>
          <w:bCs/>
          <w:color w:val="000000"/>
          <w:spacing w:val="-6"/>
          <w:sz w:val="24"/>
        </w:rPr>
        <w:t xml:space="preserve">12</w:t>
      </w:r>
      <w:r>
        <w:rPr>
          <w:bCs/>
          <w:color w:val="000000"/>
          <w:spacing w:val="-6"/>
          <w:sz w:val="24"/>
        </w:rPr>
        <w:t xml:space="preserve">辆。运维单位投入本项目的全部专业技术人员须保证取得相关部门颁发的空气自动监测领域上岗证。中标人所配备的运维人员中包含</w:t>
      </w:r>
      <w:r>
        <w:rPr>
          <w:rFonts w:hint="eastAsia"/>
          <w:bCs/>
          <w:color w:val="000000"/>
          <w:spacing w:val="-6"/>
          <w:sz w:val="24"/>
        </w:rPr>
        <w:t xml:space="preserve">2</w:t>
      </w:r>
      <w:r>
        <w:rPr>
          <w:bCs/>
          <w:color w:val="000000"/>
          <w:spacing w:val="-6"/>
          <w:sz w:val="24"/>
        </w:rPr>
        <w:t xml:space="preserve">名驻场</w:t>
      </w:r>
      <w:r>
        <w:rPr>
          <w:rFonts w:hint="eastAsia"/>
          <w:bCs/>
          <w:color w:val="000000"/>
          <w:spacing w:val="-6"/>
          <w:sz w:val="24"/>
        </w:rPr>
        <w:t xml:space="preserve">人员</w:t>
      </w:r>
      <w:r>
        <w:rPr>
          <w:bCs/>
          <w:color w:val="000000"/>
          <w:spacing w:val="-6"/>
          <w:sz w:val="24"/>
        </w:rPr>
        <w:t xml:space="preserve">，驻场</w:t>
      </w:r>
      <w:r>
        <w:rPr>
          <w:rFonts w:hint="eastAsia"/>
          <w:bCs/>
          <w:color w:val="000000"/>
          <w:spacing w:val="-6"/>
          <w:sz w:val="24"/>
        </w:rPr>
        <w:t xml:space="preserve">人员</w:t>
      </w:r>
      <w:r>
        <w:rPr>
          <w:bCs/>
          <w:color w:val="000000"/>
          <w:spacing w:val="-6"/>
          <w:sz w:val="24"/>
        </w:rPr>
        <w:t xml:space="preserve">须具有本科及以上学历，有环境、气象、电子或自动化等相关专业背景，负责指导空气自动站运行管理和监测数据分析，协助采购方开展空气自动监测数据审核、数据保障和监测数据分析等相关工作。</w:t>
      </w:r>
      <w:r>
        <w:rPr>
          <w:bCs/>
          <w:color w:val="000000"/>
          <w:spacing w:val="-6"/>
          <w:sz w:val="24"/>
        </w:rPr>
      </w:r>
      <w:r/>
    </w:p>
    <w:p>
      <w:pPr>
        <w:pStyle w:val="963"/>
        <w:numPr>
          <w:ilvl w:val="0"/>
          <w:numId w:val="7"/>
        </w:numPr>
        <w:ind w:firstLine="456"/>
        <w:jc w:val="left"/>
        <w:spacing w:line="360" w:lineRule="auto"/>
        <w:widowControl/>
        <w:rPr>
          <w:bCs/>
          <w:color w:val="000000"/>
          <w:spacing w:val="-6"/>
          <w:sz w:val="24"/>
        </w:rPr>
      </w:pPr>
      <w:r>
        <w:rPr>
          <w:bCs/>
          <w:color w:val="000000"/>
          <w:spacing w:val="-6"/>
          <w:sz w:val="24"/>
        </w:rPr>
        <w:t xml:space="preserve">运维单位需要配备必要的质量控制设备，标准气体须为一级标准样品或物质；需配备流量计(大、小流量各2台)、标准气压计、标准温湿度计各</w:t>
      </w:r>
      <w:r>
        <w:rPr>
          <w:rFonts w:hint="eastAsia"/>
          <w:bCs/>
          <w:color w:val="000000"/>
          <w:spacing w:val="-6"/>
          <w:sz w:val="24"/>
        </w:rPr>
        <w:t xml:space="preserve">4</w:t>
      </w:r>
      <w:r>
        <w:rPr>
          <w:bCs/>
          <w:color w:val="000000"/>
          <w:spacing w:val="-6"/>
          <w:sz w:val="24"/>
        </w:rPr>
        <w:t xml:space="preserve">套。</w:t>
      </w:r>
      <w:r>
        <w:rPr>
          <w:bCs/>
          <w:color w:val="000000"/>
          <w:spacing w:val="-6"/>
          <w:sz w:val="24"/>
        </w:rPr>
      </w:r>
      <w:r/>
    </w:p>
    <w:p>
      <w:pPr>
        <w:pStyle w:val="963"/>
        <w:numPr>
          <w:ilvl w:val="0"/>
          <w:numId w:val="7"/>
        </w:numPr>
        <w:ind w:firstLine="456"/>
        <w:jc w:val="left"/>
        <w:spacing w:line="360" w:lineRule="auto"/>
        <w:widowControl/>
        <w:rPr>
          <w:bCs/>
          <w:color w:val="000000"/>
          <w:spacing w:val="-6"/>
          <w:sz w:val="24"/>
        </w:rPr>
      </w:pPr>
      <w:r>
        <w:rPr>
          <w:bCs/>
          <w:color w:val="000000"/>
          <w:spacing w:val="-6"/>
          <w:sz w:val="24"/>
        </w:rPr>
        <w:t xml:space="preserve">运维单位须配置SO</w:t>
      </w:r>
      <w:r>
        <w:rPr>
          <w:bCs/>
          <w:color w:val="000000"/>
          <w:spacing w:val="-6"/>
          <w:sz w:val="24"/>
          <w:vertAlign w:val="subscript"/>
        </w:rPr>
        <w:t xml:space="preserve">2</w:t>
      </w:r>
      <w:r>
        <w:rPr>
          <w:bCs/>
          <w:color w:val="000000"/>
          <w:spacing w:val="-6"/>
          <w:sz w:val="24"/>
        </w:rPr>
        <w:t xml:space="preserve">、NOx、CO、O</w:t>
      </w:r>
      <w:r>
        <w:rPr>
          <w:bCs/>
          <w:color w:val="000000"/>
          <w:spacing w:val="-6"/>
          <w:sz w:val="24"/>
          <w:vertAlign w:val="subscript"/>
        </w:rPr>
        <w:t xml:space="preserve">3</w:t>
      </w:r>
      <w:r>
        <w:rPr>
          <w:bCs/>
          <w:color w:val="000000"/>
          <w:spacing w:val="-6"/>
          <w:sz w:val="24"/>
        </w:rPr>
        <w:t xml:space="preserve">、PM</w:t>
      </w:r>
      <w:r>
        <w:rPr>
          <w:bCs/>
          <w:color w:val="000000"/>
          <w:spacing w:val="-6"/>
          <w:sz w:val="24"/>
          <w:vertAlign w:val="subscript"/>
        </w:rPr>
        <w:t xml:space="preserve">10</w:t>
      </w:r>
      <w:r>
        <w:rPr>
          <w:bCs/>
          <w:color w:val="000000"/>
          <w:spacing w:val="-6"/>
          <w:sz w:val="24"/>
        </w:rPr>
        <w:t xml:space="preserve">、PM</w:t>
      </w:r>
      <w:r>
        <w:rPr>
          <w:bCs/>
          <w:color w:val="000000"/>
          <w:spacing w:val="-6"/>
          <w:sz w:val="24"/>
          <w:vertAlign w:val="subscript"/>
        </w:rPr>
        <w:t xml:space="preserve">2.5</w:t>
      </w:r>
      <w:r>
        <w:rPr>
          <w:bCs/>
          <w:color w:val="000000"/>
          <w:spacing w:val="-6"/>
          <w:sz w:val="24"/>
        </w:rPr>
        <w:t xml:space="preserve">六项指标自动监测仪器各</w:t>
      </w:r>
      <w:r>
        <w:rPr>
          <w:rFonts w:hint="eastAsia"/>
          <w:bCs/>
          <w:color w:val="000000"/>
          <w:spacing w:val="-6"/>
          <w:sz w:val="24"/>
        </w:rPr>
        <w:t xml:space="preserve">10</w:t>
      </w:r>
      <w:r>
        <w:rPr>
          <w:bCs/>
          <w:color w:val="000000"/>
          <w:spacing w:val="-6"/>
          <w:sz w:val="24"/>
        </w:rPr>
        <w:t xml:space="preserve">套用作备机。</w:t>
      </w:r>
      <w:r>
        <w:rPr>
          <w:bCs/>
          <w:color w:val="000000"/>
          <w:spacing w:val="-6"/>
          <w:sz w:val="24"/>
        </w:rPr>
      </w:r>
      <w:r/>
    </w:p>
    <w:p>
      <w:pPr>
        <w:pStyle w:val="963"/>
        <w:numPr>
          <w:ilvl w:val="0"/>
          <w:numId w:val="7"/>
        </w:numPr>
        <w:ind w:firstLine="456"/>
        <w:jc w:val="left"/>
        <w:spacing w:line="360" w:lineRule="auto"/>
        <w:widowControl/>
        <w:rPr>
          <w:bCs/>
          <w:color w:val="000000"/>
          <w:spacing w:val="-6"/>
          <w:sz w:val="24"/>
        </w:rPr>
      </w:pPr>
      <w:r>
        <w:rPr>
          <w:bCs/>
          <w:color w:val="000000"/>
          <w:spacing w:val="-6"/>
          <w:sz w:val="24"/>
        </w:rPr>
        <w:t xml:space="preserve">运维单位须至少配置子站数采设备、零气发生器和动态校准仪备机各2台。</w:t>
      </w:r>
      <w:r>
        <w:rPr>
          <w:bCs/>
          <w:color w:val="000000"/>
          <w:spacing w:val="-6"/>
          <w:sz w:val="24"/>
        </w:rPr>
      </w:r>
      <w:r/>
    </w:p>
    <w:p>
      <w:pPr>
        <w:pStyle w:val="963"/>
        <w:numPr>
          <w:ilvl w:val="0"/>
          <w:numId w:val="7"/>
        </w:numPr>
        <w:ind w:firstLine="456"/>
        <w:jc w:val="left"/>
        <w:spacing w:line="360" w:lineRule="auto"/>
        <w:widowControl/>
        <w:rPr>
          <w:bCs/>
          <w:color w:val="000000"/>
          <w:spacing w:val="-6"/>
          <w:sz w:val="24"/>
        </w:rPr>
      </w:pPr>
      <w:r>
        <w:rPr>
          <w:bCs/>
          <w:color w:val="000000"/>
          <w:spacing w:val="-6"/>
          <w:sz w:val="24"/>
        </w:rPr>
        <w:t xml:space="preserve">运维单位须承诺中标后1个月内配齐本技术要求中所涉及的仪器设备、耗材和备件。耗材按照不少于半年的消耗量配置，备件按照至少1年使用量配置</w:t>
      </w:r>
      <w:r>
        <w:rPr>
          <w:rFonts w:hint="eastAsia"/>
          <w:bCs/>
          <w:color w:val="000000"/>
          <w:spacing w:val="-6"/>
          <w:sz w:val="24"/>
        </w:rPr>
        <w:t xml:space="preserve">，标气需在过期前进行全部更换</w:t>
      </w:r>
      <w:r>
        <w:rPr>
          <w:bCs/>
          <w:color w:val="000000"/>
          <w:spacing w:val="-6"/>
          <w:sz w:val="24"/>
        </w:rPr>
        <w:t xml:space="preserve">。必须使用原厂生产的备品备件和耗材，严禁使用未经权威机构检定合格或劣质备品备件和耗材。</w:t>
      </w:r>
      <w:r>
        <w:rPr>
          <w:bCs/>
          <w:color w:val="000000"/>
          <w:spacing w:val="-6"/>
          <w:sz w:val="24"/>
        </w:rPr>
      </w:r>
      <w:r/>
    </w:p>
    <w:p>
      <w:pPr>
        <w:pStyle w:val="963"/>
        <w:numPr>
          <w:ilvl w:val="0"/>
          <w:numId w:val="7"/>
        </w:numPr>
        <w:ind w:firstLine="456"/>
        <w:jc w:val="left"/>
        <w:spacing w:line="360" w:lineRule="auto"/>
        <w:widowControl/>
      </w:pPr>
      <w:r>
        <w:rPr>
          <w:bCs/>
          <w:color w:val="000000"/>
          <w:spacing w:val="-6"/>
          <w:sz w:val="24"/>
        </w:rPr>
        <w:t xml:space="preserve">运维单位应配备专用仪器维护维修工具。</w:t>
      </w:r>
      <w:r/>
    </w:p>
    <w:p>
      <w:pPr>
        <w:pStyle w:val="963"/>
        <w:numPr>
          <w:ilvl w:val="0"/>
          <w:numId w:val="7"/>
        </w:numPr>
        <w:ind w:firstLine="456"/>
        <w:jc w:val="left"/>
        <w:spacing w:line="360" w:lineRule="auto"/>
        <w:widowControl/>
        <w:rPr>
          <w:bCs/>
          <w:color w:val="000000"/>
          <w:spacing w:val="-6"/>
          <w:sz w:val="24"/>
        </w:rPr>
      </w:pPr>
      <w:r>
        <w:rPr>
          <w:rFonts w:hint="eastAsia"/>
          <w:bCs/>
          <w:color w:val="000000"/>
          <w:spacing w:val="-6"/>
          <w:sz w:val="24"/>
        </w:rPr>
        <w:t xml:space="preserve">运维期间需对站房进行一次全覆盖防水养护工作，并对出现防水问题站点及时修复。</w:t>
      </w:r>
      <w:r>
        <w:rPr>
          <w:bCs/>
          <w:color w:val="000000"/>
          <w:spacing w:val="-6"/>
          <w:sz w:val="24"/>
        </w:rPr>
      </w:r>
      <w:r/>
    </w:p>
    <w:p>
      <w:pPr>
        <w:pStyle w:val="982"/>
      </w:pPr>
      <w:r/>
      <w:r/>
    </w:p>
    <w:p>
      <w:pPr>
        <w:pStyle w:val="963"/>
        <w:numPr>
          <w:ilvl w:val="2"/>
          <w:numId w:val="6"/>
        </w:numPr>
        <w:jc w:val="left"/>
        <w:keepLines/>
        <w:keepNext/>
        <w:spacing w:line="360" w:lineRule="auto"/>
        <w:rPr>
          <w:b/>
          <w:bCs/>
          <w:color w:val="000000"/>
          <w:sz w:val="24"/>
        </w:rPr>
        <w:outlineLvl w:val="3"/>
      </w:pPr>
      <w:r>
        <w:rPr>
          <w:b/>
          <w:bCs/>
          <w:color w:val="000000"/>
          <w:sz w:val="24"/>
        </w:rPr>
        <w:t xml:space="preserve"> 运维工作内容</w:t>
      </w:r>
      <w:r>
        <w:rPr>
          <w:b/>
          <w:bCs/>
          <w:color w:val="000000"/>
          <w:sz w:val="24"/>
        </w:rPr>
      </w:r>
      <w:r/>
    </w:p>
    <w:p>
      <w:pPr>
        <w:pStyle w:val="963"/>
        <w:ind w:firstLine="480"/>
        <w:jc w:val="left"/>
        <w:spacing w:line="360" w:lineRule="auto"/>
        <w:widowControl/>
        <w:rPr>
          <w:color w:val="000000"/>
          <w:sz w:val="24"/>
        </w:rPr>
      </w:pPr>
      <w:r>
        <w:rPr>
          <w:color w:val="000000"/>
          <w:sz w:val="24"/>
        </w:rPr>
        <w:t xml:space="preserve">运维过程中主要完成以下工作：</w:t>
      </w:r>
      <w:r>
        <w:rPr>
          <w:color w:val="000000"/>
          <w:sz w:val="24"/>
        </w:rPr>
      </w:r>
      <w:r/>
    </w:p>
    <w:p>
      <w:pPr>
        <w:pStyle w:val="963"/>
        <w:ind w:firstLine="480"/>
        <w:jc w:val="left"/>
        <w:spacing w:line="360" w:lineRule="auto"/>
        <w:widowControl/>
        <w:rPr>
          <w:color w:val="000000"/>
          <w:sz w:val="24"/>
        </w:rPr>
      </w:pPr>
      <w:r>
        <w:rPr>
          <w:color w:val="000000"/>
          <w:sz w:val="24"/>
        </w:rPr>
        <w:t xml:space="preserve">(1) 空气自动监测站的日常运行维护；</w:t>
      </w:r>
      <w:r>
        <w:rPr>
          <w:color w:val="000000"/>
          <w:sz w:val="24"/>
        </w:rPr>
      </w:r>
      <w:r/>
    </w:p>
    <w:p>
      <w:pPr>
        <w:pStyle w:val="963"/>
        <w:ind w:firstLine="480"/>
        <w:jc w:val="left"/>
        <w:spacing w:line="360" w:lineRule="auto"/>
        <w:widowControl/>
        <w:rPr>
          <w:color w:val="000000"/>
          <w:sz w:val="24"/>
        </w:rPr>
      </w:pPr>
      <w:r>
        <w:rPr>
          <w:color w:val="000000"/>
          <w:sz w:val="24"/>
        </w:rPr>
        <w:t xml:space="preserve">(2) 空气自动监测站的日常质量管理；</w:t>
      </w:r>
      <w:r>
        <w:rPr>
          <w:color w:val="000000"/>
          <w:sz w:val="24"/>
        </w:rPr>
      </w:r>
      <w:r/>
    </w:p>
    <w:p>
      <w:pPr>
        <w:pStyle w:val="963"/>
        <w:ind w:firstLine="480"/>
        <w:jc w:val="left"/>
        <w:spacing w:line="360" w:lineRule="auto"/>
        <w:widowControl/>
        <w:rPr>
          <w:color w:val="000000"/>
          <w:sz w:val="24"/>
        </w:rPr>
      </w:pPr>
      <w:r>
        <w:rPr>
          <w:color w:val="000000"/>
          <w:sz w:val="24"/>
        </w:rPr>
        <w:t xml:space="preserve">(3) 空气自动监测站的日常安全管理；</w:t>
      </w:r>
      <w:r>
        <w:rPr>
          <w:color w:val="000000"/>
          <w:sz w:val="24"/>
        </w:rPr>
      </w:r>
      <w:r/>
    </w:p>
    <w:p>
      <w:pPr>
        <w:pStyle w:val="963"/>
        <w:ind w:firstLine="480"/>
        <w:jc w:val="left"/>
        <w:spacing w:line="360" w:lineRule="auto"/>
        <w:widowControl/>
        <w:rPr>
          <w:color w:val="000000"/>
          <w:sz w:val="24"/>
        </w:rPr>
      </w:pPr>
      <w:r>
        <w:rPr>
          <w:color w:val="000000"/>
          <w:sz w:val="24"/>
        </w:rPr>
        <w:t xml:space="preserve">(4) 空气自动监测站监测数据的日常审核、上报；</w:t>
      </w:r>
      <w:r>
        <w:rPr>
          <w:color w:val="000000"/>
          <w:sz w:val="24"/>
        </w:rPr>
      </w:r>
      <w:r/>
    </w:p>
    <w:p>
      <w:pPr>
        <w:pStyle w:val="963"/>
        <w:ind w:firstLine="480"/>
        <w:jc w:val="left"/>
        <w:spacing w:line="360" w:lineRule="auto"/>
        <w:widowControl/>
        <w:rPr>
          <w:color w:val="000000"/>
          <w:sz w:val="24"/>
        </w:rPr>
      </w:pPr>
      <w:r>
        <w:rPr>
          <w:color w:val="000000"/>
          <w:sz w:val="24"/>
        </w:rPr>
        <w:t xml:space="preserve">(5) 空气自动监测站的仪器设备维护保养及故障维修；</w:t>
      </w:r>
      <w:r>
        <w:rPr>
          <w:color w:val="000000"/>
          <w:sz w:val="24"/>
        </w:rPr>
      </w:r>
      <w:r/>
    </w:p>
    <w:p>
      <w:pPr>
        <w:pStyle w:val="963"/>
        <w:ind w:firstLine="480"/>
        <w:jc w:val="left"/>
        <w:spacing w:line="360" w:lineRule="auto"/>
        <w:widowControl/>
        <w:rPr>
          <w:color w:val="000000"/>
          <w:sz w:val="24"/>
        </w:rPr>
      </w:pPr>
      <w:r>
        <w:rPr>
          <w:color w:val="000000"/>
          <w:sz w:val="24"/>
        </w:rPr>
        <w:t xml:space="preserve">(6) 空气自动监测站其他相关辅助设备设施的维护、保养、维修。</w:t>
      </w:r>
      <w:r>
        <w:rPr>
          <w:color w:val="000000"/>
          <w:sz w:val="24"/>
        </w:rPr>
      </w:r>
      <w:r/>
    </w:p>
    <w:p>
      <w:pPr>
        <w:pStyle w:val="963"/>
        <w:ind w:firstLine="480"/>
        <w:jc w:val="left"/>
        <w:spacing w:line="360" w:lineRule="auto"/>
        <w:widowControl/>
        <w:rPr>
          <w:color w:val="000000"/>
          <w:sz w:val="24"/>
        </w:rPr>
      </w:pPr>
      <w:r>
        <w:rPr>
          <w:color w:val="000000"/>
          <w:sz w:val="24"/>
        </w:rPr>
        <w:t xml:space="preserve">(7) 空气自动监测站数据采集及传输系统的维护及维修，保证空气自动监测站与连云港市环境监测监控中心通讯正常，并根据省厅要求上报监测数据。</w:t>
      </w:r>
      <w:r>
        <w:rPr>
          <w:color w:val="000000"/>
          <w:sz w:val="24"/>
        </w:rPr>
      </w:r>
      <w:r/>
    </w:p>
    <w:p>
      <w:pPr>
        <w:pStyle w:val="963"/>
        <w:ind w:firstLine="480"/>
        <w:jc w:val="left"/>
        <w:spacing w:line="360" w:lineRule="auto"/>
        <w:widowControl/>
        <w:rPr>
          <w:color w:val="000000"/>
          <w:sz w:val="24"/>
        </w:rPr>
      </w:pPr>
      <w:r>
        <w:rPr>
          <w:color w:val="000000"/>
          <w:sz w:val="24"/>
        </w:rPr>
        <w:t xml:space="preserve">(8) 中标人与采购人签订运维合同半年内，中标人需完成所有空气站气态污染物监测设备的第一次量值溯源工作。</w:t>
      </w:r>
      <w:r>
        <w:rPr>
          <w:color w:val="000000"/>
          <w:sz w:val="24"/>
        </w:rPr>
      </w:r>
      <w:r/>
    </w:p>
    <w:p>
      <w:pPr>
        <w:pStyle w:val="963"/>
        <w:ind w:firstLine="480"/>
        <w:jc w:val="left"/>
        <w:spacing w:line="360" w:lineRule="auto"/>
        <w:widowControl/>
        <w:rPr>
          <w:color w:val="000000"/>
          <w:sz w:val="24"/>
        </w:rPr>
      </w:pPr>
      <w:r>
        <w:rPr>
          <w:color w:val="000000"/>
          <w:sz w:val="24"/>
        </w:rPr>
        <w:t xml:space="preserve">(9) 根据工作需要开展对空气自动监测站PM</w:t>
      </w:r>
      <w:r>
        <w:rPr>
          <w:color w:val="000000"/>
          <w:sz w:val="24"/>
          <w:vertAlign w:val="subscript"/>
        </w:rPr>
        <w:t xml:space="preserve">10</w:t>
      </w:r>
      <w:r>
        <w:rPr>
          <w:color w:val="000000"/>
          <w:sz w:val="24"/>
        </w:rPr>
        <w:t xml:space="preserve">与PM</w:t>
      </w:r>
      <w:r>
        <w:rPr>
          <w:color w:val="000000"/>
          <w:sz w:val="24"/>
          <w:vertAlign w:val="subscript"/>
        </w:rPr>
        <w:t xml:space="preserve">2.5</w:t>
      </w:r>
      <w:r>
        <w:rPr>
          <w:color w:val="000000"/>
          <w:sz w:val="24"/>
        </w:rPr>
        <w:t xml:space="preserve">自动监测的手工比对；</w:t>
      </w:r>
      <w:r>
        <w:rPr>
          <w:color w:val="000000"/>
          <w:sz w:val="24"/>
        </w:rPr>
      </w:r>
      <w:r/>
    </w:p>
    <w:p>
      <w:pPr>
        <w:pStyle w:val="963"/>
        <w:ind w:firstLine="480"/>
        <w:jc w:val="left"/>
        <w:spacing w:line="360" w:lineRule="auto"/>
        <w:widowControl/>
        <w:rPr>
          <w:color w:val="000000"/>
          <w:sz w:val="24"/>
        </w:rPr>
      </w:pPr>
      <w:r>
        <w:rPr>
          <w:color w:val="000000"/>
          <w:sz w:val="24"/>
        </w:rPr>
        <w:t xml:space="preserve">(10) 当仪器出现故障不能及时修复时，应在24小时之内使用备机开展监测；</w:t>
      </w:r>
      <w:r>
        <w:rPr>
          <w:color w:val="000000"/>
          <w:sz w:val="24"/>
        </w:rPr>
      </w:r>
      <w:r/>
    </w:p>
    <w:p>
      <w:pPr>
        <w:pStyle w:val="963"/>
        <w:ind w:firstLine="480"/>
        <w:jc w:val="left"/>
        <w:spacing w:line="360" w:lineRule="auto"/>
        <w:widowControl/>
        <w:rPr>
          <w:color w:val="000000"/>
          <w:sz w:val="24"/>
        </w:rPr>
      </w:pPr>
      <w:r>
        <w:rPr>
          <w:color w:val="000000"/>
          <w:sz w:val="24"/>
        </w:rPr>
        <w:t xml:space="preserve">(11) 仪器报废后(包括因洪水、地震、台风、站房外部火灾、爆炸、恐怖袭击、武装冲突、蓄意破坏等不可抗力导致)，运维单位须先行及时使用备机开展监测，同时报告连云港市环境监测监控中心。</w:t>
      </w:r>
      <w:r>
        <w:rPr>
          <w:color w:val="000000"/>
          <w:sz w:val="24"/>
        </w:rPr>
      </w:r>
      <w:r/>
    </w:p>
    <w:p>
      <w:pPr>
        <w:pStyle w:val="963"/>
        <w:ind w:firstLine="480"/>
        <w:jc w:val="left"/>
        <w:spacing w:line="360" w:lineRule="auto"/>
        <w:widowControl/>
        <w:rPr>
          <w:color w:val="000000"/>
          <w:sz w:val="24"/>
        </w:rPr>
      </w:pPr>
      <w:r>
        <w:rPr>
          <w:color w:val="000000"/>
          <w:sz w:val="24"/>
        </w:rPr>
        <w:t xml:space="preserve">(12) 当点位需要新增、撤销、变更时，由所在地生态环境部门按照点位管理程序向上级生态环境部门报批。涉及站点迁移的，运维单位应做好迁移前后监测仪器设备检查工作并做好相关记录。涉及站点迁移的，运维单位应做好迁移前后监测仪器设备检查工作并做好相关记录，做好迁移后点位监测仪器设备安装、调试、校准、手工比对等工作，做好数据通讯线路等安装工作。</w:t>
      </w:r>
      <w:r>
        <w:rPr>
          <w:color w:val="000000"/>
          <w:sz w:val="24"/>
        </w:rPr>
      </w:r>
      <w:r/>
    </w:p>
    <w:p>
      <w:pPr>
        <w:pStyle w:val="963"/>
        <w:ind w:firstLine="480"/>
        <w:jc w:val="left"/>
        <w:spacing w:line="360" w:lineRule="auto"/>
        <w:widowControl/>
        <w:rPr>
          <w:color w:val="000000"/>
          <w:sz w:val="24"/>
        </w:rPr>
      </w:pPr>
      <w:r>
        <w:rPr>
          <w:color w:val="000000"/>
          <w:sz w:val="24"/>
        </w:rPr>
        <w:t xml:space="preserve">(13) 每年开展运维站点防雷检测，并出具防雷检测报告。</w:t>
      </w:r>
      <w:r>
        <w:rPr>
          <w:color w:val="000000"/>
          <w:sz w:val="24"/>
        </w:rPr>
      </w:r>
      <w:r/>
    </w:p>
    <w:p>
      <w:pPr>
        <w:pStyle w:val="963"/>
        <w:ind w:firstLine="480"/>
        <w:jc w:val="left"/>
        <w:spacing w:line="360" w:lineRule="auto"/>
        <w:widowControl/>
        <w:rPr>
          <w:color w:val="000000"/>
          <w:sz w:val="24"/>
        </w:rPr>
      </w:pPr>
      <w:r>
        <w:rPr>
          <w:color w:val="000000"/>
          <w:sz w:val="24"/>
        </w:rPr>
        <w:t xml:space="preserve">(14)支付运维服务期内站点的房租、水电网络等费用。</w:t>
      </w:r>
      <w:r>
        <w:rPr>
          <w:color w:val="000000"/>
          <w:sz w:val="24"/>
        </w:rPr>
      </w:r>
      <w:r/>
    </w:p>
    <w:p>
      <w:pPr>
        <w:pStyle w:val="963"/>
        <w:numPr>
          <w:ilvl w:val="2"/>
          <w:numId w:val="6"/>
        </w:numPr>
        <w:jc w:val="left"/>
        <w:keepLines/>
        <w:keepNext/>
        <w:spacing w:line="360" w:lineRule="auto"/>
        <w:rPr>
          <w:b/>
          <w:bCs/>
          <w:color w:val="000000"/>
          <w:sz w:val="24"/>
        </w:rPr>
        <w:outlineLvl w:val="3"/>
      </w:pPr>
      <w:r>
        <w:rPr>
          <w:b/>
          <w:bCs/>
          <w:color w:val="000000"/>
          <w:sz w:val="24"/>
        </w:rPr>
        <w:t xml:space="preserve"> 运维工作目标</w:t>
      </w:r>
      <w:r>
        <w:rPr>
          <w:b/>
          <w:bCs/>
          <w:color w:val="000000"/>
          <w:sz w:val="24"/>
        </w:rPr>
      </w:r>
      <w:r/>
    </w:p>
    <w:p>
      <w:pPr>
        <w:pStyle w:val="963"/>
        <w:ind w:firstLine="480"/>
        <w:jc w:val="left"/>
        <w:spacing w:line="360" w:lineRule="auto"/>
        <w:widowControl/>
        <w:rPr>
          <w:color w:val="000000"/>
          <w:sz w:val="24"/>
        </w:rPr>
      </w:pPr>
      <w:r>
        <w:rPr>
          <w:color w:val="000000"/>
          <w:sz w:val="24"/>
        </w:rPr>
        <w:t xml:space="preserve">运维单位必须建立完善的运行维护工作规范与质量管理体系，确保提供及时、准确、有效的监测数据，子站的运行质量应达到以下指标：</w:t>
      </w:r>
      <w:r>
        <w:rPr>
          <w:color w:val="000000"/>
          <w:sz w:val="24"/>
        </w:rPr>
      </w:r>
      <w:r/>
    </w:p>
    <w:p>
      <w:pPr>
        <w:pStyle w:val="963"/>
        <w:ind w:firstLine="480"/>
        <w:jc w:val="left"/>
        <w:spacing w:line="360" w:lineRule="auto"/>
        <w:widowControl/>
        <w:rPr>
          <w:color w:val="000000"/>
          <w:sz w:val="24"/>
        </w:rPr>
      </w:pPr>
      <w:r>
        <w:rPr>
          <w:color w:val="000000"/>
          <w:sz w:val="24"/>
        </w:rPr>
        <w:t xml:space="preserve">(1) </w:t>
      </w:r>
      <w:r>
        <w:rPr>
          <w:color w:val="000000"/>
          <w:sz w:val="24"/>
        </w:rPr>
        <w:t xml:space="preserve">考核时段内单站点</w:t>
      </w:r>
      <w:r>
        <w:rPr>
          <w:rFonts w:hint="eastAsia"/>
          <w:color w:val="000000"/>
          <w:sz w:val="24"/>
        </w:rPr>
        <w:t xml:space="preserve">单月</w:t>
      </w:r>
      <w:r>
        <w:rPr>
          <w:color w:val="000000"/>
          <w:sz w:val="24"/>
        </w:rPr>
        <w:t xml:space="preserve">任一监测项目</w:t>
      </w:r>
      <w:r>
        <w:rPr>
          <w:color w:val="000000"/>
          <w:sz w:val="24"/>
        </w:rPr>
        <w:t xml:space="preserve">的有效监测数据必须满足国家《环境空气质量标准》(GB 3095-2012) 中规定的污染物浓度数据有效性最低要求。</w:t>
      </w:r>
      <w:r>
        <w:rPr>
          <w:color w:val="000000"/>
          <w:sz w:val="24"/>
        </w:rPr>
      </w:r>
      <w:r/>
    </w:p>
    <w:p>
      <w:pPr>
        <w:pStyle w:val="963"/>
        <w:ind w:firstLine="480"/>
        <w:jc w:val="left"/>
        <w:spacing w:line="360" w:lineRule="auto"/>
        <w:widowControl/>
        <w:rPr>
          <w:color w:val="000000"/>
          <w:sz w:val="24"/>
        </w:rPr>
      </w:pPr>
      <w:r>
        <w:rPr>
          <w:color w:val="000000"/>
          <w:sz w:val="24"/>
        </w:rPr>
        <w:t xml:space="preserve">(2) 单站设备运行率必须高于90%(含)，有效率必须高于 85%(含)，生态环境部和省生态环境厅另有要求的，按要求执行。</w:t>
      </w:r>
      <w:r>
        <w:rPr>
          <w:color w:val="000000"/>
          <w:sz w:val="24"/>
        </w:rPr>
      </w:r>
      <w:r/>
    </w:p>
    <w:p>
      <w:pPr>
        <w:pStyle w:val="963"/>
        <w:ind w:firstLine="480"/>
        <w:jc w:val="left"/>
        <w:spacing w:line="360" w:lineRule="auto"/>
        <w:widowControl/>
        <w:rPr>
          <w:color w:val="000000"/>
          <w:sz w:val="24"/>
        </w:rPr>
      </w:pPr>
      <w:r>
        <w:rPr>
          <w:color w:val="000000"/>
          <w:sz w:val="24"/>
        </w:rPr>
        <w:t xml:space="preserve">(3) 异常情况处理率100%；数据质控合格率高于80%；运维任务完成率100%。</w:t>
      </w:r>
      <w:r>
        <w:rPr>
          <w:color w:val="000000"/>
          <w:sz w:val="24"/>
        </w:rPr>
      </w:r>
      <w:r/>
    </w:p>
    <w:p>
      <w:pPr>
        <w:pStyle w:val="963"/>
        <w:ind w:firstLine="480"/>
        <w:jc w:val="left"/>
        <w:spacing w:line="360" w:lineRule="auto"/>
        <w:widowControl/>
        <w:rPr>
          <w:color w:val="000000"/>
          <w:sz w:val="24"/>
        </w:rPr>
      </w:pPr>
      <w:r>
        <w:rPr>
          <w:color w:val="000000"/>
          <w:sz w:val="24"/>
        </w:rPr>
        <w:t xml:space="preserve">设备运行率是指已上传数据量与应上传数据量之比，数据有效率是指有效数据量与应上传数据量之比。</w:t>
      </w:r>
      <w:r>
        <w:rPr>
          <w:color w:val="000000"/>
          <w:sz w:val="24"/>
        </w:rPr>
      </w:r>
      <w:r/>
    </w:p>
    <w:p>
      <w:pPr>
        <w:pStyle w:val="963"/>
        <w:numPr>
          <w:ilvl w:val="2"/>
          <w:numId w:val="6"/>
        </w:numPr>
        <w:jc w:val="left"/>
        <w:keepLines/>
        <w:keepNext/>
        <w:spacing w:line="360" w:lineRule="auto"/>
        <w:rPr>
          <w:b/>
          <w:bCs/>
          <w:color w:val="000000"/>
          <w:sz w:val="24"/>
        </w:rPr>
        <w:outlineLvl w:val="3"/>
      </w:pPr>
      <w:r>
        <w:rPr>
          <w:b/>
          <w:bCs/>
          <w:color w:val="000000"/>
          <w:sz w:val="24"/>
        </w:rPr>
        <w:t xml:space="preserve"> 运维工作要求</w:t>
      </w:r>
      <w:r>
        <w:rPr>
          <w:b/>
          <w:bCs/>
          <w:color w:val="000000"/>
          <w:sz w:val="24"/>
        </w:rPr>
      </w:r>
      <w:r/>
    </w:p>
    <w:p>
      <w:pPr>
        <w:pStyle w:val="963"/>
        <w:ind w:firstLine="480"/>
        <w:jc w:val="left"/>
        <w:spacing w:line="360" w:lineRule="auto"/>
        <w:widowControl/>
        <w:rPr>
          <w:color w:val="000000"/>
          <w:sz w:val="24"/>
        </w:rPr>
      </w:pPr>
      <w:r>
        <w:rPr>
          <w:color w:val="000000"/>
          <w:sz w:val="24"/>
        </w:rPr>
        <w:t xml:space="preserve">运维单位应遵守省国家、省关于空气自动站运行管理的各项规定， 如运维期间出台新的运行管理规定，则运维工作按最新规定执行。</w:t>
      </w:r>
      <w:r>
        <w:rPr>
          <w:color w:val="000000"/>
          <w:sz w:val="24"/>
        </w:rPr>
      </w:r>
      <w:r/>
    </w:p>
    <w:p>
      <w:pPr>
        <w:pStyle w:val="963"/>
        <w:numPr>
          <w:ilvl w:val="3"/>
          <w:numId w:val="6"/>
        </w:numPr>
        <w:jc w:val="left"/>
        <w:keepLines/>
        <w:keepNext/>
        <w:spacing w:line="360" w:lineRule="auto"/>
        <w:rPr>
          <w:b/>
          <w:bCs/>
          <w:color w:val="000000"/>
          <w:sz w:val="24"/>
        </w:rPr>
        <w:outlineLvl w:val="4"/>
      </w:pPr>
      <w:r>
        <w:rPr>
          <w:b/>
          <w:bCs/>
          <w:color w:val="000000"/>
          <w:sz w:val="24"/>
        </w:rPr>
        <w:t xml:space="preserve"> 运维工作一般要求如下</w:t>
      </w:r>
      <w:r>
        <w:rPr>
          <w:b/>
          <w:bCs/>
          <w:color w:val="000000"/>
          <w:sz w:val="24"/>
        </w:rPr>
      </w:r>
      <w:r/>
    </w:p>
    <w:p>
      <w:pPr>
        <w:pStyle w:val="963"/>
        <w:numPr>
          <w:ilvl w:val="0"/>
          <w:numId w:val="8"/>
        </w:numPr>
        <w:ind w:firstLine="480"/>
        <w:jc w:val="left"/>
        <w:spacing w:line="360" w:lineRule="auto"/>
        <w:widowControl/>
        <w:rPr>
          <w:color w:val="000000"/>
          <w:sz w:val="24"/>
        </w:rPr>
      </w:pPr>
      <w:r>
        <w:rPr>
          <w:color w:val="000000"/>
          <w:sz w:val="24"/>
        </w:rPr>
        <w:t xml:space="preserve">保持站房内部环境清洁，布置整齐，各仪器设备干净清洁，设备标识清楚；</w:t>
      </w:r>
      <w:r>
        <w:rPr>
          <w:color w:val="000000"/>
          <w:sz w:val="24"/>
        </w:rPr>
      </w:r>
      <w:r/>
    </w:p>
    <w:p>
      <w:pPr>
        <w:pStyle w:val="963"/>
        <w:numPr>
          <w:ilvl w:val="0"/>
          <w:numId w:val="8"/>
        </w:numPr>
        <w:ind w:firstLine="480"/>
        <w:jc w:val="left"/>
        <w:spacing w:line="360" w:lineRule="auto"/>
        <w:widowControl/>
        <w:rPr>
          <w:color w:val="000000"/>
          <w:sz w:val="24"/>
        </w:rPr>
      </w:pPr>
      <w:r>
        <w:rPr>
          <w:color w:val="000000"/>
          <w:sz w:val="24"/>
        </w:rPr>
        <w:t xml:space="preserve">保持站房外20m以内的环境清洁；</w:t>
      </w:r>
      <w:r>
        <w:rPr>
          <w:color w:val="000000"/>
          <w:sz w:val="24"/>
        </w:rPr>
      </w:r>
      <w:r/>
    </w:p>
    <w:p>
      <w:pPr>
        <w:pStyle w:val="963"/>
        <w:numPr>
          <w:ilvl w:val="0"/>
          <w:numId w:val="8"/>
        </w:numPr>
        <w:ind w:firstLine="480"/>
        <w:jc w:val="left"/>
        <w:spacing w:line="360" w:lineRule="auto"/>
        <w:widowControl/>
        <w:rPr>
          <w:color w:val="000000"/>
          <w:sz w:val="24"/>
        </w:rPr>
      </w:pPr>
      <w:r>
        <w:rPr>
          <w:color w:val="000000"/>
          <w:sz w:val="24"/>
        </w:rPr>
        <w:t xml:space="preserve">检查供电和网络通讯情况，保证系统的正常运行；</w:t>
      </w:r>
      <w:r>
        <w:rPr>
          <w:color w:val="000000"/>
          <w:sz w:val="24"/>
        </w:rPr>
      </w:r>
      <w:r/>
    </w:p>
    <w:p>
      <w:pPr>
        <w:pStyle w:val="963"/>
        <w:numPr>
          <w:ilvl w:val="0"/>
          <w:numId w:val="8"/>
        </w:numPr>
        <w:ind w:firstLine="480"/>
        <w:jc w:val="left"/>
        <w:spacing w:line="360" w:lineRule="auto"/>
        <w:widowControl/>
        <w:rPr>
          <w:color w:val="000000"/>
          <w:sz w:val="24"/>
        </w:rPr>
      </w:pPr>
      <w:r>
        <w:rPr>
          <w:color w:val="000000"/>
          <w:sz w:val="24"/>
        </w:rPr>
        <w:t xml:space="preserve">保证空调正常工作，站房内温度 25±5℃，相对湿度保持在 80%RH 以下；</w:t>
      </w:r>
      <w:r>
        <w:rPr>
          <w:color w:val="000000"/>
          <w:sz w:val="24"/>
        </w:rPr>
      </w:r>
      <w:r/>
    </w:p>
    <w:p>
      <w:pPr>
        <w:pStyle w:val="963"/>
        <w:numPr>
          <w:ilvl w:val="0"/>
          <w:numId w:val="8"/>
        </w:numPr>
        <w:ind w:firstLine="480"/>
        <w:jc w:val="left"/>
        <w:spacing w:line="360" w:lineRule="auto"/>
        <w:widowControl/>
        <w:rPr>
          <w:color w:val="000000"/>
          <w:sz w:val="24"/>
        </w:rPr>
      </w:pPr>
      <w:r>
        <w:rPr>
          <w:color w:val="000000"/>
          <w:sz w:val="24"/>
        </w:rPr>
        <w:t xml:space="preserve">指派专人维护，设备固定牢固，门窗关闭良好，人走关门，非工作人员未经许可不得入内；</w:t>
      </w:r>
      <w:r>
        <w:rPr>
          <w:color w:val="000000"/>
          <w:sz w:val="24"/>
        </w:rPr>
      </w:r>
      <w:r/>
    </w:p>
    <w:p>
      <w:pPr>
        <w:pStyle w:val="963"/>
        <w:numPr>
          <w:ilvl w:val="0"/>
          <w:numId w:val="8"/>
        </w:numPr>
        <w:ind w:firstLine="480"/>
        <w:jc w:val="left"/>
        <w:spacing w:line="360" w:lineRule="auto"/>
        <w:widowControl/>
        <w:rPr>
          <w:color w:val="000000"/>
          <w:sz w:val="24"/>
        </w:rPr>
      </w:pPr>
      <w:r>
        <w:rPr>
          <w:color w:val="000000"/>
          <w:sz w:val="24"/>
        </w:rPr>
        <w:t xml:space="preserve">定期检查消防和安全设施；</w:t>
      </w:r>
      <w:r>
        <w:rPr>
          <w:color w:val="000000"/>
          <w:sz w:val="24"/>
        </w:rPr>
      </w:r>
      <w:r/>
    </w:p>
    <w:p>
      <w:pPr>
        <w:pStyle w:val="963"/>
        <w:numPr>
          <w:ilvl w:val="0"/>
          <w:numId w:val="8"/>
        </w:numPr>
        <w:ind w:firstLine="480"/>
        <w:jc w:val="left"/>
        <w:spacing w:line="360" w:lineRule="auto"/>
        <w:widowControl/>
        <w:rPr>
          <w:color w:val="000000"/>
          <w:sz w:val="24"/>
        </w:rPr>
      </w:pPr>
      <w:r>
        <w:rPr>
          <w:color w:val="000000"/>
          <w:sz w:val="24"/>
        </w:rPr>
        <w:t xml:space="preserve">每次维护后做好系统运行维护记录；</w:t>
      </w:r>
      <w:r>
        <w:rPr>
          <w:color w:val="000000"/>
          <w:sz w:val="24"/>
        </w:rPr>
      </w:r>
      <w:r/>
    </w:p>
    <w:p>
      <w:pPr>
        <w:pStyle w:val="963"/>
        <w:numPr>
          <w:ilvl w:val="0"/>
          <w:numId w:val="8"/>
        </w:numPr>
        <w:ind w:firstLine="480"/>
        <w:jc w:val="left"/>
        <w:spacing w:line="360" w:lineRule="auto"/>
        <w:widowControl/>
        <w:rPr>
          <w:color w:val="000000"/>
          <w:sz w:val="24"/>
        </w:rPr>
      </w:pPr>
      <w:r>
        <w:rPr>
          <w:color w:val="000000"/>
          <w:sz w:val="24"/>
        </w:rPr>
        <w:t xml:space="preserve">进行维护时，应规范操作，注意安全，防止意外发生。</w:t>
      </w:r>
      <w:r>
        <w:rPr>
          <w:color w:val="000000"/>
          <w:sz w:val="24"/>
        </w:rPr>
      </w:r>
      <w:r/>
    </w:p>
    <w:p>
      <w:pPr>
        <w:pStyle w:val="963"/>
        <w:numPr>
          <w:ilvl w:val="3"/>
          <w:numId w:val="6"/>
        </w:numPr>
        <w:jc w:val="left"/>
        <w:keepLines/>
        <w:keepNext/>
        <w:spacing w:line="360" w:lineRule="auto"/>
        <w:rPr>
          <w:b/>
          <w:bCs/>
          <w:color w:val="000000"/>
          <w:sz w:val="24"/>
        </w:rPr>
        <w:outlineLvl w:val="4"/>
      </w:pPr>
      <w:r>
        <w:rPr>
          <w:b/>
          <w:bCs/>
          <w:color w:val="000000"/>
          <w:sz w:val="24"/>
        </w:rPr>
        <w:t xml:space="preserve"> 每日工作内容如下</w:t>
      </w:r>
      <w:r>
        <w:rPr>
          <w:b/>
          <w:bCs/>
          <w:color w:val="000000"/>
          <w:sz w:val="24"/>
        </w:rPr>
      </w:r>
      <w:r/>
    </w:p>
    <w:p>
      <w:pPr>
        <w:pStyle w:val="963"/>
        <w:ind w:firstLine="480"/>
        <w:jc w:val="left"/>
        <w:spacing w:line="360" w:lineRule="auto"/>
        <w:widowControl/>
        <w:rPr>
          <w:color w:val="000000"/>
          <w:sz w:val="24"/>
        </w:rPr>
      </w:pPr>
      <w:r>
        <w:rPr>
          <w:color w:val="000000"/>
          <w:sz w:val="24"/>
        </w:rPr>
        <w:t xml:space="preserve">每天上午和下午两次远程查看空气自动监测站数据并形成记录，分析监测数据，对站点运行情况进行远程诊断和运行管理，内容包括：</w:t>
      </w:r>
      <w:r>
        <w:rPr>
          <w:color w:val="000000"/>
          <w:sz w:val="24"/>
        </w:rPr>
      </w:r>
      <w:r/>
    </w:p>
    <w:p>
      <w:pPr>
        <w:pStyle w:val="963"/>
        <w:ind w:firstLine="480"/>
        <w:jc w:val="left"/>
        <w:spacing w:line="360" w:lineRule="auto"/>
        <w:widowControl/>
        <w:rPr>
          <w:color w:val="000000"/>
          <w:sz w:val="24"/>
        </w:rPr>
      </w:pPr>
      <w:r>
        <w:rPr>
          <w:color w:val="000000"/>
          <w:sz w:val="24"/>
        </w:rPr>
        <w:t xml:space="preserve">(1) 判断系统数据采集与传输情况；</w:t>
      </w:r>
      <w:r>
        <w:rPr>
          <w:color w:val="000000"/>
          <w:sz w:val="24"/>
        </w:rPr>
      </w:r>
      <w:r/>
    </w:p>
    <w:p>
      <w:pPr>
        <w:pStyle w:val="963"/>
        <w:ind w:firstLine="480"/>
        <w:jc w:val="left"/>
        <w:spacing w:line="360" w:lineRule="auto"/>
        <w:widowControl/>
        <w:rPr>
          <w:color w:val="000000"/>
          <w:sz w:val="24"/>
        </w:rPr>
      </w:pPr>
      <w:r>
        <w:rPr>
          <w:color w:val="000000"/>
          <w:sz w:val="24"/>
        </w:rPr>
        <w:t xml:space="preserve">(2) 根据电源电压、站房温度、湿度数据判断站房内部情况；</w:t>
      </w:r>
      <w:r>
        <w:rPr>
          <w:color w:val="000000"/>
          <w:sz w:val="24"/>
        </w:rPr>
      </w:r>
      <w:r/>
    </w:p>
    <w:p>
      <w:pPr>
        <w:pStyle w:val="963"/>
        <w:ind w:firstLine="480"/>
        <w:jc w:val="left"/>
        <w:spacing w:line="360" w:lineRule="auto"/>
        <w:widowControl/>
        <w:rPr>
          <w:color w:val="000000"/>
          <w:sz w:val="24"/>
        </w:rPr>
      </w:pPr>
      <w:r>
        <w:rPr>
          <w:color w:val="000000"/>
          <w:sz w:val="24"/>
        </w:rPr>
        <w:t xml:space="preserve">(3) 发现监测数据异常应立即通知连云港市环境监测监控中心，并在4小时内赶到现场进行处理。对于一些易于排除的故障，维修时间不应超过12小时(包括通信线路、电力线路故障，及时与相关部门联系解决)；对不易诊断和维修的仪器故障，若48小时内无法排除，应安装备用仪器；</w:t>
      </w:r>
      <w:r>
        <w:rPr>
          <w:color w:val="000000"/>
          <w:sz w:val="24"/>
        </w:rPr>
      </w:r>
      <w:r/>
    </w:p>
    <w:p>
      <w:pPr>
        <w:pStyle w:val="963"/>
        <w:ind w:firstLine="480"/>
        <w:jc w:val="left"/>
        <w:spacing w:line="360" w:lineRule="auto"/>
        <w:widowControl/>
        <w:rPr>
          <w:color w:val="000000"/>
          <w:sz w:val="24"/>
        </w:rPr>
      </w:pPr>
      <w:r>
        <w:rPr>
          <w:color w:val="000000"/>
          <w:sz w:val="24"/>
        </w:rPr>
        <w:t xml:space="preserve">(4) 发生重污染天气等特殊情况后，应在4小时内开展相应的运维工作；</w:t>
      </w:r>
      <w:r>
        <w:rPr>
          <w:color w:val="000000"/>
          <w:sz w:val="24"/>
        </w:rPr>
      </w:r>
      <w:r/>
    </w:p>
    <w:p>
      <w:pPr>
        <w:pStyle w:val="963"/>
        <w:ind w:firstLine="480"/>
        <w:jc w:val="left"/>
        <w:spacing w:line="360" w:lineRule="auto"/>
        <w:widowControl/>
        <w:rPr>
          <w:color w:val="000000"/>
          <w:sz w:val="24"/>
        </w:rPr>
      </w:pPr>
      <w:r>
        <w:rPr>
          <w:color w:val="000000"/>
          <w:sz w:val="24"/>
        </w:rPr>
        <w:t xml:space="preserve">(5) 根据数据分析结果、设备状态参数和仪器故障报警信号，判断仪器运行情况和现场状况；</w:t>
      </w:r>
      <w:r>
        <w:rPr>
          <w:color w:val="000000"/>
          <w:sz w:val="24"/>
        </w:rPr>
      </w:r>
      <w:r/>
    </w:p>
    <w:p>
      <w:pPr>
        <w:pStyle w:val="963"/>
        <w:ind w:firstLine="480"/>
        <w:jc w:val="left"/>
        <w:spacing w:line="360" w:lineRule="auto"/>
        <w:widowControl/>
        <w:rPr>
          <w:color w:val="000000"/>
          <w:sz w:val="24"/>
        </w:rPr>
      </w:pPr>
      <w:r>
        <w:rPr>
          <w:color w:val="000000"/>
          <w:sz w:val="24"/>
        </w:rPr>
        <w:t xml:space="preserve">(6) 每日检查数据是否及时上传并正常发布，发现数据断网及时恢复。每天通过连云港市大气综合管理平台完成对前一日各监测点位原始小时值的审核，并提交小时值审核结果、日均值审核结果；数据审核报送工作完全按照省生态环境厅统一考核要求完成，对于未能按时在规定时间内完成审核的数据， 按省生态环境厅统一要求，以正式文件形式向连云港市环境监测监控中心报送书面审核结果及未能按时完成审核的原因。同时每月1日16时前将上月所有审核结果报送至连云港市环境监测监控中心。</w:t>
      </w:r>
      <w:r>
        <w:rPr>
          <w:color w:val="000000"/>
          <w:sz w:val="24"/>
        </w:rPr>
      </w:r>
      <w:r/>
    </w:p>
    <w:p>
      <w:pPr>
        <w:pStyle w:val="963"/>
        <w:numPr>
          <w:ilvl w:val="3"/>
          <w:numId w:val="6"/>
        </w:numPr>
        <w:jc w:val="left"/>
        <w:keepLines/>
        <w:keepNext/>
        <w:spacing w:line="360" w:lineRule="auto"/>
        <w:rPr>
          <w:b/>
          <w:bCs/>
          <w:color w:val="000000"/>
          <w:sz w:val="24"/>
        </w:rPr>
        <w:outlineLvl w:val="4"/>
      </w:pPr>
      <w:r>
        <w:rPr>
          <w:b/>
          <w:bCs/>
          <w:color w:val="000000"/>
          <w:sz w:val="24"/>
        </w:rPr>
        <w:t xml:space="preserve"> 每周工作内容如下</w:t>
      </w:r>
      <w:r>
        <w:rPr>
          <w:b/>
          <w:bCs/>
          <w:color w:val="000000"/>
          <w:sz w:val="24"/>
        </w:rPr>
      </w:r>
      <w:r/>
    </w:p>
    <w:p>
      <w:pPr>
        <w:pStyle w:val="963"/>
        <w:ind w:firstLine="480"/>
        <w:jc w:val="left"/>
        <w:spacing w:line="360" w:lineRule="auto"/>
        <w:widowControl/>
        <w:rPr>
          <w:color w:val="000000"/>
          <w:sz w:val="24"/>
        </w:rPr>
      </w:pPr>
      <w:r>
        <w:rPr>
          <w:color w:val="000000"/>
          <w:sz w:val="24"/>
        </w:rPr>
        <w:t xml:space="preserve">每周至少巡检空气自动监测站1次(最大间隔期不得超过8天，且14天内必须完成2次维护)，并做好巡查记录，巡检时需要完成的工作包括：</w:t>
      </w:r>
      <w:r>
        <w:rPr>
          <w:color w:val="000000"/>
          <w:sz w:val="24"/>
        </w:rPr>
      </w:r>
      <w:r/>
    </w:p>
    <w:p>
      <w:pPr>
        <w:pStyle w:val="963"/>
        <w:ind w:firstLine="480"/>
        <w:jc w:val="left"/>
        <w:spacing w:line="360" w:lineRule="auto"/>
        <w:widowControl/>
        <w:rPr>
          <w:color w:val="000000"/>
          <w:sz w:val="24"/>
        </w:rPr>
      </w:pPr>
      <w:r>
        <w:rPr>
          <w:color w:val="000000"/>
          <w:sz w:val="24"/>
        </w:rPr>
        <w:t xml:space="preserve">(1) 查看空气自动监测站设备是否齐备，无丢失和损坏；检查接地线路是否可靠，排风排气装置工作是否正常，标准气钢瓶阀门是否漏气，标准气的消耗情况；</w:t>
      </w:r>
      <w:r>
        <w:rPr>
          <w:color w:val="000000"/>
          <w:sz w:val="24"/>
        </w:rPr>
      </w:r>
      <w:r/>
    </w:p>
    <w:p>
      <w:pPr>
        <w:pStyle w:val="963"/>
        <w:ind w:firstLine="480"/>
        <w:jc w:val="left"/>
        <w:spacing w:line="360" w:lineRule="auto"/>
        <w:widowControl/>
        <w:rPr>
          <w:color w:val="000000"/>
          <w:sz w:val="24"/>
        </w:rPr>
      </w:pPr>
      <w:r>
        <w:rPr>
          <w:color w:val="000000"/>
          <w:sz w:val="24"/>
        </w:rPr>
        <w:t xml:space="preserve">(2) 检查采样和排气管路是否有漏气或堵塞现象，各监测仪器采样流量是否正常；</w:t>
      </w:r>
      <w:r>
        <w:rPr>
          <w:color w:val="000000"/>
          <w:sz w:val="24"/>
        </w:rPr>
      </w:r>
      <w:r/>
    </w:p>
    <w:p>
      <w:pPr>
        <w:pStyle w:val="963"/>
        <w:ind w:firstLine="480"/>
        <w:jc w:val="left"/>
        <w:spacing w:line="360" w:lineRule="auto"/>
        <w:widowControl/>
        <w:rPr>
          <w:color w:val="000000"/>
          <w:sz w:val="24"/>
        </w:rPr>
      </w:pPr>
      <w:r>
        <w:rPr>
          <w:color w:val="000000"/>
          <w:sz w:val="24"/>
        </w:rPr>
        <w:t xml:space="preserve">(3) 检查各监测仪器的运行状况和工作参数，判断是否正常，如有异常情况及时处理，保证仪器运行正常；</w:t>
      </w:r>
      <w:r>
        <w:rPr>
          <w:color w:val="000000"/>
          <w:sz w:val="24"/>
        </w:rPr>
      </w:r>
      <w:r/>
    </w:p>
    <w:p>
      <w:pPr>
        <w:pStyle w:val="963"/>
        <w:ind w:firstLine="480"/>
        <w:jc w:val="left"/>
        <w:spacing w:line="360" w:lineRule="auto"/>
        <w:widowControl/>
        <w:rPr>
          <w:color w:val="000000"/>
          <w:sz w:val="24"/>
        </w:rPr>
      </w:pPr>
      <w:r>
        <w:rPr>
          <w:color w:val="000000"/>
          <w:sz w:val="24"/>
        </w:rPr>
        <w:t xml:space="preserve">(4) 检查PM</w:t>
      </w:r>
      <w:r>
        <w:rPr>
          <w:color w:val="000000"/>
          <w:sz w:val="24"/>
          <w:vertAlign w:val="subscript"/>
        </w:rPr>
        <w:t xml:space="preserve">10</w:t>
      </w:r>
      <w:r>
        <w:rPr>
          <w:color w:val="000000"/>
          <w:sz w:val="24"/>
        </w:rPr>
        <w:t xml:space="preserve">与PM</w:t>
      </w:r>
      <w:r>
        <w:rPr>
          <w:color w:val="000000"/>
          <w:sz w:val="24"/>
          <w:vertAlign w:val="subscript"/>
        </w:rPr>
        <w:t xml:space="preserve">2.5</w:t>
      </w:r>
      <w:r>
        <w:rPr>
          <w:color w:val="000000"/>
          <w:sz w:val="24"/>
        </w:rPr>
        <w:t xml:space="preserve">监测仪动态加热装置及采样总管加热装置是否正常工作；</w:t>
      </w:r>
      <w:r>
        <w:rPr>
          <w:color w:val="000000"/>
          <w:sz w:val="24"/>
        </w:rPr>
      </w:r>
      <w:r/>
    </w:p>
    <w:p>
      <w:pPr>
        <w:pStyle w:val="963"/>
        <w:ind w:firstLine="480"/>
        <w:jc w:val="left"/>
        <w:spacing w:line="360" w:lineRule="auto"/>
        <w:widowControl/>
        <w:rPr>
          <w:color w:val="000000"/>
          <w:sz w:val="24"/>
        </w:rPr>
      </w:pPr>
      <w:r>
        <w:rPr>
          <w:color w:val="000000"/>
          <w:sz w:val="24"/>
        </w:rPr>
        <w:t xml:space="preserve">(5) 对二氧化硫、一氧化碳、臭氧、氮氧化物监测仪进行零点、跨度检查，如果漂移超过国家相关规范要求，需要进行校准或维修；</w:t>
      </w:r>
      <w:r>
        <w:rPr>
          <w:color w:val="000000"/>
          <w:sz w:val="24"/>
        </w:rPr>
      </w:r>
      <w:r/>
    </w:p>
    <w:p>
      <w:pPr>
        <w:pStyle w:val="963"/>
        <w:ind w:firstLine="480"/>
        <w:jc w:val="left"/>
        <w:spacing w:line="360" w:lineRule="auto"/>
        <w:widowControl/>
        <w:rPr>
          <w:color w:val="000000"/>
          <w:sz w:val="24"/>
        </w:rPr>
      </w:pPr>
      <w:r>
        <w:rPr>
          <w:color w:val="000000"/>
          <w:sz w:val="24"/>
        </w:rPr>
        <w:t xml:space="preserve">(6) 按照仪器说明书要求，对零气发生器进行维护；</w:t>
      </w:r>
      <w:r>
        <w:rPr>
          <w:color w:val="000000"/>
          <w:sz w:val="24"/>
        </w:rPr>
      </w:r>
      <w:r/>
    </w:p>
    <w:p>
      <w:pPr>
        <w:pStyle w:val="963"/>
        <w:ind w:firstLine="480"/>
        <w:jc w:val="left"/>
        <w:spacing w:line="360" w:lineRule="auto"/>
        <w:widowControl/>
        <w:rPr>
          <w:color w:val="000000"/>
          <w:sz w:val="24"/>
        </w:rPr>
      </w:pPr>
      <w:r>
        <w:rPr>
          <w:color w:val="000000"/>
          <w:sz w:val="24"/>
        </w:rPr>
        <w:t xml:space="preserve">(7) 检查外部环境是否正常，有没有对测定结果或运行环境存在明显影响的污染源，如发现问题及时报告市环境监测监控中心；</w:t>
      </w:r>
      <w:r>
        <w:rPr>
          <w:color w:val="000000"/>
          <w:sz w:val="24"/>
        </w:rPr>
      </w:r>
      <w:r/>
    </w:p>
    <w:p>
      <w:pPr>
        <w:pStyle w:val="963"/>
        <w:ind w:firstLine="480"/>
        <w:jc w:val="left"/>
        <w:spacing w:line="360" w:lineRule="auto"/>
        <w:widowControl/>
        <w:rPr>
          <w:color w:val="000000"/>
          <w:sz w:val="24"/>
        </w:rPr>
      </w:pPr>
      <w:r>
        <w:rPr>
          <w:color w:val="000000"/>
          <w:sz w:val="24"/>
        </w:rPr>
        <w:t xml:space="preserve">(8) 检查电路系统和通讯系统，保证系统供电正常，电压稳定；</w:t>
      </w:r>
      <w:r>
        <w:rPr>
          <w:color w:val="000000"/>
          <w:sz w:val="24"/>
        </w:rPr>
      </w:r>
      <w:r/>
    </w:p>
    <w:p>
      <w:pPr>
        <w:pStyle w:val="963"/>
        <w:ind w:firstLine="480"/>
        <w:jc w:val="left"/>
        <w:spacing w:line="360" w:lineRule="auto"/>
        <w:widowControl/>
        <w:rPr>
          <w:color w:val="000000"/>
          <w:sz w:val="24"/>
        </w:rPr>
      </w:pPr>
      <w:r>
        <w:rPr>
          <w:color w:val="000000"/>
          <w:sz w:val="24"/>
        </w:rPr>
        <w:t xml:space="preserve">(9) 检查空气自动监测站的通讯系统，保证空气自动监测站与相关数据监控平台的连接正常，数据传输正常；确保无远程控制软件；</w:t>
      </w:r>
      <w:r>
        <w:rPr>
          <w:color w:val="000000"/>
          <w:sz w:val="24"/>
        </w:rPr>
      </w:r>
      <w:r/>
    </w:p>
    <w:p>
      <w:pPr>
        <w:pStyle w:val="963"/>
        <w:ind w:firstLine="480"/>
        <w:jc w:val="left"/>
        <w:spacing w:line="360" w:lineRule="auto"/>
        <w:widowControl/>
        <w:rPr>
          <w:color w:val="000000"/>
          <w:sz w:val="24"/>
        </w:rPr>
      </w:pPr>
      <w:r>
        <w:rPr>
          <w:color w:val="000000"/>
          <w:sz w:val="24"/>
        </w:rPr>
        <w:t xml:space="preserve">(10) 对仪器显示数据、时间与数据采集仪之间的一致性进行检查和校准；</w:t>
      </w:r>
      <w:r>
        <w:rPr>
          <w:color w:val="000000"/>
          <w:sz w:val="24"/>
        </w:rPr>
      </w:r>
      <w:r/>
    </w:p>
    <w:p>
      <w:pPr>
        <w:pStyle w:val="963"/>
        <w:ind w:firstLine="480"/>
        <w:jc w:val="left"/>
        <w:spacing w:line="360" w:lineRule="auto"/>
        <w:widowControl/>
        <w:rPr>
          <w:color w:val="000000"/>
          <w:sz w:val="24"/>
        </w:rPr>
      </w:pPr>
      <w:r>
        <w:rPr>
          <w:color w:val="000000"/>
          <w:sz w:val="24"/>
        </w:rPr>
        <w:t xml:space="preserve">(11) 检查监测仪器的采样入口与采样支路管线结合部之间安装的过滤膜的污染情况，每周更换滤膜并检查监测仪器散热风扇污染情况，及时清洗；</w:t>
      </w:r>
      <w:r>
        <w:rPr>
          <w:color w:val="000000"/>
          <w:sz w:val="24"/>
        </w:rPr>
      </w:r>
      <w:r/>
    </w:p>
    <w:p>
      <w:pPr>
        <w:pStyle w:val="963"/>
        <w:ind w:firstLine="480"/>
        <w:jc w:val="left"/>
        <w:spacing w:line="360" w:lineRule="auto"/>
        <w:widowControl/>
        <w:rPr>
          <w:color w:val="000000"/>
          <w:sz w:val="24"/>
        </w:rPr>
      </w:pPr>
      <w:r>
        <w:rPr>
          <w:color w:val="000000"/>
          <w:sz w:val="24"/>
        </w:rPr>
        <w:t xml:space="preserve">(12) 在冬、夏季节应注意空气自动监测站站房室内外温差，若温差较大，应及时改变站房温度或对采样总管采取适当的控制措施，防止冷凝现象；</w:t>
      </w:r>
      <w:r>
        <w:rPr>
          <w:color w:val="000000"/>
          <w:sz w:val="24"/>
        </w:rPr>
      </w:r>
      <w:r/>
    </w:p>
    <w:p>
      <w:pPr>
        <w:pStyle w:val="963"/>
        <w:ind w:firstLine="480"/>
        <w:jc w:val="left"/>
        <w:spacing w:line="360" w:lineRule="auto"/>
        <w:widowControl/>
        <w:rPr>
          <w:color w:val="000000"/>
          <w:sz w:val="24"/>
        </w:rPr>
      </w:pPr>
      <w:r>
        <w:rPr>
          <w:color w:val="000000"/>
          <w:sz w:val="24"/>
        </w:rPr>
        <w:t xml:space="preserve">(13) 应及时清除空气自动监测站站房周围的杂草和积水，当周围树木生长超过规范规定的控制限时，应及时剪除对采样或监测光束有影响的树枝；</w:t>
      </w:r>
      <w:r>
        <w:rPr>
          <w:color w:val="000000"/>
          <w:sz w:val="24"/>
        </w:rPr>
      </w:r>
      <w:r/>
    </w:p>
    <w:p>
      <w:pPr>
        <w:pStyle w:val="963"/>
        <w:ind w:firstLine="480"/>
        <w:jc w:val="left"/>
        <w:spacing w:line="360" w:lineRule="auto"/>
        <w:widowControl/>
        <w:rPr>
          <w:color w:val="000000"/>
          <w:sz w:val="24"/>
        </w:rPr>
      </w:pPr>
      <w:r>
        <w:rPr>
          <w:color w:val="000000"/>
          <w:sz w:val="24"/>
        </w:rPr>
        <w:t xml:space="preserve">(14) 应经常检查避雷设施是否可靠，空气自动监测站房屋是否有漏雨现象， 天线是否被刮坏，站房外围的其它设施是否有损坏或被水淹，如遇到以上问题应及时处理，保证系统安全运行；</w:t>
      </w:r>
      <w:r>
        <w:rPr>
          <w:color w:val="000000"/>
          <w:sz w:val="24"/>
        </w:rPr>
      </w:r>
      <w:r/>
    </w:p>
    <w:p>
      <w:pPr>
        <w:pStyle w:val="963"/>
        <w:ind w:firstLine="480"/>
        <w:jc w:val="left"/>
        <w:spacing w:line="360" w:lineRule="auto"/>
        <w:widowControl/>
        <w:rPr>
          <w:color w:val="000000"/>
          <w:sz w:val="24"/>
        </w:rPr>
      </w:pPr>
      <w:r>
        <w:rPr>
          <w:color w:val="000000"/>
          <w:sz w:val="24"/>
        </w:rPr>
        <w:t xml:space="preserve">(15) 检查站房的安全设施，做好防火防盗工作；</w:t>
      </w:r>
      <w:r>
        <w:rPr>
          <w:color w:val="000000"/>
          <w:sz w:val="24"/>
        </w:rPr>
      </w:r>
      <w:r/>
    </w:p>
    <w:p>
      <w:pPr>
        <w:pStyle w:val="963"/>
        <w:ind w:firstLine="480"/>
        <w:jc w:val="left"/>
        <w:spacing w:line="360" w:lineRule="auto"/>
        <w:widowControl/>
        <w:rPr>
          <w:color w:val="000000"/>
          <w:sz w:val="24"/>
        </w:rPr>
      </w:pPr>
      <w:r>
        <w:rPr>
          <w:color w:val="000000"/>
          <w:sz w:val="24"/>
        </w:rPr>
        <w:t xml:space="preserve">(16) 每周对颗粒物的采样纸带或滤膜进行检查，如纸带即将用尽或滤膜负载超过规定要求，及时进行更换；</w:t>
      </w:r>
      <w:r>
        <w:rPr>
          <w:color w:val="000000"/>
          <w:sz w:val="24"/>
        </w:rPr>
      </w:r>
      <w:r/>
    </w:p>
    <w:p>
      <w:pPr>
        <w:pStyle w:val="963"/>
        <w:ind w:firstLine="480"/>
        <w:jc w:val="left"/>
        <w:spacing w:line="360" w:lineRule="auto"/>
        <w:widowControl/>
        <w:rPr>
          <w:color w:val="000000"/>
          <w:sz w:val="24"/>
        </w:rPr>
      </w:pPr>
      <w:r>
        <w:rPr>
          <w:color w:val="000000"/>
          <w:sz w:val="24"/>
        </w:rPr>
        <w:t xml:space="preserve">(17) 每周检查视频监控系统，并做好视频系统的日常维护。若发现人为干扰干预环境空气质量监测的行为，及时向连云港市环境监测监控中心汇报；</w:t>
      </w:r>
      <w:r>
        <w:rPr>
          <w:color w:val="000000"/>
          <w:sz w:val="24"/>
        </w:rPr>
      </w:r>
      <w:r/>
    </w:p>
    <w:p>
      <w:pPr>
        <w:pStyle w:val="963"/>
        <w:ind w:firstLine="480"/>
        <w:jc w:val="left"/>
        <w:spacing w:line="360" w:lineRule="auto"/>
        <w:widowControl/>
        <w:rPr>
          <w:color w:val="000000"/>
          <w:sz w:val="24"/>
        </w:rPr>
      </w:pPr>
      <w:r>
        <w:rPr>
          <w:color w:val="000000"/>
          <w:sz w:val="24"/>
        </w:rPr>
        <w:t xml:space="preserve">(18) 每周对站房内外环境卫生进行检查，及时保洁。</w:t>
      </w:r>
      <w:r>
        <w:rPr>
          <w:color w:val="000000"/>
          <w:sz w:val="24"/>
        </w:rPr>
      </w:r>
      <w:r/>
    </w:p>
    <w:p>
      <w:pPr>
        <w:pStyle w:val="963"/>
        <w:numPr>
          <w:ilvl w:val="3"/>
          <w:numId w:val="6"/>
        </w:numPr>
        <w:jc w:val="left"/>
        <w:keepLines/>
        <w:keepNext/>
        <w:spacing w:line="360" w:lineRule="auto"/>
        <w:rPr>
          <w:b/>
          <w:bCs/>
          <w:color w:val="000000"/>
          <w:sz w:val="24"/>
        </w:rPr>
        <w:outlineLvl w:val="4"/>
      </w:pPr>
      <w:r>
        <w:rPr>
          <w:b/>
          <w:bCs/>
          <w:color w:val="000000"/>
          <w:sz w:val="24"/>
        </w:rPr>
        <w:t xml:space="preserve"> 每月工作内容如下</w:t>
      </w:r>
      <w:r>
        <w:rPr>
          <w:b/>
          <w:bCs/>
          <w:color w:val="000000"/>
          <w:sz w:val="24"/>
        </w:rPr>
      </w:r>
      <w:r/>
    </w:p>
    <w:p>
      <w:pPr>
        <w:pStyle w:val="963"/>
        <w:ind w:firstLine="480"/>
        <w:jc w:val="left"/>
        <w:spacing w:line="360" w:lineRule="auto"/>
        <w:widowControl/>
        <w:rPr>
          <w:color w:val="000000"/>
          <w:sz w:val="24"/>
        </w:rPr>
      </w:pPr>
      <w:r>
        <w:rPr>
          <w:color w:val="000000"/>
          <w:sz w:val="24"/>
        </w:rPr>
        <w:t xml:space="preserve">(1) 清洗PM</w:t>
      </w:r>
      <w:r>
        <w:rPr>
          <w:color w:val="000000"/>
          <w:sz w:val="24"/>
          <w:vertAlign w:val="subscript"/>
        </w:rPr>
        <w:t xml:space="preserve">10</w:t>
      </w:r>
      <w:r>
        <w:rPr>
          <w:color w:val="000000"/>
          <w:sz w:val="24"/>
        </w:rPr>
        <w:t xml:space="preserve">及PM</w:t>
      </w:r>
      <w:r>
        <w:rPr>
          <w:color w:val="000000"/>
          <w:sz w:val="24"/>
          <w:vertAlign w:val="subscript"/>
        </w:rPr>
        <w:t xml:space="preserve">2.5</w:t>
      </w:r>
      <w:r>
        <w:rPr>
          <w:color w:val="000000"/>
          <w:sz w:val="24"/>
        </w:rPr>
        <w:t xml:space="preserve">采样头(若遇重污染天气，则每周清洗一次)，检查β法颗粒物监测仪仪器喷嘴、压环、密封圈等部件；</w:t>
      </w:r>
      <w:r>
        <w:rPr>
          <w:color w:val="000000"/>
          <w:sz w:val="24"/>
        </w:rPr>
      </w:r>
      <w:r/>
    </w:p>
    <w:p>
      <w:pPr>
        <w:pStyle w:val="963"/>
        <w:ind w:firstLine="480"/>
        <w:jc w:val="left"/>
        <w:spacing w:line="360" w:lineRule="auto"/>
        <w:widowControl/>
        <w:rPr>
          <w:color w:val="000000"/>
          <w:sz w:val="24"/>
        </w:rPr>
      </w:pPr>
      <w:r>
        <w:rPr>
          <w:color w:val="000000"/>
          <w:sz w:val="24"/>
        </w:rPr>
        <w:t xml:space="preserve">(2) 检查PM</w:t>
      </w:r>
      <w:r>
        <w:rPr>
          <w:color w:val="000000"/>
          <w:sz w:val="24"/>
          <w:vertAlign w:val="subscript"/>
        </w:rPr>
        <w:t xml:space="preserve">10</w:t>
      </w:r>
      <w:r>
        <w:rPr>
          <w:color w:val="000000"/>
          <w:sz w:val="24"/>
        </w:rPr>
        <w:t xml:space="preserve">及PM</w:t>
      </w:r>
      <w:r>
        <w:rPr>
          <w:color w:val="000000"/>
          <w:sz w:val="24"/>
          <w:vertAlign w:val="subscript"/>
        </w:rPr>
        <w:t xml:space="preserve">2.5</w:t>
      </w:r>
      <w:r>
        <w:rPr>
          <w:color w:val="000000"/>
          <w:sz w:val="24"/>
        </w:rPr>
        <w:t xml:space="preserve">监测仪、气态监测仪、动态校准仪流量，超过国家相关规范要求时应进行校准；</w:t>
      </w:r>
      <w:r>
        <w:rPr>
          <w:color w:val="000000"/>
          <w:sz w:val="24"/>
        </w:rPr>
      </w:r>
      <w:r/>
    </w:p>
    <w:p>
      <w:pPr>
        <w:pStyle w:val="963"/>
        <w:ind w:firstLine="480"/>
        <w:jc w:val="left"/>
        <w:spacing w:line="360" w:lineRule="auto"/>
        <w:widowControl/>
        <w:rPr>
          <w:color w:val="000000"/>
          <w:sz w:val="24"/>
        </w:rPr>
      </w:pPr>
      <w:r>
        <w:rPr>
          <w:color w:val="000000"/>
          <w:sz w:val="24"/>
        </w:rPr>
        <w:t xml:space="preserve">(3) 每月对数据和运维记录进行备份；</w:t>
      </w:r>
      <w:r>
        <w:rPr>
          <w:color w:val="000000"/>
          <w:sz w:val="24"/>
        </w:rPr>
      </w:r>
      <w:r/>
    </w:p>
    <w:p>
      <w:pPr>
        <w:pStyle w:val="963"/>
        <w:ind w:firstLine="480"/>
        <w:jc w:val="left"/>
        <w:spacing w:line="360" w:lineRule="auto"/>
        <w:widowControl/>
        <w:rPr>
          <w:color w:val="000000"/>
          <w:sz w:val="24"/>
        </w:rPr>
      </w:pPr>
      <w:r>
        <w:rPr>
          <w:color w:val="000000"/>
          <w:sz w:val="24"/>
        </w:rPr>
        <w:t xml:space="preserve">(4) 检查和校准PM</w:t>
      </w:r>
      <w:r>
        <w:rPr>
          <w:color w:val="000000"/>
          <w:sz w:val="24"/>
          <w:vertAlign w:val="subscript"/>
        </w:rPr>
        <w:t xml:space="preserve">2.5</w:t>
      </w:r>
      <w:r>
        <w:rPr>
          <w:color w:val="000000"/>
          <w:sz w:val="24"/>
        </w:rPr>
        <w:t xml:space="preserve">、PM</w:t>
      </w:r>
      <w:r>
        <w:rPr>
          <w:color w:val="000000"/>
          <w:sz w:val="24"/>
          <w:vertAlign w:val="subscript"/>
        </w:rPr>
        <w:t xml:space="preserve">10</w:t>
      </w:r>
      <w:r>
        <w:rPr>
          <w:color w:val="000000"/>
          <w:sz w:val="24"/>
        </w:rPr>
        <w:t xml:space="preserve">监测仪相对湿度、温度传感器和压力传感器。</w:t>
      </w:r>
      <w:r>
        <w:rPr>
          <w:color w:val="000000"/>
          <w:sz w:val="24"/>
        </w:rPr>
      </w:r>
      <w:r/>
    </w:p>
    <w:p>
      <w:pPr>
        <w:pStyle w:val="963"/>
        <w:numPr>
          <w:ilvl w:val="3"/>
          <w:numId w:val="6"/>
        </w:numPr>
        <w:jc w:val="left"/>
        <w:keepLines/>
        <w:keepNext/>
        <w:spacing w:line="360" w:lineRule="auto"/>
        <w:rPr>
          <w:b/>
          <w:bCs/>
          <w:color w:val="000000"/>
          <w:sz w:val="24"/>
        </w:rPr>
        <w:outlineLvl w:val="4"/>
      </w:pPr>
      <w:r>
        <w:rPr>
          <w:b/>
          <w:bCs/>
          <w:color w:val="000000"/>
          <w:sz w:val="24"/>
        </w:rPr>
        <w:t xml:space="preserve"> 每季度工作内容如下</w:t>
      </w:r>
      <w:r>
        <w:rPr>
          <w:b/>
          <w:bCs/>
          <w:color w:val="000000"/>
          <w:sz w:val="24"/>
        </w:rPr>
      </w:r>
      <w:r/>
    </w:p>
    <w:p>
      <w:pPr>
        <w:pStyle w:val="963"/>
        <w:ind w:firstLine="480"/>
        <w:jc w:val="left"/>
        <w:spacing w:line="360" w:lineRule="auto"/>
        <w:widowControl/>
        <w:rPr>
          <w:color w:val="000000"/>
          <w:sz w:val="24"/>
        </w:rPr>
      </w:pPr>
      <w:r>
        <w:rPr>
          <w:color w:val="000000"/>
          <w:sz w:val="24"/>
        </w:rPr>
        <w:t xml:space="preserve">(1) 采样总管及采样风机每季度至少清洗一次；</w:t>
      </w:r>
      <w:r>
        <w:rPr>
          <w:color w:val="000000"/>
          <w:sz w:val="24"/>
        </w:rPr>
      </w:r>
      <w:r/>
    </w:p>
    <w:p>
      <w:pPr>
        <w:pStyle w:val="963"/>
        <w:ind w:firstLine="480"/>
        <w:jc w:val="left"/>
        <w:spacing w:line="360" w:lineRule="auto"/>
        <w:widowControl/>
        <w:rPr>
          <w:color w:val="000000"/>
          <w:sz w:val="24"/>
        </w:rPr>
      </w:pPr>
      <w:r>
        <w:rPr>
          <w:color w:val="000000"/>
          <w:sz w:val="24"/>
        </w:rPr>
        <w:t xml:space="preserve">(2) 对PM</w:t>
      </w:r>
      <w:r>
        <w:rPr>
          <w:color w:val="000000"/>
          <w:sz w:val="24"/>
          <w:vertAlign w:val="subscript"/>
        </w:rPr>
        <w:t xml:space="preserve">10</w:t>
      </w:r>
      <w:r>
        <w:rPr>
          <w:color w:val="000000"/>
          <w:sz w:val="24"/>
        </w:rPr>
        <w:t xml:space="preserve">和PM</w:t>
      </w:r>
      <w:r>
        <w:rPr>
          <w:color w:val="000000"/>
          <w:sz w:val="24"/>
          <w:vertAlign w:val="subscript"/>
        </w:rPr>
        <w:t xml:space="preserve">2.5</w:t>
      </w:r>
      <w:r>
        <w:rPr>
          <w:color w:val="000000"/>
          <w:sz w:val="24"/>
        </w:rPr>
        <w:t xml:space="preserve">监测仪器进行标准膜检查或K0值检查，超过国家相关规范要求时，及时进行校准或维修；</w:t>
      </w:r>
      <w:r>
        <w:rPr>
          <w:color w:val="000000"/>
          <w:sz w:val="24"/>
        </w:rPr>
      </w:r>
      <w:r/>
    </w:p>
    <w:p>
      <w:pPr>
        <w:pStyle w:val="963"/>
        <w:ind w:firstLine="480"/>
        <w:jc w:val="left"/>
        <w:spacing w:line="360" w:lineRule="auto"/>
        <w:widowControl/>
        <w:rPr>
          <w:color w:val="000000"/>
          <w:sz w:val="24"/>
        </w:rPr>
      </w:pPr>
      <w:r>
        <w:rPr>
          <w:color w:val="000000"/>
          <w:sz w:val="24"/>
        </w:rPr>
        <w:t xml:space="preserve">(3) 采用臭氧传递标准对空气自动监测站臭氧工作标准进行标准传递。</w:t>
      </w:r>
      <w:r>
        <w:rPr>
          <w:color w:val="000000"/>
          <w:sz w:val="24"/>
        </w:rPr>
      </w:r>
      <w:r/>
    </w:p>
    <w:p>
      <w:pPr>
        <w:pStyle w:val="963"/>
        <w:numPr>
          <w:ilvl w:val="3"/>
          <w:numId w:val="6"/>
        </w:numPr>
        <w:jc w:val="left"/>
        <w:keepLines/>
        <w:keepNext/>
        <w:spacing w:line="360" w:lineRule="auto"/>
        <w:rPr>
          <w:b/>
          <w:bCs/>
          <w:color w:val="000000"/>
          <w:sz w:val="24"/>
        </w:rPr>
        <w:outlineLvl w:val="4"/>
      </w:pPr>
      <w:r>
        <w:rPr>
          <w:b/>
          <w:bCs/>
          <w:color w:val="000000"/>
          <w:sz w:val="24"/>
        </w:rPr>
        <w:t xml:space="preserve"> 每半年工作内容如下</w:t>
      </w:r>
      <w:r>
        <w:rPr>
          <w:b/>
          <w:bCs/>
          <w:color w:val="000000"/>
          <w:sz w:val="24"/>
        </w:rPr>
      </w:r>
      <w:r/>
    </w:p>
    <w:p>
      <w:pPr>
        <w:pStyle w:val="963"/>
        <w:ind w:firstLine="480"/>
        <w:jc w:val="left"/>
        <w:spacing w:line="360" w:lineRule="auto"/>
        <w:widowControl/>
        <w:rPr>
          <w:color w:val="000000"/>
          <w:sz w:val="24"/>
        </w:rPr>
      </w:pPr>
      <w:r>
        <w:rPr>
          <w:color w:val="000000"/>
          <w:sz w:val="24"/>
        </w:rPr>
        <w:t xml:space="preserve">(1) 对气态污染物监测仪进行多点校准， 绘制校准曲线， 检验相关系数、斜率和截距；</w:t>
      </w:r>
      <w:r>
        <w:rPr>
          <w:color w:val="000000"/>
          <w:sz w:val="24"/>
        </w:rPr>
      </w:r>
      <w:r/>
    </w:p>
    <w:p>
      <w:pPr>
        <w:pStyle w:val="963"/>
        <w:ind w:firstLine="480"/>
        <w:jc w:val="left"/>
        <w:spacing w:line="360" w:lineRule="auto"/>
        <w:widowControl/>
        <w:rPr>
          <w:color w:val="000000"/>
          <w:sz w:val="24"/>
        </w:rPr>
      </w:pPr>
      <w:r>
        <w:rPr>
          <w:color w:val="000000"/>
          <w:sz w:val="24"/>
        </w:rPr>
        <w:t xml:space="preserve">(2) 振荡天平法颗粒物仪器每半年更换一次主路过滤器滤芯、旁路过滤器滤芯和气水分离器滤芯，污染较重时应及时更换滤芯；</w:t>
      </w:r>
      <w:r>
        <w:rPr>
          <w:color w:val="000000"/>
          <w:sz w:val="24"/>
        </w:rPr>
      </w:r>
      <w:r/>
    </w:p>
    <w:p>
      <w:pPr>
        <w:pStyle w:val="963"/>
        <w:ind w:firstLine="480"/>
        <w:jc w:val="left"/>
        <w:spacing w:line="360" w:lineRule="auto"/>
        <w:widowControl/>
        <w:rPr>
          <w:color w:val="000000"/>
          <w:sz w:val="24"/>
        </w:rPr>
      </w:pPr>
      <w:r>
        <w:rPr>
          <w:color w:val="000000"/>
          <w:sz w:val="24"/>
        </w:rPr>
        <w:t xml:space="preserve">(3) 更换零气源净化剂和氧化剂，对零气性能进行检查；</w:t>
      </w:r>
      <w:r>
        <w:rPr>
          <w:color w:val="000000"/>
          <w:sz w:val="24"/>
        </w:rPr>
      </w:r>
      <w:r/>
    </w:p>
    <w:p>
      <w:pPr>
        <w:pStyle w:val="963"/>
        <w:ind w:firstLine="480"/>
        <w:jc w:val="left"/>
        <w:spacing w:line="360" w:lineRule="auto"/>
        <w:widowControl/>
        <w:rPr>
          <w:color w:val="000000"/>
          <w:sz w:val="24"/>
        </w:rPr>
      </w:pPr>
      <w:r>
        <w:rPr>
          <w:color w:val="000000"/>
          <w:sz w:val="24"/>
        </w:rPr>
        <w:t xml:space="preserve">(4) 对氮氧化物监测仪钼炉转化率进行检查。</w:t>
      </w:r>
      <w:r>
        <w:rPr>
          <w:color w:val="000000"/>
          <w:sz w:val="24"/>
        </w:rPr>
      </w:r>
      <w:r/>
    </w:p>
    <w:p>
      <w:pPr>
        <w:pStyle w:val="963"/>
        <w:numPr>
          <w:ilvl w:val="3"/>
          <w:numId w:val="6"/>
        </w:numPr>
        <w:jc w:val="left"/>
        <w:keepLines/>
        <w:keepNext/>
        <w:spacing w:line="360" w:lineRule="auto"/>
        <w:rPr>
          <w:b/>
          <w:bCs/>
          <w:color w:val="000000"/>
          <w:sz w:val="24"/>
        </w:rPr>
        <w:outlineLvl w:val="4"/>
      </w:pPr>
      <w:r>
        <w:rPr>
          <w:b/>
          <w:bCs/>
          <w:color w:val="000000"/>
          <w:sz w:val="24"/>
        </w:rPr>
        <w:t xml:space="preserve"> 每年工作内容如下</w:t>
      </w:r>
      <w:r>
        <w:rPr>
          <w:b/>
          <w:bCs/>
          <w:color w:val="000000"/>
          <w:sz w:val="24"/>
        </w:rPr>
      </w:r>
      <w:r/>
    </w:p>
    <w:p>
      <w:pPr>
        <w:pStyle w:val="963"/>
        <w:numPr>
          <w:ilvl w:val="0"/>
          <w:numId w:val="9"/>
        </w:numPr>
        <w:ind w:firstLine="480"/>
        <w:jc w:val="left"/>
        <w:spacing w:line="360" w:lineRule="auto"/>
        <w:widowControl/>
        <w:rPr>
          <w:color w:val="000000"/>
          <w:sz w:val="24"/>
        </w:rPr>
      </w:pPr>
      <w:r>
        <w:rPr>
          <w:color w:val="000000"/>
          <w:sz w:val="24"/>
        </w:rPr>
        <w:t xml:space="preserve">按照仪器说明书对动态校准仪流量进行多点检查；</w:t>
      </w:r>
      <w:r>
        <w:rPr>
          <w:color w:val="000000"/>
          <w:sz w:val="24"/>
        </w:rPr>
      </w:r>
      <w:r/>
    </w:p>
    <w:p>
      <w:pPr>
        <w:pStyle w:val="963"/>
        <w:numPr>
          <w:ilvl w:val="0"/>
          <w:numId w:val="9"/>
        </w:numPr>
        <w:ind w:firstLine="480"/>
        <w:jc w:val="left"/>
        <w:spacing w:line="360" w:lineRule="auto"/>
        <w:widowControl/>
        <w:rPr>
          <w:color w:val="000000"/>
          <w:sz w:val="24"/>
        </w:rPr>
      </w:pPr>
      <w:r>
        <w:rPr>
          <w:color w:val="000000"/>
          <w:sz w:val="24"/>
        </w:rPr>
        <w:t xml:space="preserve">对所有的仪器(包括采样泵)进行预防性维护，按说明书的要求更换备件。</w:t>
      </w:r>
      <w:r>
        <w:rPr>
          <w:color w:val="000000"/>
          <w:sz w:val="24"/>
        </w:rPr>
      </w:r>
      <w:r/>
    </w:p>
    <w:p>
      <w:pPr>
        <w:pStyle w:val="963"/>
        <w:numPr>
          <w:ilvl w:val="3"/>
          <w:numId w:val="6"/>
        </w:numPr>
        <w:jc w:val="left"/>
        <w:keepLines/>
        <w:keepNext/>
        <w:spacing w:line="360" w:lineRule="auto"/>
        <w:rPr>
          <w:b/>
          <w:bCs/>
          <w:color w:val="000000"/>
          <w:sz w:val="24"/>
        </w:rPr>
        <w:outlineLvl w:val="4"/>
      </w:pPr>
      <w:r>
        <w:rPr>
          <w:b/>
          <w:bCs/>
          <w:color w:val="000000"/>
          <w:sz w:val="24"/>
        </w:rPr>
        <w:t xml:space="preserve"> 日常运维其他相关要求如下</w:t>
      </w:r>
      <w:r>
        <w:rPr>
          <w:b/>
          <w:bCs/>
          <w:color w:val="000000"/>
          <w:sz w:val="24"/>
        </w:rPr>
      </w:r>
      <w:r/>
    </w:p>
    <w:p>
      <w:pPr>
        <w:pStyle w:val="963"/>
        <w:ind w:firstLine="480"/>
        <w:jc w:val="left"/>
        <w:spacing w:line="360" w:lineRule="auto"/>
        <w:widowControl/>
        <w:rPr>
          <w:color w:val="000000"/>
          <w:sz w:val="24"/>
        </w:rPr>
      </w:pPr>
      <w:r>
        <w:rPr>
          <w:color w:val="000000"/>
          <w:sz w:val="24"/>
        </w:rPr>
        <w:t xml:space="preserve">(1) 每周更换的气态污染物监测仪器所用滤膜，必须为聚四氟乙烯材质；</w:t>
      </w:r>
      <w:r>
        <w:rPr>
          <w:color w:val="000000"/>
          <w:sz w:val="24"/>
        </w:rPr>
      </w:r>
      <w:r/>
    </w:p>
    <w:p>
      <w:pPr>
        <w:pStyle w:val="963"/>
        <w:ind w:firstLine="480"/>
        <w:jc w:val="left"/>
        <w:spacing w:line="360" w:lineRule="auto"/>
        <w:widowControl/>
        <w:rPr>
          <w:color w:val="000000"/>
          <w:sz w:val="24"/>
        </w:rPr>
      </w:pPr>
      <w:r>
        <w:rPr>
          <w:color w:val="000000"/>
          <w:sz w:val="24"/>
        </w:rPr>
        <w:t xml:space="preserve">(2) 应及时制定每月工作计划并将进出空气自动监测站的具体日期上报连云港市环境监测监控中心备案，并严格按计划执行，若有变更或临时突发情况处理等应及时上报连云港市环境监测监控中心备案；</w:t>
      </w:r>
      <w:r>
        <w:rPr>
          <w:color w:val="000000"/>
          <w:sz w:val="24"/>
        </w:rPr>
      </w:r>
      <w:r/>
    </w:p>
    <w:p>
      <w:pPr>
        <w:pStyle w:val="963"/>
        <w:ind w:firstLine="480"/>
        <w:jc w:val="left"/>
        <w:spacing w:line="360" w:lineRule="auto"/>
        <w:widowControl/>
        <w:rPr>
          <w:color w:val="000000"/>
          <w:sz w:val="24"/>
        </w:rPr>
      </w:pPr>
      <w:r>
        <w:rPr>
          <w:color w:val="000000"/>
          <w:sz w:val="24"/>
        </w:rPr>
        <w:t xml:space="preserve">(3) 运维单位保证满足生态环境部门对空气自动监测站仪器设备故障的响应时间要求，4小时内赶到现场进行处理。对于一些易于排除的故障，维修时间不应超过12小时(包括通信线路、电力线路故障，及时与相关部门联系解决)；对不易诊断和维修的仪器故障，若48小时内无法排除，应安装备用仪器；</w:t>
      </w:r>
      <w:r>
        <w:rPr>
          <w:color w:val="000000"/>
          <w:sz w:val="24"/>
        </w:rPr>
      </w:r>
      <w:r/>
    </w:p>
    <w:p>
      <w:pPr>
        <w:pStyle w:val="963"/>
        <w:ind w:firstLine="480"/>
        <w:jc w:val="left"/>
        <w:spacing w:line="360" w:lineRule="auto"/>
        <w:widowControl/>
        <w:rPr>
          <w:color w:val="000000"/>
          <w:sz w:val="24"/>
        </w:rPr>
      </w:pPr>
      <w:r>
        <w:rPr>
          <w:color w:val="000000"/>
          <w:sz w:val="24"/>
        </w:rPr>
        <w:t xml:space="preserve">(4) 当仪器损坏不能修复时，应在24小时之内使用备机开展监测，并同时报告连云港市环境监测监控中心，连云港市环境监测监控中心组织确认仪器损坏情况及原因，酌情处理；</w:t>
      </w:r>
      <w:r>
        <w:rPr>
          <w:color w:val="000000"/>
          <w:sz w:val="24"/>
        </w:rPr>
      </w:r>
      <w:r/>
    </w:p>
    <w:p>
      <w:pPr>
        <w:pStyle w:val="963"/>
        <w:ind w:firstLine="480"/>
        <w:jc w:val="left"/>
        <w:spacing w:line="360" w:lineRule="auto"/>
        <w:widowControl/>
        <w:rPr>
          <w:color w:val="000000"/>
          <w:sz w:val="24"/>
        </w:rPr>
      </w:pPr>
      <w:r>
        <w:rPr>
          <w:color w:val="000000"/>
          <w:sz w:val="24"/>
        </w:rPr>
        <w:t xml:space="preserve">(5) 仪器报废后(包括使用超过8年导致，或因洪水、地震、台风、站房外部火灾、爆炸、恐怖袭击、武装冲突、蓄意破坏等不可抗力导致)，运维单位须先行及时使用备机开展监测，同时报告连云港市环境监测监控中心；</w:t>
      </w:r>
      <w:r>
        <w:rPr>
          <w:color w:val="000000"/>
          <w:sz w:val="24"/>
        </w:rPr>
      </w:r>
      <w:r/>
    </w:p>
    <w:p>
      <w:pPr>
        <w:pStyle w:val="963"/>
        <w:ind w:firstLine="480"/>
        <w:jc w:val="left"/>
        <w:spacing w:line="360" w:lineRule="auto"/>
        <w:widowControl/>
        <w:rPr>
          <w:color w:val="000000"/>
          <w:sz w:val="24"/>
        </w:rPr>
      </w:pPr>
      <w:r>
        <w:rPr>
          <w:color w:val="000000"/>
          <w:sz w:val="24"/>
        </w:rPr>
        <w:t xml:space="preserve">(6) 严禁擅自改变采样管路连接方式和更改仪器参数设置。</w:t>
      </w:r>
      <w:r>
        <w:rPr>
          <w:color w:val="000000"/>
          <w:sz w:val="24"/>
        </w:rPr>
      </w:r>
      <w:r/>
    </w:p>
    <w:p>
      <w:pPr>
        <w:pStyle w:val="963"/>
        <w:numPr>
          <w:ilvl w:val="3"/>
          <w:numId w:val="6"/>
        </w:numPr>
        <w:jc w:val="left"/>
        <w:keepLines/>
        <w:keepNext/>
        <w:spacing w:line="360" w:lineRule="auto"/>
        <w:rPr>
          <w:b/>
          <w:bCs/>
          <w:color w:val="000000"/>
          <w:sz w:val="24"/>
        </w:rPr>
        <w:outlineLvl w:val="4"/>
      </w:pPr>
      <w:r>
        <w:rPr>
          <w:b/>
          <w:bCs/>
          <w:color w:val="000000"/>
          <w:sz w:val="24"/>
        </w:rPr>
        <w:t xml:space="preserve"> 质量控制要求</w:t>
      </w:r>
      <w:r>
        <w:rPr>
          <w:b/>
          <w:bCs/>
          <w:color w:val="000000"/>
          <w:sz w:val="24"/>
        </w:rPr>
      </w:r>
      <w:r/>
    </w:p>
    <w:p>
      <w:pPr>
        <w:pStyle w:val="963"/>
        <w:ind w:firstLine="480"/>
        <w:jc w:val="left"/>
        <w:spacing w:line="360" w:lineRule="auto"/>
        <w:widowControl/>
        <w:rPr>
          <w:color w:val="000000"/>
          <w:sz w:val="24"/>
        </w:rPr>
      </w:pPr>
      <w:r>
        <w:rPr>
          <w:color w:val="000000"/>
          <w:sz w:val="24"/>
        </w:rPr>
        <w:t xml:space="preserve">运维单位需认真落实质量管理制度，建立完善的运行维护工作质量管理体系， 安排专职质量控制管理人员。</w:t>
      </w:r>
      <w:r>
        <w:rPr>
          <w:color w:val="000000"/>
          <w:sz w:val="24"/>
        </w:rPr>
      </w:r>
      <w:r/>
    </w:p>
    <w:p>
      <w:pPr>
        <w:pStyle w:val="963"/>
        <w:numPr>
          <w:ilvl w:val="0"/>
          <w:numId w:val="10"/>
        </w:numPr>
        <w:ind w:firstLine="480"/>
        <w:jc w:val="left"/>
        <w:spacing w:line="360" w:lineRule="auto"/>
        <w:widowControl/>
        <w:rPr>
          <w:color w:val="000000"/>
          <w:sz w:val="24"/>
        </w:rPr>
      </w:pPr>
      <w:r>
        <w:rPr>
          <w:color w:val="000000"/>
          <w:sz w:val="24"/>
        </w:rPr>
        <w:t xml:space="preserve">量值溯源要求</w:t>
      </w:r>
      <w:r>
        <w:rPr>
          <w:color w:val="000000"/>
          <w:sz w:val="24"/>
        </w:rPr>
      </w:r>
      <w:r/>
    </w:p>
    <w:p>
      <w:pPr>
        <w:pStyle w:val="963"/>
        <w:ind w:firstLine="480"/>
        <w:jc w:val="left"/>
        <w:spacing w:line="360" w:lineRule="auto"/>
        <w:widowControl/>
        <w:rPr>
          <w:color w:val="000000"/>
          <w:sz w:val="24"/>
        </w:rPr>
      </w:pPr>
      <w:r>
        <w:rPr>
          <w:color w:val="000000"/>
          <w:sz w:val="24"/>
        </w:rPr>
        <w:t xml:space="preserve">运维单位在每个空气自动监测站需配备标准气体，所使用的标准气体须为一级有证标准样品或物质，新购标准气体应做验证实验，形成验证报告。另外，当钢瓶压力低于1.5MPa(含)时，标准停止使用。新的标气阀应预先进行3次(每次至少24小时)以上的老化后方可使用。标准气体必须在有效期内使用。</w:t>
      </w:r>
      <w:r>
        <w:rPr>
          <w:color w:val="000000"/>
          <w:sz w:val="24"/>
        </w:rPr>
      </w:r>
      <w:r/>
    </w:p>
    <w:p>
      <w:pPr>
        <w:pStyle w:val="963"/>
        <w:ind w:firstLine="480"/>
        <w:jc w:val="left"/>
        <w:spacing w:line="360" w:lineRule="auto"/>
        <w:widowControl/>
        <w:rPr>
          <w:color w:val="000000"/>
          <w:sz w:val="24"/>
        </w:rPr>
      </w:pPr>
      <w:r>
        <w:rPr>
          <w:color w:val="000000"/>
          <w:sz w:val="24"/>
        </w:rPr>
        <w:t xml:space="preserve">运维单位应每年将空气自动监测站运维所用的流量计、温度计、气压计、湿度计等质控设备送检，并取得计量部门颁发的合格证书，并根据业主要求定期开展核查工作。</w:t>
      </w:r>
      <w:r>
        <w:rPr>
          <w:color w:val="000000"/>
          <w:sz w:val="24"/>
        </w:rPr>
      </w:r>
      <w:r/>
    </w:p>
    <w:p>
      <w:pPr>
        <w:pStyle w:val="963"/>
        <w:numPr>
          <w:ilvl w:val="0"/>
          <w:numId w:val="10"/>
        </w:numPr>
        <w:ind w:firstLine="480"/>
        <w:jc w:val="left"/>
        <w:spacing w:line="360" w:lineRule="auto"/>
        <w:widowControl/>
        <w:rPr>
          <w:color w:val="000000"/>
          <w:sz w:val="24"/>
        </w:rPr>
      </w:pPr>
      <w:r>
        <w:rPr>
          <w:color w:val="000000"/>
          <w:sz w:val="24"/>
        </w:rPr>
        <w:t xml:space="preserve">日常质量控制要求</w:t>
      </w:r>
      <w:r>
        <w:rPr>
          <w:color w:val="000000"/>
          <w:sz w:val="24"/>
        </w:rPr>
      </w:r>
      <w:r/>
    </w:p>
    <w:p>
      <w:pPr>
        <w:pStyle w:val="963"/>
        <w:ind w:firstLine="480"/>
        <w:jc w:val="left"/>
        <w:spacing w:line="360" w:lineRule="auto"/>
        <w:widowControl/>
        <w:rPr>
          <w:color w:val="000000"/>
          <w:sz w:val="24"/>
        </w:rPr>
      </w:pPr>
      <w:r>
        <w:rPr>
          <w:color w:val="000000"/>
          <w:sz w:val="24"/>
        </w:rPr>
        <w:t xml:space="preserve">监测仪在以下情况下需进行校准：</w:t>
      </w:r>
      <w:r>
        <w:rPr>
          <w:color w:val="000000"/>
          <w:sz w:val="24"/>
        </w:rPr>
      </w:r>
      <w:r/>
    </w:p>
    <w:p>
      <w:pPr>
        <w:pStyle w:val="963"/>
        <w:ind w:firstLine="480"/>
        <w:jc w:val="left"/>
        <w:spacing w:line="360" w:lineRule="auto"/>
        <w:widowControl/>
        <w:rPr>
          <w:color w:val="000000"/>
          <w:sz w:val="24"/>
        </w:rPr>
      </w:pPr>
      <w:r>
        <w:rPr>
          <w:color w:val="000000"/>
          <w:sz w:val="24"/>
        </w:rPr>
        <w:t xml:space="preserve">① 安装时</w:t>
      </w:r>
      <w:r>
        <w:rPr>
          <w:color w:val="000000"/>
          <w:sz w:val="24"/>
        </w:rPr>
      </w:r>
      <w:r/>
    </w:p>
    <w:p>
      <w:pPr>
        <w:pStyle w:val="963"/>
        <w:ind w:firstLine="480"/>
        <w:jc w:val="left"/>
        <w:spacing w:line="360" w:lineRule="auto"/>
        <w:widowControl/>
        <w:rPr>
          <w:color w:val="000000"/>
          <w:sz w:val="24"/>
        </w:rPr>
      </w:pPr>
      <w:r>
        <w:rPr>
          <w:color w:val="000000"/>
          <w:sz w:val="24"/>
        </w:rPr>
        <w:t xml:space="preserve">② 移动位置时</w:t>
      </w:r>
      <w:r>
        <w:rPr>
          <w:color w:val="000000"/>
          <w:sz w:val="24"/>
        </w:rPr>
      </w:r>
      <w:r/>
    </w:p>
    <w:p>
      <w:pPr>
        <w:pStyle w:val="963"/>
        <w:ind w:firstLine="480"/>
        <w:jc w:val="left"/>
        <w:spacing w:line="360" w:lineRule="auto"/>
        <w:widowControl/>
        <w:rPr>
          <w:color w:val="000000"/>
          <w:sz w:val="24"/>
        </w:rPr>
      </w:pPr>
      <w:r>
        <w:rPr>
          <w:color w:val="000000"/>
          <w:sz w:val="24"/>
        </w:rPr>
        <w:t xml:space="preserve">③ 进行可能影响校准结果的维修或维护后</w:t>
      </w:r>
      <w:r>
        <w:rPr>
          <w:color w:val="000000"/>
          <w:sz w:val="24"/>
        </w:rPr>
      </w:r>
      <w:r/>
    </w:p>
    <w:p>
      <w:pPr>
        <w:pStyle w:val="963"/>
        <w:ind w:firstLine="480"/>
        <w:jc w:val="left"/>
        <w:spacing w:line="360" w:lineRule="auto"/>
        <w:widowControl/>
        <w:rPr>
          <w:color w:val="000000"/>
          <w:sz w:val="24"/>
        </w:rPr>
      </w:pPr>
      <w:r>
        <w:rPr>
          <w:color w:val="000000"/>
          <w:sz w:val="24"/>
        </w:rPr>
        <w:t xml:space="preserve">④ 监测仪暂停工作一段时间后</w:t>
      </w:r>
      <w:r>
        <w:rPr>
          <w:color w:val="000000"/>
          <w:sz w:val="24"/>
        </w:rPr>
      </w:r>
      <w:r/>
    </w:p>
    <w:p>
      <w:pPr>
        <w:pStyle w:val="963"/>
        <w:ind w:firstLine="480"/>
        <w:jc w:val="left"/>
        <w:spacing w:line="360" w:lineRule="auto"/>
        <w:widowControl/>
        <w:rPr>
          <w:color w:val="000000"/>
          <w:sz w:val="24"/>
        </w:rPr>
      </w:pPr>
      <w:r>
        <w:rPr>
          <w:color w:val="000000"/>
          <w:sz w:val="24"/>
        </w:rPr>
        <w:t xml:space="preserve">⑤ 有迹象表明监测仪工作不正常或校准结果出现变化</w:t>
      </w:r>
      <w:r>
        <w:rPr>
          <w:color w:val="000000"/>
          <w:sz w:val="24"/>
        </w:rPr>
      </w:r>
      <w:r/>
    </w:p>
    <w:p>
      <w:pPr>
        <w:pStyle w:val="963"/>
        <w:ind w:firstLine="480"/>
        <w:jc w:val="left"/>
        <w:spacing w:line="360" w:lineRule="auto"/>
        <w:widowControl/>
        <w:rPr>
          <w:color w:val="000000"/>
          <w:sz w:val="24"/>
        </w:rPr>
      </w:pPr>
      <w:r>
        <w:rPr>
          <w:color w:val="000000"/>
          <w:sz w:val="24"/>
        </w:rPr>
        <w:t xml:space="preserve">⑥ 超过国家规范或本招标文件要求的校准周期或校准要求的。</w:t>
      </w:r>
      <w:r>
        <w:rPr>
          <w:color w:val="000000"/>
          <w:sz w:val="24"/>
        </w:rPr>
      </w:r>
      <w:r/>
    </w:p>
    <w:p>
      <w:pPr>
        <w:pStyle w:val="963"/>
        <w:ind w:firstLine="480"/>
        <w:jc w:val="left"/>
        <w:spacing w:line="360" w:lineRule="auto"/>
        <w:widowControl/>
        <w:rPr>
          <w:color w:val="000000"/>
          <w:sz w:val="24"/>
        </w:rPr>
      </w:pPr>
      <w:r>
        <w:rPr>
          <w:color w:val="000000"/>
          <w:sz w:val="24"/>
        </w:rPr>
        <w:t xml:space="preserve">(3) 质量检查</w:t>
      </w:r>
      <w:r>
        <w:rPr>
          <w:color w:val="000000"/>
          <w:sz w:val="24"/>
        </w:rPr>
      </w:r>
      <w:r/>
    </w:p>
    <w:p>
      <w:pPr>
        <w:pStyle w:val="963"/>
        <w:ind w:firstLine="480"/>
        <w:jc w:val="left"/>
        <w:spacing w:line="360" w:lineRule="auto"/>
        <w:widowControl/>
        <w:rPr>
          <w:color w:val="000000"/>
          <w:sz w:val="24"/>
        </w:rPr>
      </w:pPr>
      <w:r>
        <w:rPr>
          <w:color w:val="000000"/>
          <w:sz w:val="24"/>
        </w:rPr>
        <w:t xml:space="preserve">运维单位必须接受连云港市环境监测监控中心或其委托单位和人员的质量检查。</w:t>
      </w:r>
      <w:r>
        <w:rPr>
          <w:color w:val="000000"/>
          <w:sz w:val="24"/>
        </w:rPr>
      </w:r>
      <w:r/>
    </w:p>
    <w:p>
      <w:pPr>
        <w:pStyle w:val="963"/>
        <w:numPr>
          <w:ilvl w:val="3"/>
          <w:numId w:val="6"/>
        </w:numPr>
        <w:jc w:val="left"/>
        <w:keepLines/>
        <w:keepNext/>
        <w:spacing w:line="360" w:lineRule="auto"/>
        <w:rPr>
          <w:b/>
          <w:bCs/>
          <w:color w:val="000000"/>
          <w:sz w:val="24"/>
        </w:rPr>
        <w:outlineLvl w:val="4"/>
      </w:pPr>
      <w:r>
        <w:rPr>
          <w:b/>
          <w:bCs/>
          <w:color w:val="000000"/>
          <w:sz w:val="24"/>
        </w:rPr>
        <w:t xml:space="preserve"> 系统设备维修要求</w:t>
      </w:r>
      <w:r>
        <w:rPr>
          <w:b/>
          <w:bCs/>
          <w:color w:val="000000"/>
          <w:sz w:val="24"/>
        </w:rPr>
      </w:r>
      <w:r/>
    </w:p>
    <w:p>
      <w:pPr>
        <w:pStyle w:val="963"/>
        <w:numPr>
          <w:ilvl w:val="0"/>
          <w:numId w:val="11"/>
        </w:numPr>
        <w:ind w:firstLine="480"/>
        <w:jc w:val="left"/>
        <w:spacing w:line="360" w:lineRule="auto"/>
        <w:widowControl/>
        <w:rPr>
          <w:color w:val="000000"/>
          <w:sz w:val="24"/>
        </w:rPr>
      </w:pPr>
      <w:r>
        <w:rPr>
          <w:color w:val="000000"/>
          <w:sz w:val="24"/>
        </w:rPr>
        <w:t xml:space="preserve">维修更换工作要求</w:t>
      </w:r>
      <w:r>
        <w:rPr>
          <w:color w:val="000000"/>
          <w:sz w:val="24"/>
        </w:rPr>
      </w:r>
      <w:r/>
    </w:p>
    <w:p>
      <w:pPr>
        <w:pStyle w:val="963"/>
        <w:ind w:firstLine="480"/>
        <w:jc w:val="left"/>
        <w:spacing w:line="360" w:lineRule="auto"/>
        <w:widowControl/>
        <w:rPr>
          <w:color w:val="000000"/>
          <w:sz w:val="24"/>
        </w:rPr>
      </w:pPr>
      <w:r>
        <w:rPr>
          <w:color w:val="000000"/>
          <w:sz w:val="24"/>
        </w:rPr>
        <w:t xml:space="preserve">运维单位负责系统所有设备和仪器的维护、维修和部件更换(包括空调设备等附属设施)，并将维修费用计算在运维报价中。本服务内容同样包括由于外部原因意外丢失和损坏设备的更换或维修。</w:t>
      </w:r>
      <w:r>
        <w:rPr>
          <w:color w:val="000000"/>
          <w:sz w:val="24"/>
        </w:rPr>
      </w:r>
      <w:r/>
    </w:p>
    <w:p>
      <w:pPr>
        <w:pStyle w:val="963"/>
        <w:numPr>
          <w:ilvl w:val="0"/>
          <w:numId w:val="11"/>
        </w:numPr>
        <w:ind w:firstLine="480"/>
        <w:jc w:val="left"/>
        <w:spacing w:line="360" w:lineRule="auto"/>
        <w:widowControl/>
        <w:rPr>
          <w:color w:val="000000"/>
          <w:sz w:val="24"/>
        </w:rPr>
      </w:pPr>
      <w:r>
        <w:rPr>
          <w:color w:val="000000"/>
          <w:sz w:val="24"/>
        </w:rPr>
        <w:t xml:space="preserve">设备维修质量控制要求</w:t>
      </w:r>
      <w:r>
        <w:rPr>
          <w:color w:val="000000"/>
          <w:sz w:val="24"/>
        </w:rPr>
      </w:r>
      <w:r/>
    </w:p>
    <w:p>
      <w:pPr>
        <w:pStyle w:val="963"/>
        <w:ind w:firstLine="480"/>
        <w:jc w:val="left"/>
        <w:spacing w:line="360" w:lineRule="auto"/>
        <w:widowControl/>
        <w:rPr>
          <w:color w:val="000000"/>
          <w:sz w:val="24"/>
        </w:rPr>
      </w:pPr>
      <w:r>
        <w:rPr>
          <w:color w:val="000000"/>
          <w:sz w:val="24"/>
        </w:rPr>
        <w:t xml:space="preserve">监测仪器修复后，当其监测性能受到影响时，采用关键参数检查、标气测定、颗粒物流量测定、标准膜测试、标准样品测试或手工比对等方法进行测试。</w:t>
      </w:r>
      <w:r>
        <w:rPr>
          <w:color w:val="000000"/>
          <w:sz w:val="24"/>
        </w:rPr>
      </w:r>
      <w:r/>
    </w:p>
    <w:p>
      <w:pPr>
        <w:pStyle w:val="963"/>
        <w:ind w:firstLine="480"/>
        <w:jc w:val="left"/>
        <w:spacing w:line="360" w:lineRule="auto"/>
        <w:widowControl/>
        <w:rPr>
          <w:color w:val="000000"/>
          <w:sz w:val="24"/>
        </w:rPr>
      </w:pPr>
      <w:r>
        <w:rPr>
          <w:color w:val="000000"/>
          <w:sz w:val="24"/>
        </w:rPr>
        <w:t xml:space="preserve">仪器大修后，气态污染监测设备应按顺序开展零点漂移和量程漂移测试、精密度及准确度测试、多点线性测试；颗粒物监测设备应开展手工比对测试，测试应严格按照《环境空气颗粒物(PM</w:t>
      </w:r>
      <w:r>
        <w:rPr>
          <w:color w:val="000000"/>
          <w:sz w:val="24"/>
          <w:vertAlign w:val="subscript"/>
        </w:rPr>
        <w:t xml:space="preserve">10</w:t>
      </w:r>
      <w:r>
        <w:rPr>
          <w:color w:val="000000"/>
          <w:sz w:val="24"/>
        </w:rPr>
        <w:t xml:space="preserve">和PM</w:t>
      </w:r>
      <w:r>
        <w:rPr>
          <w:color w:val="000000"/>
          <w:sz w:val="24"/>
          <w:vertAlign w:val="subscript"/>
        </w:rPr>
        <w:t xml:space="preserve">2.5</w:t>
      </w:r>
      <w:r>
        <w:rPr>
          <w:color w:val="000000"/>
          <w:sz w:val="24"/>
        </w:rPr>
        <w:t xml:space="preserve">)连续自动监测系统运行和质控技术规范》(HJ 817-2018)中准确度审核要求实施，并遵守《环境空气颗粒物(PM</w:t>
      </w:r>
      <w:r>
        <w:rPr>
          <w:color w:val="000000"/>
          <w:sz w:val="24"/>
          <w:vertAlign w:val="subscript"/>
        </w:rPr>
        <w:t xml:space="preserve">2.5</w:t>
      </w:r>
      <w:r>
        <w:rPr>
          <w:color w:val="000000"/>
          <w:sz w:val="24"/>
        </w:rPr>
        <w:t xml:space="preserve">)手工监测方法(重量法)技术规范》(HJ 656-2013)、《环境空气中PM</w:t>
      </w:r>
      <w:r>
        <w:rPr>
          <w:color w:val="000000"/>
          <w:sz w:val="24"/>
          <w:vertAlign w:val="subscript"/>
        </w:rPr>
        <w:t xml:space="preserve">10</w:t>
      </w:r>
      <w:r>
        <w:rPr>
          <w:color w:val="000000"/>
          <w:sz w:val="24"/>
        </w:rPr>
        <w:t xml:space="preserve">和PM</w:t>
      </w:r>
      <w:r>
        <w:rPr>
          <w:color w:val="000000"/>
          <w:sz w:val="24"/>
          <w:vertAlign w:val="subscript"/>
        </w:rPr>
        <w:t xml:space="preserve">2.5</w:t>
      </w:r>
      <w:r>
        <w:rPr>
          <w:color w:val="000000"/>
          <w:sz w:val="24"/>
        </w:rPr>
        <w:t xml:space="preserve">的测定 重量法》(HJ 618-2011)和《环境空气质量手工监测技术规范》(HJ 194-2017)等相关规范要求，同时提交相应报告。</w:t>
      </w:r>
      <w:r>
        <w:rPr>
          <w:color w:val="000000"/>
          <w:sz w:val="24"/>
        </w:rPr>
      </w:r>
      <w:r/>
    </w:p>
    <w:p>
      <w:pPr>
        <w:pStyle w:val="963"/>
        <w:ind w:firstLine="480"/>
        <w:jc w:val="left"/>
        <w:spacing w:line="360" w:lineRule="auto"/>
        <w:widowControl/>
        <w:rPr>
          <w:color w:val="000000"/>
          <w:sz w:val="24"/>
        </w:rPr>
      </w:pPr>
      <w:r>
        <w:rPr>
          <w:color w:val="000000"/>
          <w:sz w:val="24"/>
        </w:rPr>
        <w:t xml:space="preserve">通过全面维护检修工作，保证项目设备各项技术性能指标达到国家相关技术规范要求，保证监测仪器达到上级对委托方子站质量控制要求，监测数据准确、可靠。每次维护及每台仪器运行考核，能达到相关技术指标要求。</w:t>
      </w:r>
      <w:r>
        <w:rPr>
          <w:color w:val="000000"/>
          <w:sz w:val="24"/>
        </w:rPr>
      </w:r>
      <w:r/>
    </w:p>
    <w:p>
      <w:pPr>
        <w:pStyle w:val="963"/>
        <w:numPr>
          <w:ilvl w:val="0"/>
          <w:numId w:val="12"/>
        </w:numPr>
        <w:ind w:firstLine="480"/>
        <w:jc w:val="left"/>
        <w:spacing w:line="360" w:lineRule="auto"/>
        <w:widowControl/>
        <w:rPr>
          <w:color w:val="000000"/>
          <w:sz w:val="24"/>
        </w:rPr>
      </w:pPr>
      <w:r>
        <w:rPr>
          <w:color w:val="000000"/>
          <w:sz w:val="24"/>
        </w:rPr>
        <w:t xml:space="preserve">监测系统各设备正常运转率达到 90%以上；</w:t>
      </w:r>
      <w:r>
        <w:rPr>
          <w:color w:val="000000"/>
          <w:sz w:val="24"/>
        </w:rPr>
      </w:r>
      <w:r/>
    </w:p>
    <w:p>
      <w:pPr>
        <w:pStyle w:val="963"/>
        <w:numPr>
          <w:ilvl w:val="0"/>
          <w:numId w:val="12"/>
        </w:numPr>
        <w:ind w:firstLine="480"/>
        <w:jc w:val="left"/>
        <w:spacing w:line="360" w:lineRule="auto"/>
        <w:widowControl/>
        <w:rPr>
          <w:color w:val="000000"/>
          <w:sz w:val="24"/>
        </w:rPr>
      </w:pPr>
      <w:r>
        <w:rPr>
          <w:color w:val="000000"/>
          <w:sz w:val="24"/>
        </w:rPr>
        <w:t xml:space="preserve">监测系统各设备数据捕获率达到 90%以上；</w:t>
      </w:r>
      <w:r>
        <w:rPr>
          <w:color w:val="000000"/>
          <w:sz w:val="24"/>
        </w:rPr>
      </w:r>
      <w:r/>
    </w:p>
    <w:p>
      <w:pPr>
        <w:pStyle w:val="963"/>
        <w:ind w:firstLine="480"/>
        <w:jc w:val="left"/>
        <w:spacing w:line="360" w:lineRule="auto"/>
        <w:widowControl/>
        <w:rPr>
          <w:color w:val="000000"/>
          <w:sz w:val="24"/>
        </w:rPr>
      </w:pPr>
      <w:r>
        <w:rPr>
          <w:color w:val="000000"/>
          <w:sz w:val="24"/>
        </w:rPr>
        <w:t xml:space="preserve">① 每日应有不少于21个有效小时值的算术平均值为有效日均值。日均值的统计时段为北京时间0:00至23:59。</w:t>
      </w:r>
      <w:r>
        <w:rPr>
          <w:color w:val="000000"/>
          <w:sz w:val="24"/>
        </w:rPr>
      </w:r>
      <w:r/>
    </w:p>
    <w:p>
      <w:pPr>
        <w:pStyle w:val="963"/>
        <w:ind w:firstLine="480"/>
        <w:jc w:val="left"/>
        <w:spacing w:line="360" w:lineRule="auto"/>
        <w:widowControl/>
        <w:rPr>
          <w:color w:val="000000"/>
          <w:sz w:val="24"/>
        </w:rPr>
      </w:pPr>
      <w:r>
        <w:rPr>
          <w:color w:val="000000"/>
          <w:sz w:val="24"/>
        </w:rPr>
        <w:t xml:space="preserve">② 每月应有不少于27个有效日均值的算术平均值为有效月均值(2月份不少于25个有效日均值)。</w:t>
      </w:r>
      <w:r>
        <w:rPr>
          <w:color w:val="000000"/>
          <w:sz w:val="24"/>
        </w:rPr>
      </w:r>
      <w:r/>
    </w:p>
    <w:p>
      <w:pPr>
        <w:pStyle w:val="963"/>
        <w:ind w:firstLine="480"/>
        <w:jc w:val="left"/>
        <w:spacing w:line="360" w:lineRule="auto"/>
        <w:widowControl/>
        <w:rPr>
          <w:color w:val="000000"/>
          <w:sz w:val="24"/>
        </w:rPr>
      </w:pPr>
      <w:r>
        <w:rPr>
          <w:color w:val="000000"/>
          <w:sz w:val="24"/>
        </w:rPr>
        <w:t xml:space="preserve">(3) 监测系统各设备全网数据有效率达到95%以上；</w:t>
      </w:r>
      <w:r>
        <w:rPr>
          <w:color w:val="000000"/>
          <w:sz w:val="24"/>
        </w:rPr>
      </w:r>
      <w:r/>
    </w:p>
    <w:p>
      <w:pPr>
        <w:pStyle w:val="963"/>
        <w:ind w:firstLine="480"/>
        <w:jc w:val="left"/>
        <w:spacing w:line="360" w:lineRule="auto"/>
        <w:widowControl/>
        <w:rPr>
          <w:color w:val="000000"/>
          <w:sz w:val="24"/>
        </w:rPr>
      </w:pPr>
      <w:r>
        <w:rPr>
          <w:color w:val="000000"/>
          <w:sz w:val="24"/>
        </w:rPr>
        <w:t xml:space="preserve">(4) 系统异常情况处理率达到100%；</w:t>
      </w:r>
      <w:r>
        <w:rPr>
          <w:color w:val="000000"/>
          <w:sz w:val="24"/>
        </w:rPr>
      </w:r>
      <w:r/>
    </w:p>
    <w:p>
      <w:pPr>
        <w:pStyle w:val="963"/>
        <w:ind w:firstLine="480"/>
        <w:jc w:val="left"/>
        <w:spacing w:line="360" w:lineRule="auto"/>
        <w:widowControl/>
        <w:rPr>
          <w:color w:val="000000"/>
          <w:sz w:val="24"/>
        </w:rPr>
      </w:pPr>
      <w:r>
        <w:rPr>
          <w:color w:val="000000"/>
          <w:sz w:val="24"/>
        </w:rPr>
        <w:t xml:space="preserve">(5) 7×24小时技术服务及支持，响应时间＜2小时；</w:t>
      </w:r>
      <w:r>
        <w:rPr>
          <w:color w:val="000000"/>
          <w:sz w:val="24"/>
        </w:rPr>
      </w:r>
      <w:r/>
    </w:p>
    <w:p>
      <w:pPr>
        <w:pStyle w:val="963"/>
        <w:ind w:firstLine="480"/>
        <w:jc w:val="left"/>
        <w:spacing w:line="360" w:lineRule="auto"/>
        <w:widowControl/>
        <w:rPr>
          <w:color w:val="000000"/>
          <w:sz w:val="24"/>
        </w:rPr>
      </w:pPr>
      <w:r>
        <w:rPr>
          <w:color w:val="000000"/>
          <w:sz w:val="24"/>
        </w:rPr>
        <w:t xml:space="preserve">(6) 故障恢复时间＜24小时，无法按时恢复的更换备机(备机要求与原设备品牌型号相同)；</w:t>
      </w:r>
      <w:r>
        <w:rPr>
          <w:color w:val="000000"/>
          <w:sz w:val="24"/>
        </w:rPr>
      </w:r>
      <w:r/>
    </w:p>
    <w:p>
      <w:pPr>
        <w:pStyle w:val="963"/>
        <w:ind w:firstLine="480"/>
        <w:jc w:val="left"/>
        <w:spacing w:line="360" w:lineRule="auto"/>
        <w:widowControl/>
        <w:rPr>
          <w:color w:val="000000"/>
          <w:sz w:val="24"/>
        </w:rPr>
      </w:pPr>
      <w:r>
        <w:rPr>
          <w:color w:val="000000"/>
          <w:sz w:val="24"/>
        </w:rPr>
        <w:t xml:space="preserve">(7) 同一设备核心部件半年内故障三次及以上的，按照采购需求更换全新设备。</w:t>
      </w:r>
      <w:r>
        <w:rPr>
          <w:color w:val="000000"/>
          <w:sz w:val="24"/>
        </w:rPr>
      </w:r>
      <w:r/>
    </w:p>
    <w:p>
      <w:pPr>
        <w:pStyle w:val="963"/>
        <w:ind w:firstLine="480"/>
        <w:jc w:val="left"/>
        <w:spacing w:line="360" w:lineRule="auto"/>
        <w:widowControl/>
        <w:rPr>
          <w:color w:val="000000"/>
          <w:sz w:val="24"/>
        </w:rPr>
      </w:pPr>
      <w:r>
        <w:rPr>
          <w:color w:val="000000"/>
          <w:sz w:val="24"/>
        </w:rPr>
        <w:t xml:space="preserve">(8) 建立监控系统日常运行记录和设备台账，建立相应的质量保证体系，并接受采购人的台账检查。</w:t>
      </w:r>
      <w:r>
        <w:rPr>
          <w:color w:val="000000"/>
          <w:sz w:val="24"/>
        </w:rPr>
      </w:r>
      <w:r/>
    </w:p>
    <w:p>
      <w:pPr>
        <w:pStyle w:val="963"/>
        <w:numPr>
          <w:ilvl w:val="1"/>
          <w:numId w:val="6"/>
        </w:numPr>
        <w:jc w:val="left"/>
        <w:keepLines/>
        <w:keepNext/>
        <w:spacing w:line="360" w:lineRule="auto"/>
        <w:widowControl/>
        <w:tabs>
          <w:tab w:val="left" w:pos="210" w:leader="none"/>
        </w:tabs>
        <w:rPr>
          <w:b/>
          <w:color w:val="000000"/>
          <w:sz w:val="24"/>
        </w:rPr>
        <w:outlineLvl w:val="3"/>
      </w:pPr>
      <w:r>
        <w:rPr>
          <w:rFonts w:hint="eastAsia"/>
          <w:b/>
          <w:color w:val="000000"/>
          <w:sz w:val="24"/>
        </w:rPr>
        <w:t xml:space="preserve"> TVOC站点运维</w:t>
      </w:r>
      <w:r>
        <w:rPr>
          <w:b/>
          <w:color w:val="000000"/>
          <w:sz w:val="24"/>
        </w:rPr>
        <w:t xml:space="preserve">服务技术要求</w:t>
      </w:r>
      <w:r>
        <w:rPr>
          <w:b/>
          <w:color w:val="000000"/>
          <w:sz w:val="24"/>
        </w:rPr>
      </w:r>
      <w:r/>
    </w:p>
    <w:p>
      <w:pPr>
        <w:pStyle w:val="963"/>
        <w:ind w:firstLine="480"/>
        <w:jc w:val="left"/>
        <w:spacing w:line="360" w:lineRule="auto"/>
        <w:widowControl/>
        <w:rPr>
          <w:color w:val="000000"/>
          <w:sz w:val="24"/>
        </w:rPr>
      </w:pPr>
      <w:r>
        <w:rPr>
          <w:color w:val="000000"/>
          <w:sz w:val="24"/>
          <w:lang w:val="zh-CN"/>
        </w:rPr>
        <w:t xml:space="preserve">例行运行维护操作包括基于运行维护管理平台的周监控、月巡检，每季度抽取不少于5%站点的现场检查，以及设备年度更换等。</w:t>
      </w:r>
      <w:r>
        <w:rPr>
          <w:color w:val="000000"/>
          <w:sz w:val="24"/>
        </w:rPr>
      </w:r>
      <w:r/>
    </w:p>
    <w:p>
      <w:pPr>
        <w:pStyle w:val="963"/>
        <w:ind w:firstLine="480"/>
        <w:jc w:val="left"/>
        <w:spacing w:line="360" w:lineRule="auto"/>
        <w:widowControl/>
        <w:rPr>
          <w:rFonts w:ascii="宋体" w:hAnsi="宋体" w:cs="Arial"/>
          <w:color w:val="000000"/>
          <w:sz w:val="24"/>
          <w:lang w:val="zh-CN"/>
        </w:rPr>
      </w:pPr>
      <w:r>
        <w:rPr>
          <w:rFonts w:hint="eastAsia" w:cs="Arial"/>
          <w:bCs/>
          <w:color w:val="000000"/>
          <w:sz w:val="24"/>
        </w:rPr>
        <w:t xml:space="preserve">每日查看数据，监控平台并形成记录，分析监测数据，对站点设备运行情况进行远程诊断和运行管理。如平台显示数据异常，需前往现场查清原因并排除故障。在现场要检查外部环境是否有对测定结果或运行环境存在明显影响的污染源，并做好相关记录。具体工作内容包括：</w:t>
      </w:r>
      <w:bookmarkStart w:id="5" w:name="_Toc146097602"/>
      <w:r>
        <w:rPr>
          <w:rFonts w:ascii="宋体" w:hAnsi="宋体" w:cs="Arial"/>
          <w:color w:val="000000"/>
          <w:sz w:val="24"/>
          <w:lang w:val="zh-CN"/>
        </w:rPr>
      </w:r>
      <w:r/>
    </w:p>
    <w:p>
      <w:pPr>
        <w:pStyle w:val="963"/>
        <w:numPr>
          <w:ilvl w:val="0"/>
          <w:numId w:val="13"/>
        </w:numPr>
        <w:ind w:firstLine="480"/>
        <w:jc w:val="left"/>
        <w:spacing w:line="360" w:lineRule="auto"/>
        <w:widowControl/>
        <w:rPr>
          <w:color w:val="000000"/>
          <w:sz w:val="24"/>
          <w:lang w:val="zh-CN"/>
        </w:rPr>
      </w:pPr>
      <w:r>
        <w:rPr>
          <w:rFonts w:hint="eastAsia"/>
          <w:color w:val="000000"/>
          <w:sz w:val="24"/>
          <w:lang w:val="zh-CN"/>
        </w:rPr>
        <w:t xml:space="preserve">周监控：每周在运行维护管理平台检查设备在线率、报警情况、运行维护计划等不少于一次。</w:t>
      </w:r>
      <w:r>
        <w:rPr>
          <w:color w:val="000000"/>
          <w:sz w:val="24"/>
          <w:lang w:val="zh-CN"/>
        </w:rPr>
      </w:r>
      <w:r/>
    </w:p>
    <w:p>
      <w:pPr>
        <w:pStyle w:val="963"/>
        <w:numPr>
          <w:ilvl w:val="0"/>
          <w:numId w:val="13"/>
        </w:numPr>
        <w:ind w:firstLine="480"/>
        <w:jc w:val="left"/>
        <w:spacing w:line="360" w:lineRule="auto"/>
        <w:widowControl/>
        <w:rPr>
          <w:color w:val="000000"/>
          <w:sz w:val="24"/>
          <w:lang w:val="zh-CN"/>
        </w:rPr>
      </w:pPr>
      <w:r>
        <w:rPr>
          <w:rFonts w:hint="eastAsia"/>
          <w:color w:val="000000"/>
          <w:sz w:val="24"/>
          <w:lang w:val="zh-CN"/>
        </w:rPr>
        <w:t xml:space="preserve">月巡检：每月在运行维护管理平台远程巡检网络设备运行状况不少于一次，具体内容包括设备运行状态、异常率、运行负荷、质控合格情况等。</w:t>
      </w:r>
      <w:r>
        <w:rPr>
          <w:color w:val="000000"/>
          <w:sz w:val="24"/>
          <w:lang w:val="zh-CN"/>
        </w:rPr>
      </w:r>
      <w:r/>
    </w:p>
    <w:p>
      <w:pPr>
        <w:pStyle w:val="963"/>
        <w:numPr>
          <w:ilvl w:val="0"/>
          <w:numId w:val="13"/>
        </w:numPr>
        <w:ind w:firstLine="480"/>
        <w:jc w:val="left"/>
        <w:spacing w:line="360" w:lineRule="auto"/>
        <w:widowControl/>
        <w:rPr>
          <w:color w:val="000000"/>
          <w:sz w:val="24"/>
          <w:lang w:val="zh-CN"/>
        </w:rPr>
      </w:pPr>
      <w:r>
        <w:rPr>
          <w:rFonts w:hint="eastAsia"/>
          <w:color w:val="000000"/>
          <w:sz w:val="24"/>
          <w:lang w:val="zh-CN"/>
        </w:rPr>
        <w:t xml:space="preserve">季度检查：每季度抽取不少于10%站点的进行现场检查，检查内容包括质量浓度准确性、平行性、设备安装状况、周边环境、设备运行状况等。</w:t>
      </w:r>
      <w:r>
        <w:rPr>
          <w:color w:val="000000"/>
          <w:sz w:val="24"/>
          <w:lang w:val="zh-CN"/>
        </w:rPr>
      </w:r>
      <w:r/>
    </w:p>
    <w:p>
      <w:pPr>
        <w:pStyle w:val="963"/>
        <w:ind w:firstLine="480"/>
        <w:jc w:val="left"/>
        <w:spacing w:line="360" w:lineRule="auto"/>
        <w:widowControl/>
        <w:rPr>
          <w:rFonts w:cs="Arial"/>
          <w:color w:val="000000"/>
          <w:sz w:val="24"/>
        </w:rPr>
      </w:pPr>
      <w:r>
        <w:rPr>
          <w:rFonts w:hint="eastAsia"/>
          <w:color w:val="000000"/>
          <w:sz w:val="24"/>
          <w:lang w:val="zh-CN"/>
        </w:rPr>
        <w:t xml:space="preserve">年度更换：将连续运行超过一年的设备进行维修更换，并运送至实验室进行气路清理、粒径与数浓度、温度、湿度、流量检查等工作。并对更换期间的异常数据进行审核与检验</w:t>
      </w:r>
      <w:bookmarkEnd w:id="5"/>
      <w:r>
        <w:rPr>
          <w:rFonts w:hint="eastAsia"/>
          <w:color w:val="000000"/>
          <w:sz w:val="24"/>
          <w:lang w:val="zh-CN"/>
        </w:rPr>
        <w:t xml:space="preserve">。</w:t>
      </w:r>
      <w:r>
        <w:rPr>
          <w:rFonts w:cs="Arial"/>
          <w:color w:val="000000"/>
          <w:sz w:val="24"/>
        </w:rPr>
      </w:r>
      <w:r/>
    </w:p>
    <w:p>
      <w:pPr>
        <w:pStyle w:val="963"/>
        <w:numPr>
          <w:ilvl w:val="1"/>
          <w:numId w:val="14"/>
        </w:numPr>
        <w:jc w:val="left"/>
        <w:keepLines/>
        <w:keepNext/>
        <w:spacing w:line="360" w:lineRule="auto"/>
        <w:tabs>
          <w:tab w:val="left" w:pos="210" w:leader="none"/>
        </w:tabs>
        <w:rPr>
          <w:b/>
          <w:bCs/>
          <w:color w:val="000000"/>
          <w:sz w:val="24"/>
        </w:rPr>
        <w:outlineLvl w:val="3"/>
      </w:pPr>
      <w:r>
        <w:rPr>
          <w:b/>
          <w:color w:val="000000"/>
          <w:sz w:val="24"/>
        </w:rPr>
        <w:t xml:space="preserve"> VOCs站点运维</w:t>
      </w:r>
      <w:r>
        <w:rPr>
          <w:b/>
          <w:color w:val="000000"/>
          <w:sz w:val="24"/>
        </w:rPr>
        <w:t xml:space="preserve">服务技术要求</w:t>
      </w:r>
      <w:r>
        <w:rPr>
          <w:b/>
          <w:bCs/>
          <w:color w:val="000000"/>
          <w:sz w:val="24"/>
        </w:rPr>
      </w:r>
      <w:r/>
    </w:p>
    <w:p>
      <w:pPr>
        <w:pStyle w:val="963"/>
        <w:numPr>
          <w:ilvl w:val="2"/>
          <w:numId w:val="14"/>
        </w:numPr>
        <w:jc w:val="left"/>
        <w:keepLines/>
        <w:keepNext/>
        <w:spacing w:line="360" w:lineRule="auto"/>
        <w:rPr>
          <w:rFonts w:cs="Arial"/>
          <w:b/>
          <w:bCs/>
          <w:color w:val="000000"/>
          <w:sz w:val="24"/>
        </w:rPr>
        <w:outlineLvl w:val="3"/>
      </w:pPr>
      <w:r>
        <w:rPr>
          <w:rFonts w:cs="Arial"/>
          <w:b/>
          <w:bCs/>
          <w:color w:val="000000"/>
          <w:sz w:val="24"/>
        </w:rPr>
        <w:t xml:space="preserve"> 人员、车辆配备要求</w:t>
      </w:r>
      <w:r>
        <w:rPr>
          <w:rFonts w:cs="Arial"/>
          <w:b/>
          <w:bCs/>
          <w:color w:val="000000"/>
          <w:sz w:val="24"/>
        </w:rPr>
      </w:r>
      <w:r/>
    </w:p>
    <w:p>
      <w:pPr>
        <w:pStyle w:val="963"/>
        <w:numPr>
          <w:ilvl w:val="0"/>
          <w:numId w:val="15"/>
        </w:numPr>
        <w:ind w:firstLine="480"/>
        <w:jc w:val="left"/>
        <w:spacing w:line="360" w:lineRule="auto"/>
        <w:widowControl/>
        <w:rPr>
          <w:color w:val="000000"/>
          <w:sz w:val="24"/>
        </w:rPr>
      </w:pPr>
      <w:r>
        <w:rPr>
          <w:color w:val="000000"/>
          <w:sz w:val="24"/>
        </w:rPr>
        <w:t xml:space="preserve">运维单位需安排至少1名运维人员，运维人员须取得相关部门颁发的具备VOCs或大气中挥发性有机物监测技术培训班合格证书。</w:t>
      </w:r>
      <w:r>
        <w:rPr>
          <w:color w:val="000000"/>
          <w:sz w:val="24"/>
        </w:rPr>
      </w:r>
      <w:r/>
    </w:p>
    <w:p>
      <w:pPr>
        <w:pStyle w:val="963"/>
        <w:numPr>
          <w:ilvl w:val="0"/>
          <w:numId w:val="15"/>
        </w:numPr>
        <w:ind w:firstLine="480"/>
        <w:jc w:val="left"/>
        <w:spacing w:line="360" w:lineRule="auto"/>
        <w:widowControl/>
        <w:rPr>
          <w:color w:val="000000"/>
          <w:sz w:val="24"/>
        </w:rPr>
      </w:pPr>
      <w:r>
        <w:rPr>
          <w:rFonts w:hint="eastAsia"/>
          <w:color w:val="000000"/>
          <w:sz w:val="24"/>
        </w:rPr>
        <w:t xml:space="preserve">运维</w:t>
      </w:r>
      <w:r>
        <w:rPr>
          <w:color w:val="000000"/>
          <w:sz w:val="24"/>
        </w:rPr>
        <w:t xml:space="preserve">单位需提供保障车1辆。</w:t>
      </w:r>
      <w:r>
        <w:rPr>
          <w:color w:val="000000"/>
          <w:sz w:val="24"/>
        </w:rPr>
      </w:r>
      <w:r/>
    </w:p>
    <w:p>
      <w:pPr>
        <w:pStyle w:val="963"/>
        <w:numPr>
          <w:ilvl w:val="2"/>
          <w:numId w:val="14"/>
        </w:numPr>
        <w:jc w:val="left"/>
        <w:keepLines/>
        <w:keepNext/>
        <w:spacing w:line="360" w:lineRule="auto"/>
        <w:rPr>
          <w:rFonts w:cs="Arial"/>
          <w:b/>
          <w:bCs/>
          <w:color w:val="000000"/>
          <w:sz w:val="24"/>
        </w:rPr>
        <w:outlineLvl w:val="3"/>
      </w:pPr>
      <w:r>
        <w:rPr>
          <w:rFonts w:cs="Arial"/>
          <w:b/>
          <w:bCs/>
          <w:color w:val="000000"/>
          <w:sz w:val="24"/>
        </w:rPr>
        <w:t xml:space="preserve"> 系统日常维护</w:t>
      </w:r>
      <w:r>
        <w:rPr>
          <w:rFonts w:cs="Arial"/>
          <w:b/>
          <w:bCs/>
          <w:color w:val="000000"/>
          <w:sz w:val="24"/>
        </w:rPr>
      </w:r>
      <w:r/>
    </w:p>
    <w:p>
      <w:pPr>
        <w:pStyle w:val="963"/>
        <w:numPr>
          <w:ilvl w:val="0"/>
          <w:numId w:val="16"/>
        </w:numPr>
        <w:ind w:firstLine="480"/>
        <w:jc w:val="left"/>
        <w:spacing w:line="360" w:lineRule="auto"/>
        <w:widowControl/>
        <w:rPr>
          <w:color w:val="000000"/>
          <w:sz w:val="24"/>
        </w:rPr>
      </w:pPr>
      <w:r>
        <w:rPr>
          <w:color w:val="000000"/>
          <w:sz w:val="24"/>
        </w:rPr>
        <w:t xml:space="preserve">应对VOC站房及辅助设备定期巡检，每周至少至现场巡检1次。</w:t>
      </w:r>
      <w:r>
        <w:rPr>
          <w:color w:val="000000"/>
          <w:sz w:val="24"/>
        </w:rPr>
      </w:r>
      <w:r/>
    </w:p>
    <w:p>
      <w:pPr>
        <w:pStyle w:val="963"/>
        <w:numPr>
          <w:ilvl w:val="0"/>
          <w:numId w:val="16"/>
        </w:numPr>
        <w:ind w:firstLine="480"/>
        <w:jc w:val="left"/>
        <w:spacing w:line="360" w:lineRule="auto"/>
        <w:widowControl/>
        <w:rPr>
          <w:color w:val="000000"/>
          <w:sz w:val="24"/>
        </w:rPr>
      </w:pPr>
      <w:r>
        <w:rPr>
          <w:color w:val="000000"/>
          <w:sz w:val="24"/>
        </w:rPr>
        <w:t xml:space="preserve">每周至少对分析仪的主要运行参数通过在线或者现场进行记录。</w:t>
      </w:r>
      <w:r>
        <w:rPr>
          <w:color w:val="000000"/>
          <w:sz w:val="24"/>
        </w:rPr>
      </w:r>
      <w:r/>
    </w:p>
    <w:p>
      <w:pPr>
        <w:pStyle w:val="963"/>
        <w:numPr>
          <w:ilvl w:val="0"/>
          <w:numId w:val="16"/>
        </w:numPr>
        <w:ind w:firstLine="480"/>
        <w:jc w:val="left"/>
        <w:spacing w:line="360" w:lineRule="auto"/>
        <w:widowControl/>
        <w:rPr>
          <w:color w:val="000000"/>
          <w:sz w:val="24"/>
        </w:rPr>
      </w:pPr>
      <w:r>
        <w:rPr>
          <w:color w:val="000000"/>
          <w:sz w:val="24"/>
        </w:rPr>
        <w:t xml:space="preserve">检查站房内温度是否保持在（20-28）℃，相对湿度保持在85%以下，在冬、夏季节应注意站房内外温差，应及时调整站房温度或对采样总管采取适当的温控措施，防止因温差造成采样装置出现冷凝水的现象。</w:t>
      </w:r>
      <w:r>
        <w:rPr>
          <w:color w:val="000000"/>
          <w:sz w:val="24"/>
        </w:rPr>
      </w:r>
      <w:r/>
    </w:p>
    <w:p>
      <w:pPr>
        <w:pStyle w:val="963"/>
        <w:numPr>
          <w:ilvl w:val="0"/>
          <w:numId w:val="16"/>
        </w:numPr>
        <w:ind w:firstLine="480"/>
        <w:jc w:val="left"/>
        <w:spacing w:line="360" w:lineRule="auto"/>
        <w:widowControl/>
        <w:rPr>
          <w:color w:val="000000"/>
          <w:sz w:val="24"/>
        </w:rPr>
      </w:pPr>
      <w:r>
        <w:rPr>
          <w:color w:val="000000"/>
          <w:sz w:val="24"/>
        </w:rPr>
        <w:t xml:space="preserve">检查数据采集、传输与网络通讯是否正常。</w:t>
      </w:r>
      <w:r>
        <w:rPr>
          <w:color w:val="000000"/>
          <w:sz w:val="24"/>
        </w:rPr>
      </w:r>
      <w:r/>
    </w:p>
    <w:p>
      <w:pPr>
        <w:pStyle w:val="963"/>
        <w:numPr>
          <w:ilvl w:val="0"/>
          <w:numId w:val="16"/>
        </w:numPr>
        <w:ind w:firstLine="480"/>
        <w:jc w:val="left"/>
        <w:spacing w:line="360" w:lineRule="auto"/>
        <w:widowControl/>
        <w:rPr>
          <w:color w:val="000000"/>
          <w:sz w:val="24"/>
        </w:rPr>
      </w:pPr>
      <w:r>
        <w:rPr>
          <w:color w:val="000000"/>
          <w:sz w:val="24"/>
        </w:rPr>
        <w:t xml:space="preserve">检查各种运维工具、仪器耗材、备件是否完好齐全。</w:t>
      </w:r>
      <w:r>
        <w:rPr>
          <w:color w:val="000000"/>
          <w:sz w:val="24"/>
        </w:rPr>
      </w:r>
      <w:r/>
    </w:p>
    <w:p>
      <w:pPr>
        <w:pStyle w:val="963"/>
        <w:numPr>
          <w:ilvl w:val="0"/>
          <w:numId w:val="16"/>
        </w:numPr>
        <w:ind w:firstLine="480"/>
        <w:jc w:val="left"/>
        <w:spacing w:line="360" w:lineRule="auto"/>
        <w:widowControl/>
        <w:rPr>
          <w:color w:val="000000"/>
          <w:sz w:val="24"/>
        </w:rPr>
      </w:pPr>
      <w:r>
        <w:rPr>
          <w:color w:val="000000"/>
          <w:sz w:val="24"/>
        </w:rPr>
        <w:t xml:space="preserve">检查电源等辅助设备的运行状况是否正常。</w:t>
      </w:r>
      <w:r>
        <w:rPr>
          <w:color w:val="000000"/>
          <w:sz w:val="24"/>
        </w:rPr>
      </w:r>
      <w:r/>
    </w:p>
    <w:p>
      <w:pPr>
        <w:pStyle w:val="963"/>
        <w:numPr>
          <w:ilvl w:val="0"/>
          <w:numId w:val="16"/>
        </w:numPr>
        <w:ind w:firstLine="480"/>
        <w:jc w:val="left"/>
        <w:spacing w:line="360" w:lineRule="auto"/>
        <w:widowControl/>
        <w:rPr>
          <w:color w:val="000000"/>
          <w:sz w:val="24"/>
        </w:rPr>
      </w:pPr>
      <w:r>
        <w:rPr>
          <w:color w:val="000000"/>
          <w:sz w:val="24"/>
        </w:rPr>
        <w:t xml:space="preserve">检查各种消防、安全设施是否完好齐全。</w:t>
      </w:r>
      <w:r>
        <w:rPr>
          <w:color w:val="000000"/>
          <w:sz w:val="24"/>
        </w:rPr>
      </w:r>
      <w:r/>
    </w:p>
    <w:p>
      <w:pPr>
        <w:pStyle w:val="963"/>
        <w:numPr>
          <w:ilvl w:val="0"/>
          <w:numId w:val="16"/>
        </w:numPr>
        <w:ind w:firstLine="480"/>
        <w:jc w:val="left"/>
        <w:spacing w:line="360" w:lineRule="auto"/>
        <w:widowControl/>
        <w:rPr>
          <w:color w:val="000000"/>
          <w:sz w:val="24"/>
        </w:rPr>
      </w:pPr>
      <w:r>
        <w:rPr>
          <w:color w:val="000000"/>
          <w:sz w:val="24"/>
        </w:rPr>
        <w:t xml:space="preserve">检查采样管路（包括总管和支管）清洁度，清洗管路之后应做好检漏工作。</w:t>
      </w:r>
      <w:r>
        <w:rPr>
          <w:color w:val="000000"/>
          <w:sz w:val="24"/>
        </w:rPr>
      </w:r>
      <w:r/>
    </w:p>
    <w:p>
      <w:pPr>
        <w:pStyle w:val="963"/>
        <w:numPr>
          <w:ilvl w:val="0"/>
          <w:numId w:val="16"/>
        </w:numPr>
        <w:ind w:firstLine="480"/>
        <w:jc w:val="left"/>
        <w:spacing w:line="360" w:lineRule="auto"/>
        <w:widowControl/>
        <w:rPr>
          <w:color w:val="000000"/>
          <w:sz w:val="24"/>
        </w:rPr>
      </w:pPr>
      <w:r>
        <w:rPr>
          <w:color w:val="000000"/>
          <w:sz w:val="24"/>
        </w:rPr>
        <w:t xml:space="preserve">检查站房是否漏水，若有漏水情况及时进行修补工作。</w:t>
      </w:r>
      <w:r>
        <w:rPr>
          <w:color w:val="000000"/>
          <w:sz w:val="24"/>
        </w:rPr>
      </w:r>
      <w:r/>
    </w:p>
    <w:p>
      <w:pPr>
        <w:pStyle w:val="963"/>
        <w:numPr>
          <w:ilvl w:val="0"/>
          <w:numId w:val="16"/>
        </w:numPr>
        <w:ind w:firstLine="480"/>
        <w:jc w:val="left"/>
        <w:spacing w:line="360" w:lineRule="auto"/>
        <w:widowControl/>
        <w:rPr>
          <w:color w:val="000000"/>
          <w:sz w:val="24"/>
        </w:rPr>
      </w:pPr>
      <w:r>
        <w:rPr>
          <w:color w:val="000000"/>
          <w:sz w:val="24"/>
        </w:rPr>
        <w:t xml:space="preserve">维持站房内卫生整洁，包括线管路整洁、地面整洁等。</w:t>
      </w:r>
      <w:r>
        <w:rPr>
          <w:color w:val="000000"/>
          <w:sz w:val="24"/>
        </w:rPr>
      </w:r>
      <w:r/>
    </w:p>
    <w:p>
      <w:pPr>
        <w:pStyle w:val="963"/>
        <w:numPr>
          <w:ilvl w:val="2"/>
          <w:numId w:val="14"/>
        </w:numPr>
        <w:jc w:val="left"/>
        <w:keepLines/>
        <w:keepNext/>
        <w:spacing w:line="360" w:lineRule="auto"/>
        <w:rPr>
          <w:b/>
          <w:bCs/>
          <w:color w:val="000000"/>
          <w:sz w:val="24"/>
        </w:rPr>
        <w:outlineLvl w:val="3"/>
      </w:pPr>
      <w:r>
        <w:rPr>
          <w:b/>
          <w:bCs/>
          <w:color w:val="000000"/>
          <w:sz w:val="24"/>
        </w:rPr>
        <w:t xml:space="preserve"> 辅助设施</w:t>
      </w:r>
      <w:r>
        <w:rPr>
          <w:b/>
          <w:bCs/>
          <w:color w:val="000000"/>
          <w:sz w:val="24"/>
        </w:rPr>
      </w:r>
      <w:r/>
    </w:p>
    <w:p>
      <w:pPr>
        <w:pStyle w:val="963"/>
        <w:contextualSpacing/>
        <w:ind w:right="45" w:firstLine="482"/>
        <w:jc w:val="left"/>
        <w:spacing w:line="360" w:lineRule="auto"/>
        <w:widowControl/>
        <w:tabs>
          <w:tab w:val="left" w:pos="2280" w:leader="none"/>
        </w:tabs>
        <w:rPr>
          <w:b/>
          <w:bCs/>
          <w:color w:val="000000"/>
          <w:sz w:val="24"/>
        </w:rPr>
      </w:pPr>
      <w:r>
        <w:rPr>
          <w:b/>
          <w:bCs/>
          <w:color w:val="000000"/>
          <w:sz w:val="24"/>
        </w:rPr>
        <w:t xml:space="preserve">零气、氢气发生器：</w:t>
      </w:r>
      <w:r>
        <w:rPr>
          <w:b/>
          <w:bCs/>
          <w:color w:val="000000"/>
          <w:sz w:val="24"/>
        </w:rPr>
      </w:r>
      <w:r/>
    </w:p>
    <w:p>
      <w:pPr>
        <w:pStyle w:val="963"/>
        <w:numPr>
          <w:ilvl w:val="0"/>
          <w:numId w:val="17"/>
        </w:numPr>
        <w:ind w:firstLine="480"/>
        <w:jc w:val="left"/>
        <w:spacing w:line="360" w:lineRule="auto"/>
        <w:widowControl/>
        <w:rPr>
          <w:color w:val="000000"/>
          <w:sz w:val="24"/>
        </w:rPr>
      </w:pPr>
      <w:r>
        <w:rPr>
          <w:color w:val="000000"/>
          <w:sz w:val="24"/>
        </w:rPr>
        <w:t xml:space="preserve">定期检查零气发生器的温度控制和压力控制是否正常，气路是否漏气。</w:t>
      </w:r>
      <w:r>
        <w:rPr>
          <w:color w:val="000000"/>
          <w:sz w:val="24"/>
        </w:rPr>
      </w:r>
      <w:r/>
    </w:p>
    <w:p>
      <w:pPr>
        <w:pStyle w:val="963"/>
        <w:numPr>
          <w:ilvl w:val="0"/>
          <w:numId w:val="17"/>
        </w:numPr>
        <w:ind w:firstLine="480"/>
        <w:jc w:val="left"/>
        <w:spacing w:line="360" w:lineRule="auto"/>
        <w:widowControl/>
        <w:rPr>
          <w:color w:val="000000"/>
          <w:sz w:val="24"/>
        </w:rPr>
      </w:pPr>
      <w:r>
        <w:rPr>
          <w:color w:val="000000"/>
          <w:sz w:val="24"/>
        </w:rPr>
        <w:t xml:space="preserve">定期检查并排空空气压缩机储气瓶中的积水。</w:t>
      </w:r>
      <w:r>
        <w:rPr>
          <w:color w:val="000000"/>
          <w:sz w:val="24"/>
        </w:rPr>
      </w:r>
      <w:r/>
    </w:p>
    <w:p>
      <w:pPr>
        <w:pStyle w:val="963"/>
        <w:numPr>
          <w:ilvl w:val="0"/>
          <w:numId w:val="17"/>
        </w:numPr>
        <w:ind w:firstLine="480"/>
        <w:jc w:val="left"/>
        <w:spacing w:line="360" w:lineRule="auto"/>
        <w:widowControl/>
        <w:rPr>
          <w:color w:val="000000"/>
          <w:sz w:val="24"/>
        </w:rPr>
      </w:pPr>
      <w:r>
        <w:rPr>
          <w:color w:val="000000"/>
          <w:sz w:val="24"/>
        </w:rPr>
        <w:t xml:space="preserve">按照仪器要求，对零气、氢气发生器中的分子筛、活性炭、氧化剂等气体净化材料进行定期更换。若发现各监测项目的监测误差和零点漂移明显增大，应查明原因，及时更换净化材料。</w:t>
      </w:r>
      <w:r>
        <w:rPr>
          <w:color w:val="000000"/>
          <w:sz w:val="24"/>
        </w:rPr>
      </w:r>
      <w:r/>
    </w:p>
    <w:p>
      <w:pPr>
        <w:pStyle w:val="963"/>
        <w:numPr>
          <w:ilvl w:val="0"/>
          <w:numId w:val="17"/>
        </w:numPr>
        <w:ind w:firstLine="480"/>
        <w:jc w:val="left"/>
        <w:spacing w:line="360" w:lineRule="auto"/>
        <w:widowControl/>
        <w:rPr>
          <w:color w:val="000000"/>
          <w:sz w:val="24"/>
        </w:rPr>
      </w:pPr>
      <w:r>
        <w:rPr>
          <w:color w:val="000000"/>
          <w:sz w:val="24"/>
        </w:rPr>
        <w:t xml:space="preserve">定期检查氢气用水的量，确保储水桶中有足够的水量供给。</w:t>
      </w:r>
      <w:r>
        <w:rPr>
          <w:color w:val="000000"/>
          <w:sz w:val="24"/>
        </w:rPr>
      </w:r>
      <w:r/>
    </w:p>
    <w:p>
      <w:pPr>
        <w:pStyle w:val="963"/>
        <w:numPr>
          <w:ilvl w:val="2"/>
          <w:numId w:val="14"/>
        </w:numPr>
        <w:jc w:val="left"/>
        <w:keepLines/>
        <w:keepNext/>
        <w:spacing w:line="360" w:lineRule="auto"/>
        <w:rPr>
          <w:b/>
          <w:bCs/>
          <w:color w:val="000000"/>
          <w:sz w:val="24"/>
        </w:rPr>
        <w:outlineLvl w:val="3"/>
      </w:pPr>
      <w:r>
        <w:rPr>
          <w:b/>
          <w:bCs/>
          <w:color w:val="000000"/>
          <w:sz w:val="24"/>
        </w:rPr>
        <w:t xml:space="preserve"> 监测仪器</w:t>
      </w:r>
      <w:r>
        <w:rPr>
          <w:b/>
          <w:bCs/>
          <w:color w:val="000000"/>
          <w:sz w:val="24"/>
        </w:rPr>
      </w:r>
      <w:r/>
    </w:p>
    <w:p>
      <w:pPr>
        <w:pStyle w:val="963"/>
        <w:contextualSpacing/>
        <w:ind w:firstLine="482"/>
        <w:jc w:val="left"/>
        <w:spacing w:line="360" w:lineRule="auto"/>
        <w:widowControl/>
        <w:tabs>
          <w:tab w:val="left" w:pos="2280" w:leader="none"/>
        </w:tabs>
        <w:rPr>
          <w:b/>
          <w:bCs/>
          <w:color w:val="000000"/>
          <w:sz w:val="24"/>
        </w:rPr>
      </w:pPr>
      <w:r>
        <w:rPr>
          <w:b/>
          <w:bCs/>
          <w:color w:val="000000"/>
          <w:sz w:val="24"/>
        </w:rPr>
        <w:t xml:space="preserve">VOCs自动监测（GC-FID-MS法）仪：</w:t>
      </w:r>
      <w:r>
        <w:rPr>
          <w:b/>
          <w:bCs/>
          <w:color w:val="000000"/>
          <w:sz w:val="24"/>
        </w:rPr>
      </w:r>
      <w:r/>
    </w:p>
    <w:p>
      <w:pPr>
        <w:pStyle w:val="963"/>
        <w:contextualSpacing/>
        <w:ind w:firstLine="482"/>
        <w:jc w:val="left"/>
        <w:spacing w:line="360" w:lineRule="auto"/>
        <w:widowControl/>
        <w:tabs>
          <w:tab w:val="left" w:pos="2280" w:leader="none"/>
        </w:tabs>
        <w:rPr>
          <w:color w:val="000000"/>
          <w:sz w:val="24"/>
        </w:rPr>
      </w:pPr>
      <w:r>
        <w:rPr>
          <w:b/>
          <w:color w:val="000000"/>
          <w:sz w:val="24"/>
        </w:rPr>
        <w:t xml:space="preserve">每天:</w:t>
      </w:r>
      <w:r>
        <w:rPr>
          <w:color w:val="000000"/>
          <w:sz w:val="24"/>
        </w:rPr>
        <w:t xml:space="preserve">远程连接到仪器现场端进行检查，检查内容包括：</w:t>
      </w:r>
      <w:r>
        <w:rPr>
          <w:color w:val="000000"/>
          <w:sz w:val="24"/>
        </w:rPr>
      </w:r>
      <w:r/>
    </w:p>
    <w:p>
      <w:pPr>
        <w:pStyle w:val="963"/>
        <w:numPr>
          <w:ilvl w:val="0"/>
          <w:numId w:val="18"/>
        </w:numPr>
        <w:contextualSpacing/>
        <w:ind w:firstLine="480"/>
        <w:jc w:val="left"/>
        <w:spacing w:line="360" w:lineRule="auto"/>
        <w:widowControl/>
        <w:tabs>
          <w:tab w:val="left" w:pos="2280" w:leader="none"/>
        </w:tabs>
        <w:rPr>
          <w:color w:val="000000"/>
          <w:sz w:val="24"/>
        </w:rPr>
      </w:pPr>
      <w:r>
        <w:rPr>
          <w:color w:val="000000"/>
          <w:sz w:val="24"/>
        </w:rPr>
        <w:t xml:space="preserve">系统状态检查</w:t>
      </w:r>
      <w:r>
        <w:rPr>
          <w:color w:val="000000"/>
          <w:sz w:val="24"/>
        </w:rPr>
      </w:r>
      <w:r/>
    </w:p>
    <w:p>
      <w:pPr>
        <w:pStyle w:val="963"/>
        <w:contextualSpacing/>
        <w:ind w:firstLine="480"/>
        <w:jc w:val="left"/>
        <w:spacing w:line="360" w:lineRule="auto"/>
        <w:widowControl/>
        <w:tabs>
          <w:tab w:val="left" w:pos="2280" w:leader="none"/>
        </w:tabs>
        <w:rPr>
          <w:color w:val="000000"/>
          <w:sz w:val="24"/>
        </w:rPr>
      </w:pPr>
      <w:r>
        <w:rPr>
          <w:color w:val="000000"/>
          <w:sz w:val="24"/>
        </w:rPr>
        <w:t xml:space="preserve">检查系统是否有报警等异常提示，以及富集/解析模块、分析模块的温度、气压、时间、流量、电压等重要参数是否正常。系统状态检查可通过远程或者现场检查的方式完成。</w:t>
      </w:r>
      <w:r>
        <w:rPr>
          <w:color w:val="000000"/>
          <w:sz w:val="24"/>
        </w:rPr>
      </w:r>
      <w:r/>
    </w:p>
    <w:p>
      <w:pPr>
        <w:pStyle w:val="963"/>
        <w:numPr>
          <w:ilvl w:val="0"/>
          <w:numId w:val="18"/>
        </w:numPr>
        <w:contextualSpacing/>
        <w:ind w:firstLine="480"/>
        <w:jc w:val="left"/>
        <w:spacing w:line="360" w:lineRule="auto"/>
        <w:widowControl/>
        <w:tabs>
          <w:tab w:val="left" w:pos="2280" w:leader="none"/>
        </w:tabs>
        <w:rPr>
          <w:color w:val="000000"/>
          <w:sz w:val="24"/>
        </w:rPr>
      </w:pPr>
      <w:r>
        <w:rPr>
          <w:color w:val="000000"/>
          <w:sz w:val="24"/>
        </w:rPr>
        <w:t xml:space="preserve">基线检查</w:t>
      </w:r>
      <w:r>
        <w:rPr>
          <w:color w:val="000000"/>
          <w:sz w:val="24"/>
        </w:rPr>
      </w:r>
      <w:r/>
    </w:p>
    <w:p>
      <w:pPr>
        <w:pStyle w:val="963"/>
        <w:contextualSpacing/>
        <w:ind w:firstLine="480"/>
        <w:jc w:val="left"/>
        <w:spacing w:line="360" w:lineRule="auto"/>
        <w:widowControl/>
        <w:tabs>
          <w:tab w:val="left" w:pos="2280" w:leader="none"/>
        </w:tabs>
        <w:rPr>
          <w:color w:val="000000"/>
          <w:sz w:val="24"/>
        </w:rPr>
      </w:pPr>
      <w:r>
        <w:rPr>
          <w:color w:val="000000"/>
          <w:sz w:val="24"/>
        </w:rPr>
        <w:t xml:space="preserve">按照厂家说明书或作业指导书要求检查图谱基线（质谱应使用TIC 图）是否存在异常漂移和波动，特别是水分对基线的影响。如存在异常漂移和波动，应及时标识或剔除异常数据或对受影响的化合物进行重积分。</w:t>
      </w:r>
      <w:r>
        <w:rPr>
          <w:color w:val="000000"/>
          <w:sz w:val="24"/>
        </w:rPr>
      </w:r>
      <w:r/>
    </w:p>
    <w:p>
      <w:pPr>
        <w:pStyle w:val="963"/>
        <w:numPr>
          <w:ilvl w:val="0"/>
          <w:numId w:val="18"/>
        </w:numPr>
        <w:contextualSpacing/>
        <w:ind w:firstLine="480"/>
        <w:jc w:val="left"/>
        <w:spacing w:line="360" w:lineRule="auto"/>
        <w:widowControl/>
        <w:tabs>
          <w:tab w:val="left" w:pos="2280" w:leader="none"/>
        </w:tabs>
        <w:rPr>
          <w:color w:val="000000"/>
          <w:sz w:val="24"/>
        </w:rPr>
      </w:pPr>
      <w:r>
        <w:rPr>
          <w:color w:val="000000"/>
          <w:sz w:val="24"/>
        </w:rPr>
        <w:t xml:space="preserve">保留时间漂移</w:t>
      </w:r>
      <w:r>
        <w:rPr>
          <w:color w:val="000000"/>
          <w:sz w:val="24"/>
        </w:rPr>
      </w:r>
      <w:r/>
    </w:p>
    <w:p>
      <w:pPr>
        <w:pStyle w:val="963"/>
        <w:contextualSpacing/>
        <w:ind w:firstLine="480"/>
        <w:jc w:val="left"/>
        <w:spacing w:line="360" w:lineRule="auto"/>
        <w:widowControl/>
        <w:tabs>
          <w:tab w:val="left" w:pos="2280" w:leader="none"/>
        </w:tabs>
        <w:rPr>
          <w:color w:val="000000"/>
          <w:sz w:val="24"/>
        </w:rPr>
      </w:pPr>
      <w:r>
        <w:rPr>
          <w:color w:val="000000"/>
          <w:sz w:val="24"/>
        </w:rPr>
        <w:t xml:space="preserve">根据保留时间前、中、后各段经常检出且浓度较高的特征VOCs组分检查保留时间漂移是否超出0.5min，如超出要求应重新设置保留时间积分窗。重点关注漂移是否影响监测组分的自动积分，如有影响，应进行重积分。</w:t>
      </w:r>
      <w:r>
        <w:rPr>
          <w:color w:val="000000"/>
          <w:sz w:val="24"/>
        </w:rPr>
      </w:r>
      <w:r/>
    </w:p>
    <w:p>
      <w:pPr>
        <w:pStyle w:val="963"/>
        <w:numPr>
          <w:ilvl w:val="0"/>
          <w:numId w:val="18"/>
        </w:numPr>
        <w:contextualSpacing/>
        <w:ind w:firstLine="480"/>
        <w:jc w:val="left"/>
        <w:spacing w:line="360" w:lineRule="auto"/>
        <w:widowControl/>
        <w:tabs>
          <w:tab w:val="left" w:pos="2280" w:leader="none"/>
        </w:tabs>
        <w:rPr>
          <w:color w:val="000000"/>
          <w:sz w:val="24"/>
        </w:rPr>
      </w:pPr>
      <w:r>
        <w:rPr>
          <w:color w:val="000000"/>
          <w:sz w:val="24"/>
        </w:rPr>
        <w:t xml:space="preserve">质谱检测器内标响应检查</w:t>
      </w:r>
      <w:r>
        <w:rPr>
          <w:color w:val="000000"/>
          <w:sz w:val="24"/>
        </w:rPr>
      </w:r>
      <w:r/>
    </w:p>
    <w:p>
      <w:pPr>
        <w:pStyle w:val="963"/>
        <w:contextualSpacing/>
        <w:ind w:firstLine="480"/>
        <w:jc w:val="left"/>
        <w:spacing w:line="360" w:lineRule="auto"/>
        <w:widowControl/>
        <w:tabs>
          <w:tab w:val="left" w:pos="2280" w:leader="none"/>
        </w:tabs>
        <w:rPr>
          <w:color w:val="000000"/>
          <w:sz w:val="24"/>
        </w:rPr>
      </w:pPr>
      <w:r>
        <w:rPr>
          <w:color w:val="000000"/>
          <w:sz w:val="24"/>
        </w:rPr>
        <w:t xml:space="preserve">对质谱内标化合物特征离子丰度进行检查，质谱内标定量离子峰面积变化应在校准曲线绘制时离子峰面积的 50%~150%范围内。如系统具备氟利昂11、12、113等天然源组分的检测能力，可将其作为天然内标系统定量稳定性，具体检查方法与合格标准应根据系统作业指导书执行。</w:t>
      </w:r>
      <w:r>
        <w:rPr>
          <w:color w:val="000000"/>
          <w:sz w:val="24"/>
        </w:rPr>
      </w:r>
      <w:r/>
    </w:p>
    <w:p>
      <w:pPr>
        <w:pStyle w:val="963"/>
        <w:numPr>
          <w:ilvl w:val="0"/>
          <w:numId w:val="18"/>
        </w:numPr>
        <w:contextualSpacing/>
        <w:ind w:firstLine="480"/>
        <w:jc w:val="left"/>
        <w:spacing w:line="360" w:lineRule="auto"/>
        <w:widowControl/>
        <w:tabs>
          <w:tab w:val="left" w:pos="2280" w:leader="none"/>
        </w:tabs>
        <w:rPr>
          <w:color w:val="000000"/>
          <w:sz w:val="24"/>
        </w:rPr>
      </w:pPr>
      <w:r>
        <w:rPr>
          <w:color w:val="000000"/>
          <w:sz w:val="24"/>
        </w:rPr>
        <w:t xml:space="preserve">数据标识与重积分</w:t>
      </w:r>
      <w:r>
        <w:rPr>
          <w:color w:val="000000"/>
          <w:sz w:val="24"/>
        </w:rPr>
      </w:r>
      <w:r/>
    </w:p>
    <w:p>
      <w:pPr>
        <w:pStyle w:val="963"/>
        <w:contextualSpacing/>
        <w:ind w:firstLine="480"/>
        <w:jc w:val="left"/>
        <w:spacing w:line="360" w:lineRule="auto"/>
        <w:widowControl/>
        <w:tabs>
          <w:tab w:val="left" w:pos="2280" w:leader="none"/>
        </w:tabs>
        <w:rPr>
          <w:color w:val="000000"/>
          <w:sz w:val="24"/>
        </w:rPr>
      </w:pPr>
      <w:r>
        <w:rPr>
          <w:color w:val="000000"/>
          <w:sz w:val="24"/>
        </w:rPr>
        <w:t xml:space="preserve">日审核结束后，应对异常数据进行无效标识或剔除，并对需要进行重积分的谱图和色谱峰进行重积分。</w:t>
      </w:r>
      <w:r>
        <w:rPr>
          <w:color w:val="000000"/>
          <w:sz w:val="24"/>
        </w:rPr>
      </w:r>
      <w:r/>
    </w:p>
    <w:p>
      <w:pPr>
        <w:pStyle w:val="963"/>
        <w:contextualSpacing/>
        <w:ind w:firstLine="480"/>
        <w:jc w:val="left"/>
        <w:spacing w:line="360" w:lineRule="auto"/>
        <w:widowControl/>
        <w:tabs>
          <w:tab w:val="left" w:pos="2280" w:leader="none"/>
        </w:tabs>
        <w:rPr>
          <w:color w:val="000000"/>
          <w:sz w:val="24"/>
        </w:rPr>
      </w:pPr>
      <w:r>
        <w:rPr>
          <w:color w:val="000000"/>
          <w:sz w:val="24"/>
        </w:rPr>
        <w:t xml:space="preserve">关键物种检出率：常检出物种（乙烷、丙烷、正丁烷、乙烯、丙烯、乙炔、苯、甲苯、间对二甲苯）应100%检出。</w:t>
      </w:r>
      <w:r>
        <w:rPr>
          <w:color w:val="000000"/>
          <w:sz w:val="24"/>
        </w:rPr>
      </w:r>
      <w:r/>
    </w:p>
    <w:p>
      <w:pPr>
        <w:pStyle w:val="963"/>
        <w:contextualSpacing/>
        <w:ind w:firstLine="480"/>
        <w:jc w:val="left"/>
        <w:spacing w:line="360" w:lineRule="auto"/>
        <w:widowControl/>
        <w:tabs>
          <w:tab w:val="left" w:pos="2280" w:leader="none"/>
        </w:tabs>
        <w:rPr>
          <w:color w:val="000000"/>
          <w:sz w:val="24"/>
        </w:rPr>
      </w:pPr>
      <w:r>
        <w:rPr>
          <w:color w:val="000000"/>
          <w:sz w:val="24"/>
        </w:rPr>
        <w:t xml:space="preserve">物种比值：甲苯/苯＞1，乙烷/乙烯＞1，丙烷/丙烯＞1。</w:t>
      </w:r>
      <w:r>
        <w:rPr>
          <w:color w:val="000000"/>
          <w:sz w:val="24"/>
        </w:rPr>
      </w:r>
      <w:r/>
    </w:p>
    <w:p>
      <w:pPr>
        <w:pStyle w:val="963"/>
        <w:contextualSpacing/>
        <w:ind w:firstLine="480"/>
        <w:jc w:val="left"/>
        <w:spacing w:line="360" w:lineRule="auto"/>
        <w:widowControl/>
        <w:tabs>
          <w:tab w:val="left" w:pos="2280" w:leader="none"/>
        </w:tabs>
        <w:rPr>
          <w:color w:val="000000"/>
          <w:sz w:val="24"/>
        </w:rPr>
      </w:pPr>
      <w:r>
        <w:rPr>
          <w:color w:val="000000"/>
          <w:sz w:val="24"/>
        </w:rPr>
        <w:t xml:space="preserve">物种相关性：观察同源组分相关性（如正丁烷、异丁烷），偏差较大需进行仪器核查。</w:t>
      </w:r>
      <w:r>
        <w:rPr>
          <w:color w:val="000000"/>
          <w:sz w:val="24"/>
        </w:rPr>
      </w:r>
      <w:r/>
    </w:p>
    <w:p>
      <w:pPr>
        <w:pStyle w:val="963"/>
        <w:numPr>
          <w:ilvl w:val="0"/>
          <w:numId w:val="18"/>
        </w:numPr>
        <w:contextualSpacing/>
        <w:ind w:firstLine="480"/>
        <w:jc w:val="left"/>
        <w:spacing w:line="360" w:lineRule="auto"/>
        <w:widowControl/>
        <w:tabs>
          <w:tab w:val="left" w:pos="2280" w:leader="none"/>
        </w:tabs>
        <w:rPr>
          <w:color w:val="000000"/>
          <w:sz w:val="24"/>
        </w:rPr>
      </w:pPr>
      <w:r>
        <w:rPr>
          <w:color w:val="000000"/>
          <w:sz w:val="24"/>
        </w:rPr>
        <w:t xml:space="preserve">根据项目具体要求开展维护工作</w:t>
      </w:r>
      <w:r>
        <w:rPr>
          <w:color w:val="000000"/>
          <w:sz w:val="24"/>
        </w:rPr>
      </w:r>
      <w:r/>
    </w:p>
    <w:p>
      <w:pPr>
        <w:pStyle w:val="963"/>
        <w:contextualSpacing/>
        <w:ind w:firstLine="482"/>
        <w:jc w:val="left"/>
        <w:spacing w:line="360" w:lineRule="auto"/>
        <w:widowControl/>
        <w:tabs>
          <w:tab w:val="left" w:pos="2280" w:leader="none"/>
        </w:tabs>
        <w:rPr>
          <w:color w:val="000000"/>
          <w:sz w:val="24"/>
        </w:rPr>
      </w:pPr>
      <w:r>
        <w:rPr>
          <w:b/>
          <w:bCs/>
          <w:color w:val="000000"/>
          <w:sz w:val="24"/>
        </w:rPr>
        <w:t xml:space="preserve">每日</w:t>
      </w:r>
      <w:r>
        <w:rPr>
          <w:color w:val="000000"/>
          <w:sz w:val="24"/>
        </w:rPr>
        <w:t xml:space="preserve">0时核查中间点浓度（2ppb），当日12点前完成数据审核。</w:t>
      </w:r>
      <w:r>
        <w:rPr>
          <w:color w:val="000000"/>
          <w:sz w:val="24"/>
        </w:rPr>
      </w:r>
      <w:r/>
    </w:p>
    <w:p>
      <w:pPr>
        <w:pStyle w:val="963"/>
        <w:contextualSpacing/>
        <w:ind w:right="45" w:firstLine="482"/>
        <w:jc w:val="left"/>
        <w:spacing w:line="360" w:lineRule="auto"/>
        <w:widowControl/>
        <w:tabs>
          <w:tab w:val="left" w:pos="2280" w:leader="none"/>
        </w:tabs>
        <w:rPr>
          <w:color w:val="000000"/>
          <w:sz w:val="24"/>
        </w:rPr>
      </w:pPr>
      <w:r>
        <w:rPr>
          <w:b/>
          <w:bCs/>
          <w:color w:val="000000"/>
          <w:sz w:val="24"/>
        </w:rPr>
        <w:t xml:space="preserve">每周：</w:t>
      </w:r>
      <w:r>
        <w:rPr>
          <w:color w:val="000000"/>
          <w:sz w:val="24"/>
        </w:rPr>
        <w:t xml:space="preserve">现场巡检并根据要求做好现场检查工作，并做好相关记录，具体内容包括：</w:t>
      </w:r>
      <w:r>
        <w:rPr>
          <w:color w:val="000000"/>
          <w:sz w:val="24"/>
        </w:rPr>
      </w:r>
      <w:r/>
    </w:p>
    <w:p>
      <w:pPr>
        <w:pStyle w:val="963"/>
        <w:numPr>
          <w:ilvl w:val="0"/>
          <w:numId w:val="19"/>
        </w:numPr>
        <w:contextualSpacing/>
        <w:ind w:firstLine="480"/>
        <w:jc w:val="left"/>
        <w:spacing w:line="360" w:lineRule="auto"/>
        <w:widowControl/>
        <w:tabs>
          <w:tab w:val="left" w:pos="2280" w:leader="none"/>
        </w:tabs>
        <w:rPr>
          <w:color w:val="000000"/>
          <w:sz w:val="24"/>
        </w:rPr>
      </w:pPr>
      <w:r>
        <w:rPr>
          <w:color w:val="000000"/>
          <w:sz w:val="24"/>
        </w:rPr>
        <w:t xml:space="preserve">查看仪器及配套设备是否齐备，无丢失和损坏；钢瓶阀门是否漏气，记录钢瓶压力；</w:t>
      </w:r>
      <w:r>
        <w:rPr>
          <w:color w:val="000000"/>
          <w:sz w:val="24"/>
        </w:rPr>
      </w:r>
      <w:r/>
    </w:p>
    <w:p>
      <w:pPr>
        <w:pStyle w:val="963"/>
        <w:numPr>
          <w:ilvl w:val="0"/>
          <w:numId w:val="19"/>
        </w:numPr>
        <w:contextualSpacing/>
        <w:ind w:firstLine="480"/>
        <w:jc w:val="left"/>
        <w:spacing w:line="360" w:lineRule="auto"/>
        <w:widowControl/>
        <w:tabs>
          <w:tab w:val="left" w:pos="2280" w:leader="none"/>
        </w:tabs>
        <w:rPr>
          <w:color w:val="000000"/>
          <w:sz w:val="24"/>
        </w:rPr>
      </w:pPr>
      <w:r>
        <w:rPr>
          <w:color w:val="000000"/>
          <w:sz w:val="24"/>
        </w:rPr>
        <w:t xml:space="preserve">检查氢空一体机，按需更换变色硅胶，定期加水，并验证是否漏气；</w:t>
      </w:r>
      <w:r>
        <w:rPr>
          <w:color w:val="000000"/>
          <w:sz w:val="24"/>
        </w:rPr>
      </w:r>
      <w:r/>
    </w:p>
    <w:p>
      <w:pPr>
        <w:pStyle w:val="963"/>
        <w:numPr>
          <w:ilvl w:val="0"/>
          <w:numId w:val="19"/>
        </w:numPr>
        <w:contextualSpacing/>
        <w:ind w:firstLine="480"/>
        <w:jc w:val="left"/>
        <w:spacing w:line="360" w:lineRule="auto"/>
        <w:widowControl/>
        <w:tabs>
          <w:tab w:val="left" w:pos="2280" w:leader="none"/>
        </w:tabs>
        <w:rPr>
          <w:color w:val="000000"/>
          <w:sz w:val="24"/>
        </w:rPr>
      </w:pPr>
      <w:r>
        <w:rPr>
          <w:color w:val="000000"/>
          <w:sz w:val="24"/>
        </w:rPr>
        <w:t xml:space="preserve">按需更换采样头滤膜与CO</w:t>
      </w:r>
      <w:r>
        <w:rPr>
          <w:color w:val="000000"/>
          <w:sz w:val="24"/>
          <w:vertAlign w:val="subscript"/>
        </w:rPr>
        <w:t xml:space="preserve">2</w:t>
      </w:r>
      <w:r>
        <w:rPr>
          <w:color w:val="000000"/>
          <w:sz w:val="24"/>
        </w:rPr>
        <w:t xml:space="preserve">去除管，并对系统进行验漏；</w:t>
      </w:r>
      <w:r>
        <w:rPr>
          <w:color w:val="000000"/>
          <w:sz w:val="24"/>
        </w:rPr>
      </w:r>
      <w:r/>
    </w:p>
    <w:p>
      <w:pPr>
        <w:pStyle w:val="963"/>
        <w:numPr>
          <w:ilvl w:val="0"/>
          <w:numId w:val="19"/>
        </w:numPr>
        <w:contextualSpacing/>
        <w:ind w:firstLine="480"/>
        <w:jc w:val="left"/>
        <w:spacing w:line="360" w:lineRule="auto"/>
        <w:widowControl/>
        <w:tabs>
          <w:tab w:val="left" w:pos="2280" w:leader="none"/>
        </w:tabs>
        <w:rPr>
          <w:color w:val="000000"/>
          <w:sz w:val="24"/>
        </w:rPr>
      </w:pPr>
      <w:r>
        <w:rPr>
          <w:color w:val="000000"/>
          <w:sz w:val="24"/>
        </w:rPr>
        <w:t xml:space="preserve">检查冷阱制冷状态，按要求进行预防性维护；</w:t>
      </w:r>
      <w:r>
        <w:rPr>
          <w:color w:val="000000"/>
          <w:sz w:val="24"/>
        </w:rPr>
      </w:r>
      <w:r/>
    </w:p>
    <w:p>
      <w:pPr>
        <w:pStyle w:val="963"/>
        <w:numPr>
          <w:ilvl w:val="0"/>
          <w:numId w:val="19"/>
        </w:numPr>
        <w:contextualSpacing/>
        <w:ind w:firstLine="480"/>
        <w:jc w:val="left"/>
        <w:spacing w:line="360" w:lineRule="auto"/>
        <w:widowControl/>
        <w:tabs>
          <w:tab w:val="left" w:pos="2280" w:leader="none"/>
        </w:tabs>
        <w:rPr>
          <w:color w:val="000000"/>
          <w:sz w:val="24"/>
        </w:rPr>
      </w:pPr>
      <w:r>
        <w:rPr>
          <w:color w:val="000000"/>
          <w:sz w:val="24"/>
        </w:rPr>
        <w:t xml:space="preserve">检查内外标苏玛罐压力，按需更换；</w:t>
      </w:r>
      <w:r>
        <w:rPr>
          <w:color w:val="000000"/>
          <w:sz w:val="24"/>
        </w:rPr>
      </w:r>
      <w:r/>
    </w:p>
    <w:p>
      <w:pPr>
        <w:pStyle w:val="963"/>
        <w:numPr>
          <w:ilvl w:val="0"/>
          <w:numId w:val="19"/>
        </w:numPr>
        <w:contextualSpacing/>
        <w:ind w:firstLine="480"/>
        <w:jc w:val="left"/>
        <w:spacing w:line="360" w:lineRule="auto"/>
        <w:widowControl/>
        <w:tabs>
          <w:tab w:val="left" w:pos="2280" w:leader="none"/>
        </w:tabs>
        <w:rPr>
          <w:color w:val="000000"/>
          <w:sz w:val="24"/>
        </w:rPr>
      </w:pPr>
      <w:r>
        <w:rPr>
          <w:color w:val="000000"/>
          <w:sz w:val="24"/>
        </w:rPr>
        <w:t xml:space="preserve">根据每日的外标情况进行判断，如果30%所测量因子浓度偏差达到30%，应当月进行多点工作曲线的标定。</w:t>
      </w:r>
      <w:r>
        <w:rPr>
          <w:color w:val="000000"/>
          <w:sz w:val="24"/>
        </w:rPr>
      </w:r>
      <w:r/>
    </w:p>
    <w:p>
      <w:pPr>
        <w:pStyle w:val="963"/>
        <w:contextualSpacing/>
        <w:ind w:right="45" w:firstLine="482"/>
        <w:jc w:val="left"/>
        <w:spacing w:line="360" w:lineRule="auto"/>
        <w:widowControl/>
        <w:tabs>
          <w:tab w:val="left" w:pos="2280" w:leader="none"/>
        </w:tabs>
        <w:rPr>
          <w:b/>
          <w:color w:val="000000"/>
          <w:sz w:val="24"/>
        </w:rPr>
      </w:pPr>
      <w:r>
        <w:rPr>
          <w:b/>
          <w:color w:val="000000"/>
          <w:sz w:val="24"/>
        </w:rPr>
        <w:t xml:space="preserve">每季度：</w:t>
      </w:r>
      <w:r>
        <w:rPr>
          <w:b/>
          <w:color w:val="000000"/>
          <w:sz w:val="24"/>
        </w:rPr>
      </w:r>
      <w:r/>
    </w:p>
    <w:p>
      <w:pPr>
        <w:pStyle w:val="963"/>
        <w:numPr>
          <w:ilvl w:val="0"/>
          <w:numId w:val="20"/>
        </w:numPr>
        <w:contextualSpacing/>
        <w:ind w:firstLine="480"/>
        <w:jc w:val="left"/>
        <w:spacing w:line="360" w:lineRule="auto"/>
        <w:widowControl/>
        <w:tabs>
          <w:tab w:val="left" w:pos="2280" w:leader="none"/>
        </w:tabs>
        <w:rPr>
          <w:color w:val="000000"/>
          <w:sz w:val="24"/>
        </w:rPr>
      </w:pPr>
      <w:r>
        <w:rPr>
          <w:color w:val="000000"/>
          <w:sz w:val="24"/>
        </w:rPr>
        <w:t xml:space="preserve">每季度应当进行GCMS调谐，并留存调谐报告；</w:t>
      </w:r>
      <w:r>
        <w:rPr>
          <w:color w:val="000000"/>
          <w:sz w:val="24"/>
        </w:rPr>
      </w:r>
      <w:r/>
    </w:p>
    <w:p>
      <w:pPr>
        <w:pStyle w:val="963"/>
        <w:numPr>
          <w:ilvl w:val="0"/>
          <w:numId w:val="20"/>
        </w:numPr>
        <w:contextualSpacing/>
        <w:ind w:firstLine="480"/>
        <w:jc w:val="left"/>
        <w:spacing w:line="360" w:lineRule="auto"/>
        <w:widowControl/>
        <w:tabs>
          <w:tab w:val="left" w:pos="2280" w:leader="none"/>
        </w:tabs>
        <w:rPr>
          <w:color w:val="000000"/>
          <w:sz w:val="24"/>
        </w:rPr>
      </w:pPr>
      <w:r>
        <w:rPr>
          <w:color w:val="000000"/>
          <w:sz w:val="24"/>
        </w:rPr>
        <w:t xml:space="preserve">每季度内至少进行一次多点线性检查，多点线性检查和要求：至少6点不同浓度（参考浓度，含零点，0.4ppb、0.8ppb、1.2ppb、2ppb、4ppb）的标气开展对仪器的线性测试，以确定VOCs各组分定量的准确性，VOCs因子至少80%物种标准曲线的相关系数应满足r≥0.99且2ppb浓度偏差应小于30%。</w:t>
      </w:r>
      <w:r>
        <w:rPr>
          <w:color w:val="000000"/>
          <w:sz w:val="24"/>
        </w:rPr>
      </w:r>
      <w:r/>
    </w:p>
    <w:p>
      <w:pPr>
        <w:pStyle w:val="963"/>
        <w:numPr>
          <w:ilvl w:val="0"/>
          <w:numId w:val="20"/>
        </w:numPr>
        <w:contextualSpacing/>
        <w:ind w:firstLine="480"/>
        <w:jc w:val="left"/>
        <w:spacing w:line="360" w:lineRule="auto"/>
        <w:widowControl/>
        <w:tabs>
          <w:tab w:val="left" w:pos="2280" w:leader="none"/>
        </w:tabs>
        <w:rPr>
          <w:color w:val="000000"/>
          <w:sz w:val="24"/>
        </w:rPr>
      </w:pPr>
      <w:r>
        <w:rPr>
          <w:color w:val="000000"/>
          <w:sz w:val="24"/>
        </w:rPr>
        <w:t xml:space="preserve">冷凝器的清洁工作，并作好维护记录；</w:t>
      </w:r>
      <w:r>
        <w:rPr>
          <w:color w:val="000000"/>
          <w:sz w:val="24"/>
        </w:rPr>
      </w:r>
      <w:r/>
    </w:p>
    <w:p>
      <w:pPr>
        <w:pStyle w:val="963"/>
        <w:contextualSpacing/>
        <w:ind w:right="45" w:firstLine="482"/>
        <w:jc w:val="left"/>
        <w:spacing w:line="360" w:lineRule="auto"/>
        <w:widowControl/>
        <w:tabs>
          <w:tab w:val="left" w:pos="2280" w:leader="none"/>
        </w:tabs>
        <w:rPr>
          <w:color w:val="000000"/>
          <w:sz w:val="24"/>
        </w:rPr>
      </w:pPr>
      <w:r>
        <w:rPr>
          <w:b/>
          <w:bCs/>
          <w:color w:val="000000"/>
          <w:sz w:val="24"/>
        </w:rPr>
        <w:t xml:space="preserve">每年：</w:t>
      </w:r>
      <w:r>
        <w:rPr>
          <w:color w:val="000000"/>
          <w:sz w:val="24"/>
        </w:rPr>
        <w:t xml:space="preserve">仪器预防性维修维护和仪器性能指标的更新或测试，具体包括：</w:t>
      </w:r>
      <w:r>
        <w:rPr>
          <w:color w:val="000000"/>
          <w:sz w:val="24"/>
        </w:rPr>
      </w:r>
      <w:r/>
    </w:p>
    <w:p>
      <w:pPr>
        <w:pStyle w:val="963"/>
        <w:numPr>
          <w:ilvl w:val="0"/>
          <w:numId w:val="21"/>
        </w:numPr>
        <w:contextualSpacing/>
        <w:ind w:firstLine="480"/>
        <w:jc w:val="left"/>
        <w:spacing w:line="360" w:lineRule="auto"/>
        <w:widowControl/>
        <w:tabs>
          <w:tab w:val="left" w:pos="2280" w:leader="none"/>
        </w:tabs>
        <w:rPr>
          <w:color w:val="000000"/>
          <w:sz w:val="24"/>
        </w:rPr>
      </w:pPr>
      <w:r>
        <w:rPr>
          <w:color w:val="000000"/>
          <w:sz w:val="24"/>
        </w:rPr>
        <w:t xml:space="preserve">按照仪器说明书要求，开展仪器的关键部件的更换或清洗，并对仪器内部管路进行清洁或更换，使得仪器性能处于一个良好的水平。</w:t>
      </w:r>
      <w:r>
        <w:rPr>
          <w:color w:val="000000"/>
          <w:sz w:val="24"/>
        </w:rPr>
      </w:r>
      <w:r/>
    </w:p>
    <w:p>
      <w:pPr>
        <w:pStyle w:val="963"/>
        <w:numPr>
          <w:ilvl w:val="0"/>
          <w:numId w:val="21"/>
        </w:numPr>
        <w:contextualSpacing/>
        <w:ind w:firstLine="480"/>
        <w:jc w:val="left"/>
        <w:spacing w:line="360" w:lineRule="auto"/>
        <w:widowControl/>
        <w:tabs>
          <w:tab w:val="left" w:pos="2280" w:leader="none"/>
        </w:tabs>
        <w:rPr>
          <w:color w:val="000000"/>
          <w:sz w:val="24"/>
        </w:rPr>
      </w:pPr>
      <w:r>
        <w:rPr>
          <w:color w:val="000000"/>
          <w:sz w:val="24"/>
        </w:rPr>
        <w:t xml:space="preserve">开展预防性维护后或者仪器维修后，需更对仪器的检出限（连续通标准曲线最低浓度点7次开展测定）、校准曲线、准确度和精密度等指标进行重新测定，检出限应满足90%目标化合物≤0.1ppb，准确度和精密度检查，90%目标化合物的准确度≤20%，精密度应≤10%。</w:t>
      </w:r>
      <w:r>
        <w:rPr>
          <w:color w:val="000000"/>
          <w:sz w:val="24"/>
        </w:rPr>
      </w:r>
      <w:r/>
    </w:p>
    <w:p>
      <w:pPr>
        <w:pStyle w:val="963"/>
        <w:numPr>
          <w:ilvl w:val="0"/>
          <w:numId w:val="21"/>
        </w:numPr>
        <w:contextualSpacing/>
        <w:ind w:firstLine="480"/>
        <w:jc w:val="left"/>
        <w:spacing w:line="360" w:lineRule="auto"/>
        <w:widowControl/>
        <w:tabs>
          <w:tab w:val="left" w:pos="2280" w:leader="none"/>
        </w:tabs>
        <w:rPr>
          <w:color w:val="000000"/>
          <w:sz w:val="24"/>
        </w:rPr>
      </w:pPr>
      <w:r>
        <w:rPr>
          <w:color w:val="000000"/>
          <w:sz w:val="24"/>
        </w:rPr>
        <w:t xml:space="preserve">每年至少进行一次离子源清洗工作。</w:t>
      </w:r>
      <w:r>
        <w:rPr>
          <w:color w:val="000000"/>
          <w:sz w:val="24"/>
        </w:rPr>
      </w:r>
      <w:r/>
    </w:p>
    <w:p>
      <w:pPr>
        <w:pStyle w:val="963"/>
        <w:numPr>
          <w:ilvl w:val="2"/>
          <w:numId w:val="14"/>
        </w:numPr>
        <w:jc w:val="left"/>
        <w:keepLines/>
        <w:keepNext/>
        <w:spacing w:line="360" w:lineRule="auto"/>
        <w:rPr>
          <w:b/>
          <w:bCs/>
          <w:color w:val="000000"/>
          <w:sz w:val="24"/>
        </w:rPr>
        <w:outlineLvl w:val="3"/>
      </w:pPr>
      <w:r>
        <w:rPr>
          <w:b/>
          <w:bCs/>
          <w:color w:val="000000"/>
          <w:sz w:val="24"/>
        </w:rPr>
        <w:t xml:space="preserve"> 其他维护内容</w:t>
      </w:r>
      <w:r>
        <w:rPr>
          <w:b/>
          <w:bCs/>
          <w:color w:val="000000"/>
          <w:sz w:val="24"/>
        </w:rPr>
      </w:r>
      <w:r/>
    </w:p>
    <w:p>
      <w:pPr>
        <w:pStyle w:val="963"/>
        <w:contextualSpacing/>
        <w:ind w:right="45" w:firstLine="480"/>
        <w:jc w:val="left"/>
        <w:spacing w:line="360" w:lineRule="auto"/>
        <w:widowControl/>
        <w:tabs>
          <w:tab w:val="left" w:pos="2280" w:leader="none"/>
        </w:tabs>
        <w:rPr>
          <w:color w:val="000000"/>
          <w:sz w:val="24"/>
        </w:rPr>
      </w:pPr>
      <w:r>
        <w:rPr>
          <w:color w:val="000000"/>
          <w:sz w:val="24"/>
        </w:rPr>
        <w:t xml:space="preserve">按照系统说明书或作业指导书要求定期更换吸附管或捕集柱、阀膜、色谱柱、质谱离子源等重要耗材。按照系统说明书或作业指导书要求做好周期性维护，及时清洁气动阀阀芯、散热风扇、火焰离子化检测器、质谱离子源等重要部件，并定期对质谱进行调谐，对检测器进行清理维护、维修、调谐后，应重新建立标准曲线。</w:t>
      </w:r>
      <w:r>
        <w:rPr>
          <w:color w:val="000000"/>
          <w:sz w:val="24"/>
        </w:rPr>
      </w:r>
      <w:r/>
    </w:p>
    <w:p>
      <w:pPr>
        <w:pStyle w:val="963"/>
        <w:numPr>
          <w:ilvl w:val="2"/>
          <w:numId w:val="14"/>
        </w:numPr>
        <w:jc w:val="left"/>
        <w:keepLines/>
        <w:keepNext/>
        <w:spacing w:line="360" w:lineRule="auto"/>
        <w:rPr>
          <w:b/>
          <w:bCs/>
          <w:color w:val="000000"/>
          <w:sz w:val="24"/>
        </w:rPr>
        <w:outlineLvl w:val="3"/>
      </w:pPr>
      <w:r>
        <w:rPr>
          <w:b/>
          <w:bCs/>
          <w:color w:val="000000"/>
          <w:sz w:val="24"/>
        </w:rPr>
        <w:t xml:space="preserve"> 标准物质及计量器具</w:t>
      </w:r>
      <w:r>
        <w:rPr>
          <w:b/>
          <w:bCs/>
          <w:color w:val="000000"/>
          <w:sz w:val="24"/>
        </w:rPr>
      </w:r>
      <w:r/>
    </w:p>
    <w:p>
      <w:pPr>
        <w:pStyle w:val="963"/>
        <w:contextualSpacing/>
        <w:ind w:right="45" w:firstLine="480"/>
        <w:jc w:val="left"/>
        <w:spacing w:line="360" w:lineRule="auto"/>
        <w:widowControl/>
        <w:tabs>
          <w:tab w:val="left" w:pos="2280" w:leader="none"/>
        </w:tabs>
        <w:rPr>
          <w:color w:val="000000"/>
          <w:sz w:val="24"/>
        </w:rPr>
      </w:pPr>
      <w:r>
        <w:rPr>
          <w:color w:val="000000"/>
          <w:sz w:val="24"/>
        </w:rPr>
        <w:t xml:space="preserve">所有标准物质均应在有效期内使用。标准物质的证书原件或复印件应放置于自动站内。所有标准物质的证书及传递记录必须存档，且现场可查；现场应放置至少一年的标准物质的证书及传递记录。现场标准气体钢瓶上应附标识牌，标明标气来源、标气级别、有效期、生产厂家等信息。如标气为多个站共用，则应提供说明并确保正常运维和检查。标准气体的等级应满足以下要求：</w:t>
      </w:r>
      <w:r>
        <w:rPr>
          <w:color w:val="000000"/>
          <w:sz w:val="24"/>
        </w:rPr>
      </w:r>
      <w:r/>
    </w:p>
    <w:p>
      <w:pPr>
        <w:pStyle w:val="963"/>
        <w:numPr>
          <w:ilvl w:val="0"/>
          <w:numId w:val="22"/>
        </w:numPr>
        <w:contextualSpacing/>
        <w:ind w:firstLine="480"/>
        <w:jc w:val="left"/>
        <w:spacing w:line="360" w:lineRule="auto"/>
        <w:widowControl/>
        <w:tabs>
          <w:tab w:val="left" w:pos="2280" w:leader="none"/>
        </w:tabs>
        <w:rPr>
          <w:color w:val="000000"/>
          <w:sz w:val="24"/>
        </w:rPr>
      </w:pPr>
      <w:r>
        <w:rPr>
          <w:color w:val="000000"/>
          <w:sz w:val="24"/>
        </w:rPr>
        <w:t xml:space="preserve">VOCs标准气体应使用高质量的混合标气，等级不低于进口Linde或Scott的混合标准气体或获得国家标物证书、NIST认证的其它混合标准气体，使用渗透管作为内标物的监测仪，应根据使用年限按时更换渗透管。每次更换前后的标准气体或渗透管应做好比对，确保误差应在10%之内。</w:t>
      </w:r>
      <w:r>
        <w:rPr>
          <w:color w:val="000000"/>
          <w:sz w:val="24"/>
        </w:rPr>
      </w:r>
      <w:r/>
    </w:p>
    <w:p>
      <w:pPr>
        <w:pStyle w:val="963"/>
        <w:numPr>
          <w:ilvl w:val="0"/>
          <w:numId w:val="22"/>
        </w:numPr>
        <w:contextualSpacing/>
        <w:ind w:firstLine="480"/>
        <w:jc w:val="left"/>
        <w:spacing w:line="360" w:lineRule="auto"/>
        <w:widowControl/>
        <w:tabs>
          <w:tab w:val="left" w:pos="2280" w:leader="none"/>
        </w:tabs>
        <w:rPr>
          <w:color w:val="000000"/>
          <w:sz w:val="24"/>
        </w:rPr>
      </w:pPr>
      <w:r>
        <w:rPr>
          <w:color w:val="000000"/>
          <w:sz w:val="24"/>
        </w:rPr>
        <w:t xml:space="preserve">如使用苏玛罐进行标定或者外标的使用，应提供所配置苏玛罐所使用的标气证书复印件，且确保标气在有效期内进行配置，使用。</w:t>
      </w:r>
      <w:r>
        <w:rPr>
          <w:color w:val="000000"/>
          <w:sz w:val="24"/>
        </w:rPr>
      </w:r>
      <w:r/>
    </w:p>
    <w:p>
      <w:pPr>
        <w:pStyle w:val="963"/>
        <w:numPr>
          <w:ilvl w:val="0"/>
          <w:numId w:val="22"/>
        </w:numPr>
        <w:contextualSpacing/>
        <w:ind w:firstLine="480"/>
        <w:jc w:val="left"/>
        <w:spacing w:line="360" w:lineRule="auto"/>
        <w:widowControl/>
        <w:tabs>
          <w:tab w:val="left" w:pos="2280" w:leader="none"/>
        </w:tabs>
        <w:rPr>
          <w:color w:val="000000"/>
          <w:sz w:val="24"/>
        </w:rPr>
      </w:pPr>
      <w:r>
        <w:rPr>
          <w:color w:val="000000"/>
          <w:sz w:val="24"/>
        </w:rPr>
        <w:t xml:space="preserve">用于校准监测仪器的设备（流量计、温度计、气压计）必须经检定校准。</w:t>
      </w:r>
      <w:r>
        <w:rPr>
          <w:color w:val="000000"/>
          <w:sz w:val="24"/>
        </w:rPr>
      </w:r>
      <w:r/>
    </w:p>
    <w:p>
      <w:pPr>
        <w:pStyle w:val="963"/>
        <w:numPr>
          <w:ilvl w:val="1"/>
          <w:numId w:val="23"/>
        </w:numPr>
        <w:jc w:val="left"/>
        <w:keepLines/>
        <w:keepNext/>
        <w:spacing w:line="360" w:lineRule="auto"/>
        <w:tabs>
          <w:tab w:val="left" w:pos="210" w:leader="none"/>
        </w:tabs>
        <w:rPr>
          <w:b/>
          <w:color w:val="000000"/>
          <w:sz w:val="24"/>
        </w:rPr>
        <w:outlineLvl w:val="3"/>
      </w:pPr>
      <w:r>
        <w:rPr>
          <w:b/>
          <w:color w:val="000000"/>
          <w:sz w:val="24"/>
        </w:rPr>
        <w:t xml:space="preserve"> 大气环境走航监测、机动车尾气及卫星遥感监测设施运行维护</w:t>
      </w:r>
      <w:r>
        <w:rPr>
          <w:rFonts w:hint="eastAsia"/>
          <w:b/>
          <w:color w:val="000000"/>
          <w:sz w:val="24"/>
        </w:rPr>
        <w:t xml:space="preserve">服务技术要求</w:t>
      </w:r>
      <w:r>
        <w:rPr>
          <w:b/>
          <w:color w:val="000000"/>
          <w:sz w:val="24"/>
        </w:rPr>
      </w:r>
      <w:r/>
    </w:p>
    <w:p>
      <w:pPr>
        <w:pStyle w:val="963"/>
        <w:numPr>
          <w:ilvl w:val="2"/>
          <w:numId w:val="23"/>
        </w:numPr>
        <w:jc w:val="left"/>
        <w:keepLines/>
        <w:keepNext/>
        <w:spacing w:line="360" w:lineRule="auto"/>
        <w:rPr>
          <w:b/>
          <w:bCs/>
          <w:color w:val="000000"/>
          <w:sz w:val="24"/>
        </w:rPr>
        <w:outlineLvl w:val="3"/>
      </w:pPr>
      <w:r>
        <w:rPr>
          <w:b/>
          <w:bCs/>
          <w:color w:val="000000"/>
          <w:sz w:val="24"/>
        </w:rPr>
        <w:t xml:space="preserve"> 人员、车辆配备要求</w:t>
      </w:r>
      <w:r>
        <w:rPr>
          <w:b/>
          <w:bCs/>
          <w:color w:val="000000"/>
          <w:sz w:val="24"/>
        </w:rPr>
      </w:r>
      <w:r/>
    </w:p>
    <w:p>
      <w:pPr>
        <w:pStyle w:val="963"/>
        <w:numPr>
          <w:ilvl w:val="0"/>
          <w:numId w:val="24"/>
        </w:numPr>
        <w:ind w:firstLine="480"/>
        <w:jc w:val="left"/>
        <w:spacing w:line="360" w:lineRule="auto"/>
        <w:widowControl/>
        <w:rPr>
          <w:color w:val="000000"/>
          <w:sz w:val="24"/>
        </w:rPr>
      </w:pPr>
      <w:r>
        <w:rPr>
          <w:rFonts w:hint="eastAsia"/>
          <w:color w:val="000000"/>
          <w:sz w:val="24"/>
        </w:rPr>
        <w:t xml:space="preserve">运维</w:t>
      </w:r>
      <w:r>
        <w:rPr>
          <w:color w:val="000000"/>
          <w:sz w:val="24"/>
        </w:rPr>
        <w:t xml:space="preserve">单位需安排1名有丰富运维和数据分析经验的项目经理，具有本科及以上学历，具备项目管理及环境监测数据分析相关经验，能够指导走航车、固定站点管理和监测数据分析。</w:t>
      </w:r>
      <w:r>
        <w:rPr>
          <w:color w:val="000000"/>
          <w:sz w:val="24"/>
        </w:rPr>
      </w:r>
      <w:r/>
    </w:p>
    <w:p>
      <w:pPr>
        <w:pStyle w:val="963"/>
        <w:numPr>
          <w:ilvl w:val="0"/>
          <w:numId w:val="24"/>
        </w:numPr>
        <w:ind w:firstLine="480"/>
        <w:jc w:val="left"/>
        <w:spacing w:line="360" w:lineRule="auto"/>
        <w:widowControl/>
        <w:rPr>
          <w:color w:val="000000"/>
          <w:sz w:val="24"/>
        </w:rPr>
      </w:pPr>
      <w:r>
        <w:rPr>
          <w:rFonts w:hint="eastAsia"/>
          <w:color w:val="000000"/>
          <w:sz w:val="24"/>
        </w:rPr>
        <w:t xml:space="preserve">运维</w:t>
      </w:r>
      <w:r>
        <w:rPr>
          <w:color w:val="000000"/>
          <w:sz w:val="24"/>
        </w:rPr>
        <w:t xml:space="preserve">单位需安排有丰富运维和数据分析经验的团队，运维团队包括专业技术人员</w:t>
      </w:r>
      <w:r>
        <w:rPr>
          <w:rFonts w:hint="eastAsia"/>
          <w:color w:val="000000"/>
          <w:sz w:val="24"/>
        </w:rPr>
        <w:t xml:space="preserve">5名，司机4名</w:t>
      </w:r>
      <w:r>
        <w:rPr>
          <w:color w:val="000000"/>
          <w:sz w:val="24"/>
        </w:rPr>
        <w:t xml:space="preserve">。</w:t>
      </w:r>
      <w:r>
        <w:rPr>
          <w:color w:val="000000"/>
          <w:sz w:val="24"/>
        </w:rPr>
      </w:r>
      <w:r/>
    </w:p>
    <w:p>
      <w:pPr>
        <w:pStyle w:val="963"/>
        <w:numPr>
          <w:ilvl w:val="2"/>
          <w:numId w:val="23"/>
        </w:numPr>
        <w:jc w:val="left"/>
        <w:keepLines/>
        <w:keepNext/>
        <w:spacing w:line="360" w:lineRule="auto"/>
        <w:rPr>
          <w:b/>
          <w:bCs/>
          <w:color w:val="000000"/>
          <w:sz w:val="24"/>
        </w:rPr>
        <w:outlineLvl w:val="3"/>
      </w:pPr>
      <w:r>
        <w:rPr>
          <w:b/>
          <w:bCs/>
          <w:color w:val="000000"/>
          <w:sz w:val="24"/>
        </w:rPr>
        <w:t xml:space="preserve"> 大气颗粒物激光雷达走航监测设施运行维护</w:t>
      </w:r>
      <w:r>
        <w:rPr>
          <w:b/>
          <w:bCs/>
          <w:color w:val="000000"/>
          <w:sz w:val="24"/>
        </w:rPr>
      </w:r>
      <w:r/>
    </w:p>
    <w:p>
      <w:pPr>
        <w:pStyle w:val="963"/>
        <w:ind w:firstLine="480"/>
        <w:jc w:val="left"/>
        <w:spacing w:line="360" w:lineRule="auto"/>
        <w:widowControl/>
        <w:rPr>
          <w:color w:val="000000"/>
          <w:sz w:val="24"/>
        </w:rPr>
      </w:pPr>
      <w:r>
        <w:rPr>
          <w:color w:val="000000"/>
          <w:sz w:val="24"/>
        </w:rPr>
        <w:t xml:space="preserve">开展对大气颗粒物激光雷达走航监测设施的日常运行维护，保障设备正常运行，确保监测数据有效率。运行维护内容包括设备日常巡检及维护、质量控制、故障维修、定期检修，配置设备运行、维护、维修所需耗材、配件，及时上报监测数据、排查异常监测数据点位污染情况、定期提交分析报告等。</w:t>
      </w:r>
      <w:r>
        <w:rPr>
          <w:color w:val="000000"/>
          <w:sz w:val="24"/>
        </w:rPr>
      </w:r>
      <w:r/>
    </w:p>
    <w:p>
      <w:pPr>
        <w:pStyle w:val="963"/>
        <w:numPr>
          <w:ilvl w:val="3"/>
          <w:numId w:val="23"/>
        </w:numPr>
        <w:jc w:val="left"/>
        <w:keepLines/>
        <w:keepNext/>
        <w:spacing w:line="360" w:lineRule="auto"/>
        <w:rPr>
          <w:b/>
          <w:bCs/>
          <w:color w:val="000000"/>
          <w:sz w:val="24"/>
        </w:rPr>
        <w:outlineLvl w:val="4"/>
      </w:pPr>
      <w:r>
        <w:rPr>
          <w:b/>
          <w:bCs/>
          <w:color w:val="000000"/>
          <w:sz w:val="24"/>
        </w:rPr>
        <w:t xml:space="preserve"> 质量控制</w:t>
      </w:r>
      <w:r>
        <w:rPr>
          <w:b/>
          <w:bCs/>
          <w:color w:val="000000"/>
          <w:sz w:val="24"/>
        </w:rPr>
      </w:r>
      <w:r/>
    </w:p>
    <w:p>
      <w:pPr>
        <w:pStyle w:val="963"/>
        <w:numPr>
          <w:ilvl w:val="0"/>
          <w:numId w:val="25"/>
        </w:numPr>
        <w:ind w:firstLine="480"/>
        <w:jc w:val="left"/>
        <w:spacing w:line="360" w:lineRule="auto"/>
        <w:widowControl/>
        <w:rPr>
          <w:color w:val="000000"/>
          <w:sz w:val="24"/>
        </w:rPr>
      </w:pPr>
      <w:r>
        <w:rPr>
          <w:color w:val="000000"/>
          <w:sz w:val="24"/>
        </w:rPr>
        <w:t xml:space="preserve">每日进行激光雷达与走航车状态及数据查看。</w:t>
      </w:r>
      <w:r>
        <w:rPr>
          <w:color w:val="000000"/>
          <w:sz w:val="24"/>
        </w:rPr>
      </w:r>
      <w:r/>
    </w:p>
    <w:p>
      <w:pPr>
        <w:pStyle w:val="963"/>
        <w:numPr>
          <w:ilvl w:val="0"/>
          <w:numId w:val="25"/>
        </w:numPr>
        <w:ind w:firstLine="480"/>
        <w:jc w:val="left"/>
        <w:spacing w:line="360" w:lineRule="auto"/>
        <w:widowControl/>
        <w:rPr>
          <w:color w:val="000000"/>
          <w:sz w:val="24"/>
        </w:rPr>
      </w:pPr>
      <w:r>
        <w:rPr>
          <w:color w:val="000000"/>
          <w:sz w:val="24"/>
        </w:rPr>
        <w:t xml:space="preserve">每两周进行一次状态巡检，查看激光器能量、出光状态、回波信号质量和软件运行状态，并做好原始记录。</w:t>
      </w:r>
      <w:r>
        <w:rPr>
          <w:color w:val="000000"/>
          <w:sz w:val="24"/>
        </w:rPr>
      </w:r>
      <w:r/>
    </w:p>
    <w:p>
      <w:pPr>
        <w:pStyle w:val="963"/>
        <w:numPr>
          <w:ilvl w:val="0"/>
          <w:numId w:val="25"/>
        </w:numPr>
        <w:ind w:firstLine="480"/>
        <w:jc w:val="left"/>
        <w:spacing w:line="360" w:lineRule="auto"/>
        <w:widowControl/>
        <w:rPr>
          <w:color w:val="000000"/>
          <w:sz w:val="24"/>
        </w:rPr>
      </w:pPr>
      <w:r>
        <w:rPr>
          <w:color w:val="000000"/>
          <w:sz w:val="24"/>
        </w:rPr>
        <w:t xml:space="preserve">每两周清洁激光雷达窗口玻璃，雨天、雾天、雪天及其它特殊天气需及时清洁窗口玻璃，吹扫采样口玻璃。</w:t>
      </w:r>
      <w:r>
        <w:rPr>
          <w:color w:val="000000"/>
          <w:sz w:val="24"/>
        </w:rPr>
      </w:r>
      <w:r/>
    </w:p>
    <w:p>
      <w:pPr>
        <w:pStyle w:val="963"/>
        <w:numPr>
          <w:ilvl w:val="0"/>
          <w:numId w:val="25"/>
        </w:numPr>
        <w:ind w:firstLine="480"/>
        <w:jc w:val="left"/>
        <w:spacing w:line="360" w:lineRule="auto"/>
        <w:widowControl/>
        <w:rPr>
          <w:color w:val="000000"/>
          <w:sz w:val="24"/>
        </w:rPr>
      </w:pPr>
      <w:r>
        <w:rPr>
          <w:color w:val="000000"/>
          <w:sz w:val="24"/>
        </w:rPr>
        <w:t xml:space="preserve">每月进行数据备份。</w:t>
      </w:r>
      <w:r>
        <w:rPr>
          <w:color w:val="000000"/>
          <w:sz w:val="24"/>
        </w:rPr>
      </w:r>
      <w:r/>
    </w:p>
    <w:p>
      <w:pPr>
        <w:pStyle w:val="963"/>
        <w:numPr>
          <w:ilvl w:val="3"/>
          <w:numId w:val="23"/>
        </w:numPr>
        <w:jc w:val="left"/>
        <w:keepLines/>
        <w:keepNext/>
        <w:spacing w:line="360" w:lineRule="auto"/>
        <w:rPr>
          <w:b/>
          <w:bCs/>
          <w:color w:val="000000"/>
          <w:sz w:val="24"/>
        </w:rPr>
        <w:outlineLvl w:val="4"/>
      </w:pPr>
      <w:r>
        <w:rPr>
          <w:b/>
          <w:bCs/>
          <w:color w:val="000000"/>
          <w:sz w:val="24"/>
        </w:rPr>
        <w:t xml:space="preserve"> 走航监测保障</w:t>
      </w:r>
      <w:r>
        <w:rPr>
          <w:b/>
          <w:bCs/>
          <w:color w:val="000000"/>
          <w:sz w:val="24"/>
        </w:rPr>
      </w:r>
      <w:r/>
    </w:p>
    <w:p>
      <w:pPr>
        <w:pStyle w:val="963"/>
        <w:ind w:firstLine="480"/>
        <w:jc w:val="left"/>
        <w:spacing w:line="360" w:lineRule="auto"/>
        <w:widowControl/>
        <w:rPr>
          <w:color w:val="000000"/>
          <w:sz w:val="24"/>
        </w:rPr>
      </w:pPr>
      <w:r>
        <w:rPr>
          <w:color w:val="000000"/>
          <w:sz w:val="24"/>
        </w:rPr>
        <w:t xml:space="preserve">每日开展走航监测，第二日10点前提交分析日报。每月末确认下个月走航工作重点，每周末制定下一周详细走航工作计划，提前规划好每日走航路线，保证项目进度按期实施，走航路线包括针对对城区主道路、工业园区、重点企业以及国控/省控点附近等。</w:t>
      </w:r>
      <w:r>
        <w:rPr>
          <w:color w:val="000000"/>
          <w:sz w:val="24"/>
        </w:rPr>
      </w:r>
      <w:r/>
    </w:p>
    <w:p>
      <w:pPr>
        <w:pStyle w:val="963"/>
        <w:ind w:firstLine="480"/>
        <w:jc w:val="left"/>
        <w:spacing w:line="360" w:lineRule="auto"/>
        <w:widowControl/>
        <w:rPr>
          <w:color w:val="000000"/>
          <w:sz w:val="24"/>
        </w:rPr>
      </w:pPr>
      <w:r>
        <w:rPr>
          <w:color w:val="000000"/>
          <w:sz w:val="24"/>
        </w:rPr>
        <w:t xml:space="preserve">每日开展颗粒物激光雷达走航监测，针对获得的异常监测数据，结合风向、风速等环境条件，开展疑似污染源绕点走航监测，对报警点位周边进行现场排查并将现场照片及巡查结果及时推送，推动对污染事件进行及时处理，降低其对周边环境的影响，为精准治理污染源提供科学的数据支撑。</w:t>
      </w:r>
      <w:r>
        <w:rPr>
          <w:color w:val="000000"/>
          <w:sz w:val="24"/>
        </w:rPr>
      </w:r>
      <w:r/>
    </w:p>
    <w:p>
      <w:pPr>
        <w:pStyle w:val="963"/>
        <w:ind w:firstLine="480"/>
        <w:jc w:val="left"/>
        <w:spacing w:line="360" w:lineRule="auto"/>
        <w:widowControl/>
        <w:rPr>
          <w:color w:val="000000"/>
          <w:sz w:val="24"/>
        </w:rPr>
      </w:pPr>
      <w:r>
        <w:rPr>
          <w:color w:val="000000"/>
          <w:sz w:val="24"/>
        </w:rPr>
        <w:t xml:space="preserve">每日开展颗粒物激光雷达走航监测，调查并取证各类污染源排放情况，包括燃煤源（燃煤锅炉、散煤等）、机动车尾气源（汽油车、柴油车、工程机械等）、扬尘源（道路扬尘、建筑扬尘等）、生物质燃烧源（秸秆燃烧、垃圾焚烧等）、餐饮源（餐饮油烟源）、无组织排放等。</w:t>
      </w:r>
      <w:r>
        <w:rPr>
          <w:color w:val="000000"/>
          <w:sz w:val="24"/>
        </w:rPr>
      </w:r>
      <w:r/>
    </w:p>
    <w:p>
      <w:pPr>
        <w:pStyle w:val="963"/>
        <w:ind w:firstLine="480"/>
        <w:jc w:val="left"/>
        <w:spacing w:line="360" w:lineRule="auto"/>
        <w:widowControl/>
        <w:rPr>
          <w:color w:val="000000"/>
          <w:sz w:val="24"/>
        </w:rPr>
      </w:pPr>
      <w:r>
        <w:rPr>
          <w:color w:val="000000"/>
          <w:sz w:val="24"/>
        </w:rPr>
        <w:t xml:space="preserve">针对激光雷达走航监测系统获得的异常高值区域，对异常点位周边进行现场排查，并将现场照片及巡查结果及时推送，推动对污染事件进行及时处理，提出污染防治的建议意见和措施。</w:t>
      </w:r>
      <w:r>
        <w:rPr>
          <w:color w:val="000000"/>
          <w:sz w:val="24"/>
        </w:rPr>
      </w:r>
      <w:r/>
    </w:p>
    <w:p>
      <w:pPr>
        <w:pStyle w:val="963"/>
        <w:numPr>
          <w:ilvl w:val="3"/>
          <w:numId w:val="23"/>
        </w:numPr>
        <w:jc w:val="left"/>
        <w:keepLines/>
        <w:keepNext/>
        <w:spacing w:line="360" w:lineRule="auto"/>
        <w:rPr>
          <w:b/>
          <w:bCs/>
          <w:color w:val="000000"/>
          <w:sz w:val="24"/>
        </w:rPr>
        <w:outlineLvl w:val="4"/>
      </w:pPr>
      <w:r>
        <w:rPr>
          <w:b/>
          <w:bCs/>
          <w:color w:val="000000"/>
          <w:sz w:val="24"/>
        </w:rPr>
        <w:t xml:space="preserve"> 污染特征分析</w:t>
      </w:r>
      <w:r>
        <w:rPr>
          <w:b/>
          <w:bCs/>
          <w:color w:val="000000"/>
          <w:sz w:val="24"/>
        </w:rPr>
      </w:r>
      <w:r/>
    </w:p>
    <w:p>
      <w:pPr>
        <w:pStyle w:val="963"/>
        <w:numPr>
          <w:ilvl w:val="0"/>
          <w:numId w:val="26"/>
        </w:numPr>
        <w:ind w:firstLine="480"/>
        <w:jc w:val="left"/>
        <w:spacing w:line="360" w:lineRule="auto"/>
        <w:widowControl/>
        <w:rPr>
          <w:color w:val="000000"/>
          <w:sz w:val="24"/>
        </w:rPr>
      </w:pPr>
      <w:r>
        <w:rPr>
          <w:color w:val="000000"/>
          <w:sz w:val="24"/>
        </w:rPr>
        <w:t xml:space="preserve">利用历史监测站数据，综合考虑城区城市规划，空气质量的监测手段、气象条件等原因，对全区进行全面的空气质量分析，辅助明确现阶段城区空气质量现状，对污染形势进行溯源监测分析。</w:t>
      </w:r>
      <w:r>
        <w:rPr>
          <w:color w:val="000000"/>
          <w:sz w:val="24"/>
        </w:rPr>
      </w:r>
      <w:r/>
    </w:p>
    <w:p>
      <w:pPr>
        <w:pStyle w:val="963"/>
        <w:numPr>
          <w:ilvl w:val="0"/>
          <w:numId w:val="26"/>
        </w:numPr>
        <w:ind w:firstLine="480"/>
        <w:jc w:val="left"/>
        <w:spacing w:line="360" w:lineRule="auto"/>
        <w:widowControl/>
        <w:rPr>
          <w:color w:val="000000"/>
          <w:sz w:val="24"/>
        </w:rPr>
      </w:pPr>
      <w:r>
        <w:rPr>
          <w:color w:val="000000"/>
          <w:sz w:val="24"/>
        </w:rPr>
        <w:t xml:space="preserve">空气质量分析内容包括：空气质量基本情况、各污染物贡献比例、同比分析、空气质量污染变化趋势、空间污染特征、时间污染特征、典型污染过程、污染物相关性分析等。</w:t>
      </w:r>
      <w:r>
        <w:rPr>
          <w:color w:val="000000"/>
          <w:sz w:val="24"/>
        </w:rPr>
      </w:r>
      <w:r/>
    </w:p>
    <w:p>
      <w:pPr>
        <w:pStyle w:val="963"/>
        <w:numPr>
          <w:ilvl w:val="0"/>
          <w:numId w:val="26"/>
        </w:numPr>
        <w:ind w:firstLine="480"/>
        <w:jc w:val="left"/>
        <w:spacing w:line="360" w:lineRule="auto"/>
        <w:widowControl/>
        <w:rPr>
          <w:color w:val="000000"/>
          <w:sz w:val="24"/>
        </w:rPr>
      </w:pPr>
      <w:r>
        <w:rPr>
          <w:color w:val="000000"/>
          <w:sz w:val="24"/>
        </w:rPr>
        <w:t xml:space="preserve">污染空气质量变化趋势:主要说明监测站点数据的动态变化过程，找到污染的区域性特征。</w:t>
      </w:r>
      <w:r>
        <w:rPr>
          <w:color w:val="000000"/>
          <w:sz w:val="24"/>
        </w:rPr>
      </w:r>
      <w:r/>
    </w:p>
    <w:p>
      <w:pPr>
        <w:pStyle w:val="963"/>
        <w:numPr>
          <w:ilvl w:val="0"/>
          <w:numId w:val="26"/>
        </w:numPr>
        <w:ind w:firstLine="480"/>
        <w:jc w:val="left"/>
        <w:spacing w:line="360" w:lineRule="auto"/>
        <w:widowControl/>
        <w:rPr>
          <w:color w:val="000000"/>
          <w:sz w:val="24"/>
        </w:rPr>
      </w:pPr>
      <w:r>
        <w:rPr>
          <w:color w:val="000000"/>
          <w:sz w:val="24"/>
        </w:rPr>
        <w:t xml:space="preserve">空气污染特征：主要污染物分析；日、周、月污染物分布规律分析。</w:t>
      </w:r>
      <w:r>
        <w:rPr>
          <w:color w:val="000000"/>
          <w:sz w:val="24"/>
        </w:rPr>
      </w:r>
      <w:r/>
    </w:p>
    <w:p>
      <w:pPr>
        <w:pStyle w:val="963"/>
        <w:numPr>
          <w:ilvl w:val="0"/>
          <w:numId w:val="26"/>
        </w:numPr>
        <w:ind w:firstLine="480"/>
        <w:jc w:val="left"/>
        <w:spacing w:line="360" w:lineRule="auto"/>
        <w:widowControl/>
        <w:rPr>
          <w:color w:val="000000"/>
          <w:sz w:val="24"/>
        </w:rPr>
      </w:pPr>
      <w:r>
        <w:rPr>
          <w:color w:val="000000"/>
          <w:sz w:val="24"/>
        </w:rPr>
        <w:t xml:space="preserve">时间污染特征：说明污染物分布特性，以小时级别空气质量监测数据为基础，开展城区空气质量高时空分辨率分析工作，直观统计不同时间上的污染物物分布状态。</w:t>
      </w:r>
      <w:r>
        <w:rPr>
          <w:color w:val="000000"/>
          <w:sz w:val="24"/>
        </w:rPr>
      </w:r>
      <w:r/>
    </w:p>
    <w:p>
      <w:pPr>
        <w:pStyle w:val="963"/>
        <w:numPr>
          <w:ilvl w:val="0"/>
          <w:numId w:val="26"/>
        </w:numPr>
        <w:ind w:firstLine="480"/>
        <w:jc w:val="left"/>
        <w:spacing w:line="360" w:lineRule="auto"/>
        <w:widowControl/>
        <w:rPr>
          <w:color w:val="000000"/>
          <w:sz w:val="24"/>
        </w:rPr>
      </w:pPr>
      <w:r>
        <w:rPr>
          <w:color w:val="000000"/>
          <w:sz w:val="24"/>
        </w:rPr>
        <w:t xml:space="preserve">典型污染过程：分析重污染过程的形成原因，重点关注沙尘天气，跨区域内的污染关联性。</w:t>
      </w:r>
      <w:r>
        <w:rPr>
          <w:color w:val="000000"/>
          <w:sz w:val="24"/>
        </w:rPr>
      </w:r>
      <w:r/>
    </w:p>
    <w:p>
      <w:pPr>
        <w:pStyle w:val="963"/>
        <w:numPr>
          <w:ilvl w:val="3"/>
          <w:numId w:val="23"/>
        </w:numPr>
        <w:jc w:val="left"/>
        <w:keepLines/>
        <w:keepNext/>
        <w:spacing w:line="360" w:lineRule="auto"/>
        <w:rPr>
          <w:b/>
          <w:bCs/>
          <w:color w:val="000000"/>
          <w:sz w:val="24"/>
        </w:rPr>
        <w:outlineLvl w:val="4"/>
      </w:pPr>
      <w:r>
        <w:rPr>
          <w:b/>
          <w:bCs/>
          <w:color w:val="000000"/>
          <w:sz w:val="24"/>
        </w:rPr>
        <w:t xml:space="preserve"> 污染源巡查评估</w:t>
      </w:r>
      <w:r>
        <w:rPr>
          <w:b/>
          <w:bCs/>
          <w:color w:val="000000"/>
          <w:sz w:val="24"/>
        </w:rPr>
      </w:r>
      <w:r/>
    </w:p>
    <w:p>
      <w:pPr>
        <w:pStyle w:val="963"/>
        <w:ind w:firstLine="480"/>
        <w:jc w:val="left"/>
        <w:spacing w:line="360" w:lineRule="auto"/>
        <w:widowControl/>
        <w:rPr>
          <w:color w:val="000000"/>
          <w:sz w:val="24"/>
        </w:rPr>
      </w:pPr>
      <w:r>
        <w:rPr>
          <w:color w:val="000000"/>
          <w:sz w:val="24"/>
        </w:rPr>
        <w:t xml:space="preserve">设置专人负责每日进行站点激光雷达状态及数据查看，结合雷达监测和实地调查监测相结合的方式定位污染源，进行污染源的影响评估，掌握连云港市环境污染源分布整体情况，污染源主要包括：固定燃烧源，道路污染源，无组织排放，油烟以及工地、裸地等扬尘污染集中的区域，推动污染源整改及对整改后的结果进行评估。</w:t>
      </w:r>
      <w:r>
        <w:rPr>
          <w:color w:val="000000"/>
          <w:sz w:val="24"/>
        </w:rPr>
      </w:r>
      <w:r/>
    </w:p>
    <w:p>
      <w:pPr>
        <w:pStyle w:val="963"/>
        <w:ind w:firstLine="480"/>
        <w:jc w:val="left"/>
        <w:spacing w:line="360" w:lineRule="auto"/>
        <w:widowControl/>
        <w:rPr>
          <w:color w:val="000000"/>
          <w:sz w:val="24"/>
        </w:rPr>
      </w:pPr>
      <w:r>
        <w:rPr>
          <w:color w:val="000000"/>
          <w:sz w:val="24"/>
        </w:rPr>
        <w:t xml:space="preserve">在重点区域开展颗粒物激光雷达加强观测，周期为10天，对收集的数据进行总结梳理，发现问题、分析污染形成原因，找出污染来源，根据数据整理分析结果，提出管控建议。加强观测内容包括：</w:t>
      </w:r>
      <w:r>
        <w:rPr>
          <w:color w:val="000000"/>
          <w:sz w:val="24"/>
        </w:rPr>
      </w:r>
      <w:r/>
    </w:p>
    <w:p>
      <w:pPr>
        <w:pStyle w:val="963"/>
        <w:numPr>
          <w:ilvl w:val="0"/>
          <w:numId w:val="27"/>
        </w:numPr>
        <w:ind w:firstLine="480"/>
        <w:jc w:val="left"/>
        <w:spacing w:line="360" w:lineRule="auto"/>
        <w:widowControl/>
        <w:rPr>
          <w:color w:val="000000"/>
          <w:sz w:val="24"/>
        </w:rPr>
      </w:pPr>
      <w:r>
        <w:rPr>
          <w:color w:val="000000"/>
          <w:sz w:val="24"/>
        </w:rPr>
        <w:t xml:space="preserve">在国控站点开展颗粒物激光雷达定点扫描监测，查找站点周边大气颗粒物污染源。</w:t>
      </w:r>
      <w:r>
        <w:rPr>
          <w:color w:val="000000"/>
          <w:sz w:val="24"/>
        </w:rPr>
      </w:r>
      <w:r/>
    </w:p>
    <w:p>
      <w:pPr>
        <w:pStyle w:val="963"/>
        <w:numPr>
          <w:ilvl w:val="0"/>
          <w:numId w:val="27"/>
        </w:numPr>
        <w:ind w:firstLine="480"/>
        <w:jc w:val="left"/>
        <w:spacing w:line="360" w:lineRule="auto"/>
        <w:widowControl/>
        <w:rPr>
          <w:color w:val="000000"/>
          <w:sz w:val="24"/>
        </w:rPr>
      </w:pPr>
      <w:r>
        <w:rPr>
          <w:color w:val="000000"/>
          <w:sz w:val="24"/>
        </w:rPr>
        <w:t xml:space="preserve">在国控站点周边开展颗粒物走航监测，摸清空气站周边的大气污染物水平，发现空气质量异常点位，通过分析和总结，提出有针对性的提升控制质量管控建议，为重点区域大气污染防治工作提供科学有力的技术支撑。</w:t>
      </w:r>
      <w:r>
        <w:rPr>
          <w:color w:val="000000"/>
          <w:sz w:val="24"/>
        </w:rPr>
      </w:r>
      <w:r/>
    </w:p>
    <w:p>
      <w:pPr>
        <w:pStyle w:val="963"/>
        <w:numPr>
          <w:ilvl w:val="2"/>
          <w:numId w:val="23"/>
        </w:numPr>
        <w:jc w:val="left"/>
        <w:keepLines/>
        <w:keepNext/>
        <w:spacing w:line="360" w:lineRule="auto"/>
        <w:rPr>
          <w:b/>
          <w:bCs/>
          <w:color w:val="000000"/>
          <w:sz w:val="24"/>
        </w:rPr>
        <w:outlineLvl w:val="3"/>
      </w:pPr>
      <w:r>
        <w:rPr>
          <w:b/>
          <w:bCs/>
          <w:color w:val="000000"/>
          <w:sz w:val="24"/>
        </w:rPr>
        <w:t xml:space="preserve"> VOCs环境走航监测设施运行维护</w:t>
      </w:r>
      <w:r>
        <w:rPr>
          <w:b/>
          <w:bCs/>
          <w:color w:val="000000"/>
          <w:sz w:val="24"/>
        </w:rPr>
      </w:r>
      <w:r/>
    </w:p>
    <w:p>
      <w:pPr>
        <w:pStyle w:val="963"/>
        <w:ind w:firstLine="480"/>
        <w:jc w:val="left"/>
        <w:spacing w:line="360" w:lineRule="auto"/>
        <w:widowControl/>
        <w:rPr>
          <w:color w:val="000000"/>
          <w:sz w:val="24"/>
        </w:rPr>
      </w:pPr>
      <w:r>
        <w:rPr>
          <w:color w:val="000000"/>
          <w:sz w:val="24"/>
        </w:rPr>
        <w:t xml:space="preserve">定期开展连云港市整体区域、重点工业区及高排放区、敏感点等VOCs走航监测工作。根据实际监测需求，以定点和走航相结合的方式，开展业务化例行、应急、重污染及保障活动的VOCs监测，并提供准确有效的VOCs组分数据、相关监测数据和科学合理的分析与评估报告。</w:t>
      </w:r>
      <w:r>
        <w:rPr>
          <w:color w:val="000000"/>
          <w:sz w:val="24"/>
        </w:rPr>
      </w:r>
      <w:r/>
    </w:p>
    <w:p>
      <w:pPr>
        <w:pStyle w:val="963"/>
        <w:numPr>
          <w:ilvl w:val="3"/>
          <w:numId w:val="23"/>
        </w:numPr>
        <w:jc w:val="left"/>
        <w:keepLines/>
        <w:keepNext/>
        <w:spacing w:line="360" w:lineRule="auto"/>
        <w:rPr>
          <w:b/>
          <w:bCs/>
          <w:color w:val="000000"/>
          <w:sz w:val="24"/>
        </w:rPr>
        <w:outlineLvl w:val="4"/>
      </w:pPr>
      <w:r>
        <w:rPr>
          <w:b/>
          <w:bCs/>
          <w:color w:val="000000"/>
          <w:sz w:val="24"/>
        </w:rPr>
        <w:t xml:space="preserve"> 质量控制</w:t>
      </w:r>
      <w:r>
        <w:rPr>
          <w:b/>
          <w:bCs/>
          <w:color w:val="000000"/>
          <w:sz w:val="24"/>
        </w:rPr>
      </w:r>
      <w:r/>
    </w:p>
    <w:p>
      <w:pPr>
        <w:pStyle w:val="963"/>
        <w:ind w:firstLine="480"/>
        <w:jc w:val="left"/>
        <w:spacing w:line="360" w:lineRule="auto"/>
        <w:widowControl/>
        <w:rPr>
          <w:color w:val="000000"/>
          <w:sz w:val="24"/>
        </w:rPr>
      </w:pPr>
      <w:r>
        <w:rPr>
          <w:color w:val="000000"/>
          <w:sz w:val="24"/>
        </w:rPr>
        <w:t xml:space="preserve">每周对监测设备进行一次例行维护，监测设备每月进行一次全组分的多点校准，要求线性大于0.99。若设备更换了主要备件耗材，也需进行全组分多点校准。</w:t>
      </w:r>
      <w:r>
        <w:rPr>
          <w:color w:val="000000"/>
          <w:sz w:val="24"/>
        </w:rPr>
      </w:r>
      <w:r/>
    </w:p>
    <w:p>
      <w:pPr>
        <w:pStyle w:val="963"/>
        <w:ind w:firstLine="480"/>
        <w:jc w:val="left"/>
        <w:spacing w:line="360" w:lineRule="auto"/>
        <w:widowControl/>
        <w:rPr>
          <w:color w:val="000000"/>
          <w:sz w:val="24"/>
        </w:rPr>
      </w:pPr>
      <w:r>
        <w:rPr>
          <w:color w:val="000000"/>
          <w:sz w:val="24"/>
        </w:rPr>
        <w:t xml:space="preserve">日常巡检：每天检查VOCs质谱仪与走航车运行情况，监控质谱仪关键运行参数；每周应完成巡检记录。</w:t>
      </w:r>
      <w:r>
        <w:rPr>
          <w:color w:val="000000"/>
          <w:sz w:val="24"/>
        </w:rPr>
      </w:r>
      <w:r/>
    </w:p>
    <w:p>
      <w:pPr>
        <w:pStyle w:val="963"/>
        <w:ind w:firstLine="480"/>
        <w:jc w:val="left"/>
        <w:spacing w:line="360" w:lineRule="auto"/>
        <w:widowControl/>
        <w:rPr>
          <w:color w:val="000000"/>
          <w:sz w:val="24"/>
        </w:rPr>
      </w:pPr>
      <w:r>
        <w:rPr>
          <w:color w:val="000000"/>
          <w:sz w:val="24"/>
        </w:rPr>
        <w:t xml:space="preserve">例行维护：每月应使用标准混合气体对仪器各组分进行单点（工作点）检查与校准，当标准气单点浓度偏差大于30%需重新标定校准曲线；每季应使用标准混合气更新工作曲线和峰窗；辅助设备的耗材应根据实际情况进行更换。每年对仪器进行一次预防性维护，对采样管路、仪器内部进样管路和检测器进行清洁等；更换必要的耗材与配件。保养后，应对仪器进行全面校准与检查，包括多点核查、重复性、稳定性，以确保仪器在维护前后数据的准确性和可比性。</w:t>
      </w:r>
      <w:r>
        <w:rPr>
          <w:color w:val="000000"/>
          <w:sz w:val="24"/>
        </w:rPr>
      </w:r>
      <w:r/>
    </w:p>
    <w:p>
      <w:pPr>
        <w:pStyle w:val="963"/>
        <w:numPr>
          <w:ilvl w:val="3"/>
          <w:numId w:val="23"/>
        </w:numPr>
        <w:jc w:val="left"/>
        <w:keepLines/>
        <w:keepNext/>
        <w:spacing w:line="360" w:lineRule="auto"/>
        <w:rPr>
          <w:b/>
          <w:bCs/>
          <w:color w:val="000000"/>
          <w:sz w:val="24"/>
        </w:rPr>
        <w:outlineLvl w:val="4"/>
      </w:pPr>
      <w:r>
        <w:rPr>
          <w:b/>
          <w:bCs/>
          <w:color w:val="000000"/>
          <w:sz w:val="24"/>
        </w:rPr>
        <w:t xml:space="preserve"> VOCs走航监测保障</w:t>
      </w:r>
      <w:r>
        <w:rPr>
          <w:b/>
          <w:bCs/>
          <w:color w:val="000000"/>
          <w:sz w:val="24"/>
        </w:rPr>
      </w:r>
      <w:r/>
    </w:p>
    <w:p>
      <w:pPr>
        <w:pStyle w:val="963"/>
        <w:ind w:firstLine="480"/>
        <w:jc w:val="left"/>
        <w:spacing w:line="360" w:lineRule="auto"/>
        <w:widowControl/>
        <w:rPr>
          <w:color w:val="000000"/>
          <w:sz w:val="24"/>
        </w:rPr>
      </w:pPr>
      <w:r>
        <w:rPr>
          <w:color w:val="000000"/>
          <w:sz w:val="24"/>
        </w:rPr>
        <w:t xml:space="preserve">每月末确认下个月走航工作重点，每周末制定下一周详细走航工作计划，保证项目进度按期实施。走航路线或点位包括城区主要道路、工业园区、重点企业以及国控/省控点附近。</w:t>
      </w:r>
      <w:r>
        <w:rPr>
          <w:color w:val="000000"/>
          <w:sz w:val="24"/>
        </w:rPr>
      </w:r>
      <w:r/>
    </w:p>
    <w:p>
      <w:pPr>
        <w:pStyle w:val="963"/>
        <w:numPr>
          <w:ilvl w:val="0"/>
          <w:numId w:val="28"/>
        </w:numPr>
        <w:ind w:firstLine="480"/>
        <w:jc w:val="left"/>
        <w:spacing w:line="360" w:lineRule="auto"/>
        <w:widowControl/>
        <w:rPr>
          <w:color w:val="000000"/>
          <w:sz w:val="24"/>
        </w:rPr>
      </w:pPr>
      <w:r>
        <w:rPr>
          <w:color w:val="000000"/>
          <w:sz w:val="24"/>
        </w:rPr>
        <w:t xml:space="preserve">工业园区、重点企业的业务化走航监测</w:t>
      </w:r>
      <w:r>
        <w:rPr>
          <w:color w:val="000000"/>
          <w:sz w:val="24"/>
        </w:rPr>
      </w:r>
      <w:r/>
    </w:p>
    <w:p>
      <w:pPr>
        <w:pStyle w:val="963"/>
        <w:ind w:firstLine="480"/>
        <w:jc w:val="left"/>
        <w:spacing w:line="360" w:lineRule="auto"/>
        <w:widowControl/>
        <w:rPr>
          <w:color w:val="000000"/>
          <w:sz w:val="24"/>
        </w:rPr>
      </w:pPr>
      <w:r>
        <w:rPr>
          <w:color w:val="000000"/>
          <w:sz w:val="24"/>
        </w:rPr>
        <w:t xml:space="preserve">开展重点工业园区走航监测，对于工业园区、重点企业（超标企业，持续排放、高浓度排放企业）及特征行业等开展VOCs走航监测。全面掌握重点工业区及高排放区的VOCs污染因子排放特征、污染浓度水平，锁定问题点位、企业锁定，并对高值点位进行原因解析。</w:t>
      </w:r>
      <w:r>
        <w:rPr>
          <w:color w:val="000000"/>
          <w:sz w:val="24"/>
        </w:rPr>
      </w:r>
      <w:r/>
    </w:p>
    <w:p>
      <w:pPr>
        <w:pStyle w:val="963"/>
        <w:numPr>
          <w:ilvl w:val="0"/>
          <w:numId w:val="28"/>
        </w:numPr>
        <w:ind w:firstLine="480"/>
        <w:jc w:val="left"/>
        <w:spacing w:line="360" w:lineRule="auto"/>
        <w:widowControl/>
        <w:rPr>
          <w:color w:val="000000"/>
          <w:sz w:val="24"/>
        </w:rPr>
      </w:pPr>
      <w:r>
        <w:rPr>
          <w:color w:val="000000"/>
          <w:sz w:val="24"/>
        </w:rPr>
        <w:t xml:space="preserve">重点点位走航/定点监测</w:t>
      </w:r>
      <w:r>
        <w:rPr>
          <w:color w:val="000000"/>
          <w:sz w:val="24"/>
        </w:rPr>
      </w:r>
      <w:r/>
    </w:p>
    <w:p>
      <w:pPr>
        <w:pStyle w:val="963"/>
        <w:ind w:firstLine="480"/>
        <w:jc w:val="left"/>
        <w:spacing w:line="360" w:lineRule="auto"/>
        <w:widowControl/>
        <w:rPr>
          <w:color w:val="000000"/>
          <w:sz w:val="24"/>
        </w:rPr>
      </w:pPr>
      <w:r>
        <w:rPr>
          <w:color w:val="000000"/>
          <w:sz w:val="24"/>
        </w:rPr>
        <w:t xml:space="preserve">根据需求针对重点区域，适时开展走航监测；走航监测结果，针对重点区域和点位开展走航或定点监测，进行工作日/非工作日、昼夜、不同气象条件下的比对分析。</w:t>
      </w:r>
      <w:r>
        <w:rPr>
          <w:color w:val="000000"/>
          <w:sz w:val="24"/>
        </w:rPr>
      </w:r>
      <w:r/>
    </w:p>
    <w:p>
      <w:pPr>
        <w:pStyle w:val="963"/>
        <w:numPr>
          <w:ilvl w:val="0"/>
          <w:numId w:val="28"/>
        </w:numPr>
        <w:ind w:firstLine="480"/>
        <w:jc w:val="left"/>
        <w:spacing w:line="360" w:lineRule="auto"/>
        <w:widowControl/>
        <w:rPr>
          <w:color w:val="000000"/>
          <w:sz w:val="24"/>
        </w:rPr>
      </w:pPr>
      <w:r>
        <w:rPr>
          <w:color w:val="000000"/>
          <w:sz w:val="24"/>
        </w:rPr>
        <w:t xml:space="preserve">应急、重大保障活动、重污染过程监测</w:t>
      </w:r>
      <w:r>
        <w:rPr>
          <w:color w:val="000000"/>
          <w:sz w:val="24"/>
        </w:rPr>
      </w:r>
      <w:r/>
    </w:p>
    <w:p>
      <w:pPr>
        <w:pStyle w:val="963"/>
        <w:ind w:firstLine="480"/>
        <w:jc w:val="left"/>
        <w:spacing w:line="360" w:lineRule="auto"/>
        <w:widowControl/>
        <w:rPr>
          <w:color w:val="000000"/>
          <w:sz w:val="24"/>
        </w:rPr>
      </w:pPr>
      <w:r>
        <w:rPr>
          <w:color w:val="000000"/>
          <w:sz w:val="24"/>
        </w:rPr>
        <w:t xml:space="preserve">对于应急事件、重大保障活动以及重污染过程等，按需开展全面的污染物走航监测，及时提供分析与评估报告。</w:t>
      </w:r>
      <w:r>
        <w:rPr>
          <w:color w:val="000000"/>
          <w:sz w:val="24"/>
        </w:rPr>
      </w:r>
      <w:r/>
    </w:p>
    <w:p>
      <w:pPr>
        <w:pStyle w:val="963"/>
        <w:numPr>
          <w:ilvl w:val="3"/>
          <w:numId w:val="23"/>
        </w:numPr>
        <w:jc w:val="left"/>
        <w:keepLines/>
        <w:keepNext/>
        <w:spacing w:line="360" w:lineRule="auto"/>
        <w:rPr>
          <w:b/>
          <w:bCs/>
          <w:color w:val="000000"/>
          <w:sz w:val="24"/>
        </w:rPr>
        <w:outlineLvl w:val="4"/>
      </w:pPr>
      <w:r>
        <w:rPr>
          <w:b/>
          <w:bCs/>
          <w:color w:val="000000"/>
          <w:sz w:val="24"/>
        </w:rPr>
        <w:t xml:space="preserve"> 驻场保障</w:t>
      </w:r>
      <w:r>
        <w:rPr>
          <w:b/>
          <w:bCs/>
          <w:color w:val="000000"/>
          <w:sz w:val="24"/>
        </w:rPr>
      </w:r>
      <w:r/>
    </w:p>
    <w:p>
      <w:pPr>
        <w:pStyle w:val="963"/>
        <w:ind w:firstLine="480"/>
        <w:jc w:val="left"/>
        <w:spacing w:line="360" w:lineRule="auto"/>
        <w:widowControl/>
        <w:rPr>
          <w:color w:val="000000"/>
          <w:sz w:val="24"/>
        </w:rPr>
      </w:pPr>
      <w:r>
        <w:rPr>
          <w:color w:val="000000"/>
          <w:sz w:val="24"/>
        </w:rPr>
        <w:t xml:space="preserve">配备常驻人员，包括专职驾驶员、运维工程师和数据分析工程师，负责仪器日常维护、校准、质量控制、走航监测、现场巡查、数据处理、报告编制，可根据要求随时进行走航监测。</w:t>
      </w:r>
      <w:r>
        <w:rPr>
          <w:color w:val="000000"/>
          <w:sz w:val="24"/>
        </w:rPr>
      </w:r>
      <w:r/>
    </w:p>
    <w:p>
      <w:pPr>
        <w:pStyle w:val="963"/>
        <w:numPr>
          <w:ilvl w:val="2"/>
          <w:numId w:val="23"/>
        </w:numPr>
        <w:jc w:val="left"/>
        <w:keepLines/>
        <w:keepNext/>
        <w:spacing w:line="360" w:lineRule="auto"/>
        <w:rPr>
          <w:b/>
          <w:bCs/>
          <w:color w:val="000000"/>
          <w:sz w:val="24"/>
        </w:rPr>
        <w:outlineLvl w:val="3"/>
      </w:pPr>
      <w:r>
        <w:rPr>
          <w:b/>
          <w:bCs/>
          <w:color w:val="000000"/>
          <w:sz w:val="24"/>
        </w:rPr>
        <w:t xml:space="preserve"> 机动车尾气遥感监测设施运行维护</w:t>
      </w:r>
      <w:r>
        <w:rPr>
          <w:b/>
          <w:bCs/>
          <w:color w:val="000000"/>
          <w:sz w:val="24"/>
        </w:rPr>
      </w:r>
      <w:r/>
    </w:p>
    <w:p>
      <w:pPr>
        <w:pStyle w:val="963"/>
        <w:ind w:firstLine="480"/>
        <w:jc w:val="left"/>
        <w:spacing w:line="360" w:lineRule="auto"/>
        <w:widowControl/>
        <w:rPr>
          <w:color w:val="000000"/>
          <w:sz w:val="24"/>
        </w:rPr>
      </w:pPr>
      <w:r>
        <w:rPr>
          <w:color w:val="000000"/>
          <w:sz w:val="24"/>
        </w:rPr>
        <w:t xml:space="preserve">开展对10套固定式机动车尾气遥感监测设施和1套移动式机动车尾气遥感监测设施的日常运行维护，保障设备正常运行，确保监测数据有效率。运行维护内容包括设备日常巡检及维护、质量控制、故障维修、定期检修，配置设备运行、维护、维修所需耗材、配件，及时上报监测数据、定期提交分析报告等。</w:t>
      </w:r>
      <w:r>
        <w:rPr>
          <w:color w:val="000000"/>
          <w:sz w:val="24"/>
        </w:rPr>
      </w:r>
      <w:r/>
    </w:p>
    <w:p>
      <w:pPr>
        <w:pStyle w:val="963"/>
        <w:numPr>
          <w:ilvl w:val="3"/>
          <w:numId w:val="23"/>
        </w:numPr>
        <w:jc w:val="left"/>
        <w:keepLines/>
        <w:keepNext/>
        <w:spacing w:line="360" w:lineRule="auto"/>
        <w:rPr>
          <w:b/>
          <w:bCs/>
          <w:color w:val="000000"/>
          <w:sz w:val="24"/>
        </w:rPr>
        <w:outlineLvl w:val="4"/>
      </w:pPr>
      <w:r>
        <w:rPr>
          <w:b/>
          <w:bCs/>
          <w:color w:val="000000"/>
          <w:sz w:val="24"/>
        </w:rPr>
        <w:t xml:space="preserve"> 固定式机动车尾气遥感监测设施运行维护</w:t>
      </w:r>
      <w:r>
        <w:rPr>
          <w:b/>
          <w:bCs/>
          <w:color w:val="000000"/>
          <w:sz w:val="24"/>
        </w:rPr>
      </w:r>
      <w:r/>
    </w:p>
    <w:p>
      <w:pPr>
        <w:pStyle w:val="963"/>
        <w:ind w:firstLine="480"/>
        <w:jc w:val="left"/>
        <w:spacing w:line="360" w:lineRule="auto"/>
        <w:widowControl/>
        <w:rPr>
          <w:color w:val="000000"/>
          <w:sz w:val="24"/>
        </w:rPr>
      </w:pPr>
      <w:r>
        <w:rPr>
          <w:color w:val="000000"/>
          <w:sz w:val="24"/>
        </w:rPr>
        <w:t xml:space="preserve">每日将提交前1日运维工作情况、当日点位故障情况及运维工作日报，日报内容包括易损易耗件更换、设备校准及其他需维护的内容等，以及设备故障处理情况等。</w:t>
      </w:r>
      <w:r>
        <w:rPr>
          <w:color w:val="000000"/>
          <w:sz w:val="24"/>
        </w:rPr>
      </w:r>
      <w:r/>
    </w:p>
    <w:p>
      <w:pPr>
        <w:pStyle w:val="963"/>
        <w:ind w:firstLine="480"/>
        <w:jc w:val="left"/>
        <w:spacing w:line="360" w:lineRule="auto"/>
        <w:widowControl/>
        <w:rPr>
          <w:color w:val="000000"/>
          <w:sz w:val="24"/>
        </w:rPr>
      </w:pPr>
      <w:r>
        <w:rPr>
          <w:color w:val="000000"/>
          <w:sz w:val="24"/>
        </w:rPr>
        <w:t xml:space="preserve">每月提交上一月运行维护汇总报告，报告内容包括：运维的点位、时间、内容，涉及零配件和耗材的更换时应注明相关材料的名称、数量、供应商名称、保质期等。每季度提交遥测系统当季运行的自查评分报告。</w:t>
      </w:r>
      <w:r>
        <w:rPr>
          <w:color w:val="000000"/>
          <w:sz w:val="24"/>
        </w:rPr>
      </w:r>
      <w:r/>
    </w:p>
    <w:p>
      <w:pPr>
        <w:pStyle w:val="963"/>
        <w:ind w:firstLine="480"/>
        <w:jc w:val="left"/>
        <w:spacing w:line="360" w:lineRule="auto"/>
        <w:widowControl/>
        <w:rPr>
          <w:color w:val="000000"/>
          <w:sz w:val="24"/>
        </w:rPr>
      </w:pPr>
      <w:r>
        <w:rPr>
          <w:color w:val="000000"/>
          <w:sz w:val="24"/>
        </w:rPr>
        <w:t xml:space="preserve">遥感检测设备故障，在故障发生之时起保证1小时内到达现场及时解决问题，24小时内采取相关修复措施，48小时内修复，如无法在规定时间内修复故障，可采取更换备用设备的临时措施，并及时将相关情况以书面的形式报告。</w:t>
      </w:r>
      <w:r>
        <w:rPr>
          <w:color w:val="000000"/>
          <w:sz w:val="24"/>
        </w:rPr>
      </w:r>
      <w:r/>
    </w:p>
    <w:p>
      <w:pPr>
        <w:pStyle w:val="963"/>
        <w:ind w:firstLine="480"/>
        <w:jc w:val="left"/>
        <w:spacing w:line="360" w:lineRule="auto"/>
        <w:widowControl/>
        <w:rPr>
          <w:color w:val="000000"/>
          <w:sz w:val="24"/>
        </w:rPr>
      </w:pPr>
      <w:r>
        <w:rPr>
          <w:color w:val="000000"/>
          <w:sz w:val="24"/>
        </w:rPr>
        <w:t xml:space="preserve">日常维护中，涉及硬件设备损坏等原因导致系统无法使用，需要更换零配件、耗材或必须重新购买新设备的，需要提交维修报告。</w:t>
      </w:r>
      <w:r>
        <w:rPr>
          <w:color w:val="000000"/>
          <w:sz w:val="24"/>
        </w:rPr>
      </w:r>
      <w:r/>
    </w:p>
    <w:p>
      <w:pPr>
        <w:pStyle w:val="963"/>
        <w:ind w:firstLine="480"/>
        <w:jc w:val="left"/>
        <w:spacing w:line="360" w:lineRule="auto"/>
        <w:widowControl/>
        <w:rPr>
          <w:color w:val="000000"/>
          <w:sz w:val="24"/>
        </w:rPr>
      </w:pPr>
      <w:r>
        <w:rPr>
          <w:color w:val="000000"/>
          <w:sz w:val="24"/>
        </w:rPr>
        <w:t xml:space="preserve">点位现场应规范注明标气的使用有效期，及时进行补充和更换。</w:t>
      </w:r>
      <w:r>
        <w:rPr>
          <w:color w:val="000000"/>
          <w:sz w:val="24"/>
        </w:rPr>
      </w:r>
      <w:r/>
    </w:p>
    <w:p>
      <w:pPr>
        <w:pStyle w:val="963"/>
        <w:ind w:firstLine="480"/>
        <w:jc w:val="left"/>
        <w:spacing w:line="360" w:lineRule="auto"/>
        <w:widowControl/>
        <w:rPr>
          <w:color w:val="000000"/>
          <w:sz w:val="24"/>
        </w:rPr>
      </w:pPr>
      <w:r>
        <w:rPr>
          <w:color w:val="000000"/>
          <w:sz w:val="24"/>
        </w:rPr>
        <w:t xml:space="preserve">日常维护内容：</w:t>
      </w:r>
      <w:r>
        <w:rPr>
          <w:color w:val="000000"/>
          <w:sz w:val="24"/>
        </w:rPr>
      </w:r>
      <w:r/>
    </w:p>
    <w:p>
      <w:pPr>
        <w:pStyle w:val="963"/>
        <w:numPr>
          <w:ilvl w:val="0"/>
          <w:numId w:val="29"/>
        </w:numPr>
        <w:ind w:firstLine="480"/>
        <w:jc w:val="left"/>
        <w:spacing w:line="360" w:lineRule="auto"/>
        <w:widowControl/>
        <w:rPr>
          <w:color w:val="000000"/>
          <w:sz w:val="24"/>
        </w:rPr>
      </w:pPr>
      <w:r>
        <w:rPr>
          <w:color w:val="000000"/>
          <w:sz w:val="24"/>
        </w:rPr>
        <w:t xml:space="preserve">每日通过系统远程检查或现场巡查，掌握主机LED屏、监控摄像机、气象仪等设备的运行情况，发现问题及时处理。</w:t>
      </w:r>
      <w:r>
        <w:rPr>
          <w:color w:val="000000"/>
          <w:sz w:val="24"/>
        </w:rPr>
      </w:r>
      <w:r/>
    </w:p>
    <w:p>
      <w:pPr>
        <w:pStyle w:val="963"/>
        <w:numPr>
          <w:ilvl w:val="0"/>
          <w:numId w:val="29"/>
        </w:numPr>
        <w:ind w:firstLine="480"/>
        <w:jc w:val="left"/>
        <w:spacing w:line="360" w:lineRule="auto"/>
        <w:widowControl/>
        <w:rPr>
          <w:color w:val="000000"/>
          <w:sz w:val="24"/>
        </w:rPr>
      </w:pPr>
      <w:r>
        <w:rPr>
          <w:color w:val="000000"/>
          <w:sz w:val="24"/>
        </w:rPr>
        <w:t xml:space="preserve">每周至少两次现场巡查，建立完整的检查台账，检查主机运行、数据上传情况等，确保数据准确、及时、有效。检查附属设备的基本情况，包括牌照识别装置、监控系统、信号电缆、机柜空调等。</w:t>
      </w:r>
      <w:r>
        <w:rPr>
          <w:color w:val="000000"/>
          <w:sz w:val="24"/>
        </w:rPr>
      </w:r>
      <w:r/>
    </w:p>
    <w:p>
      <w:pPr>
        <w:pStyle w:val="963"/>
        <w:numPr>
          <w:ilvl w:val="0"/>
          <w:numId w:val="29"/>
        </w:numPr>
        <w:ind w:firstLine="480"/>
        <w:jc w:val="left"/>
        <w:spacing w:line="360" w:lineRule="auto"/>
        <w:widowControl/>
        <w:rPr>
          <w:color w:val="000000"/>
          <w:sz w:val="24"/>
        </w:rPr>
      </w:pPr>
      <w:r>
        <w:rPr>
          <w:color w:val="000000"/>
          <w:sz w:val="24"/>
        </w:rPr>
        <w:t xml:space="preserve">检查监测设备的接地情况及防雷措施。</w:t>
      </w:r>
      <w:r>
        <w:rPr>
          <w:color w:val="000000"/>
          <w:sz w:val="24"/>
        </w:rPr>
      </w:r>
      <w:r/>
    </w:p>
    <w:p>
      <w:pPr>
        <w:pStyle w:val="963"/>
        <w:numPr>
          <w:ilvl w:val="0"/>
          <w:numId w:val="29"/>
        </w:numPr>
        <w:ind w:firstLine="480"/>
        <w:jc w:val="left"/>
        <w:spacing w:line="360" w:lineRule="auto"/>
        <w:widowControl/>
        <w:rPr>
          <w:color w:val="000000"/>
          <w:sz w:val="24"/>
        </w:rPr>
      </w:pPr>
      <w:r>
        <w:rPr>
          <w:color w:val="000000"/>
          <w:sz w:val="24"/>
        </w:rPr>
        <w:t xml:space="preserve">定期检查设备的易损易耗件是否需要更换，保证设备的正常运行，对设备进行标定校准，及时更换分析仪器所必需的标准气体；对设备红外光/绿激光进行对光，光学镜片清洁、设备与站点整洁与清洁。</w:t>
      </w:r>
      <w:r>
        <w:rPr>
          <w:color w:val="000000"/>
          <w:sz w:val="24"/>
        </w:rPr>
      </w:r>
      <w:r/>
    </w:p>
    <w:p>
      <w:pPr>
        <w:pStyle w:val="963"/>
        <w:numPr>
          <w:ilvl w:val="3"/>
          <w:numId w:val="23"/>
        </w:numPr>
        <w:jc w:val="left"/>
        <w:keepLines/>
        <w:keepNext/>
        <w:spacing w:line="360" w:lineRule="auto"/>
        <w:rPr>
          <w:b/>
          <w:bCs/>
          <w:color w:val="000000"/>
          <w:sz w:val="24"/>
        </w:rPr>
        <w:outlineLvl w:val="4"/>
      </w:pPr>
      <w:r>
        <w:rPr>
          <w:b/>
          <w:bCs/>
          <w:color w:val="000000"/>
          <w:sz w:val="24"/>
        </w:rPr>
        <w:t xml:space="preserve"> 移动式机动车尾气遥感监测设施日常保障</w:t>
      </w:r>
      <w:r>
        <w:rPr>
          <w:b/>
          <w:bCs/>
          <w:color w:val="000000"/>
          <w:sz w:val="24"/>
        </w:rPr>
      </w:r>
      <w:r/>
    </w:p>
    <w:p>
      <w:pPr>
        <w:pStyle w:val="963"/>
        <w:ind w:firstLine="480"/>
        <w:jc w:val="left"/>
        <w:spacing w:line="360" w:lineRule="auto"/>
        <w:widowControl/>
        <w:rPr>
          <w:color w:val="000000"/>
          <w:sz w:val="24"/>
        </w:rPr>
      </w:pPr>
      <w:r>
        <w:rPr>
          <w:color w:val="000000"/>
          <w:sz w:val="24"/>
        </w:rPr>
        <w:t xml:space="preserve">提前确认监测点位，完成设备搬卸、摆放、调试等，确保现场设备正常运行；每日在指定路口开展机动车尾气遥感监测服务，每日遥测时间不低于8小时，提供有效数据（包含机动车排气中CO、CO2、HC、NO及不透光度和车辆牌照等信息），保证数据实时共享，每日提供数据分析。对移动式尾气遥感车进行运行维护，参与遥感监测车上路检测时的跟车保障，解决遥测设备在检测中出现的各种问题，保障设备正常运行。</w:t>
      </w:r>
      <w:r>
        <w:rPr>
          <w:color w:val="000000"/>
          <w:sz w:val="24"/>
        </w:rPr>
      </w:r>
      <w:r/>
    </w:p>
    <w:p>
      <w:pPr>
        <w:pStyle w:val="963"/>
        <w:ind w:firstLine="480"/>
        <w:jc w:val="left"/>
        <w:spacing w:line="360" w:lineRule="auto"/>
        <w:widowControl/>
        <w:rPr>
          <w:color w:val="000000"/>
          <w:sz w:val="24"/>
        </w:rPr>
      </w:pPr>
      <w:r>
        <w:rPr>
          <w:color w:val="000000"/>
          <w:sz w:val="24"/>
        </w:rPr>
        <w:t xml:space="preserve">日常维护内容：</w:t>
      </w:r>
      <w:r>
        <w:rPr>
          <w:color w:val="000000"/>
          <w:sz w:val="24"/>
        </w:rPr>
      </w:r>
      <w:r/>
    </w:p>
    <w:p>
      <w:pPr>
        <w:pStyle w:val="963"/>
        <w:numPr>
          <w:ilvl w:val="0"/>
          <w:numId w:val="30"/>
        </w:numPr>
        <w:ind w:firstLine="480"/>
        <w:jc w:val="left"/>
        <w:spacing w:line="360" w:lineRule="auto"/>
        <w:widowControl/>
        <w:rPr>
          <w:color w:val="000000"/>
          <w:sz w:val="24"/>
        </w:rPr>
      </w:pPr>
      <w:r>
        <w:rPr>
          <w:color w:val="000000"/>
          <w:sz w:val="24"/>
        </w:rPr>
        <w:t xml:space="preserve">保障移动式遥测车监测时设备电量充足。对设备外观、镜片、摄像机、支架、打印机、显示屏、标样气体、汽油发电机等进行检查，发现问题及时处理；</w:t>
      </w:r>
      <w:r>
        <w:rPr>
          <w:color w:val="000000"/>
          <w:sz w:val="24"/>
        </w:rPr>
      </w:r>
      <w:r/>
    </w:p>
    <w:p>
      <w:pPr>
        <w:pStyle w:val="963"/>
        <w:numPr>
          <w:ilvl w:val="0"/>
          <w:numId w:val="30"/>
        </w:numPr>
        <w:ind w:firstLine="480"/>
        <w:jc w:val="left"/>
        <w:spacing w:line="360" w:lineRule="auto"/>
        <w:widowControl/>
        <w:rPr>
          <w:color w:val="000000"/>
          <w:sz w:val="24"/>
        </w:rPr>
      </w:pPr>
      <w:r>
        <w:rPr>
          <w:color w:val="000000"/>
          <w:sz w:val="24"/>
        </w:rPr>
        <w:t xml:space="preserve">保持移动式遥测车内设备及相应的接线整洁，车身外观清洁。</w:t>
      </w:r>
      <w:r>
        <w:rPr>
          <w:color w:val="000000"/>
          <w:sz w:val="24"/>
        </w:rPr>
      </w:r>
      <w:r/>
    </w:p>
    <w:p>
      <w:pPr>
        <w:pStyle w:val="963"/>
        <w:numPr>
          <w:ilvl w:val="3"/>
          <w:numId w:val="23"/>
        </w:numPr>
        <w:jc w:val="left"/>
        <w:keepLines/>
        <w:keepNext/>
        <w:spacing w:line="360" w:lineRule="auto"/>
        <w:rPr>
          <w:b/>
          <w:bCs/>
          <w:color w:val="000000"/>
          <w:sz w:val="24"/>
        </w:rPr>
        <w:outlineLvl w:val="4"/>
      </w:pPr>
      <w:r>
        <w:rPr>
          <w:b/>
          <w:bCs/>
          <w:color w:val="000000"/>
          <w:sz w:val="24"/>
        </w:rPr>
        <w:t xml:space="preserve"> 定期维修保养</w:t>
      </w:r>
      <w:r>
        <w:rPr>
          <w:b/>
          <w:bCs/>
          <w:color w:val="000000"/>
          <w:sz w:val="24"/>
        </w:rPr>
      </w:r>
      <w:r/>
    </w:p>
    <w:p>
      <w:pPr>
        <w:pStyle w:val="963"/>
        <w:ind w:firstLine="480"/>
        <w:jc w:val="left"/>
        <w:spacing w:line="360" w:lineRule="auto"/>
        <w:widowControl/>
        <w:rPr>
          <w:color w:val="000000"/>
          <w:sz w:val="24"/>
        </w:rPr>
      </w:pPr>
      <w:r>
        <w:rPr>
          <w:color w:val="000000"/>
          <w:sz w:val="24"/>
        </w:rPr>
        <w:t xml:space="preserve">参照相关设备说明书所规定的使用寿命周期和实际使用情况，制定月度保养、半年保养、年度保养计划，其中半年保养和年度保养邀请设备供应商一起对设备进行全面检查和保养，及时排查故障，预防隐患，避免因设备的核心部件损坏，长时间无法监测的情况出现。</w:t>
      </w:r>
      <w:r>
        <w:rPr>
          <w:color w:val="000000"/>
          <w:sz w:val="24"/>
        </w:rPr>
      </w:r>
      <w:r/>
    </w:p>
    <w:p>
      <w:pPr>
        <w:pStyle w:val="963"/>
        <w:ind w:firstLine="480"/>
        <w:jc w:val="left"/>
        <w:spacing w:line="360" w:lineRule="auto"/>
        <w:widowControl/>
        <w:rPr>
          <w:color w:val="000000"/>
          <w:sz w:val="24"/>
        </w:rPr>
      </w:pPr>
      <w:r>
        <w:rPr>
          <w:color w:val="000000"/>
          <w:sz w:val="24"/>
        </w:rPr>
        <w:t xml:space="preserve">定期维护和维修时需更换相关零配件和耗材的，提交维护方案，做好零配件和耗材的备品、备料工作，并建立相应管理制度和使用记录台帐。</w:t>
      </w:r>
      <w:r>
        <w:rPr>
          <w:color w:val="000000"/>
          <w:sz w:val="24"/>
        </w:rPr>
      </w:r>
      <w:r/>
    </w:p>
    <w:p>
      <w:pPr>
        <w:pStyle w:val="963"/>
        <w:numPr>
          <w:ilvl w:val="3"/>
          <w:numId w:val="23"/>
        </w:numPr>
        <w:jc w:val="left"/>
        <w:keepLines/>
        <w:keepNext/>
        <w:spacing w:line="360" w:lineRule="auto"/>
        <w:rPr>
          <w:b/>
          <w:bCs/>
          <w:color w:val="000000"/>
          <w:sz w:val="24"/>
        </w:rPr>
        <w:outlineLvl w:val="4"/>
      </w:pPr>
      <w:r>
        <w:rPr>
          <w:b/>
          <w:bCs/>
          <w:color w:val="000000"/>
          <w:sz w:val="24"/>
        </w:rPr>
        <w:t xml:space="preserve"> 数据分析</w:t>
      </w:r>
      <w:r>
        <w:rPr>
          <w:b/>
          <w:bCs/>
          <w:color w:val="000000"/>
          <w:sz w:val="24"/>
        </w:rPr>
      </w:r>
      <w:r/>
    </w:p>
    <w:p>
      <w:pPr>
        <w:pStyle w:val="963"/>
        <w:ind w:firstLine="480"/>
        <w:jc w:val="left"/>
        <w:spacing w:line="360" w:lineRule="auto"/>
        <w:widowControl/>
        <w:rPr>
          <w:color w:val="000000"/>
          <w:sz w:val="24"/>
        </w:rPr>
      </w:pPr>
      <w:r>
        <w:rPr>
          <w:color w:val="000000"/>
          <w:sz w:val="24"/>
        </w:rPr>
        <w:t xml:space="preserve">每日对机动车尾气遥感监测数据进行分析，按照国家相关法规筛选出超标车数据，并将筛选数据与公安和交通部门进行对接。</w:t>
      </w:r>
      <w:r>
        <w:rPr>
          <w:color w:val="000000"/>
          <w:sz w:val="24"/>
        </w:rPr>
      </w:r>
      <w:r/>
    </w:p>
    <w:p>
      <w:pPr>
        <w:pStyle w:val="963"/>
        <w:numPr>
          <w:ilvl w:val="3"/>
          <w:numId w:val="23"/>
        </w:numPr>
        <w:jc w:val="left"/>
        <w:keepLines/>
        <w:keepNext/>
        <w:spacing w:line="360" w:lineRule="auto"/>
        <w:rPr>
          <w:b/>
          <w:bCs/>
          <w:color w:val="000000"/>
          <w:sz w:val="24"/>
        </w:rPr>
        <w:outlineLvl w:val="4"/>
      </w:pPr>
      <w:r>
        <w:rPr>
          <w:b/>
          <w:bCs/>
          <w:color w:val="000000"/>
          <w:sz w:val="24"/>
        </w:rPr>
        <w:t xml:space="preserve"> 应急保障</w:t>
      </w:r>
      <w:r>
        <w:rPr>
          <w:b/>
          <w:bCs/>
          <w:color w:val="000000"/>
          <w:sz w:val="24"/>
        </w:rPr>
      </w:r>
      <w:r/>
    </w:p>
    <w:p>
      <w:pPr>
        <w:pStyle w:val="963"/>
        <w:ind w:firstLine="480"/>
        <w:jc w:val="left"/>
        <w:spacing w:line="360" w:lineRule="auto"/>
        <w:widowControl/>
        <w:rPr>
          <w:color w:val="000000"/>
          <w:sz w:val="24"/>
        </w:rPr>
      </w:pPr>
      <w:r>
        <w:rPr>
          <w:color w:val="000000"/>
          <w:sz w:val="24"/>
        </w:rPr>
        <w:t xml:space="preserve">因恶劣气候、交通事故、偷盗抢或其他不可预见的自然灾害，对遥感检测监管监控系统造成损坏的，提供相应应急维护方案，设置专人负责设备的安全，避免设备损坏。在设备损坏，未恢复正常期间，提供备用设备，保证监测数据的正常上传。</w:t>
      </w:r>
      <w:r>
        <w:rPr>
          <w:color w:val="000000"/>
          <w:sz w:val="24"/>
        </w:rPr>
      </w:r>
      <w:r/>
    </w:p>
    <w:p>
      <w:pPr>
        <w:pStyle w:val="963"/>
        <w:numPr>
          <w:ilvl w:val="1"/>
          <w:numId w:val="31"/>
        </w:numPr>
        <w:jc w:val="left"/>
        <w:keepLines/>
        <w:keepNext/>
        <w:spacing w:line="360" w:lineRule="auto"/>
        <w:tabs>
          <w:tab w:val="left" w:pos="210" w:leader="none"/>
        </w:tabs>
        <w:rPr>
          <w:b/>
          <w:color w:val="000000"/>
          <w:sz w:val="24"/>
        </w:rPr>
        <w:outlineLvl w:val="3"/>
      </w:pPr>
      <w:r>
        <w:rPr>
          <w:rFonts w:hint="eastAsia"/>
          <w:b/>
          <w:color w:val="000000"/>
          <w:sz w:val="24"/>
        </w:rPr>
        <w:t xml:space="preserve"> 水质自动监测站运维服务技术要求</w:t>
      </w:r>
      <w:r>
        <w:rPr>
          <w:b/>
          <w:color w:val="000000"/>
          <w:sz w:val="24"/>
        </w:rPr>
      </w:r>
      <w:r/>
    </w:p>
    <w:p>
      <w:pPr>
        <w:pStyle w:val="963"/>
        <w:numPr>
          <w:ilvl w:val="0"/>
          <w:numId w:val="32"/>
        </w:numPr>
        <w:ind w:left="0" w:firstLine="480"/>
        <w:jc w:val="left"/>
        <w:spacing w:line="360" w:lineRule="auto"/>
        <w:widowControl/>
        <w:rPr>
          <w:color w:val="000000"/>
          <w:sz w:val="24"/>
        </w:rPr>
      </w:pPr>
      <w:r>
        <w:rPr>
          <w:rFonts w:hint="eastAsia"/>
          <w:color w:val="000000"/>
          <w:sz w:val="24"/>
        </w:rPr>
        <w:t xml:space="preserve"> </w:t>
      </w:r>
      <w:r>
        <w:rPr>
          <w:color w:val="000000"/>
          <w:sz w:val="24"/>
        </w:rPr>
        <w:t xml:space="preserve">在运营维护及管理期间，中标人必须遵守国家的有关法律、法规及其他规定，本着为业主方负责的精神，依照规范，科学管理使各监测监控系统运行达到国家及行业颁布的技术标准和业主方要求的考核指标要求；使水质自动监测系统运行真正发挥其效能和作用。</w:t>
      </w:r>
      <w:r>
        <w:rPr>
          <w:color w:val="000000"/>
          <w:sz w:val="24"/>
        </w:rPr>
      </w:r>
      <w:r/>
    </w:p>
    <w:p>
      <w:pPr>
        <w:pStyle w:val="963"/>
        <w:numPr>
          <w:ilvl w:val="0"/>
          <w:numId w:val="32"/>
        </w:numPr>
        <w:ind w:left="0" w:firstLine="480"/>
        <w:jc w:val="left"/>
        <w:spacing w:line="360" w:lineRule="auto"/>
        <w:widowControl/>
        <w:rPr>
          <w:color w:val="000000"/>
          <w:sz w:val="24"/>
        </w:rPr>
      </w:pPr>
      <w:r>
        <w:rPr>
          <w:rFonts w:hint="eastAsia"/>
          <w:color w:val="000000"/>
          <w:sz w:val="24"/>
        </w:rPr>
        <w:t xml:space="preserve"> </w:t>
      </w:r>
      <w:r>
        <w:rPr>
          <w:color w:val="000000"/>
          <w:sz w:val="24"/>
        </w:rPr>
        <w:t xml:space="preserve">财产保护：运营期间，委托运营维护及管理的全部资产（包括全部产权和建筑物、设备、软件、配套设施、水质自动站和配套监控系统产生的各类数据信息及相关文档资料）属业主方所有。未经业主方同意，中标人不得以任何方式对各类财产进行出售、抵押或转移；同时，在委托运营及管理期间，中标人有责任保证上述全部资产的完整、安全并处于良好状态。</w:t>
      </w:r>
      <w:r>
        <w:rPr>
          <w:color w:val="000000"/>
          <w:sz w:val="24"/>
        </w:rPr>
      </w:r>
      <w:r/>
    </w:p>
    <w:p>
      <w:pPr>
        <w:pStyle w:val="963"/>
        <w:numPr>
          <w:ilvl w:val="0"/>
          <w:numId w:val="32"/>
        </w:numPr>
        <w:ind w:left="0" w:firstLine="480"/>
        <w:jc w:val="left"/>
        <w:spacing w:line="360" w:lineRule="auto"/>
        <w:widowControl/>
        <w:rPr>
          <w:color w:val="000000"/>
          <w:sz w:val="24"/>
        </w:rPr>
      </w:pPr>
      <w:r>
        <w:rPr>
          <w:rFonts w:hint="eastAsia"/>
          <w:color w:val="000000"/>
          <w:sz w:val="24"/>
        </w:rPr>
        <w:t xml:space="preserve"> </w:t>
      </w:r>
      <w:r>
        <w:rPr>
          <w:color w:val="000000"/>
          <w:sz w:val="24"/>
        </w:rPr>
        <w:t xml:space="preserve">协助采购人和托管站做好水站固定资产的管理、备品配件的登记等工作。</w:t>
      </w:r>
      <w:r>
        <w:rPr>
          <w:color w:val="000000"/>
          <w:sz w:val="24"/>
        </w:rPr>
      </w:r>
      <w:r/>
    </w:p>
    <w:p>
      <w:pPr>
        <w:pStyle w:val="963"/>
        <w:numPr>
          <w:ilvl w:val="0"/>
          <w:numId w:val="32"/>
        </w:numPr>
        <w:ind w:left="0" w:firstLine="480"/>
        <w:jc w:val="left"/>
        <w:spacing w:line="360" w:lineRule="auto"/>
        <w:widowControl/>
        <w:rPr>
          <w:color w:val="000000"/>
          <w:sz w:val="24"/>
        </w:rPr>
      </w:pPr>
      <w:r>
        <w:rPr>
          <w:rFonts w:hint="eastAsia"/>
          <w:color w:val="000000"/>
          <w:sz w:val="24"/>
        </w:rPr>
        <w:t xml:space="preserve"> </w:t>
      </w:r>
      <w:r>
        <w:rPr>
          <w:color w:val="000000"/>
          <w:sz w:val="24"/>
        </w:rPr>
        <w:t xml:space="preserve">积极参加采购人主办的技术培训班，加强业务学习，不断提高业务能力和水平；定期接受采购人的工作考核和质控考核。</w:t>
      </w:r>
      <w:r>
        <w:rPr>
          <w:color w:val="000000"/>
          <w:sz w:val="24"/>
        </w:rPr>
      </w:r>
      <w:r/>
    </w:p>
    <w:p>
      <w:pPr>
        <w:pStyle w:val="963"/>
        <w:numPr>
          <w:ilvl w:val="0"/>
          <w:numId w:val="32"/>
        </w:numPr>
        <w:ind w:left="0" w:firstLine="480"/>
        <w:jc w:val="left"/>
        <w:spacing w:line="360" w:lineRule="auto"/>
        <w:widowControl/>
        <w:rPr>
          <w:color w:val="000000"/>
          <w:sz w:val="24"/>
        </w:rPr>
      </w:pPr>
      <w:r>
        <w:rPr>
          <w:rFonts w:hint="eastAsia"/>
          <w:color w:val="000000"/>
          <w:sz w:val="24"/>
        </w:rPr>
        <w:t xml:space="preserve"> </w:t>
      </w:r>
      <w:r>
        <w:rPr>
          <w:color w:val="000000"/>
          <w:sz w:val="24"/>
        </w:rPr>
        <w:t xml:space="preserve">按照《江苏省环境水质（地表水）自动监测预警系统运行管理办法（试行）》及其实施细则要求对运营水站进行管理。</w:t>
      </w:r>
      <w:r>
        <w:rPr>
          <w:color w:val="000000"/>
          <w:sz w:val="24"/>
        </w:rPr>
      </w:r>
      <w:r/>
    </w:p>
    <w:p>
      <w:pPr>
        <w:pStyle w:val="963"/>
        <w:numPr>
          <w:ilvl w:val="0"/>
          <w:numId w:val="32"/>
        </w:numPr>
        <w:ind w:left="0" w:firstLine="480"/>
        <w:jc w:val="left"/>
        <w:spacing w:line="360" w:lineRule="auto"/>
        <w:widowControl/>
        <w:rPr>
          <w:color w:val="000000"/>
          <w:sz w:val="24"/>
        </w:rPr>
      </w:pPr>
      <w:r>
        <w:rPr>
          <w:rFonts w:hint="eastAsia"/>
          <w:color w:val="000000"/>
          <w:sz w:val="24"/>
        </w:rPr>
        <w:t xml:space="preserve"> </w:t>
      </w:r>
      <w:r>
        <w:rPr>
          <w:color w:val="000000"/>
          <w:sz w:val="24"/>
        </w:rPr>
        <w:t xml:space="preserve">汛期时，当受泄洪、排涝等不可抗力影响，各水质自动监测站无法正常工作时，需开展手工监测替代自动监测，监测项目是氨氮、总磷、高锰酸盐指数、pH四个指标，监测频次是每天不少于四次手工监测。</w:t>
      </w:r>
      <w:r>
        <w:rPr>
          <w:color w:val="000000"/>
          <w:sz w:val="24"/>
        </w:rPr>
      </w:r>
      <w:r/>
    </w:p>
    <w:p>
      <w:pPr>
        <w:pStyle w:val="963"/>
        <w:numPr>
          <w:ilvl w:val="0"/>
          <w:numId w:val="32"/>
        </w:numPr>
        <w:ind w:left="0" w:firstLine="480"/>
        <w:jc w:val="left"/>
        <w:spacing w:line="360" w:lineRule="auto"/>
        <w:widowControl/>
        <w:rPr>
          <w:color w:val="000000"/>
          <w:sz w:val="24"/>
        </w:rPr>
      </w:pPr>
      <w:r>
        <w:rPr>
          <w:rFonts w:hint="eastAsia"/>
          <w:color w:val="000000"/>
          <w:sz w:val="24"/>
        </w:rPr>
        <w:t xml:space="preserve"> </w:t>
      </w:r>
      <w:r>
        <w:rPr>
          <w:color w:val="000000"/>
          <w:sz w:val="24"/>
        </w:rPr>
        <w:t xml:space="preserve">根据招标方的要求支付运维服务期内站点的房租、水电网络等费用。</w:t>
      </w:r>
      <w:r>
        <w:rPr>
          <w:color w:val="000000"/>
          <w:sz w:val="24"/>
        </w:rPr>
      </w:r>
      <w:r/>
    </w:p>
    <w:p>
      <w:pPr>
        <w:pStyle w:val="963"/>
        <w:numPr>
          <w:ilvl w:val="0"/>
          <w:numId w:val="32"/>
        </w:numPr>
        <w:ind w:left="0" w:firstLine="480"/>
        <w:jc w:val="left"/>
        <w:spacing w:line="360" w:lineRule="auto"/>
        <w:widowControl/>
        <w:rPr>
          <w:color w:val="000000"/>
          <w:sz w:val="24"/>
        </w:rPr>
      </w:pPr>
      <w:r>
        <w:rPr>
          <w:rFonts w:hint="eastAsia"/>
          <w:color w:val="000000"/>
          <w:sz w:val="24"/>
        </w:rPr>
        <w:t xml:space="preserve"> </w:t>
      </w:r>
      <w:r>
        <w:rPr>
          <w:color w:val="000000"/>
          <w:sz w:val="24"/>
        </w:rPr>
        <w:t xml:space="preserve">每年开展运维站点防雷检测，并出具防雷检测报告。</w:t>
      </w:r>
      <w:r>
        <w:rPr>
          <w:color w:val="000000"/>
          <w:sz w:val="24"/>
        </w:rPr>
      </w:r>
      <w:r/>
    </w:p>
    <w:p>
      <w:pPr>
        <w:pStyle w:val="963"/>
        <w:numPr>
          <w:ilvl w:val="0"/>
          <w:numId w:val="32"/>
        </w:numPr>
        <w:ind w:left="0" w:firstLine="480"/>
        <w:jc w:val="left"/>
        <w:spacing w:line="360" w:lineRule="auto"/>
        <w:widowControl/>
        <w:rPr>
          <w:color w:val="000000"/>
          <w:sz w:val="24"/>
        </w:rPr>
      </w:pPr>
      <w:r>
        <w:rPr>
          <w:rFonts w:hint="eastAsia"/>
          <w:color w:val="000000"/>
          <w:sz w:val="24"/>
        </w:rPr>
        <w:t xml:space="preserve"> </w:t>
      </w:r>
      <w:r>
        <w:rPr>
          <w:color w:val="000000"/>
          <w:sz w:val="24"/>
        </w:rPr>
        <w:t xml:space="preserve">提供废液规范化管理方案</w:t>
      </w:r>
      <w:r>
        <w:rPr>
          <w:rFonts w:hint="eastAsia"/>
          <w:sz w:val="24"/>
        </w:rPr>
        <w:t xml:space="preserve">，出具相关水质自动站废液处置合同证明材料</w:t>
      </w:r>
      <w:r>
        <w:rPr>
          <w:color w:val="000000"/>
          <w:sz w:val="24"/>
        </w:rPr>
        <w:t xml:space="preserve">，定期开展水站废液处置工作。</w:t>
      </w:r>
      <w:r>
        <w:rPr>
          <w:color w:val="000000"/>
          <w:sz w:val="24"/>
        </w:rPr>
      </w:r>
      <w:r/>
    </w:p>
    <w:p>
      <w:pPr>
        <w:pStyle w:val="963"/>
        <w:numPr>
          <w:ilvl w:val="2"/>
          <w:numId w:val="31"/>
        </w:numPr>
        <w:jc w:val="left"/>
        <w:keepLines/>
        <w:keepNext/>
        <w:spacing w:line="360" w:lineRule="auto"/>
        <w:rPr>
          <w:rFonts w:cs="Arial"/>
          <w:b/>
          <w:bCs/>
          <w:color w:val="000000"/>
          <w:sz w:val="24"/>
        </w:rPr>
        <w:outlineLvl w:val="3"/>
      </w:pPr>
      <w:r>
        <w:rPr>
          <w:rFonts w:hint="eastAsia" w:cs="Arial"/>
          <w:b/>
          <w:bCs/>
          <w:color w:val="000000"/>
          <w:sz w:val="24"/>
        </w:rPr>
        <w:t xml:space="preserve"> </w:t>
      </w:r>
      <w:r>
        <w:rPr>
          <w:rFonts w:cs="Arial"/>
          <w:b/>
          <w:bCs/>
          <w:color w:val="000000"/>
          <w:sz w:val="24"/>
        </w:rPr>
        <w:t xml:space="preserve">人员配备要求</w:t>
      </w:r>
      <w:r>
        <w:rPr>
          <w:rFonts w:cs="Arial"/>
          <w:b/>
          <w:bCs/>
          <w:color w:val="000000"/>
          <w:sz w:val="24"/>
        </w:rPr>
      </w:r>
      <w:r/>
    </w:p>
    <w:p>
      <w:pPr>
        <w:pStyle w:val="963"/>
        <w:ind w:firstLine="480"/>
        <w:jc w:val="left"/>
        <w:spacing w:line="360" w:lineRule="auto"/>
        <w:widowControl/>
        <w:rPr>
          <w:sz w:val="24"/>
        </w:rPr>
      </w:pPr>
      <w:r>
        <w:rPr>
          <w:rFonts w:hint="eastAsia"/>
          <w:color w:val="000000"/>
          <w:sz w:val="24"/>
        </w:rPr>
        <w:t xml:space="preserve">运维</w:t>
      </w:r>
      <w:r>
        <w:rPr>
          <w:color w:val="000000"/>
          <w:sz w:val="24"/>
        </w:rPr>
        <w:t xml:space="preserve">单位需安排</w:t>
      </w:r>
      <w:r>
        <w:rPr>
          <w:rFonts w:hint="eastAsia"/>
          <w:color w:val="000000"/>
          <w:sz w:val="24"/>
        </w:rPr>
        <w:t xml:space="preserve">2</w:t>
      </w:r>
      <w:r>
        <w:rPr>
          <w:color w:val="000000"/>
          <w:sz w:val="24"/>
        </w:rPr>
        <w:t xml:space="preserve">名运维人员及1名</w:t>
      </w:r>
      <w:r>
        <w:rPr>
          <w:rFonts w:hint="eastAsia"/>
          <w:color w:val="000000"/>
          <w:sz w:val="24"/>
        </w:rPr>
        <w:t xml:space="preserve">驻场人员</w:t>
      </w:r>
      <w:r>
        <w:rPr>
          <w:color w:val="000000"/>
          <w:sz w:val="24"/>
        </w:rPr>
        <w:t xml:space="preserve">在运维期内长期驻守。同时配备至少</w:t>
      </w:r>
      <w:r>
        <w:rPr>
          <w:rFonts w:hint="eastAsia"/>
          <w:color w:val="000000"/>
          <w:sz w:val="24"/>
        </w:rPr>
        <w:t xml:space="preserve">2</w:t>
      </w:r>
      <w:r>
        <w:rPr>
          <w:color w:val="000000"/>
          <w:sz w:val="24"/>
        </w:rPr>
        <w:t xml:space="preserve">辆专车用于日常巡检。运维单位投入本项目的全部专业技术人员须取得相关部门颁发的</w:t>
      </w:r>
      <w:r>
        <w:rPr>
          <w:rFonts w:hint="eastAsia"/>
          <w:color w:val="000000"/>
          <w:sz w:val="24"/>
        </w:rPr>
        <w:t xml:space="preserve">水质</w:t>
      </w:r>
      <w:r>
        <w:rPr>
          <w:color w:val="000000"/>
          <w:sz w:val="24"/>
        </w:rPr>
        <w:t xml:space="preserve">自动监测领域上岗证，驻场</w:t>
      </w:r>
      <w:r>
        <w:rPr>
          <w:rFonts w:hint="eastAsia"/>
          <w:color w:val="000000"/>
          <w:sz w:val="24"/>
        </w:rPr>
        <w:t xml:space="preserve">人员</w:t>
      </w:r>
      <w:r>
        <w:rPr>
          <w:color w:val="000000"/>
          <w:sz w:val="24"/>
        </w:rPr>
        <w:t xml:space="preserve">需具有本科及以上学历，有环境、气象、电子或自动化等相关专业背景，负责指导水质自动站运行管理和监测数据分析。</w:t>
      </w:r>
      <w:r>
        <w:rPr>
          <w:sz w:val="24"/>
        </w:rPr>
      </w:r>
      <w:r/>
    </w:p>
    <w:p>
      <w:pPr>
        <w:pStyle w:val="963"/>
        <w:numPr>
          <w:ilvl w:val="2"/>
          <w:numId w:val="31"/>
        </w:numPr>
        <w:jc w:val="left"/>
        <w:keepLines/>
        <w:keepNext/>
        <w:spacing w:line="360" w:lineRule="auto"/>
        <w:rPr>
          <w:rFonts w:cs="Arial"/>
          <w:b/>
          <w:bCs/>
          <w:color w:val="000000"/>
          <w:sz w:val="24"/>
        </w:rPr>
        <w:outlineLvl w:val="3"/>
      </w:pPr>
      <w:r>
        <w:rPr>
          <w:rFonts w:hint="eastAsia" w:cs="Arial"/>
          <w:b/>
          <w:bCs/>
          <w:color w:val="000000"/>
          <w:sz w:val="24"/>
        </w:rPr>
        <w:t xml:space="preserve"> </w:t>
      </w:r>
      <w:r>
        <w:rPr>
          <w:rFonts w:cs="Arial"/>
          <w:b/>
          <w:bCs/>
          <w:color w:val="000000"/>
          <w:sz w:val="24"/>
        </w:rPr>
        <w:t xml:space="preserve">水质自动监测系统的运维管理内容</w:t>
      </w:r>
      <w:r>
        <w:rPr>
          <w:rFonts w:cs="Arial"/>
          <w:b/>
          <w:bCs/>
          <w:color w:val="000000"/>
          <w:sz w:val="24"/>
        </w:rPr>
      </w:r>
      <w:r/>
    </w:p>
    <w:p>
      <w:pPr>
        <w:pStyle w:val="963"/>
        <w:numPr>
          <w:ilvl w:val="0"/>
          <w:numId w:val="33"/>
        </w:numPr>
        <w:ind w:firstLine="480"/>
        <w:jc w:val="left"/>
        <w:spacing w:line="360" w:lineRule="auto"/>
        <w:widowControl/>
        <w:rPr>
          <w:color w:val="000000"/>
          <w:sz w:val="24"/>
        </w:rPr>
      </w:pPr>
      <w:r>
        <w:rPr>
          <w:color w:val="000000"/>
          <w:sz w:val="24"/>
        </w:rPr>
        <w:t xml:space="preserve">提供、配制并定期更换在线监测仪器所需试剂、标样</w:t>
      </w:r>
      <w:r>
        <w:rPr>
          <w:color w:val="000000"/>
          <w:sz w:val="24"/>
        </w:rPr>
      </w:r>
      <w:r/>
    </w:p>
    <w:p>
      <w:pPr>
        <w:pStyle w:val="963"/>
        <w:numPr>
          <w:ilvl w:val="0"/>
          <w:numId w:val="33"/>
        </w:numPr>
        <w:ind w:firstLine="480"/>
        <w:jc w:val="left"/>
        <w:spacing w:line="360" w:lineRule="auto"/>
        <w:widowControl/>
        <w:rPr>
          <w:color w:val="000000"/>
          <w:sz w:val="24"/>
        </w:rPr>
      </w:pPr>
      <w:r>
        <w:rPr>
          <w:color w:val="000000"/>
          <w:sz w:val="24"/>
        </w:rPr>
        <w:t xml:space="preserve">根据江苏省有关水质自动站备品备件管理制度的要求，提供备品备件并按期更换。所有备品备件均由中标方提供。</w:t>
      </w:r>
      <w:r>
        <w:rPr>
          <w:color w:val="000000"/>
          <w:sz w:val="24"/>
        </w:rPr>
      </w:r>
      <w:r/>
    </w:p>
    <w:p>
      <w:pPr>
        <w:pStyle w:val="963"/>
        <w:numPr>
          <w:ilvl w:val="0"/>
          <w:numId w:val="33"/>
        </w:numPr>
        <w:ind w:firstLine="480"/>
        <w:jc w:val="left"/>
        <w:spacing w:line="360" w:lineRule="auto"/>
        <w:widowControl/>
        <w:rPr>
          <w:color w:val="000000"/>
          <w:sz w:val="24"/>
        </w:rPr>
      </w:pPr>
      <w:r>
        <w:rPr>
          <w:color w:val="000000"/>
          <w:sz w:val="24"/>
        </w:rPr>
        <w:t xml:space="preserve">须针对水站系统和仪表制定每年保养检修计划并按期进行。保养检修须包括系统的全面清洗和检修、仪器管路清洗、主要备件的更换、仪器的性能测试检查等内容。</w:t>
      </w:r>
      <w:r>
        <w:rPr>
          <w:color w:val="000000"/>
          <w:sz w:val="24"/>
        </w:rPr>
      </w:r>
      <w:r/>
    </w:p>
    <w:p>
      <w:pPr>
        <w:pStyle w:val="963"/>
        <w:numPr>
          <w:ilvl w:val="0"/>
          <w:numId w:val="33"/>
        </w:numPr>
        <w:ind w:firstLine="480"/>
        <w:jc w:val="left"/>
        <w:spacing w:line="360" w:lineRule="auto"/>
        <w:widowControl/>
        <w:rPr>
          <w:color w:val="000000"/>
          <w:sz w:val="24"/>
        </w:rPr>
      </w:pPr>
      <w:r>
        <w:rPr>
          <w:color w:val="000000"/>
          <w:sz w:val="24"/>
        </w:rPr>
        <w:t xml:space="preserve">按照《江苏省环境水质（地表水）自动监测预警系统运行管理办法（试行）》要求，及时排除水站系统和仪表出现的故障，并对各种原因造成的仪器故障进行维修（由于地震、洪水和战争等不可预防和不可抗拒因素造成的自动站系统及仪器损坏除外）。</w:t>
      </w:r>
      <w:r>
        <w:rPr>
          <w:color w:val="000000"/>
          <w:sz w:val="24"/>
        </w:rPr>
      </w:r>
      <w:r/>
    </w:p>
    <w:p>
      <w:pPr>
        <w:pStyle w:val="963"/>
        <w:numPr>
          <w:ilvl w:val="0"/>
          <w:numId w:val="33"/>
        </w:numPr>
        <w:ind w:firstLine="480"/>
        <w:jc w:val="left"/>
        <w:spacing w:line="360" w:lineRule="auto"/>
        <w:widowControl/>
        <w:rPr>
          <w:color w:val="000000"/>
          <w:sz w:val="24"/>
        </w:rPr>
      </w:pPr>
      <w:r>
        <w:rPr>
          <w:color w:val="000000"/>
          <w:sz w:val="24"/>
        </w:rPr>
        <w:t xml:space="preserve">对水站仪表进行定期校准、核查、比对、性能测试</w:t>
      </w:r>
      <w:r>
        <w:rPr>
          <w:color w:val="000000"/>
          <w:sz w:val="24"/>
        </w:rPr>
      </w:r>
      <w:r/>
    </w:p>
    <w:p>
      <w:pPr>
        <w:pStyle w:val="963"/>
        <w:numPr>
          <w:ilvl w:val="0"/>
          <w:numId w:val="33"/>
        </w:numPr>
        <w:ind w:firstLine="480"/>
        <w:jc w:val="left"/>
        <w:spacing w:line="360" w:lineRule="auto"/>
        <w:widowControl/>
        <w:rPr>
          <w:color w:val="000000"/>
          <w:sz w:val="24"/>
        </w:rPr>
      </w:pPr>
      <w:r>
        <w:rPr>
          <w:color w:val="000000"/>
          <w:sz w:val="24"/>
        </w:rPr>
        <w:t xml:space="preserve">配合连云港环境监控中心进行水站质量保证和质量质控工作</w:t>
      </w:r>
      <w:r>
        <w:rPr>
          <w:color w:val="000000"/>
          <w:sz w:val="24"/>
        </w:rPr>
      </w:r>
      <w:r/>
    </w:p>
    <w:p>
      <w:pPr>
        <w:pStyle w:val="963"/>
        <w:numPr>
          <w:ilvl w:val="0"/>
          <w:numId w:val="33"/>
        </w:numPr>
        <w:ind w:firstLine="480"/>
        <w:jc w:val="left"/>
        <w:spacing w:line="360" w:lineRule="auto"/>
        <w:widowControl/>
        <w:rPr>
          <w:color w:val="000000"/>
          <w:sz w:val="24"/>
        </w:rPr>
      </w:pPr>
      <w:r>
        <w:rPr>
          <w:color w:val="000000"/>
          <w:sz w:val="24"/>
        </w:rPr>
        <w:t xml:space="preserve">随时接受连云港环境监控中心的工作考核及质量考核</w:t>
      </w:r>
      <w:r>
        <w:rPr>
          <w:color w:val="000000"/>
          <w:sz w:val="24"/>
        </w:rPr>
      </w:r>
      <w:r/>
    </w:p>
    <w:p>
      <w:pPr>
        <w:pStyle w:val="963"/>
        <w:numPr>
          <w:ilvl w:val="0"/>
          <w:numId w:val="33"/>
        </w:numPr>
        <w:ind w:firstLine="480"/>
        <w:jc w:val="left"/>
        <w:spacing w:line="360" w:lineRule="auto"/>
        <w:widowControl/>
        <w:rPr>
          <w:color w:val="000000"/>
          <w:sz w:val="24"/>
        </w:rPr>
      </w:pPr>
      <w:r>
        <w:rPr>
          <w:color w:val="000000"/>
          <w:sz w:val="24"/>
        </w:rPr>
        <w:t xml:space="preserve">负责站房、栈桥的维修，防雷设施的维护工作。</w:t>
      </w:r>
      <w:r>
        <w:rPr>
          <w:color w:val="000000"/>
          <w:sz w:val="24"/>
        </w:rPr>
      </w:r>
      <w:r/>
    </w:p>
    <w:p>
      <w:pPr>
        <w:pStyle w:val="963"/>
        <w:numPr>
          <w:ilvl w:val="0"/>
          <w:numId w:val="33"/>
        </w:numPr>
        <w:ind w:firstLine="480"/>
        <w:jc w:val="left"/>
        <w:spacing w:line="360" w:lineRule="auto"/>
        <w:widowControl/>
        <w:rPr>
          <w:color w:val="000000"/>
          <w:sz w:val="24"/>
        </w:rPr>
      </w:pPr>
      <w:r>
        <w:rPr>
          <w:color w:val="000000"/>
          <w:sz w:val="24"/>
        </w:rPr>
        <w:t xml:space="preserve">保证站房清洁，整齐，</w:t>
      </w:r>
      <w:r>
        <w:rPr>
          <w:rFonts w:hint="eastAsia"/>
          <w:sz w:val="24"/>
        </w:rPr>
        <w:t xml:space="preserve">无臭味异味</w:t>
      </w:r>
      <w:r>
        <w:rPr>
          <w:color w:val="000000"/>
          <w:sz w:val="24"/>
        </w:rPr>
        <w:t xml:space="preserve">。</w:t>
      </w:r>
      <w:r>
        <w:rPr>
          <w:color w:val="000000"/>
          <w:sz w:val="24"/>
        </w:rPr>
      </w:r>
      <w:r/>
    </w:p>
    <w:p>
      <w:pPr>
        <w:pStyle w:val="963"/>
        <w:numPr>
          <w:ilvl w:val="0"/>
          <w:numId w:val="33"/>
        </w:numPr>
        <w:ind w:firstLine="480"/>
        <w:jc w:val="left"/>
        <w:spacing w:line="360" w:lineRule="auto"/>
        <w:widowControl/>
        <w:rPr>
          <w:color w:val="000000"/>
          <w:sz w:val="24"/>
        </w:rPr>
      </w:pPr>
      <w:r>
        <w:rPr>
          <w:color w:val="000000"/>
          <w:sz w:val="24"/>
        </w:rPr>
        <w:t xml:space="preserve">认真、及时做好维护记录，汇总各水站每周维护记录，每月以书面形式报业主，书面报告作为运行维护考核依据之一，具体包括：</w:t>
      </w:r>
      <w:r>
        <w:rPr>
          <w:color w:val="000000"/>
          <w:sz w:val="24"/>
        </w:rPr>
      </w:r>
      <w:r/>
    </w:p>
    <w:p>
      <w:pPr>
        <w:pStyle w:val="963"/>
        <w:numPr>
          <w:ilvl w:val="0"/>
          <w:numId w:val="34"/>
        </w:numPr>
        <w:ind w:left="0" w:firstLine="480"/>
        <w:jc w:val="left"/>
        <w:spacing w:line="360" w:lineRule="auto"/>
        <w:widowControl/>
        <w:rPr>
          <w:color w:val="000000"/>
          <w:sz w:val="24"/>
        </w:rPr>
      </w:pPr>
      <w:r>
        <w:rPr>
          <w:color w:val="000000"/>
          <w:sz w:val="24"/>
        </w:rPr>
        <w:t xml:space="preserve">自动站每日运行数据报表统计</w:t>
      </w:r>
      <w:r>
        <w:rPr>
          <w:color w:val="000000"/>
          <w:sz w:val="24"/>
        </w:rPr>
      </w:r>
      <w:r/>
    </w:p>
    <w:p>
      <w:pPr>
        <w:pStyle w:val="963"/>
        <w:numPr>
          <w:ilvl w:val="0"/>
          <w:numId w:val="34"/>
        </w:numPr>
        <w:ind w:left="0" w:firstLine="480"/>
        <w:jc w:val="left"/>
        <w:spacing w:line="360" w:lineRule="auto"/>
        <w:widowControl/>
        <w:rPr>
          <w:color w:val="000000"/>
          <w:sz w:val="24"/>
        </w:rPr>
      </w:pPr>
      <w:r>
        <w:rPr>
          <w:color w:val="000000"/>
          <w:sz w:val="24"/>
        </w:rPr>
        <w:t xml:space="preserve">自动站现场维护记录</w:t>
      </w:r>
      <w:r>
        <w:rPr>
          <w:color w:val="000000"/>
          <w:sz w:val="24"/>
        </w:rPr>
      </w:r>
      <w:r/>
    </w:p>
    <w:p>
      <w:pPr>
        <w:pStyle w:val="963"/>
        <w:numPr>
          <w:ilvl w:val="0"/>
          <w:numId w:val="34"/>
        </w:numPr>
        <w:ind w:left="0" w:firstLine="480"/>
        <w:jc w:val="left"/>
        <w:spacing w:line="360" w:lineRule="auto"/>
        <w:widowControl/>
        <w:rPr>
          <w:color w:val="000000"/>
          <w:sz w:val="24"/>
        </w:rPr>
      </w:pPr>
      <w:r>
        <w:rPr>
          <w:color w:val="000000"/>
          <w:sz w:val="24"/>
        </w:rPr>
        <w:t xml:space="preserve">自动站仪器设备故障及排除情况登记表</w:t>
      </w:r>
      <w:r>
        <w:rPr>
          <w:color w:val="000000"/>
          <w:sz w:val="24"/>
        </w:rPr>
      </w:r>
      <w:r/>
    </w:p>
    <w:p>
      <w:pPr>
        <w:pStyle w:val="963"/>
        <w:numPr>
          <w:ilvl w:val="0"/>
          <w:numId w:val="34"/>
        </w:numPr>
        <w:ind w:left="0" w:firstLine="480"/>
        <w:jc w:val="left"/>
        <w:spacing w:line="360" w:lineRule="auto"/>
        <w:widowControl/>
        <w:rPr>
          <w:color w:val="000000"/>
          <w:sz w:val="24"/>
        </w:rPr>
      </w:pPr>
      <w:r>
        <w:rPr>
          <w:color w:val="000000"/>
          <w:sz w:val="24"/>
        </w:rPr>
        <w:t xml:space="preserve">自动站每月运行情况</w:t>
      </w:r>
      <w:r>
        <w:rPr>
          <w:color w:val="000000"/>
          <w:sz w:val="24"/>
        </w:rPr>
      </w:r>
      <w:r/>
    </w:p>
    <w:p>
      <w:pPr>
        <w:pStyle w:val="963"/>
        <w:numPr>
          <w:ilvl w:val="0"/>
          <w:numId w:val="34"/>
        </w:numPr>
        <w:ind w:left="0" w:firstLine="480"/>
        <w:jc w:val="left"/>
        <w:spacing w:line="360" w:lineRule="auto"/>
        <w:widowControl/>
        <w:rPr>
          <w:color w:val="000000"/>
          <w:sz w:val="24"/>
        </w:rPr>
      </w:pPr>
      <w:r>
        <w:rPr>
          <w:color w:val="000000"/>
          <w:sz w:val="24"/>
        </w:rPr>
        <w:t xml:space="preserve">自动站备品备件管理登记表</w:t>
      </w:r>
      <w:r>
        <w:rPr>
          <w:color w:val="000000"/>
          <w:sz w:val="24"/>
        </w:rPr>
      </w:r>
      <w:r/>
    </w:p>
    <w:p>
      <w:pPr>
        <w:pStyle w:val="963"/>
        <w:numPr>
          <w:ilvl w:val="2"/>
          <w:numId w:val="31"/>
        </w:numPr>
        <w:jc w:val="left"/>
        <w:keepLines/>
        <w:keepNext/>
        <w:spacing w:line="360" w:lineRule="auto"/>
        <w:rPr>
          <w:rFonts w:cs="Arial"/>
          <w:b/>
          <w:bCs/>
          <w:color w:val="000000"/>
          <w:sz w:val="24"/>
        </w:rPr>
        <w:outlineLvl w:val="3"/>
      </w:pPr>
      <w:r>
        <w:rPr>
          <w:rFonts w:hint="eastAsia" w:cs="Arial"/>
          <w:b/>
          <w:bCs/>
          <w:color w:val="000000"/>
          <w:sz w:val="24"/>
        </w:rPr>
        <w:t xml:space="preserve"> </w:t>
      </w:r>
      <w:r>
        <w:rPr>
          <w:rFonts w:cs="Arial"/>
          <w:b/>
          <w:bCs/>
          <w:color w:val="000000"/>
          <w:sz w:val="24"/>
        </w:rPr>
        <w:t xml:space="preserve">总体要求</w:t>
      </w:r>
      <w:r>
        <w:rPr>
          <w:rFonts w:cs="Arial"/>
          <w:b/>
          <w:bCs/>
          <w:color w:val="000000"/>
          <w:sz w:val="24"/>
        </w:rPr>
      </w:r>
      <w:r/>
    </w:p>
    <w:p>
      <w:pPr>
        <w:pStyle w:val="963"/>
        <w:numPr>
          <w:ilvl w:val="0"/>
          <w:numId w:val="35"/>
        </w:numPr>
        <w:ind w:left="0" w:firstLine="480"/>
        <w:jc w:val="left"/>
        <w:spacing w:line="360" w:lineRule="auto"/>
        <w:widowControl/>
        <w:rPr>
          <w:color w:val="000000"/>
          <w:sz w:val="24"/>
        </w:rPr>
      </w:pPr>
      <w:r>
        <w:rPr>
          <w:color w:val="000000"/>
          <w:sz w:val="24"/>
        </w:rPr>
        <w:t xml:space="preserve">投标人资金保证充足。</w:t>
      </w:r>
      <w:r>
        <w:rPr>
          <w:color w:val="000000"/>
          <w:sz w:val="24"/>
        </w:rPr>
      </w:r>
      <w:r/>
    </w:p>
    <w:p>
      <w:pPr>
        <w:pStyle w:val="963"/>
        <w:numPr>
          <w:ilvl w:val="0"/>
          <w:numId w:val="35"/>
        </w:numPr>
        <w:ind w:left="0" w:firstLine="480"/>
        <w:jc w:val="left"/>
        <w:spacing w:line="360" w:lineRule="auto"/>
        <w:widowControl/>
        <w:rPr>
          <w:color w:val="000000"/>
          <w:sz w:val="24"/>
        </w:rPr>
      </w:pPr>
      <w:r>
        <w:rPr>
          <w:rFonts w:hint="eastAsia"/>
          <w:color w:val="000000"/>
          <w:sz w:val="24"/>
        </w:rPr>
        <w:t xml:space="preserve"> </w:t>
      </w:r>
      <w:r>
        <w:rPr>
          <w:color w:val="000000"/>
          <w:sz w:val="24"/>
        </w:rPr>
        <w:t xml:space="preserve">投标人应具备完善的仪表配件供应渠道。</w:t>
      </w:r>
      <w:r>
        <w:rPr>
          <w:color w:val="000000"/>
          <w:sz w:val="24"/>
        </w:rPr>
      </w:r>
      <w:r/>
    </w:p>
    <w:p>
      <w:pPr>
        <w:pStyle w:val="963"/>
        <w:numPr>
          <w:ilvl w:val="0"/>
          <w:numId w:val="35"/>
        </w:numPr>
        <w:ind w:left="0" w:firstLine="480"/>
        <w:jc w:val="both"/>
        <w:spacing w:line="360" w:lineRule="auto"/>
        <w:widowControl/>
        <w:rPr>
          <w:color w:val="000000"/>
          <w:sz w:val="24"/>
        </w:rPr>
      </w:pPr>
      <w:r>
        <w:rPr>
          <w:rFonts w:hint="eastAsia"/>
          <w:color w:val="000000"/>
          <w:sz w:val="24"/>
        </w:rPr>
        <w:t xml:space="preserve"> </w:t>
      </w:r>
      <w:r>
        <w:rPr>
          <w:color w:val="000000"/>
          <w:sz w:val="24"/>
        </w:rPr>
        <w:t xml:space="preserve">投标人具有为本项目提供本地化服务的能力，运维人员应具备本科以上学历，具备环境监测相关专业背景，</w:t>
      </w:r>
      <w:r>
        <w:rPr>
          <w:rFonts w:hint="eastAsia"/>
          <w:color w:val="000000"/>
          <w:sz w:val="24"/>
        </w:rPr>
        <w:t xml:space="preserve">取得相关部门颁发的上岗证，</w:t>
      </w:r>
      <w:r>
        <w:rPr>
          <w:color w:val="000000"/>
          <w:sz w:val="24"/>
        </w:rPr>
        <w:t xml:space="preserve">从事水质自动站运营二年以上的工作人员不低于本项目运维人员数的20%。</w:t>
      </w:r>
      <w:r>
        <w:rPr>
          <w:rFonts w:hint="eastAsia"/>
          <w:color w:val="000000"/>
          <w:sz w:val="24"/>
        </w:rPr>
        <w:t xml:space="preserve">投标人</w:t>
      </w:r>
      <w:r>
        <w:rPr>
          <w:color w:val="000000"/>
          <w:sz w:val="24"/>
        </w:rPr>
        <w:t xml:space="preserve">必须按照《江苏省环境水质（地表水）自动监测预警系统运行管理办法（试行）》要求聘用足够的具有一定学历水平的运行维护专业技术人员，并</w:t>
      </w:r>
      <w:r>
        <w:rPr>
          <w:rFonts w:hint="eastAsia"/>
          <w:color w:val="000000"/>
          <w:sz w:val="24"/>
        </w:rPr>
        <w:t xml:space="preserve">依法缴纳社保</w:t>
      </w:r>
      <w:r>
        <w:rPr>
          <w:color w:val="000000"/>
          <w:sz w:val="24"/>
        </w:rPr>
        <w:t xml:space="preserve">。</w:t>
      </w:r>
      <w:r>
        <w:rPr>
          <w:color w:val="000000"/>
          <w:sz w:val="24"/>
        </w:rPr>
      </w:r>
      <w:r/>
    </w:p>
    <w:p>
      <w:pPr>
        <w:pStyle w:val="963"/>
        <w:numPr>
          <w:ilvl w:val="0"/>
          <w:numId w:val="35"/>
        </w:numPr>
        <w:ind w:left="0" w:firstLine="480"/>
        <w:jc w:val="left"/>
        <w:spacing w:line="360" w:lineRule="auto"/>
        <w:widowControl/>
        <w:rPr>
          <w:color w:val="000000"/>
          <w:sz w:val="24"/>
        </w:rPr>
      </w:pPr>
      <w:r>
        <w:rPr>
          <w:rFonts w:hint="eastAsia"/>
          <w:color w:val="000000"/>
          <w:sz w:val="24"/>
        </w:rPr>
        <w:t xml:space="preserve"> </w:t>
      </w:r>
      <w:r>
        <w:rPr>
          <w:color w:val="000000"/>
          <w:sz w:val="24"/>
        </w:rPr>
        <w:t xml:space="preserve">投标人应提供完整的水质自动监测系统运维实施方案（含应急事故处理方案），提出解决目前存在问题的措施，明确维护方法、周期、内容及技术保障。</w:t>
      </w:r>
      <w:r>
        <w:rPr>
          <w:color w:val="000000"/>
          <w:sz w:val="24"/>
        </w:rPr>
      </w:r>
      <w:r/>
    </w:p>
    <w:p>
      <w:pPr>
        <w:pStyle w:val="963"/>
        <w:numPr>
          <w:ilvl w:val="0"/>
          <w:numId w:val="35"/>
        </w:numPr>
        <w:ind w:left="0" w:firstLine="480"/>
        <w:jc w:val="left"/>
        <w:spacing w:line="360" w:lineRule="auto"/>
        <w:widowControl/>
        <w:rPr>
          <w:color w:val="000000"/>
          <w:sz w:val="24"/>
        </w:rPr>
      </w:pPr>
      <w:r>
        <w:rPr>
          <w:rFonts w:hint="eastAsia"/>
          <w:color w:val="000000"/>
          <w:sz w:val="24"/>
        </w:rPr>
        <w:t xml:space="preserve"> </w:t>
      </w:r>
      <w:r>
        <w:rPr>
          <w:color w:val="000000"/>
          <w:sz w:val="24"/>
        </w:rPr>
        <w:t xml:space="preserve">投标人应列明水质自动监测系统运营及管理期间的各项费用预算开支。</w:t>
      </w:r>
      <w:r>
        <w:rPr>
          <w:color w:val="000000"/>
          <w:sz w:val="24"/>
        </w:rPr>
      </w:r>
      <w:r/>
    </w:p>
    <w:p>
      <w:pPr>
        <w:pStyle w:val="963"/>
        <w:numPr>
          <w:ilvl w:val="0"/>
          <w:numId w:val="35"/>
        </w:numPr>
        <w:ind w:left="0" w:firstLine="480"/>
        <w:jc w:val="left"/>
        <w:spacing w:line="360" w:lineRule="auto"/>
        <w:widowControl/>
        <w:rPr>
          <w:color w:val="000000"/>
          <w:sz w:val="24"/>
        </w:rPr>
      </w:pPr>
      <w:r>
        <w:rPr>
          <w:rFonts w:hint="eastAsia"/>
          <w:color w:val="000000"/>
          <w:sz w:val="24"/>
        </w:rPr>
        <w:t xml:space="preserve"> </w:t>
      </w:r>
      <w:r>
        <w:rPr>
          <w:color w:val="000000"/>
          <w:sz w:val="24"/>
        </w:rPr>
        <w:t xml:space="preserve">在水质自动监测系统运维及管理期间，在合同约束范围内中标人拥有管理自主权；不能以任何形式外包合同规定的运行维护任务。</w:t>
      </w:r>
      <w:r>
        <w:rPr>
          <w:color w:val="000000"/>
          <w:sz w:val="24"/>
        </w:rPr>
      </w:r>
      <w:r/>
    </w:p>
    <w:p>
      <w:pPr>
        <w:pStyle w:val="963"/>
        <w:numPr>
          <w:ilvl w:val="0"/>
          <w:numId w:val="35"/>
        </w:numPr>
        <w:ind w:left="0" w:firstLine="480"/>
        <w:jc w:val="left"/>
        <w:spacing w:line="360" w:lineRule="auto"/>
        <w:widowControl/>
        <w:rPr>
          <w:color w:val="000000"/>
          <w:sz w:val="24"/>
        </w:rPr>
      </w:pPr>
      <w:r>
        <w:rPr>
          <w:rFonts w:hint="eastAsia"/>
          <w:color w:val="000000"/>
          <w:sz w:val="24"/>
        </w:rPr>
        <w:t xml:space="preserve"> </w:t>
      </w:r>
      <w:r>
        <w:rPr>
          <w:color w:val="000000"/>
          <w:sz w:val="24"/>
        </w:rPr>
        <w:t xml:space="preserve">在水质自动监测系统运维及管理期间，中标人应严格按照业主制订的操作规范和规章制度，对所管理的系统及仪器设备进行规范操作和精心维护及必要维修，保证系统及仪器设备的正常运行，达到业主提出的系统及仪器设备考核指标要求。中标人必须接受业主代表（采购人和托管站）的定期或不定期检查和考核。</w:t>
      </w:r>
      <w:r>
        <w:rPr>
          <w:color w:val="000000"/>
          <w:sz w:val="24"/>
        </w:rPr>
      </w:r>
      <w:r/>
    </w:p>
    <w:p>
      <w:pPr>
        <w:pStyle w:val="963"/>
        <w:numPr>
          <w:ilvl w:val="0"/>
          <w:numId w:val="35"/>
        </w:numPr>
        <w:ind w:left="0" w:firstLine="480"/>
        <w:jc w:val="left"/>
        <w:spacing w:line="360" w:lineRule="auto"/>
        <w:widowControl/>
        <w:rPr>
          <w:color w:val="000000"/>
          <w:sz w:val="24"/>
        </w:rPr>
      </w:pPr>
      <w:r>
        <w:rPr>
          <w:rFonts w:hint="eastAsia"/>
          <w:color w:val="000000"/>
          <w:sz w:val="24"/>
        </w:rPr>
        <w:t xml:space="preserve"> </w:t>
      </w:r>
      <w:r>
        <w:rPr>
          <w:color w:val="000000"/>
          <w:sz w:val="24"/>
        </w:rPr>
        <w:t xml:space="preserve">不论何时，中标人都应承担监测数据的保密责任；中标人按照业主的要求，进行报告和传输有关的监测数据，均不得以任何方式和渠道向外界传递任何监测数据。</w:t>
      </w:r>
      <w:r>
        <w:rPr>
          <w:color w:val="000000"/>
          <w:sz w:val="24"/>
        </w:rPr>
      </w:r>
      <w:r/>
    </w:p>
    <w:p>
      <w:pPr>
        <w:pStyle w:val="963"/>
        <w:numPr>
          <w:ilvl w:val="0"/>
          <w:numId w:val="35"/>
        </w:numPr>
        <w:ind w:left="0" w:firstLine="480"/>
        <w:jc w:val="left"/>
        <w:spacing w:line="360" w:lineRule="auto"/>
        <w:widowControl/>
        <w:rPr>
          <w:color w:val="000000"/>
          <w:sz w:val="24"/>
        </w:rPr>
      </w:pPr>
      <w:r>
        <w:rPr>
          <w:rFonts w:hint="eastAsia"/>
          <w:color w:val="000000"/>
          <w:sz w:val="24"/>
        </w:rPr>
        <w:t xml:space="preserve"> </w:t>
      </w:r>
      <w:r>
        <w:rPr>
          <w:color w:val="000000"/>
          <w:sz w:val="24"/>
        </w:rPr>
        <w:t xml:space="preserve">不论何时，中标人无权将业主的任何资产进行对外投资、合作、经济担保及资产抵押。</w:t>
      </w:r>
      <w:r>
        <w:rPr>
          <w:color w:val="000000"/>
          <w:sz w:val="24"/>
        </w:rPr>
      </w:r>
      <w:r/>
    </w:p>
    <w:p>
      <w:pPr>
        <w:pStyle w:val="963"/>
        <w:numPr>
          <w:ilvl w:val="0"/>
          <w:numId w:val="35"/>
        </w:numPr>
        <w:ind w:left="0" w:firstLine="480"/>
        <w:jc w:val="left"/>
        <w:spacing w:line="360" w:lineRule="auto"/>
        <w:widowControl/>
        <w:rPr>
          <w:color w:val="000000"/>
          <w:sz w:val="24"/>
        </w:rPr>
      </w:pPr>
      <w:r>
        <w:rPr>
          <w:color w:val="000000"/>
          <w:sz w:val="24"/>
        </w:rPr>
        <w:t xml:space="preserve">投标人应提供完整的水质自动监测运维人员管理方案，提出解决稳定人员队伍的措施。</w:t>
      </w:r>
      <w:r>
        <w:rPr>
          <w:color w:val="000000"/>
          <w:sz w:val="24"/>
        </w:rPr>
      </w:r>
      <w:r/>
    </w:p>
    <w:p>
      <w:pPr>
        <w:pStyle w:val="963"/>
        <w:numPr>
          <w:ilvl w:val="0"/>
          <w:numId w:val="35"/>
        </w:numPr>
        <w:ind w:left="0" w:firstLine="480"/>
        <w:jc w:val="left"/>
        <w:spacing w:line="360" w:lineRule="auto"/>
        <w:widowControl/>
        <w:rPr>
          <w:color w:val="000000"/>
          <w:sz w:val="24"/>
        </w:rPr>
      </w:pPr>
      <w:r>
        <w:rPr>
          <w:color w:val="000000"/>
          <w:sz w:val="24"/>
        </w:rPr>
        <w:t xml:space="preserve">对投标人装备的要求：</w:t>
      </w:r>
      <w:r>
        <w:rPr>
          <w:color w:val="000000"/>
          <w:sz w:val="24"/>
        </w:rPr>
      </w:r>
      <w:r/>
    </w:p>
    <w:p>
      <w:pPr>
        <w:pStyle w:val="963"/>
        <w:numPr>
          <w:ilvl w:val="0"/>
          <w:numId w:val="36"/>
        </w:numPr>
        <w:ind w:firstLine="480"/>
        <w:jc w:val="left"/>
        <w:spacing w:line="360" w:lineRule="auto"/>
        <w:widowControl/>
        <w:rPr>
          <w:color w:val="000000"/>
          <w:sz w:val="24"/>
        </w:rPr>
      </w:pPr>
      <w:r>
        <w:rPr>
          <w:color w:val="000000"/>
          <w:sz w:val="24"/>
        </w:rPr>
        <w:t xml:space="preserve">投标人应具有水质自动系统常规参数（如</w:t>
      </w:r>
      <w:r>
        <w:rPr>
          <w:color w:val="000000"/>
          <w:sz w:val="24"/>
          <w:szCs w:val="24"/>
        </w:rPr>
        <w:t xml:space="preserve">SO</w:t>
      </w:r>
      <w:r>
        <w:rPr>
          <w:color w:val="000000"/>
          <w:sz w:val="24"/>
          <w:szCs w:val="24"/>
          <w:vertAlign w:val="subscript"/>
        </w:rPr>
        <w:t xml:space="preserve">2</w:t>
      </w:r>
      <w:r>
        <w:rPr>
          <w:color w:val="000000"/>
          <w:sz w:val="24"/>
          <w:szCs w:val="24"/>
        </w:rPr>
        <w:t xml:space="preserve">、NOx、CO、O</w:t>
      </w:r>
      <w:r>
        <w:rPr>
          <w:color w:val="000000"/>
          <w:sz w:val="24"/>
          <w:szCs w:val="24"/>
          <w:vertAlign w:val="subscript"/>
        </w:rPr>
        <w:t xml:space="preserve">3</w:t>
      </w:r>
      <w:r>
        <w:rPr>
          <w:color w:val="000000"/>
          <w:sz w:val="24"/>
          <w:szCs w:val="24"/>
        </w:rPr>
        <w:t xml:space="preserve">、PM</w:t>
      </w:r>
      <w:r>
        <w:rPr>
          <w:color w:val="000000"/>
          <w:sz w:val="24"/>
          <w:szCs w:val="24"/>
          <w:vertAlign w:val="subscript"/>
        </w:rPr>
        <w:t xml:space="preserve">2.5</w:t>
      </w:r>
      <w:r>
        <w:rPr>
          <w:color w:val="000000"/>
          <w:sz w:val="24"/>
          <w:szCs w:val="24"/>
        </w:rPr>
        <w:t xml:space="preserve">、PM</w:t>
      </w:r>
      <w:r>
        <w:rPr>
          <w:color w:val="000000"/>
          <w:sz w:val="24"/>
          <w:szCs w:val="24"/>
          <w:vertAlign w:val="subscript"/>
        </w:rPr>
        <w:t xml:space="preserve">10</w:t>
      </w:r>
      <w:r>
        <w:rPr>
          <w:rFonts w:eastAsia="仿宋"/>
          <w:color w:val="000000"/>
          <w:sz w:val="24"/>
          <w:szCs w:val="24"/>
        </w:rPr>
        <w:t xml:space="preserve">、</w:t>
      </w:r>
      <w:r>
        <w:rPr>
          <w:color w:val="000000"/>
          <w:sz w:val="24"/>
          <w:szCs w:val="24"/>
        </w:rPr>
        <w:t xml:space="preserve">挥发性有机物</w:t>
      </w:r>
      <w:r>
        <w:rPr>
          <w:rFonts w:hint="eastAsia" w:ascii="仿宋" w:hAnsi="仿宋" w:eastAsia="仿宋"/>
          <w:color w:val="000000"/>
          <w:sz w:val="24"/>
          <w:szCs w:val="24"/>
        </w:rPr>
        <w:t xml:space="preserve">、</w:t>
      </w:r>
      <w:r>
        <w:rPr>
          <w:color w:val="000000"/>
          <w:sz w:val="24"/>
          <w:szCs w:val="24"/>
        </w:rPr>
        <w:t xml:space="preserve">水质常规五参数、高锰酸盐指数、氨氮、总磷、总氮</w:t>
      </w:r>
      <w:r>
        <w:rPr>
          <w:color w:val="000000"/>
          <w:sz w:val="24"/>
        </w:rPr>
        <w:t xml:space="preserve">等）的实验室分析仪器和便携式仪器，并在需要时用于水质自动站的比对考核；</w:t>
      </w:r>
      <w:r>
        <w:rPr>
          <w:rFonts w:hint="eastAsia"/>
          <w:color w:val="000000"/>
          <w:sz w:val="24"/>
        </w:rPr>
        <w:t xml:space="preserve">投标人根据采购人要求对相应指标进行比对分析监测，监测实验室需通过计量认证</w:t>
      </w:r>
      <w:r>
        <w:rPr>
          <w:color w:val="000000"/>
          <w:sz w:val="24"/>
        </w:rPr>
        <w:t xml:space="preserve">。</w:t>
      </w:r>
      <w:r>
        <w:rPr>
          <w:color w:val="000000"/>
          <w:sz w:val="24"/>
        </w:rPr>
        <w:t xml:space="preserve">投标人应提供运维质控所必备的手机、平板等移动设备以安装相应的质控管理软件，并与质控单位共享相关设备及数据。</w:t>
      </w:r>
      <w:r>
        <w:rPr>
          <w:color w:val="000000"/>
          <w:sz w:val="24"/>
        </w:rPr>
      </w:r>
      <w:r/>
    </w:p>
    <w:p>
      <w:pPr>
        <w:pStyle w:val="963"/>
        <w:numPr>
          <w:ilvl w:val="0"/>
          <w:numId w:val="36"/>
        </w:numPr>
        <w:ind w:firstLine="480"/>
        <w:jc w:val="left"/>
        <w:spacing w:line="360" w:lineRule="auto"/>
        <w:widowControl/>
        <w:rPr>
          <w:color w:val="000000"/>
          <w:sz w:val="24"/>
        </w:rPr>
      </w:pPr>
      <w:r>
        <w:rPr>
          <w:color w:val="000000"/>
          <w:sz w:val="24"/>
        </w:rPr>
        <w:t xml:space="preserve">投标人中标后配备专业巡检人员必须配备专用工具，包括便携式电脑、万用表、远程数据查询系统等；同时，还须配备通讯调试工具，包括各种硬件接口线、改线工具、接口调试软件及常用零部件等。</w:t>
      </w:r>
      <w:r>
        <w:rPr>
          <w:color w:val="000000"/>
          <w:sz w:val="24"/>
        </w:rPr>
      </w:r>
      <w:r/>
    </w:p>
    <w:p>
      <w:pPr>
        <w:pStyle w:val="963"/>
        <w:numPr>
          <w:ilvl w:val="0"/>
          <w:numId w:val="35"/>
        </w:numPr>
        <w:ind w:left="0" w:firstLine="480"/>
        <w:jc w:val="left"/>
        <w:spacing w:line="360" w:lineRule="auto"/>
        <w:widowControl/>
        <w:rPr>
          <w:color w:val="000000"/>
          <w:sz w:val="24"/>
        </w:rPr>
      </w:pPr>
      <w:r>
        <w:rPr>
          <w:rFonts w:hint="eastAsia"/>
          <w:color w:val="000000"/>
          <w:sz w:val="24"/>
        </w:rPr>
        <w:t xml:space="preserve"> </w:t>
      </w:r>
      <w:r>
        <w:rPr>
          <w:color w:val="000000"/>
          <w:sz w:val="24"/>
        </w:rPr>
        <w:t xml:space="preserve">对投标人提供服务的要求</w:t>
      </w:r>
      <w:r>
        <w:rPr>
          <w:color w:val="000000"/>
          <w:sz w:val="24"/>
        </w:rPr>
      </w:r>
      <w:r/>
    </w:p>
    <w:p>
      <w:pPr>
        <w:pStyle w:val="963"/>
        <w:numPr>
          <w:ilvl w:val="0"/>
          <w:numId w:val="37"/>
        </w:numPr>
        <w:ind w:firstLine="480"/>
        <w:jc w:val="left"/>
        <w:spacing w:line="360" w:lineRule="auto"/>
        <w:widowControl/>
        <w:rPr>
          <w:color w:val="000000"/>
          <w:sz w:val="24"/>
        </w:rPr>
      </w:pPr>
      <w:r>
        <w:rPr>
          <w:color w:val="000000"/>
          <w:sz w:val="24"/>
        </w:rPr>
        <w:t xml:space="preserve">投标人</w:t>
      </w:r>
      <w:r>
        <w:rPr>
          <w:rFonts w:hint="eastAsia"/>
          <w:color w:val="000000"/>
          <w:sz w:val="24"/>
        </w:rPr>
        <w:t xml:space="preserve">针对本项目制定维护方案</w:t>
      </w:r>
      <w:r>
        <w:rPr>
          <w:color w:val="000000"/>
          <w:sz w:val="24"/>
        </w:rPr>
        <w:t xml:space="preserve">，明确维护方法、周期、内容及技术保障等。</w:t>
      </w:r>
      <w:r>
        <w:rPr>
          <w:color w:val="000000"/>
          <w:sz w:val="24"/>
        </w:rPr>
      </w:r>
      <w:r/>
    </w:p>
    <w:p>
      <w:pPr>
        <w:pStyle w:val="963"/>
        <w:numPr>
          <w:ilvl w:val="0"/>
          <w:numId w:val="37"/>
        </w:numPr>
        <w:ind w:firstLine="480"/>
        <w:jc w:val="left"/>
        <w:spacing w:line="360" w:lineRule="auto"/>
        <w:widowControl/>
        <w:rPr>
          <w:color w:val="000000"/>
          <w:sz w:val="24"/>
        </w:rPr>
      </w:pPr>
      <w:r>
        <w:rPr>
          <w:color w:val="000000"/>
          <w:sz w:val="24"/>
        </w:rPr>
        <w:t xml:space="preserve">《江苏省环境水质（地表水）自动监测预警系统运行管理办法（试行）》及其实施细则要求。</w:t>
      </w:r>
      <w:r>
        <w:rPr>
          <w:color w:val="000000"/>
          <w:sz w:val="24"/>
        </w:rPr>
      </w:r>
      <w:r/>
    </w:p>
    <w:p>
      <w:pPr>
        <w:pStyle w:val="963"/>
        <w:numPr>
          <w:ilvl w:val="0"/>
          <w:numId w:val="37"/>
        </w:numPr>
        <w:ind w:firstLine="480"/>
        <w:jc w:val="left"/>
        <w:spacing w:line="360" w:lineRule="auto"/>
        <w:widowControl/>
        <w:rPr>
          <w:color w:val="000000"/>
          <w:sz w:val="24"/>
        </w:rPr>
      </w:pPr>
      <w:r>
        <w:rPr>
          <w:color w:val="000000"/>
          <w:sz w:val="24"/>
        </w:rPr>
        <w:t xml:space="preserve">水质自动监测站系统及仪表维护内容</w:t>
      </w:r>
      <w:r>
        <w:rPr>
          <w:color w:val="000000"/>
          <w:sz w:val="24"/>
        </w:rPr>
      </w:r>
      <w:r/>
    </w:p>
    <w:p>
      <w:pPr>
        <w:pStyle w:val="963"/>
        <w:ind w:firstLine="480"/>
        <w:jc w:val="left"/>
        <w:spacing w:line="360" w:lineRule="auto"/>
        <w:widowControl/>
        <w:rPr>
          <w:color w:val="000000"/>
          <w:sz w:val="24"/>
        </w:rPr>
      </w:pPr>
      <w:r>
        <w:rPr>
          <w:color w:val="000000"/>
          <w:sz w:val="24"/>
        </w:rPr>
        <w:t xml:space="preserve">水质自动站要严格按照“日监控，周巡查、月比对”的要求，开展日常维护和质控工作。</w:t>
      </w:r>
      <w:r>
        <w:rPr>
          <w:color w:val="000000"/>
          <w:sz w:val="24"/>
        </w:rPr>
      </w:r>
      <w:r/>
    </w:p>
    <w:p>
      <w:pPr>
        <w:pStyle w:val="963"/>
        <w:numPr>
          <w:ilvl w:val="0"/>
          <w:numId w:val="38"/>
        </w:numPr>
        <w:ind w:left="0" w:firstLine="480"/>
        <w:jc w:val="left"/>
        <w:spacing w:line="360" w:lineRule="auto"/>
        <w:widowControl/>
        <w:rPr>
          <w:color w:val="000000"/>
          <w:sz w:val="24"/>
        </w:rPr>
      </w:pPr>
      <w:r>
        <w:rPr>
          <w:color w:val="000000"/>
          <w:sz w:val="24"/>
        </w:rPr>
        <w:t xml:space="preserve">总体维护要求</w:t>
      </w:r>
      <w:r>
        <w:rPr>
          <w:color w:val="000000"/>
          <w:sz w:val="24"/>
        </w:rPr>
      </w:r>
      <w:r/>
    </w:p>
    <w:p>
      <w:pPr>
        <w:pStyle w:val="963"/>
        <w:ind w:firstLine="480"/>
        <w:jc w:val="left"/>
        <w:spacing w:line="360" w:lineRule="auto"/>
        <w:widowControl/>
        <w:rPr>
          <w:color w:val="000000"/>
          <w:sz w:val="24"/>
        </w:rPr>
      </w:pPr>
      <w:r>
        <w:rPr>
          <w:color w:val="000000"/>
          <w:sz w:val="24"/>
        </w:rPr>
        <w:t xml:space="preserve">每天对水质自动站整个系统进行维护检查，通过宏观检查各仪器运行的状况。每周在现场观察系统运行一个完整的周期，检查整个系统运行状况。通过每日监控、每周巡查，确保仪器设备和系统处于正常的运行状况。</w:t>
      </w:r>
      <w:r>
        <w:rPr>
          <w:color w:val="000000"/>
          <w:sz w:val="24"/>
        </w:rPr>
      </w:r>
      <w:r/>
    </w:p>
    <w:p>
      <w:pPr>
        <w:pStyle w:val="982"/>
        <w:ind w:firstLine="480"/>
        <w:spacing w:line="360" w:lineRule="auto"/>
      </w:pPr>
      <w:r>
        <w:rPr>
          <w:rFonts w:ascii="Times New Roman"/>
          <w:color w:val="000000"/>
          <w:sz w:val="24"/>
        </w:rPr>
        <w:t xml:space="preserve">每日检查数据是否及时上传并正常发布，发现数据断网及时恢复。</w:t>
      </w:r>
      <w:r>
        <w:rPr>
          <w:rFonts w:hint="eastAsia" w:ascii="Times New Roman"/>
          <w:color w:val="000000"/>
          <w:sz w:val="24"/>
        </w:rPr>
        <w:t xml:space="preserve">每天通过省、市两级管理平台完成对前一日各监测点位原始小时值的审核，并向市级和省级监测中心提交小时值审核结果、日均值审核结果；数据审核报送工作完全按照省生态环境厅统一时限考核要求完成，对于未能按时在规定时间内完成审核的数据，按省生态环境厅统一要求，以正式文件形式向委托单位报送书面审核结果及未能按时完成审核的原因。同时每月1日16 时前将上月所有审核结果报送至委托单位。</w:t>
      </w:r>
      <w:r/>
    </w:p>
    <w:p>
      <w:pPr>
        <w:pStyle w:val="963"/>
        <w:ind w:firstLine="480"/>
        <w:jc w:val="left"/>
        <w:spacing w:line="360" w:lineRule="auto"/>
        <w:widowControl/>
        <w:rPr>
          <w:color w:val="000000"/>
          <w:sz w:val="24"/>
        </w:rPr>
      </w:pPr>
      <w:r>
        <w:rPr>
          <w:color w:val="000000"/>
          <w:sz w:val="24"/>
        </w:rPr>
        <w:t xml:space="preserve">水质自动站运行维护内容及要求</w:t>
      </w:r>
      <w:r>
        <w:rPr>
          <w:color w:val="000000"/>
          <w:sz w:val="24"/>
        </w:rPr>
      </w:r>
      <w:r/>
    </w:p>
    <w:p>
      <w:pPr>
        <w:pStyle w:val="963"/>
        <w:numPr>
          <w:ilvl w:val="0"/>
          <w:numId w:val="38"/>
        </w:numPr>
        <w:ind w:left="0" w:firstLine="480"/>
        <w:jc w:val="left"/>
        <w:spacing w:line="360" w:lineRule="auto"/>
        <w:widowControl/>
        <w:rPr>
          <w:color w:val="000000"/>
          <w:sz w:val="24"/>
        </w:rPr>
      </w:pPr>
      <w:r>
        <w:rPr>
          <w:color w:val="000000"/>
          <w:sz w:val="24"/>
        </w:rPr>
        <w:t xml:space="preserve">每周工作内容</w:t>
      </w:r>
      <w:r>
        <w:rPr>
          <w:color w:val="000000"/>
          <w:sz w:val="24"/>
        </w:rPr>
      </w:r>
      <w:r/>
    </w:p>
    <w:p>
      <w:pPr>
        <w:pStyle w:val="963"/>
        <w:numPr>
          <w:ilvl w:val="0"/>
          <w:numId w:val="39"/>
        </w:numPr>
        <w:ind w:left="0" w:firstLine="480"/>
        <w:jc w:val="left"/>
        <w:spacing w:line="360" w:lineRule="auto"/>
        <w:rPr>
          <w:color w:val="000000"/>
          <w:sz w:val="24"/>
        </w:rPr>
      </w:pPr>
      <w:r>
        <w:rPr>
          <w:color w:val="000000"/>
          <w:sz w:val="24"/>
        </w:rPr>
        <w:t xml:space="preserve">检查水质自动监测站电路系统是否正常，接地线路是否可靠，检查采样和排液管路是否有漏液或堵塞现象，排水排气装置工作是否正常；</w:t>
      </w:r>
      <w:r>
        <w:rPr>
          <w:color w:val="000000"/>
          <w:sz w:val="24"/>
        </w:rPr>
      </w:r>
      <w:r/>
    </w:p>
    <w:p>
      <w:pPr>
        <w:pStyle w:val="963"/>
        <w:numPr>
          <w:ilvl w:val="0"/>
          <w:numId w:val="39"/>
        </w:numPr>
        <w:ind w:left="0" w:firstLine="480"/>
        <w:jc w:val="left"/>
        <w:spacing w:line="360" w:lineRule="auto"/>
        <w:rPr>
          <w:color w:val="000000"/>
          <w:sz w:val="24"/>
        </w:rPr>
      </w:pPr>
      <w:r>
        <w:rPr>
          <w:color w:val="000000"/>
          <w:sz w:val="24"/>
        </w:rPr>
        <w:t xml:space="preserve">检查采配水单元是否正常，如采水浮筒固定情况，自吸泵运行情况等；定期清洗采配水系统，包括采水头、吊桶、泵体、沉砂池、过滤头、水样杯、阀门、管路等，对于无法清洗干净的须及时更换；</w:t>
      </w:r>
      <w:r>
        <w:rPr>
          <w:color w:val="000000"/>
          <w:sz w:val="24"/>
        </w:rPr>
      </w:r>
      <w:r/>
    </w:p>
    <w:p>
      <w:pPr>
        <w:pStyle w:val="963"/>
        <w:numPr>
          <w:ilvl w:val="0"/>
          <w:numId w:val="39"/>
        </w:numPr>
        <w:ind w:left="0" w:firstLine="480"/>
        <w:jc w:val="left"/>
        <w:spacing w:line="360" w:lineRule="auto"/>
        <w:rPr>
          <w:color w:val="000000"/>
          <w:sz w:val="24"/>
        </w:rPr>
      </w:pPr>
      <w:r>
        <w:rPr>
          <w:color w:val="000000"/>
          <w:sz w:val="24"/>
        </w:rPr>
        <w:t xml:space="preserve">检查工控机运行状态，检查上传至平台数据和现场数据的一致性，检查仪器与系统的通讯线路是否正常；</w:t>
      </w:r>
      <w:r>
        <w:rPr>
          <w:color w:val="000000"/>
          <w:sz w:val="24"/>
        </w:rPr>
      </w:r>
      <w:r/>
    </w:p>
    <w:p>
      <w:pPr>
        <w:pStyle w:val="963"/>
        <w:numPr>
          <w:ilvl w:val="0"/>
          <w:numId w:val="39"/>
        </w:numPr>
        <w:ind w:left="0" w:firstLine="480"/>
        <w:jc w:val="left"/>
        <w:spacing w:line="360" w:lineRule="auto"/>
        <w:rPr>
          <w:color w:val="000000"/>
          <w:sz w:val="24"/>
        </w:rPr>
      </w:pPr>
      <w:r>
        <w:rPr>
          <w:color w:val="000000"/>
          <w:sz w:val="24"/>
        </w:rPr>
        <w:t xml:space="preserve">查看水质自动分析仪器及辅助设备的运行状态和主要技术参数，判断运行是否正常。检查有无漏液，进样管路、试剂管路中是否有气泡存在，如有及时将气泡排出；</w:t>
      </w:r>
      <w:r>
        <w:rPr>
          <w:color w:val="000000"/>
          <w:sz w:val="24"/>
        </w:rPr>
      </w:r>
      <w:r/>
    </w:p>
    <w:p>
      <w:pPr>
        <w:pStyle w:val="963"/>
        <w:numPr>
          <w:ilvl w:val="0"/>
          <w:numId w:val="39"/>
        </w:numPr>
        <w:ind w:left="0" w:firstLine="480"/>
        <w:jc w:val="left"/>
        <w:spacing w:line="360" w:lineRule="auto"/>
        <w:rPr>
          <w:color w:val="000000"/>
          <w:sz w:val="24"/>
        </w:rPr>
      </w:pPr>
      <w:r>
        <w:rPr>
          <w:color w:val="000000"/>
          <w:sz w:val="24"/>
        </w:rPr>
        <w:t xml:space="preserve">检查空调及保温措施，检查水泵及空压机固定情况，避免仪器振动。检查不间断电源（UPS）除藻装置、纯水机等外部保障设施运行状态，并及时更换耗材；</w:t>
      </w:r>
      <w:r>
        <w:rPr>
          <w:color w:val="000000"/>
          <w:sz w:val="24"/>
        </w:rPr>
      </w:r>
      <w:r/>
    </w:p>
    <w:p>
      <w:pPr>
        <w:pStyle w:val="963"/>
        <w:numPr>
          <w:ilvl w:val="0"/>
          <w:numId w:val="39"/>
        </w:numPr>
        <w:ind w:left="0" w:firstLine="480"/>
        <w:jc w:val="left"/>
        <w:spacing w:line="360" w:lineRule="auto"/>
        <w:rPr>
          <w:color w:val="000000"/>
          <w:sz w:val="24"/>
        </w:rPr>
      </w:pPr>
      <w:r>
        <w:rPr>
          <w:color w:val="000000"/>
          <w:sz w:val="24"/>
        </w:rPr>
        <w:t xml:space="preserve">检查试剂使用状况，定期添加、更换试剂；</w:t>
      </w:r>
      <w:r>
        <w:rPr>
          <w:color w:val="000000"/>
          <w:sz w:val="24"/>
        </w:rPr>
      </w:r>
      <w:r/>
    </w:p>
    <w:p>
      <w:pPr>
        <w:pStyle w:val="963"/>
        <w:numPr>
          <w:ilvl w:val="0"/>
          <w:numId w:val="39"/>
        </w:numPr>
        <w:ind w:left="0" w:firstLine="480"/>
        <w:jc w:val="left"/>
        <w:spacing w:line="360" w:lineRule="auto"/>
        <w:rPr>
          <w:color w:val="000000"/>
          <w:sz w:val="24"/>
        </w:rPr>
      </w:pPr>
      <w:r>
        <w:rPr>
          <w:color w:val="000000"/>
          <w:sz w:val="24"/>
        </w:rPr>
        <w:t xml:space="preserve">检查防雷设施是否可靠，站房是否有漏水现象，站房外围的其他设施是否有损坏，如遇到以上问题及时处理，保证水质自动监测站系统安全运行。在封冻期来临前做好采水管路和站房保温等维护工作；</w:t>
      </w:r>
      <w:r>
        <w:rPr>
          <w:color w:val="000000"/>
          <w:sz w:val="24"/>
        </w:rPr>
      </w:r>
      <w:r/>
    </w:p>
    <w:p>
      <w:pPr>
        <w:pStyle w:val="963"/>
        <w:numPr>
          <w:ilvl w:val="0"/>
          <w:numId w:val="39"/>
        </w:numPr>
        <w:ind w:left="0" w:firstLine="480"/>
        <w:jc w:val="left"/>
        <w:spacing w:line="360" w:lineRule="auto"/>
        <w:rPr>
          <w:color w:val="000000"/>
          <w:sz w:val="24"/>
        </w:rPr>
      </w:pPr>
      <w:r>
        <w:rPr>
          <w:color w:val="000000"/>
          <w:sz w:val="24"/>
        </w:rPr>
        <w:t xml:space="preserve">做好废液收集并按相关规定做好处置工作；</w:t>
      </w:r>
      <w:r>
        <w:rPr>
          <w:color w:val="000000"/>
          <w:sz w:val="24"/>
        </w:rPr>
      </w:r>
      <w:r/>
    </w:p>
    <w:p>
      <w:pPr>
        <w:pStyle w:val="963"/>
        <w:numPr>
          <w:ilvl w:val="0"/>
          <w:numId w:val="39"/>
        </w:numPr>
        <w:ind w:left="0" w:firstLine="480"/>
        <w:jc w:val="left"/>
        <w:spacing w:line="360" w:lineRule="auto"/>
        <w:rPr>
          <w:color w:val="000000"/>
          <w:sz w:val="24"/>
        </w:rPr>
      </w:pPr>
      <w:r>
        <w:rPr>
          <w:color w:val="000000"/>
          <w:sz w:val="24"/>
        </w:rPr>
        <w:t xml:space="preserve">保持水质自动监测站站房及各仪器干净整洁，及时关闭门窗，避免日光直射各类分析仪器。</w:t>
      </w:r>
      <w:r>
        <w:rPr>
          <w:color w:val="000000"/>
          <w:sz w:val="24"/>
        </w:rPr>
      </w:r>
      <w:r/>
    </w:p>
    <w:tbl>
      <w:tblPr>
        <w:tblW w:w="499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25"/>
        <w:gridCol w:w="1362"/>
        <w:gridCol w:w="1638"/>
        <w:gridCol w:w="4788"/>
      </w:tblGrid>
      <w:tr>
        <w:trPr>
          <w:trHeight w:val="566"/>
        </w:trPr>
        <w:tc>
          <w:tcPr>
            <w:tcW w:w="525" w:type="dxa"/>
            <w:vAlign w:val="center"/>
            <w:textDirection w:val="lrTb"/>
            <w:noWrap w:val="false"/>
          </w:tcPr>
          <w:p>
            <w:pPr>
              <w:pStyle w:val="963"/>
              <w:jc w:val="center"/>
              <w:spacing w:line="360" w:lineRule="auto"/>
              <w:widowControl/>
              <w:rPr>
                <w:sz w:val="24"/>
              </w:rPr>
            </w:pPr>
            <w:r>
              <w:rPr>
                <w:sz w:val="24"/>
              </w:rPr>
              <w:t xml:space="preserve">序号</w:t>
            </w:r>
            <w:r>
              <w:rPr>
                <w:sz w:val="24"/>
              </w:rPr>
            </w:r>
            <w:r/>
          </w:p>
        </w:tc>
        <w:tc>
          <w:tcPr>
            <w:tcW w:w="1362" w:type="dxa"/>
            <w:vAlign w:val="center"/>
            <w:textDirection w:val="lrTb"/>
            <w:noWrap w:val="false"/>
          </w:tcPr>
          <w:p>
            <w:pPr>
              <w:pStyle w:val="963"/>
              <w:jc w:val="center"/>
              <w:spacing w:line="360" w:lineRule="auto"/>
              <w:widowControl/>
              <w:rPr>
                <w:sz w:val="24"/>
              </w:rPr>
            </w:pPr>
            <w:r>
              <w:rPr>
                <w:sz w:val="24"/>
              </w:rPr>
              <w:t xml:space="preserve">维护内容</w:t>
            </w:r>
            <w:r>
              <w:rPr>
                <w:sz w:val="24"/>
              </w:rPr>
            </w:r>
            <w:r/>
          </w:p>
        </w:tc>
        <w:tc>
          <w:tcPr>
            <w:tcW w:w="1638" w:type="dxa"/>
            <w:vAlign w:val="center"/>
            <w:textDirection w:val="lrTb"/>
            <w:noWrap w:val="false"/>
          </w:tcPr>
          <w:p>
            <w:pPr>
              <w:pStyle w:val="963"/>
              <w:jc w:val="center"/>
              <w:spacing w:line="360" w:lineRule="auto"/>
              <w:widowControl/>
              <w:rPr>
                <w:sz w:val="24"/>
              </w:rPr>
            </w:pPr>
            <w:r>
              <w:rPr>
                <w:sz w:val="24"/>
              </w:rPr>
              <w:t xml:space="preserve">维护周期及目标</w:t>
            </w:r>
            <w:r>
              <w:rPr>
                <w:sz w:val="24"/>
              </w:rPr>
            </w:r>
            <w:r/>
          </w:p>
        </w:tc>
        <w:tc>
          <w:tcPr>
            <w:tcW w:w="4788" w:type="dxa"/>
            <w:vAlign w:val="center"/>
            <w:textDirection w:val="lrTb"/>
            <w:noWrap w:val="false"/>
          </w:tcPr>
          <w:p>
            <w:pPr>
              <w:pStyle w:val="963"/>
              <w:jc w:val="center"/>
              <w:spacing w:line="360" w:lineRule="auto"/>
              <w:widowControl/>
              <w:rPr>
                <w:sz w:val="24"/>
              </w:rPr>
            </w:pPr>
            <w:r>
              <w:rPr>
                <w:sz w:val="24"/>
              </w:rPr>
              <w:t xml:space="preserve">维护要求</w:t>
            </w:r>
            <w:r>
              <w:rPr>
                <w:sz w:val="24"/>
              </w:rPr>
            </w:r>
            <w:r/>
          </w:p>
        </w:tc>
      </w:tr>
      <w:tr>
        <w:trPr>
          <w:cantSplit/>
          <w:trHeight w:val="315"/>
        </w:trPr>
        <w:tc>
          <w:tcPr>
            <w:tcW w:w="525" w:type="dxa"/>
            <w:vAlign w:val="center"/>
            <w:vMerge w:val="restart"/>
            <w:textDirection w:val="lrTb"/>
            <w:noWrap w:val="false"/>
          </w:tcPr>
          <w:p>
            <w:pPr>
              <w:pStyle w:val="963"/>
              <w:jc w:val="center"/>
              <w:spacing w:line="360" w:lineRule="auto"/>
              <w:widowControl/>
              <w:rPr>
                <w:sz w:val="24"/>
              </w:rPr>
            </w:pPr>
            <w:r>
              <w:rPr>
                <w:sz w:val="24"/>
              </w:rPr>
              <w:t xml:space="preserve">1</w:t>
            </w:r>
            <w:r>
              <w:rPr>
                <w:sz w:val="24"/>
              </w:rPr>
            </w:r>
            <w:r/>
          </w:p>
        </w:tc>
        <w:tc>
          <w:tcPr>
            <w:tcW w:w="1362" w:type="dxa"/>
            <w:vAlign w:val="center"/>
            <w:vMerge w:val="restart"/>
            <w:textDirection w:val="lrTb"/>
            <w:noWrap w:val="false"/>
          </w:tcPr>
          <w:p>
            <w:pPr>
              <w:pStyle w:val="963"/>
              <w:jc w:val="center"/>
              <w:spacing w:line="360" w:lineRule="auto"/>
              <w:widowControl/>
              <w:rPr>
                <w:sz w:val="24"/>
              </w:rPr>
            </w:pPr>
            <w:r>
              <w:rPr>
                <w:sz w:val="24"/>
              </w:rPr>
              <w:t xml:space="preserve">通讯检查</w:t>
            </w:r>
            <w:r>
              <w:rPr>
                <w:sz w:val="24"/>
              </w:rPr>
            </w:r>
            <w:r/>
          </w:p>
        </w:tc>
        <w:tc>
          <w:tcPr>
            <w:tcW w:w="1638" w:type="dxa"/>
            <w:vAlign w:val="center"/>
            <w:vMerge w:val="restart"/>
            <w:textDirection w:val="lrTb"/>
            <w:noWrap w:val="false"/>
          </w:tcPr>
          <w:p>
            <w:pPr>
              <w:pStyle w:val="963"/>
              <w:jc w:val="center"/>
              <w:spacing w:line="360" w:lineRule="auto"/>
              <w:widowControl/>
              <w:rPr>
                <w:sz w:val="24"/>
              </w:rPr>
            </w:pPr>
            <w:r>
              <w:rPr>
                <w:sz w:val="24"/>
              </w:rPr>
              <w:t xml:space="preserve">1次/周，确保控</w:t>
            </w:r>
            <w:r>
              <w:rPr>
                <w:sz w:val="24"/>
              </w:rPr>
            </w:r>
            <w:r/>
          </w:p>
          <w:p>
            <w:pPr>
              <w:pStyle w:val="963"/>
              <w:jc w:val="center"/>
              <w:spacing w:line="360" w:lineRule="auto"/>
              <w:widowControl/>
              <w:rPr>
                <w:sz w:val="24"/>
              </w:rPr>
            </w:pPr>
            <w:r>
              <w:rPr>
                <w:sz w:val="24"/>
              </w:rPr>
              <w:t xml:space="preserve">制和数据上传通</w:t>
            </w:r>
            <w:r>
              <w:rPr>
                <w:sz w:val="24"/>
              </w:rPr>
            </w:r>
            <w:r/>
          </w:p>
          <w:p>
            <w:pPr>
              <w:pStyle w:val="963"/>
              <w:jc w:val="center"/>
              <w:spacing w:line="360" w:lineRule="auto"/>
              <w:widowControl/>
              <w:rPr>
                <w:sz w:val="24"/>
              </w:rPr>
            </w:pPr>
            <w:r>
              <w:rPr>
                <w:sz w:val="24"/>
              </w:rPr>
              <w:t xml:space="preserve">道畅通</w:t>
            </w:r>
            <w:r>
              <w:rPr>
                <w:sz w:val="24"/>
              </w:rPr>
            </w:r>
            <w:r/>
          </w:p>
        </w:tc>
        <w:tc>
          <w:tcPr>
            <w:tcW w:w="4788" w:type="dxa"/>
            <w:vAlign w:val="center"/>
            <w:textDirection w:val="lrTb"/>
            <w:noWrap w:val="false"/>
          </w:tcPr>
          <w:p>
            <w:pPr>
              <w:pStyle w:val="963"/>
              <w:spacing w:line="360" w:lineRule="auto"/>
              <w:widowControl/>
              <w:rPr>
                <w:sz w:val="24"/>
              </w:rPr>
            </w:pPr>
            <w:r>
              <w:rPr>
                <w:sz w:val="24"/>
              </w:rPr>
              <w:t xml:space="preserve">确保工控机各个串口和PLC、数采仪、分析仪器连接一一对应正确且牢固</w:t>
            </w:r>
            <w:r>
              <w:rPr>
                <w:sz w:val="24"/>
              </w:rPr>
            </w:r>
            <w:r/>
          </w:p>
        </w:tc>
      </w:tr>
      <w:tr>
        <w:trPr>
          <w:cantSplit/>
          <w:trHeight w:val="315"/>
        </w:trPr>
        <w:tc>
          <w:tcPr>
            <w:tcW w:w="525"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通过现场监控软件测试工控与PLC及各个仪器之间是否连接正确</w:t>
            </w:r>
            <w:r>
              <w:rPr>
                <w:sz w:val="24"/>
              </w:rPr>
            </w:r>
            <w:r/>
          </w:p>
        </w:tc>
      </w:tr>
      <w:tr>
        <w:trPr>
          <w:cantSplit/>
          <w:trHeight w:val="315"/>
        </w:trPr>
        <w:tc>
          <w:tcPr>
            <w:tcW w:w="525"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VPN网络设备检查，保证通讯畅通</w:t>
            </w:r>
            <w:r>
              <w:rPr>
                <w:sz w:val="24"/>
              </w:rPr>
            </w:r>
            <w:r/>
          </w:p>
        </w:tc>
      </w:tr>
      <w:tr>
        <w:trPr>
          <w:cantSplit/>
          <w:trHeight w:val="300"/>
        </w:trPr>
        <w:tc>
          <w:tcPr>
            <w:tcW w:w="525"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视频监控设备检查，监控视角位置</w:t>
            </w:r>
            <w:r>
              <w:rPr>
                <w:sz w:val="24"/>
              </w:rPr>
            </w:r>
            <w:r/>
          </w:p>
        </w:tc>
      </w:tr>
      <w:tr>
        <w:trPr>
          <w:cantSplit/>
          <w:trHeight w:val="315"/>
        </w:trPr>
        <w:tc>
          <w:tcPr>
            <w:tcW w:w="525" w:type="dxa"/>
            <w:vAlign w:val="center"/>
            <w:vMerge w:val="restart"/>
            <w:textDirection w:val="lrTb"/>
            <w:noWrap w:val="false"/>
          </w:tcPr>
          <w:p>
            <w:pPr>
              <w:pStyle w:val="963"/>
              <w:jc w:val="center"/>
              <w:spacing w:line="360" w:lineRule="auto"/>
              <w:widowControl/>
              <w:rPr>
                <w:sz w:val="24"/>
              </w:rPr>
            </w:pPr>
            <w:r>
              <w:rPr>
                <w:sz w:val="24"/>
              </w:rPr>
              <w:t xml:space="preserve">2</w:t>
            </w:r>
            <w:r>
              <w:rPr>
                <w:sz w:val="24"/>
              </w:rPr>
            </w:r>
            <w:r/>
          </w:p>
        </w:tc>
        <w:tc>
          <w:tcPr>
            <w:tcW w:w="1362" w:type="dxa"/>
            <w:vAlign w:val="center"/>
            <w:vMerge w:val="restart"/>
            <w:textDirection w:val="lrTb"/>
            <w:noWrap w:val="false"/>
          </w:tcPr>
          <w:p>
            <w:pPr>
              <w:pStyle w:val="963"/>
              <w:jc w:val="center"/>
              <w:spacing w:line="360" w:lineRule="auto"/>
              <w:widowControl/>
              <w:rPr>
                <w:sz w:val="24"/>
              </w:rPr>
            </w:pPr>
            <w:r>
              <w:rPr>
                <w:sz w:val="24"/>
              </w:rPr>
              <w:t xml:space="preserve">PLC检查</w:t>
            </w:r>
            <w:r>
              <w:rPr>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检查PLC状态数据传输和报警灯，确保无数据传输和报警</w:t>
            </w:r>
            <w:r>
              <w:rPr>
                <w:sz w:val="24"/>
              </w:rPr>
            </w:r>
            <w:r/>
          </w:p>
        </w:tc>
      </w:tr>
      <w:tr>
        <w:trPr>
          <w:cantSplit/>
          <w:trHeight w:val="315"/>
        </w:trPr>
        <w:tc>
          <w:tcPr>
            <w:tcW w:w="525"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确保取水过程中PLC上各个点输入输出状态正确</w:t>
            </w:r>
            <w:r>
              <w:rPr>
                <w:sz w:val="24"/>
              </w:rPr>
            </w:r>
            <w:r/>
          </w:p>
        </w:tc>
      </w:tr>
      <w:tr>
        <w:trPr>
          <w:cantSplit/>
          <w:trHeight w:val="315"/>
        </w:trPr>
        <w:tc>
          <w:tcPr>
            <w:tcW w:w="525"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测量并确保PLC时钟电池电压正常。必要的情况更换电池</w:t>
            </w:r>
            <w:r>
              <w:rPr>
                <w:sz w:val="24"/>
              </w:rPr>
            </w:r>
            <w:r/>
          </w:p>
        </w:tc>
      </w:tr>
      <w:tr>
        <w:trPr>
          <w:cantSplit/>
          <w:trHeight w:val="330"/>
        </w:trPr>
        <w:tc>
          <w:tcPr>
            <w:tcW w:w="525"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确保PLC串口模块连接牢固</w:t>
            </w:r>
            <w:r>
              <w:rPr>
                <w:sz w:val="24"/>
              </w:rPr>
            </w:r>
            <w:r/>
          </w:p>
        </w:tc>
      </w:tr>
      <w:tr>
        <w:trPr>
          <w:cantSplit/>
          <w:trHeight w:val="330"/>
        </w:trPr>
        <w:tc>
          <w:tcPr>
            <w:tcW w:w="525" w:type="dxa"/>
            <w:vAlign w:val="center"/>
            <w:textDirection w:val="lrTb"/>
            <w:noWrap w:val="false"/>
          </w:tcPr>
          <w:p>
            <w:pPr>
              <w:pStyle w:val="963"/>
              <w:jc w:val="center"/>
              <w:spacing w:line="360" w:lineRule="auto"/>
              <w:widowControl/>
              <w:rPr>
                <w:sz w:val="24"/>
              </w:rPr>
            </w:pPr>
            <w:r>
              <w:rPr>
                <w:sz w:val="24"/>
              </w:rPr>
              <w:t xml:space="preserve">3</w:t>
            </w:r>
            <w:r>
              <w:rPr>
                <w:sz w:val="24"/>
              </w:rPr>
            </w:r>
            <w:r/>
          </w:p>
        </w:tc>
        <w:tc>
          <w:tcPr>
            <w:tcW w:w="1362" w:type="dxa"/>
            <w:vAlign w:val="center"/>
            <w:textDirection w:val="lrTb"/>
            <w:noWrap w:val="false"/>
          </w:tcPr>
          <w:p>
            <w:pPr>
              <w:pStyle w:val="963"/>
              <w:jc w:val="center"/>
              <w:spacing w:line="360" w:lineRule="auto"/>
              <w:widowControl/>
              <w:rPr>
                <w:sz w:val="24"/>
              </w:rPr>
            </w:pPr>
            <w:r>
              <w:rPr>
                <w:sz w:val="24"/>
              </w:rPr>
              <w:t xml:space="preserve">面板开关检查</w:t>
            </w:r>
            <w:r>
              <w:rPr>
                <w:sz w:val="24"/>
              </w:rPr>
            </w:r>
            <w:r/>
          </w:p>
        </w:tc>
        <w:tc>
          <w:tcPr>
            <w:tcW w:w="1638" w:type="dxa"/>
            <w:vAlign w:val="center"/>
            <w:vMerge w:val="restart"/>
            <w:textDirection w:val="lrTb"/>
            <w:noWrap w:val="false"/>
          </w:tcPr>
          <w:p>
            <w:pPr>
              <w:pStyle w:val="963"/>
              <w:jc w:val="center"/>
              <w:spacing w:line="360" w:lineRule="auto"/>
              <w:widowControl/>
              <w:rPr>
                <w:sz w:val="24"/>
              </w:rPr>
            </w:pPr>
            <w:r>
              <w:rPr>
                <w:sz w:val="24"/>
              </w:rPr>
              <w:t xml:space="preserve">1次/周，确保各</w:t>
            </w:r>
            <w:r>
              <w:rPr>
                <w:sz w:val="24"/>
              </w:rPr>
            </w:r>
            <w:r/>
          </w:p>
          <w:p>
            <w:pPr>
              <w:pStyle w:val="963"/>
              <w:jc w:val="center"/>
              <w:spacing w:line="360" w:lineRule="auto"/>
              <w:widowControl/>
              <w:rPr>
                <w:sz w:val="24"/>
              </w:rPr>
            </w:pPr>
            <w:r>
              <w:rPr>
                <w:sz w:val="24"/>
              </w:rPr>
              <w:t xml:space="preserve">开关功能正常</w:t>
            </w:r>
            <w:r>
              <w:rPr>
                <w:sz w:val="24"/>
              </w:rPr>
            </w:r>
            <w:r/>
          </w:p>
        </w:tc>
        <w:tc>
          <w:tcPr>
            <w:tcW w:w="4788" w:type="dxa"/>
            <w:vAlign w:val="center"/>
            <w:textDirection w:val="lrTb"/>
            <w:noWrap w:val="false"/>
          </w:tcPr>
          <w:p>
            <w:pPr>
              <w:pStyle w:val="963"/>
              <w:spacing w:line="360" w:lineRule="auto"/>
              <w:widowControl/>
              <w:rPr>
                <w:sz w:val="24"/>
              </w:rPr>
            </w:pPr>
            <w:r>
              <w:rPr>
                <w:sz w:val="24"/>
              </w:rPr>
              <w:t xml:space="preserve">检查控制柜前面板开关和指示灯确保其工作正常</w:t>
            </w:r>
            <w:r>
              <w:rPr>
                <w:sz w:val="24"/>
              </w:rPr>
            </w:r>
            <w:r/>
          </w:p>
        </w:tc>
      </w:tr>
      <w:tr>
        <w:trPr>
          <w:cantSplit/>
          <w:trHeight w:val="330"/>
        </w:trPr>
        <w:tc>
          <w:tcPr>
            <w:tcW w:w="525" w:type="dxa"/>
            <w:vAlign w:val="center"/>
            <w:textDirection w:val="lrTb"/>
            <w:noWrap w:val="false"/>
          </w:tcPr>
          <w:p>
            <w:pPr>
              <w:pStyle w:val="963"/>
              <w:jc w:val="center"/>
              <w:spacing w:line="360" w:lineRule="auto"/>
              <w:widowControl/>
              <w:rPr>
                <w:sz w:val="24"/>
              </w:rPr>
            </w:pPr>
            <w:r>
              <w:rPr>
                <w:sz w:val="24"/>
              </w:rPr>
              <w:t xml:space="preserve">4</w:t>
            </w:r>
            <w:r>
              <w:rPr>
                <w:sz w:val="24"/>
              </w:rPr>
            </w:r>
            <w:r/>
          </w:p>
        </w:tc>
        <w:tc>
          <w:tcPr>
            <w:tcW w:w="1362" w:type="dxa"/>
            <w:vAlign w:val="center"/>
            <w:textDirection w:val="lrTb"/>
            <w:noWrap w:val="false"/>
          </w:tcPr>
          <w:p>
            <w:pPr>
              <w:pStyle w:val="963"/>
              <w:jc w:val="center"/>
              <w:spacing w:line="360" w:lineRule="auto"/>
              <w:widowControl/>
              <w:rPr>
                <w:sz w:val="24"/>
              </w:rPr>
            </w:pPr>
            <w:r>
              <w:rPr>
                <w:sz w:val="24"/>
              </w:rPr>
              <w:t xml:space="preserve">配电板清扫</w:t>
            </w:r>
            <w:r>
              <w:rPr>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清扫配电板上各个元件上的灰尘等</w:t>
            </w:r>
            <w:r>
              <w:rPr>
                <w:sz w:val="24"/>
              </w:rPr>
            </w:r>
            <w:r/>
          </w:p>
        </w:tc>
      </w:tr>
      <w:tr>
        <w:trPr>
          <w:cantSplit/>
          <w:trHeight w:val="585"/>
        </w:trPr>
        <w:tc>
          <w:tcPr>
            <w:tcW w:w="525" w:type="dxa"/>
            <w:vAlign w:val="center"/>
            <w:textDirection w:val="lrTb"/>
            <w:noWrap w:val="false"/>
          </w:tcPr>
          <w:p>
            <w:pPr>
              <w:pStyle w:val="963"/>
              <w:jc w:val="center"/>
              <w:spacing w:line="360" w:lineRule="auto"/>
              <w:widowControl/>
              <w:rPr>
                <w:sz w:val="24"/>
              </w:rPr>
            </w:pPr>
            <w:r>
              <w:rPr>
                <w:sz w:val="24"/>
              </w:rPr>
              <w:t xml:space="preserve">5</w:t>
            </w:r>
            <w:r>
              <w:rPr>
                <w:sz w:val="24"/>
              </w:rPr>
            </w:r>
            <w:r/>
          </w:p>
        </w:tc>
        <w:tc>
          <w:tcPr>
            <w:tcW w:w="1362" w:type="dxa"/>
            <w:vAlign w:val="center"/>
            <w:textDirection w:val="lrTb"/>
            <w:noWrap w:val="false"/>
          </w:tcPr>
          <w:p>
            <w:pPr>
              <w:pStyle w:val="963"/>
              <w:jc w:val="center"/>
              <w:spacing w:line="360" w:lineRule="auto"/>
              <w:widowControl/>
              <w:rPr>
                <w:sz w:val="24"/>
              </w:rPr>
            </w:pPr>
            <w:r>
              <w:rPr>
                <w:sz w:val="24"/>
              </w:rPr>
              <w:t xml:space="preserve">配电板状态检查</w:t>
            </w:r>
            <w:r>
              <w:rPr>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检查确保配电板上各个接线接头不松动，并清除锈蚀接头。确保各个接触器和继电器工作正常</w:t>
            </w:r>
            <w:r>
              <w:rPr>
                <w:sz w:val="24"/>
              </w:rPr>
            </w:r>
            <w:r/>
          </w:p>
        </w:tc>
      </w:tr>
      <w:tr>
        <w:trPr>
          <w:cantSplit/>
          <w:trHeight w:val="330"/>
        </w:trPr>
        <w:tc>
          <w:tcPr>
            <w:tcW w:w="525" w:type="dxa"/>
            <w:vAlign w:val="center"/>
            <w:textDirection w:val="lrTb"/>
            <w:noWrap w:val="false"/>
          </w:tcPr>
          <w:p>
            <w:pPr>
              <w:pStyle w:val="963"/>
              <w:jc w:val="center"/>
              <w:spacing w:line="360" w:lineRule="auto"/>
              <w:widowControl/>
              <w:rPr>
                <w:sz w:val="24"/>
              </w:rPr>
            </w:pPr>
            <w:r>
              <w:rPr>
                <w:sz w:val="24"/>
              </w:rPr>
              <w:t xml:space="preserve">6</w:t>
            </w:r>
            <w:r>
              <w:rPr>
                <w:sz w:val="24"/>
              </w:rPr>
            </w:r>
            <w:r/>
          </w:p>
        </w:tc>
        <w:tc>
          <w:tcPr>
            <w:tcW w:w="1362" w:type="dxa"/>
            <w:vAlign w:val="center"/>
            <w:textDirection w:val="lrTb"/>
            <w:noWrap w:val="false"/>
          </w:tcPr>
          <w:p>
            <w:pPr>
              <w:pStyle w:val="963"/>
              <w:jc w:val="center"/>
              <w:spacing w:line="360" w:lineRule="auto"/>
              <w:widowControl/>
              <w:rPr>
                <w:sz w:val="24"/>
              </w:rPr>
            </w:pPr>
            <w:r>
              <w:rPr>
                <w:sz w:val="24"/>
              </w:rPr>
              <w:t xml:space="preserve">接地检查</w:t>
            </w:r>
            <w:r>
              <w:rPr>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确保各个机柜和用电器接地良好，尤其注意防雷保护器接地</w:t>
            </w:r>
            <w:r>
              <w:rPr>
                <w:sz w:val="24"/>
              </w:rPr>
            </w:r>
            <w:r/>
          </w:p>
        </w:tc>
      </w:tr>
      <w:tr>
        <w:trPr>
          <w:cantSplit/>
          <w:trHeight w:val="330"/>
        </w:trPr>
        <w:tc>
          <w:tcPr>
            <w:tcW w:w="525" w:type="dxa"/>
            <w:vAlign w:val="center"/>
            <w:textDirection w:val="lrTb"/>
            <w:noWrap w:val="false"/>
          </w:tcPr>
          <w:p>
            <w:pPr>
              <w:pStyle w:val="963"/>
              <w:jc w:val="center"/>
              <w:spacing w:line="360" w:lineRule="auto"/>
              <w:widowControl/>
              <w:rPr>
                <w:sz w:val="24"/>
              </w:rPr>
            </w:pPr>
            <w:r>
              <w:rPr>
                <w:sz w:val="24"/>
              </w:rPr>
              <w:t xml:space="preserve">7</w:t>
            </w:r>
            <w:r>
              <w:rPr>
                <w:sz w:val="24"/>
              </w:rPr>
            </w:r>
            <w:r/>
          </w:p>
        </w:tc>
        <w:tc>
          <w:tcPr>
            <w:tcW w:w="1362" w:type="dxa"/>
            <w:vAlign w:val="center"/>
            <w:textDirection w:val="lrTb"/>
            <w:noWrap w:val="false"/>
          </w:tcPr>
          <w:p>
            <w:pPr>
              <w:pStyle w:val="963"/>
              <w:jc w:val="center"/>
              <w:spacing w:line="360" w:lineRule="auto"/>
              <w:widowControl/>
              <w:rPr>
                <w:sz w:val="24"/>
              </w:rPr>
            </w:pPr>
            <w:r>
              <w:rPr>
                <w:sz w:val="24"/>
              </w:rPr>
              <w:t xml:space="preserve">温湿度仪检查</w:t>
            </w:r>
            <w:r>
              <w:rPr>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检查温湿度仪是否显示合理，保证温度探头反应灵敏</w:t>
            </w:r>
            <w:r>
              <w:rPr>
                <w:sz w:val="24"/>
              </w:rPr>
            </w:r>
            <w:r/>
          </w:p>
        </w:tc>
      </w:tr>
      <w:tr>
        <w:trPr>
          <w:cantSplit/>
          <w:trHeight w:val="285"/>
        </w:trPr>
        <w:tc>
          <w:tcPr>
            <w:tcW w:w="525" w:type="dxa"/>
            <w:vAlign w:val="center"/>
            <w:vMerge w:val="restart"/>
            <w:textDirection w:val="lrTb"/>
            <w:noWrap w:val="false"/>
          </w:tcPr>
          <w:p>
            <w:pPr>
              <w:pStyle w:val="963"/>
              <w:jc w:val="center"/>
              <w:spacing w:line="360" w:lineRule="auto"/>
              <w:widowControl/>
              <w:rPr>
                <w:sz w:val="24"/>
              </w:rPr>
            </w:pPr>
            <w:r>
              <w:rPr>
                <w:sz w:val="24"/>
              </w:rPr>
              <w:t xml:space="preserve">8</w:t>
            </w:r>
            <w:r>
              <w:rPr>
                <w:sz w:val="24"/>
              </w:rPr>
            </w:r>
            <w:r/>
          </w:p>
        </w:tc>
        <w:tc>
          <w:tcPr>
            <w:tcW w:w="1362" w:type="dxa"/>
            <w:vAlign w:val="center"/>
            <w:vMerge w:val="restart"/>
            <w:textDirection w:val="lrTb"/>
            <w:noWrap w:val="false"/>
          </w:tcPr>
          <w:p>
            <w:pPr>
              <w:pStyle w:val="963"/>
              <w:jc w:val="center"/>
              <w:spacing w:line="360" w:lineRule="auto"/>
              <w:widowControl/>
              <w:rPr>
                <w:sz w:val="24"/>
              </w:rPr>
            </w:pPr>
            <w:r>
              <w:rPr>
                <w:sz w:val="24"/>
              </w:rPr>
              <w:t xml:space="preserve">稳压电源清扫</w:t>
            </w:r>
            <w:r>
              <w:rPr>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断电情况下清扫稳压电源内的灰尘</w:t>
            </w:r>
            <w:r>
              <w:rPr>
                <w:sz w:val="24"/>
              </w:rPr>
            </w:r>
            <w:r/>
          </w:p>
        </w:tc>
      </w:tr>
      <w:tr>
        <w:trPr>
          <w:cantSplit/>
          <w:trHeight w:val="285"/>
        </w:trPr>
        <w:tc>
          <w:tcPr>
            <w:tcW w:w="525"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检查碳刷是否正常，磨损较多情况必须更换</w:t>
            </w:r>
            <w:r>
              <w:rPr>
                <w:sz w:val="24"/>
              </w:rPr>
            </w:r>
            <w:r/>
          </w:p>
        </w:tc>
      </w:tr>
      <w:tr>
        <w:trPr>
          <w:cantSplit/>
          <w:trHeight w:val="300"/>
        </w:trPr>
        <w:tc>
          <w:tcPr>
            <w:tcW w:w="525"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上电测试，确保稳压源工作正常</w:t>
            </w:r>
            <w:r>
              <w:rPr>
                <w:sz w:val="24"/>
              </w:rPr>
            </w:r>
            <w:r/>
          </w:p>
        </w:tc>
      </w:tr>
      <w:tr>
        <w:trPr>
          <w:cantSplit/>
          <w:trHeight w:val="315"/>
        </w:trPr>
        <w:tc>
          <w:tcPr>
            <w:tcW w:w="525" w:type="dxa"/>
            <w:vAlign w:val="center"/>
            <w:vMerge w:val="restart"/>
            <w:textDirection w:val="lrTb"/>
            <w:noWrap w:val="false"/>
          </w:tcPr>
          <w:p>
            <w:pPr>
              <w:pStyle w:val="963"/>
              <w:jc w:val="center"/>
              <w:spacing w:line="360" w:lineRule="auto"/>
              <w:widowControl/>
              <w:rPr>
                <w:sz w:val="24"/>
              </w:rPr>
            </w:pPr>
            <w:r>
              <w:rPr>
                <w:sz w:val="24"/>
              </w:rPr>
              <w:t xml:space="preserve">9</w:t>
            </w:r>
            <w:r>
              <w:rPr>
                <w:sz w:val="24"/>
              </w:rPr>
            </w:r>
            <w:r/>
          </w:p>
        </w:tc>
        <w:tc>
          <w:tcPr>
            <w:tcW w:w="1362" w:type="dxa"/>
            <w:vAlign w:val="center"/>
            <w:vMerge w:val="restart"/>
            <w:textDirection w:val="lrTb"/>
            <w:noWrap w:val="false"/>
          </w:tcPr>
          <w:p>
            <w:pPr>
              <w:pStyle w:val="963"/>
              <w:jc w:val="center"/>
              <w:spacing w:line="360" w:lineRule="auto"/>
              <w:widowControl/>
              <w:rPr>
                <w:sz w:val="24"/>
              </w:rPr>
            </w:pPr>
            <w:r>
              <w:rPr>
                <w:sz w:val="24"/>
              </w:rPr>
              <w:t xml:space="preserve">UPS检查清扫</w:t>
            </w:r>
            <w:r>
              <w:rPr>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断电情况下清扫UPS各个散热孔上的灰尘</w:t>
            </w:r>
            <w:r>
              <w:rPr>
                <w:sz w:val="24"/>
              </w:rPr>
            </w:r>
            <w:r/>
          </w:p>
        </w:tc>
      </w:tr>
      <w:tr>
        <w:trPr>
          <w:cantSplit/>
          <w:trHeight w:val="330"/>
        </w:trPr>
        <w:tc>
          <w:tcPr>
            <w:tcW w:w="525"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检查确保UPS充放电正常</w:t>
            </w:r>
            <w:r>
              <w:rPr>
                <w:sz w:val="24"/>
              </w:rPr>
            </w:r>
            <w:r/>
          </w:p>
        </w:tc>
      </w:tr>
      <w:tr>
        <w:trPr>
          <w:cantSplit/>
          <w:trHeight w:val="315"/>
        </w:trPr>
        <w:tc>
          <w:tcPr>
            <w:tcW w:w="525" w:type="dxa"/>
            <w:vAlign w:val="center"/>
            <w:vMerge w:val="restart"/>
            <w:textDirection w:val="lrTb"/>
            <w:noWrap w:val="false"/>
          </w:tcPr>
          <w:p>
            <w:pPr>
              <w:pStyle w:val="963"/>
              <w:jc w:val="center"/>
              <w:spacing w:line="360" w:lineRule="auto"/>
              <w:widowControl/>
              <w:rPr>
                <w:sz w:val="24"/>
              </w:rPr>
            </w:pPr>
            <w:r>
              <w:rPr>
                <w:sz w:val="24"/>
              </w:rPr>
              <w:t xml:space="preserve">10</w:t>
            </w:r>
            <w:r>
              <w:rPr>
                <w:sz w:val="24"/>
              </w:rPr>
            </w:r>
            <w:r/>
          </w:p>
        </w:tc>
        <w:tc>
          <w:tcPr>
            <w:tcW w:w="1362" w:type="dxa"/>
            <w:vAlign w:val="center"/>
            <w:vMerge w:val="restart"/>
            <w:textDirection w:val="lrTb"/>
            <w:noWrap w:val="false"/>
          </w:tcPr>
          <w:p>
            <w:pPr>
              <w:pStyle w:val="963"/>
              <w:jc w:val="center"/>
              <w:spacing w:line="360" w:lineRule="auto"/>
              <w:widowControl/>
              <w:rPr>
                <w:sz w:val="24"/>
              </w:rPr>
            </w:pPr>
            <w:r>
              <w:rPr>
                <w:sz w:val="24"/>
              </w:rPr>
              <w:t xml:space="preserve">UPS电池箱清扫</w:t>
            </w:r>
            <w:r>
              <w:rPr>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做好绝缘措施情况下清扫UPS电池箱内的灰尘</w:t>
            </w:r>
            <w:r>
              <w:rPr>
                <w:sz w:val="24"/>
              </w:rPr>
            </w:r>
            <w:r/>
          </w:p>
        </w:tc>
      </w:tr>
      <w:tr>
        <w:trPr>
          <w:cantSplit/>
          <w:trHeight w:val="285"/>
        </w:trPr>
        <w:tc>
          <w:tcPr>
            <w:tcW w:w="525"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确保箱内各个电池联线接触良好牢固</w:t>
            </w:r>
            <w:r>
              <w:rPr>
                <w:sz w:val="24"/>
              </w:rPr>
            </w:r>
            <w:r/>
          </w:p>
        </w:tc>
      </w:tr>
      <w:tr>
        <w:trPr>
          <w:cantSplit/>
          <w:trHeight w:val="300"/>
        </w:trPr>
        <w:tc>
          <w:tcPr>
            <w:tcW w:w="525"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确保各个电池无漏液，外观正常</w:t>
            </w:r>
            <w:r>
              <w:rPr>
                <w:sz w:val="24"/>
              </w:rPr>
            </w:r>
            <w:r/>
          </w:p>
        </w:tc>
      </w:tr>
      <w:tr>
        <w:trPr>
          <w:cantSplit/>
          <w:trHeight w:val="285"/>
        </w:trPr>
        <w:tc>
          <w:tcPr>
            <w:tcW w:w="525" w:type="dxa"/>
            <w:vAlign w:val="center"/>
            <w:vMerge w:val="restart"/>
            <w:textDirection w:val="lrTb"/>
            <w:noWrap w:val="false"/>
          </w:tcPr>
          <w:p>
            <w:pPr>
              <w:pStyle w:val="963"/>
              <w:jc w:val="center"/>
              <w:spacing w:line="360" w:lineRule="auto"/>
              <w:widowControl/>
              <w:rPr>
                <w:sz w:val="24"/>
              </w:rPr>
            </w:pPr>
            <w:r>
              <w:rPr>
                <w:sz w:val="24"/>
              </w:rPr>
              <w:t xml:space="preserve">11</w:t>
            </w:r>
            <w:r>
              <w:rPr>
                <w:sz w:val="24"/>
              </w:rPr>
            </w:r>
            <w:r/>
          </w:p>
        </w:tc>
        <w:tc>
          <w:tcPr>
            <w:tcW w:w="1362" w:type="dxa"/>
            <w:vAlign w:val="center"/>
            <w:vMerge w:val="restart"/>
            <w:textDirection w:val="lrTb"/>
            <w:noWrap w:val="false"/>
          </w:tcPr>
          <w:p>
            <w:pPr>
              <w:pStyle w:val="963"/>
              <w:jc w:val="center"/>
              <w:spacing w:line="360" w:lineRule="auto"/>
              <w:widowControl/>
              <w:rPr>
                <w:sz w:val="24"/>
              </w:rPr>
            </w:pPr>
            <w:r>
              <w:rPr>
                <w:sz w:val="24"/>
              </w:rPr>
              <w:t xml:space="preserve">机柜台面清扫及检查</w:t>
            </w:r>
            <w:r>
              <w:rPr>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检查机柜台面及玻璃是否清洁</w:t>
            </w:r>
            <w:r>
              <w:rPr>
                <w:sz w:val="24"/>
              </w:rPr>
            </w:r>
            <w:r/>
          </w:p>
        </w:tc>
      </w:tr>
      <w:tr>
        <w:trPr>
          <w:cantSplit/>
          <w:trHeight w:val="330"/>
        </w:trPr>
        <w:tc>
          <w:tcPr>
            <w:tcW w:w="525"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检查机柜各门是否关于完好</w:t>
            </w:r>
            <w:r>
              <w:rPr>
                <w:sz w:val="24"/>
              </w:rPr>
            </w:r>
            <w:r/>
          </w:p>
        </w:tc>
      </w:tr>
      <w:tr>
        <w:trPr>
          <w:cantSplit/>
          <w:trHeight w:val="285"/>
        </w:trPr>
        <w:tc>
          <w:tcPr>
            <w:tcW w:w="525" w:type="dxa"/>
            <w:vAlign w:val="center"/>
            <w:vMerge w:val="restart"/>
            <w:textDirection w:val="lrTb"/>
            <w:noWrap w:val="false"/>
          </w:tcPr>
          <w:p>
            <w:pPr>
              <w:pStyle w:val="963"/>
              <w:jc w:val="center"/>
              <w:spacing w:line="360" w:lineRule="auto"/>
              <w:widowControl/>
              <w:rPr>
                <w:sz w:val="24"/>
              </w:rPr>
            </w:pPr>
            <w:r>
              <w:rPr>
                <w:sz w:val="24"/>
              </w:rPr>
              <w:t xml:space="preserve">12</w:t>
            </w:r>
            <w:r>
              <w:rPr>
                <w:sz w:val="24"/>
              </w:rPr>
            </w:r>
            <w:r/>
          </w:p>
        </w:tc>
        <w:tc>
          <w:tcPr>
            <w:tcW w:w="1362" w:type="dxa"/>
            <w:vAlign w:val="center"/>
            <w:vMerge w:val="restart"/>
            <w:textDirection w:val="lrTb"/>
            <w:noWrap w:val="false"/>
          </w:tcPr>
          <w:p>
            <w:pPr>
              <w:pStyle w:val="963"/>
              <w:jc w:val="center"/>
              <w:spacing w:line="360" w:lineRule="auto"/>
              <w:widowControl/>
              <w:rPr>
                <w:sz w:val="24"/>
              </w:rPr>
            </w:pPr>
            <w:r>
              <w:rPr>
                <w:sz w:val="24"/>
              </w:rPr>
              <w:t xml:space="preserve">实验区清扫</w:t>
            </w:r>
            <w:r>
              <w:rPr>
                <w:sz w:val="24"/>
              </w:rPr>
            </w:r>
            <w:r/>
          </w:p>
        </w:tc>
        <w:tc>
          <w:tcPr>
            <w:tcW w:w="1638" w:type="dxa"/>
            <w:vAlign w:val="center"/>
            <w:vMerge w:val="restart"/>
            <w:textDirection w:val="lrTb"/>
            <w:noWrap w:val="false"/>
          </w:tcPr>
          <w:p>
            <w:pPr>
              <w:pStyle w:val="963"/>
              <w:jc w:val="center"/>
              <w:spacing w:line="360" w:lineRule="auto"/>
              <w:widowControl/>
              <w:rPr>
                <w:sz w:val="24"/>
              </w:rPr>
            </w:pPr>
            <w:r>
              <w:rPr>
                <w:sz w:val="24"/>
              </w:rPr>
              <w:t xml:space="preserve">1次/周，确保室</w:t>
            </w:r>
            <w:r>
              <w:rPr>
                <w:sz w:val="24"/>
              </w:rPr>
            </w:r>
            <w:r/>
          </w:p>
          <w:p>
            <w:pPr>
              <w:pStyle w:val="963"/>
              <w:jc w:val="center"/>
              <w:spacing w:line="360" w:lineRule="auto"/>
              <w:widowControl/>
              <w:rPr>
                <w:sz w:val="24"/>
              </w:rPr>
            </w:pPr>
            <w:r>
              <w:rPr>
                <w:sz w:val="24"/>
              </w:rPr>
              <w:t xml:space="preserve">内整齐清洁</w:t>
            </w:r>
            <w:r>
              <w:rPr>
                <w:sz w:val="24"/>
              </w:rPr>
            </w:r>
            <w:r/>
          </w:p>
        </w:tc>
        <w:tc>
          <w:tcPr>
            <w:tcW w:w="4788" w:type="dxa"/>
            <w:vAlign w:val="center"/>
            <w:textDirection w:val="lrTb"/>
            <w:noWrap w:val="false"/>
          </w:tcPr>
          <w:p>
            <w:pPr>
              <w:pStyle w:val="963"/>
              <w:spacing w:line="360" w:lineRule="auto"/>
              <w:widowControl/>
              <w:rPr>
                <w:sz w:val="24"/>
              </w:rPr>
            </w:pPr>
            <w:r>
              <w:rPr>
                <w:sz w:val="24"/>
              </w:rPr>
              <w:t xml:space="preserve">1）保持实验区台面清洁</w:t>
            </w:r>
            <w:r>
              <w:rPr>
                <w:sz w:val="24"/>
              </w:rPr>
            </w:r>
            <w:r/>
          </w:p>
        </w:tc>
      </w:tr>
      <w:tr>
        <w:trPr>
          <w:cantSplit/>
          <w:trHeight w:val="285"/>
        </w:trPr>
        <w:tc>
          <w:tcPr>
            <w:tcW w:w="525"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2）保持仪器设备摆放征集</w:t>
            </w:r>
            <w:r>
              <w:rPr>
                <w:sz w:val="24"/>
              </w:rPr>
            </w:r>
            <w:r/>
          </w:p>
        </w:tc>
      </w:tr>
      <w:tr>
        <w:trPr>
          <w:cantSplit/>
          <w:trHeight w:val="285"/>
        </w:trPr>
        <w:tc>
          <w:tcPr>
            <w:tcW w:w="525"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3）按要求存储试剂</w:t>
            </w:r>
            <w:r>
              <w:rPr>
                <w:sz w:val="24"/>
              </w:rPr>
            </w:r>
            <w:r/>
          </w:p>
        </w:tc>
      </w:tr>
      <w:tr>
        <w:trPr>
          <w:cantSplit/>
          <w:trHeight w:val="330"/>
        </w:trPr>
        <w:tc>
          <w:tcPr>
            <w:tcW w:w="525"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4）按要求处置废液</w:t>
            </w:r>
            <w:r>
              <w:rPr>
                <w:sz w:val="24"/>
              </w:rPr>
            </w:r>
            <w:r/>
          </w:p>
        </w:tc>
      </w:tr>
      <w:tr>
        <w:trPr>
          <w:cantSplit/>
          <w:trHeight w:val="201"/>
        </w:trPr>
        <w:tc>
          <w:tcPr>
            <w:tcW w:w="525" w:type="dxa"/>
            <w:vAlign w:val="center"/>
            <w:vMerge w:val="restart"/>
            <w:textDirection w:val="lrTb"/>
            <w:noWrap w:val="false"/>
          </w:tcPr>
          <w:p>
            <w:pPr>
              <w:pStyle w:val="963"/>
              <w:jc w:val="center"/>
              <w:spacing w:line="360" w:lineRule="auto"/>
              <w:widowControl/>
              <w:rPr>
                <w:sz w:val="24"/>
              </w:rPr>
            </w:pPr>
            <w:r>
              <w:rPr>
                <w:sz w:val="24"/>
              </w:rPr>
              <w:t xml:space="preserve">13</w:t>
            </w:r>
            <w:r>
              <w:rPr>
                <w:sz w:val="24"/>
              </w:rPr>
            </w:r>
            <w:r/>
          </w:p>
        </w:tc>
        <w:tc>
          <w:tcPr>
            <w:tcW w:w="1362" w:type="dxa"/>
            <w:vAlign w:val="center"/>
            <w:vMerge w:val="restart"/>
            <w:textDirection w:val="lrTb"/>
            <w:noWrap w:val="false"/>
          </w:tcPr>
          <w:p>
            <w:pPr>
              <w:pStyle w:val="963"/>
              <w:jc w:val="center"/>
              <w:spacing w:line="360" w:lineRule="auto"/>
              <w:widowControl/>
              <w:rPr>
                <w:sz w:val="24"/>
              </w:rPr>
            </w:pPr>
            <w:r>
              <w:rPr>
                <w:sz w:val="24"/>
              </w:rPr>
              <w:t xml:space="preserve">高锰酸盐指数分析仪维护</w:t>
            </w:r>
            <w:r>
              <w:rPr>
                <w:sz w:val="24"/>
              </w:rPr>
            </w:r>
            <w:r/>
          </w:p>
        </w:tc>
        <w:tc>
          <w:tcPr>
            <w:tcW w:w="1638" w:type="dxa"/>
            <w:vAlign w:val="center"/>
            <w:vMerge w:val="restart"/>
            <w:textDirection w:val="lrTb"/>
            <w:noWrap w:val="false"/>
          </w:tcPr>
          <w:p>
            <w:pPr>
              <w:pStyle w:val="963"/>
              <w:jc w:val="center"/>
              <w:spacing w:line="360" w:lineRule="auto"/>
              <w:widowControl/>
              <w:rPr>
                <w:sz w:val="24"/>
              </w:rPr>
            </w:pPr>
            <w:r>
              <w:rPr>
                <w:sz w:val="24"/>
              </w:rPr>
              <w:t xml:space="preserve">1次/周，确保监测仪器所需试剂充足，管路、阀门处于正常状态，仪器电极无沾污，运行稳定，比对数据合格</w:t>
            </w:r>
            <w:r>
              <w:rPr>
                <w:sz w:val="24"/>
              </w:rPr>
            </w:r>
            <w:r/>
          </w:p>
        </w:tc>
        <w:tc>
          <w:tcPr>
            <w:tcW w:w="4788" w:type="dxa"/>
            <w:vAlign w:val="center"/>
            <w:textDirection w:val="lrTb"/>
            <w:noWrap w:val="false"/>
          </w:tcPr>
          <w:p>
            <w:pPr>
              <w:pStyle w:val="963"/>
              <w:spacing w:line="360" w:lineRule="auto"/>
              <w:widowControl/>
              <w:rPr>
                <w:sz w:val="24"/>
              </w:rPr>
            </w:pPr>
            <w:r>
              <w:rPr>
                <w:sz w:val="24"/>
              </w:rPr>
              <w:t xml:space="preserve">1）检查数据传输和报警模块是否正常</w:t>
            </w:r>
            <w:r>
              <w:rPr>
                <w:sz w:val="24"/>
              </w:rPr>
            </w:r>
            <w:r/>
          </w:p>
        </w:tc>
      </w:tr>
      <w:tr>
        <w:trPr>
          <w:cantSplit/>
          <w:trHeight w:val="285"/>
        </w:trPr>
        <w:tc>
          <w:tcPr>
            <w:tcW w:w="525"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2）确保冷却水供应正常</w:t>
            </w:r>
            <w:r>
              <w:rPr>
                <w:sz w:val="24"/>
              </w:rPr>
            </w:r>
            <w:r/>
          </w:p>
        </w:tc>
      </w:tr>
      <w:tr>
        <w:trPr>
          <w:cantSplit/>
          <w:trHeight w:val="285"/>
        </w:trPr>
        <w:tc>
          <w:tcPr>
            <w:tcW w:w="525"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3）清除水浴锅内水垢，疏通管道</w:t>
            </w:r>
            <w:r>
              <w:rPr>
                <w:sz w:val="24"/>
              </w:rPr>
            </w:r>
            <w:r/>
          </w:p>
        </w:tc>
      </w:tr>
      <w:tr>
        <w:trPr>
          <w:cantSplit/>
          <w:trHeight w:val="285"/>
        </w:trPr>
        <w:tc>
          <w:tcPr>
            <w:tcW w:w="525"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4）确保各个阀门正常</w:t>
            </w:r>
            <w:r>
              <w:rPr>
                <w:sz w:val="24"/>
              </w:rPr>
            </w:r>
            <w:r/>
          </w:p>
        </w:tc>
      </w:tr>
      <w:tr>
        <w:trPr>
          <w:cantSplit/>
          <w:trHeight w:val="285"/>
        </w:trPr>
        <w:tc>
          <w:tcPr>
            <w:tcW w:w="525"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5）检查并更换老化的输送硫酸软管</w:t>
            </w:r>
            <w:r>
              <w:rPr>
                <w:sz w:val="24"/>
              </w:rPr>
            </w:r>
            <w:r/>
          </w:p>
        </w:tc>
      </w:tr>
      <w:tr>
        <w:trPr>
          <w:cantSplit/>
          <w:trHeight w:val="285"/>
        </w:trPr>
        <w:tc>
          <w:tcPr>
            <w:tcW w:w="525"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6）添加参比电极电解液</w:t>
            </w:r>
            <w:r>
              <w:rPr>
                <w:sz w:val="24"/>
              </w:rPr>
            </w:r>
            <w:r/>
          </w:p>
        </w:tc>
      </w:tr>
      <w:tr>
        <w:trPr>
          <w:cantSplit/>
          <w:trHeight w:val="285"/>
        </w:trPr>
        <w:tc>
          <w:tcPr>
            <w:tcW w:w="525"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7）清除ORP电极上污垢</w:t>
            </w:r>
            <w:r>
              <w:rPr>
                <w:sz w:val="24"/>
              </w:rPr>
            </w:r>
            <w:r/>
          </w:p>
        </w:tc>
      </w:tr>
      <w:tr>
        <w:trPr>
          <w:cantSplit/>
          <w:trHeight w:val="330"/>
        </w:trPr>
        <w:tc>
          <w:tcPr>
            <w:tcW w:w="525"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8）检查并更换老化的ORP电极</w:t>
            </w:r>
            <w:r>
              <w:rPr>
                <w:sz w:val="24"/>
              </w:rPr>
            </w:r>
            <w:r/>
          </w:p>
        </w:tc>
      </w:tr>
      <w:tr>
        <w:trPr>
          <w:cantSplit/>
          <w:trHeight w:val="315"/>
        </w:trPr>
        <w:tc>
          <w:tcPr>
            <w:tcW w:w="525" w:type="dxa"/>
            <w:vAlign w:val="center"/>
            <w:vMerge w:val="restart"/>
            <w:textDirection w:val="lrTb"/>
            <w:noWrap w:val="false"/>
          </w:tcPr>
          <w:p>
            <w:pPr>
              <w:pStyle w:val="963"/>
              <w:jc w:val="center"/>
              <w:spacing w:line="360" w:lineRule="auto"/>
              <w:widowControl/>
              <w:rPr>
                <w:sz w:val="24"/>
              </w:rPr>
            </w:pPr>
            <w:r>
              <w:rPr>
                <w:sz w:val="24"/>
              </w:rPr>
              <w:t xml:space="preserve">14</w:t>
            </w:r>
            <w:r>
              <w:rPr>
                <w:sz w:val="24"/>
              </w:rPr>
            </w:r>
            <w:r/>
          </w:p>
        </w:tc>
        <w:tc>
          <w:tcPr>
            <w:tcW w:w="1362" w:type="dxa"/>
            <w:vAlign w:val="center"/>
            <w:vMerge w:val="restart"/>
            <w:textDirection w:val="lrTb"/>
            <w:noWrap w:val="false"/>
          </w:tcPr>
          <w:p>
            <w:pPr>
              <w:pStyle w:val="963"/>
              <w:jc w:val="center"/>
              <w:spacing w:line="360" w:lineRule="auto"/>
              <w:widowControl/>
              <w:rPr>
                <w:sz w:val="24"/>
              </w:rPr>
            </w:pPr>
            <w:r>
              <w:rPr>
                <w:sz w:val="24"/>
              </w:rPr>
              <w:t xml:space="preserve">氨氮分析仪维护</w:t>
            </w:r>
            <w:r>
              <w:rPr>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1）检查氨氮分析仪加热模块是否正常，是否维持在40℃</w:t>
            </w:r>
            <w:r>
              <w:rPr>
                <w:sz w:val="24"/>
              </w:rPr>
            </w:r>
            <w:r/>
          </w:p>
        </w:tc>
      </w:tr>
      <w:tr>
        <w:trPr>
          <w:cantSplit/>
          <w:trHeight w:val="285"/>
        </w:trPr>
        <w:tc>
          <w:tcPr>
            <w:tcW w:w="525"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2）检查气敏膜，添加电解液</w:t>
            </w:r>
            <w:r>
              <w:rPr>
                <w:sz w:val="24"/>
              </w:rPr>
            </w:r>
            <w:r/>
          </w:p>
        </w:tc>
      </w:tr>
      <w:tr>
        <w:trPr>
          <w:cantSplit/>
          <w:trHeight w:val="285"/>
        </w:trPr>
        <w:tc>
          <w:tcPr>
            <w:tcW w:w="525"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3）检查并更换老化的氨氮管路系统</w:t>
            </w:r>
            <w:r>
              <w:rPr>
                <w:sz w:val="24"/>
              </w:rPr>
            </w:r>
            <w:r/>
          </w:p>
        </w:tc>
      </w:tr>
      <w:tr>
        <w:trPr>
          <w:cantSplit/>
          <w:trHeight w:val="285"/>
        </w:trPr>
        <w:tc>
          <w:tcPr>
            <w:tcW w:w="525"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4）检查并更换老化的氨氮蠕动泵管</w:t>
            </w:r>
            <w:r>
              <w:rPr>
                <w:sz w:val="24"/>
              </w:rPr>
            </w:r>
            <w:r/>
          </w:p>
        </w:tc>
      </w:tr>
      <w:tr>
        <w:trPr>
          <w:cantSplit/>
          <w:trHeight w:val="285"/>
        </w:trPr>
        <w:tc>
          <w:tcPr>
            <w:tcW w:w="525"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5）检查并更换老化的加热迂回管路</w:t>
            </w:r>
            <w:r>
              <w:rPr>
                <w:sz w:val="24"/>
              </w:rPr>
            </w:r>
            <w:r/>
          </w:p>
        </w:tc>
      </w:tr>
      <w:tr>
        <w:trPr>
          <w:cantSplit/>
          <w:trHeight w:val="285"/>
        </w:trPr>
        <w:tc>
          <w:tcPr>
            <w:tcW w:w="525"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6）检查并更换老化的电极</w:t>
            </w:r>
            <w:r>
              <w:rPr>
                <w:sz w:val="24"/>
              </w:rPr>
            </w:r>
            <w:r/>
          </w:p>
        </w:tc>
      </w:tr>
      <w:tr>
        <w:trPr>
          <w:cantSplit/>
          <w:trHeight w:val="330"/>
        </w:trPr>
        <w:tc>
          <w:tcPr>
            <w:tcW w:w="525"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7）修正液位压力传感器参数</w:t>
            </w:r>
            <w:r>
              <w:rPr>
                <w:sz w:val="24"/>
              </w:rPr>
            </w:r>
            <w:r/>
          </w:p>
        </w:tc>
      </w:tr>
      <w:tr>
        <w:trPr>
          <w:cantSplit/>
          <w:trHeight w:val="315"/>
        </w:trPr>
        <w:tc>
          <w:tcPr>
            <w:tcW w:w="525"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2）确保冷却水供应正常</w:t>
            </w:r>
            <w:r>
              <w:rPr>
                <w:sz w:val="24"/>
              </w:rPr>
            </w:r>
            <w:r/>
          </w:p>
        </w:tc>
      </w:tr>
      <w:tr>
        <w:trPr>
          <w:cantSplit/>
          <w:trHeight w:val="285"/>
        </w:trPr>
        <w:tc>
          <w:tcPr>
            <w:tcW w:w="525"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3）保证氮气的正常供应</w:t>
            </w:r>
            <w:r>
              <w:rPr>
                <w:sz w:val="24"/>
              </w:rPr>
            </w:r>
            <w:r/>
          </w:p>
        </w:tc>
      </w:tr>
      <w:tr>
        <w:trPr>
          <w:cantSplit/>
          <w:trHeight w:val="285"/>
        </w:trPr>
        <w:tc>
          <w:tcPr>
            <w:tcW w:w="525"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4）确保各个阀门正常</w:t>
            </w:r>
            <w:r>
              <w:rPr>
                <w:sz w:val="24"/>
              </w:rPr>
            </w:r>
            <w:r/>
          </w:p>
        </w:tc>
      </w:tr>
      <w:tr>
        <w:trPr>
          <w:cantSplit/>
          <w:trHeight w:val="315"/>
        </w:trPr>
        <w:tc>
          <w:tcPr>
            <w:tcW w:w="525"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5）检查燃烧器</w:t>
            </w:r>
            <w:r>
              <w:rPr>
                <w:sz w:val="24"/>
              </w:rPr>
            </w:r>
            <w:r/>
          </w:p>
        </w:tc>
      </w:tr>
      <w:tr>
        <w:trPr>
          <w:cantSplit/>
          <w:trHeight w:val="315"/>
        </w:trPr>
        <w:tc>
          <w:tcPr>
            <w:tcW w:w="525" w:type="dxa"/>
            <w:vAlign w:val="center"/>
            <w:vMerge w:val="restart"/>
            <w:textDirection w:val="lrTb"/>
            <w:noWrap w:val="false"/>
          </w:tcPr>
          <w:p>
            <w:pPr>
              <w:pStyle w:val="963"/>
              <w:jc w:val="center"/>
              <w:spacing w:line="360" w:lineRule="auto"/>
              <w:widowControl/>
              <w:rPr>
                <w:sz w:val="24"/>
              </w:rPr>
            </w:pPr>
            <w:r>
              <w:rPr>
                <w:sz w:val="24"/>
              </w:rPr>
              <w:t xml:space="preserve">15</w:t>
            </w:r>
            <w:r>
              <w:rPr>
                <w:sz w:val="24"/>
              </w:rPr>
            </w:r>
            <w:r/>
          </w:p>
        </w:tc>
        <w:tc>
          <w:tcPr>
            <w:tcW w:w="1362" w:type="dxa"/>
            <w:vAlign w:val="center"/>
            <w:vMerge w:val="restart"/>
            <w:textDirection w:val="lrTb"/>
            <w:noWrap w:val="false"/>
          </w:tcPr>
          <w:p>
            <w:pPr>
              <w:pStyle w:val="963"/>
              <w:jc w:val="center"/>
              <w:spacing w:line="360" w:lineRule="auto"/>
              <w:widowControl/>
              <w:rPr>
                <w:sz w:val="24"/>
              </w:rPr>
            </w:pPr>
            <w:r>
              <w:rPr>
                <w:sz w:val="24"/>
              </w:rPr>
              <w:t xml:space="preserve">五参数分析仪</w:t>
            </w:r>
            <w:r>
              <w:rPr>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1）检查数据传输和报警模块是否正常</w:t>
            </w:r>
            <w:r>
              <w:rPr>
                <w:sz w:val="24"/>
              </w:rPr>
            </w:r>
            <w:r/>
          </w:p>
        </w:tc>
      </w:tr>
      <w:tr>
        <w:trPr>
          <w:cantSplit/>
          <w:trHeight w:val="315"/>
        </w:trPr>
        <w:tc>
          <w:tcPr>
            <w:tcW w:w="525"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2）检查电极是否被泥沙和藻类沾污</w:t>
            </w:r>
            <w:r>
              <w:rPr>
                <w:sz w:val="24"/>
              </w:rPr>
            </w:r>
            <w:r/>
          </w:p>
        </w:tc>
      </w:tr>
      <w:tr>
        <w:trPr>
          <w:cantSplit/>
          <w:trHeight w:val="315"/>
        </w:trPr>
        <w:tc>
          <w:tcPr>
            <w:tcW w:w="525"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3）清洗电极更换电极液</w:t>
            </w:r>
            <w:r>
              <w:rPr>
                <w:sz w:val="24"/>
              </w:rPr>
            </w:r>
            <w:r/>
          </w:p>
        </w:tc>
      </w:tr>
      <w:tr>
        <w:trPr>
          <w:cantSplit/>
          <w:trHeight w:val="315"/>
        </w:trPr>
        <w:tc>
          <w:tcPr>
            <w:tcW w:w="525"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4）检查并更换老化的电极</w:t>
            </w:r>
            <w:r>
              <w:rPr>
                <w:sz w:val="24"/>
              </w:rPr>
            </w:r>
            <w:r/>
          </w:p>
        </w:tc>
      </w:tr>
      <w:tr>
        <w:trPr>
          <w:cantSplit/>
          <w:trHeight w:val="330"/>
        </w:trPr>
        <w:tc>
          <w:tcPr>
            <w:tcW w:w="525"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5）确保清洗水供应正常</w:t>
            </w:r>
            <w:r>
              <w:rPr>
                <w:sz w:val="24"/>
              </w:rPr>
            </w:r>
            <w:r/>
          </w:p>
        </w:tc>
      </w:tr>
      <w:tr>
        <w:trPr>
          <w:cantSplit/>
          <w:trHeight w:val="285"/>
        </w:trPr>
        <w:tc>
          <w:tcPr>
            <w:tcW w:w="525" w:type="dxa"/>
            <w:vAlign w:val="center"/>
            <w:vMerge w:val="restart"/>
            <w:textDirection w:val="lrTb"/>
            <w:noWrap w:val="false"/>
          </w:tcPr>
          <w:p>
            <w:pPr>
              <w:pStyle w:val="963"/>
              <w:jc w:val="center"/>
              <w:spacing w:line="360" w:lineRule="auto"/>
              <w:widowControl/>
              <w:rPr>
                <w:sz w:val="24"/>
              </w:rPr>
            </w:pPr>
            <w:r>
              <w:rPr>
                <w:sz w:val="24"/>
              </w:rPr>
              <w:t xml:space="preserve">16</w:t>
            </w:r>
            <w:r>
              <w:rPr>
                <w:sz w:val="24"/>
              </w:rPr>
            </w:r>
            <w:r/>
          </w:p>
        </w:tc>
        <w:tc>
          <w:tcPr>
            <w:tcW w:w="1362" w:type="dxa"/>
            <w:vAlign w:val="center"/>
            <w:vMerge w:val="restart"/>
            <w:textDirection w:val="lrTb"/>
            <w:noWrap w:val="false"/>
          </w:tcPr>
          <w:p>
            <w:pPr>
              <w:pStyle w:val="963"/>
              <w:jc w:val="center"/>
              <w:spacing w:line="360" w:lineRule="auto"/>
              <w:widowControl/>
              <w:rPr>
                <w:sz w:val="24"/>
              </w:rPr>
            </w:pPr>
            <w:r>
              <w:rPr>
                <w:sz w:val="24"/>
              </w:rPr>
              <w:t xml:space="preserve">采样器维护</w:t>
            </w:r>
            <w:r>
              <w:rPr>
                <w:sz w:val="24"/>
              </w:rPr>
            </w:r>
            <w:r/>
          </w:p>
        </w:tc>
        <w:tc>
          <w:tcPr>
            <w:tcW w:w="1638" w:type="dxa"/>
            <w:vAlign w:val="center"/>
            <w:vMerge w:val="restart"/>
            <w:textDirection w:val="lrTb"/>
            <w:noWrap w:val="false"/>
          </w:tcPr>
          <w:p>
            <w:pPr>
              <w:pStyle w:val="963"/>
              <w:jc w:val="center"/>
              <w:spacing w:line="360" w:lineRule="auto"/>
              <w:widowControl/>
              <w:rPr>
                <w:sz w:val="24"/>
              </w:rPr>
            </w:pPr>
            <w:r>
              <w:rPr>
                <w:sz w:val="24"/>
              </w:rPr>
              <w:t xml:space="preserve">1次/周，保证采</w:t>
            </w:r>
            <w:r>
              <w:rPr>
                <w:sz w:val="24"/>
              </w:rPr>
            </w:r>
            <w:r/>
          </w:p>
          <w:p>
            <w:pPr>
              <w:pStyle w:val="963"/>
              <w:jc w:val="center"/>
              <w:spacing w:line="360" w:lineRule="auto"/>
              <w:widowControl/>
              <w:rPr>
                <w:sz w:val="24"/>
              </w:rPr>
            </w:pPr>
            <w:r>
              <w:rPr>
                <w:sz w:val="24"/>
              </w:rPr>
              <w:t xml:space="preserve">样瓶清洁，</w:t>
            </w:r>
            <w:r>
              <w:rPr>
                <w:sz w:val="24"/>
              </w:rPr>
            </w:r>
            <w:r/>
          </w:p>
        </w:tc>
        <w:tc>
          <w:tcPr>
            <w:tcW w:w="4788" w:type="dxa"/>
            <w:vAlign w:val="center"/>
            <w:textDirection w:val="lrTb"/>
            <w:noWrap w:val="false"/>
          </w:tcPr>
          <w:p>
            <w:pPr>
              <w:pStyle w:val="963"/>
              <w:spacing w:line="360" w:lineRule="auto"/>
              <w:widowControl/>
              <w:rPr>
                <w:sz w:val="24"/>
              </w:rPr>
            </w:pPr>
            <w:r>
              <w:rPr>
                <w:sz w:val="24"/>
              </w:rPr>
              <w:t xml:space="preserve">1）检查并更换老化的蠕动泵软管</w:t>
            </w:r>
            <w:r>
              <w:rPr>
                <w:sz w:val="24"/>
              </w:rPr>
            </w:r>
            <w:r/>
          </w:p>
        </w:tc>
      </w:tr>
      <w:tr>
        <w:trPr>
          <w:cantSplit/>
          <w:trHeight w:val="285"/>
        </w:trPr>
        <w:tc>
          <w:tcPr>
            <w:tcW w:w="525"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2）检查并更换老化的分配臂软管</w:t>
            </w:r>
            <w:r>
              <w:rPr>
                <w:sz w:val="24"/>
              </w:rPr>
            </w:r>
            <w:r/>
          </w:p>
        </w:tc>
      </w:tr>
      <w:tr>
        <w:trPr>
          <w:cantSplit/>
          <w:trHeight w:val="285"/>
        </w:trPr>
        <w:tc>
          <w:tcPr>
            <w:tcW w:w="525"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3）检查并更换老化的采样管</w:t>
            </w:r>
            <w:r>
              <w:rPr>
                <w:sz w:val="24"/>
              </w:rPr>
            </w:r>
            <w:r/>
          </w:p>
        </w:tc>
      </w:tr>
      <w:tr>
        <w:trPr>
          <w:cantSplit/>
          <w:trHeight w:val="285"/>
        </w:trPr>
        <w:tc>
          <w:tcPr>
            <w:tcW w:w="525"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4）清洗采样切换阀</w:t>
            </w:r>
            <w:r>
              <w:rPr>
                <w:sz w:val="24"/>
              </w:rPr>
            </w:r>
            <w:r/>
          </w:p>
        </w:tc>
      </w:tr>
      <w:tr>
        <w:trPr>
          <w:cantSplit/>
          <w:trHeight w:val="285"/>
        </w:trPr>
        <w:tc>
          <w:tcPr>
            <w:tcW w:w="525"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5）重新调整采样参数</w:t>
            </w:r>
            <w:r>
              <w:rPr>
                <w:sz w:val="24"/>
              </w:rPr>
            </w:r>
            <w:r/>
          </w:p>
        </w:tc>
      </w:tr>
      <w:tr>
        <w:trPr>
          <w:cantSplit/>
          <w:trHeight w:val="285"/>
        </w:trPr>
        <w:tc>
          <w:tcPr>
            <w:tcW w:w="525"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6）检查样品储藏室温度</w:t>
            </w:r>
            <w:r>
              <w:rPr>
                <w:sz w:val="24"/>
              </w:rPr>
            </w:r>
            <w:r/>
          </w:p>
        </w:tc>
      </w:tr>
      <w:tr>
        <w:trPr>
          <w:cantSplit/>
          <w:trHeight w:val="330"/>
        </w:trPr>
        <w:tc>
          <w:tcPr>
            <w:tcW w:w="525"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7）清洗样品储藏室</w:t>
            </w:r>
            <w:r>
              <w:rPr>
                <w:sz w:val="24"/>
              </w:rPr>
            </w:r>
            <w:r/>
          </w:p>
        </w:tc>
      </w:tr>
      <w:tr>
        <w:trPr>
          <w:trHeight w:val="330"/>
        </w:trPr>
        <w:tc>
          <w:tcPr>
            <w:tcW w:w="525" w:type="dxa"/>
            <w:vAlign w:val="center"/>
            <w:textDirection w:val="lrTb"/>
            <w:noWrap w:val="false"/>
          </w:tcPr>
          <w:p>
            <w:pPr>
              <w:pStyle w:val="963"/>
              <w:jc w:val="center"/>
              <w:spacing w:line="360" w:lineRule="auto"/>
              <w:widowControl/>
              <w:rPr>
                <w:sz w:val="24"/>
              </w:rPr>
            </w:pPr>
            <w:r>
              <w:rPr>
                <w:sz w:val="24"/>
              </w:rPr>
              <w:t xml:space="preserve">18</w:t>
            </w:r>
            <w:r>
              <w:rPr>
                <w:sz w:val="24"/>
              </w:rPr>
            </w:r>
            <w:r/>
          </w:p>
        </w:tc>
        <w:tc>
          <w:tcPr>
            <w:tcW w:w="1362" w:type="dxa"/>
            <w:vAlign w:val="center"/>
            <w:textDirection w:val="lrTb"/>
            <w:noWrap w:val="false"/>
          </w:tcPr>
          <w:p>
            <w:pPr>
              <w:pStyle w:val="963"/>
              <w:jc w:val="center"/>
              <w:spacing w:line="360" w:lineRule="auto"/>
              <w:widowControl/>
              <w:rPr>
                <w:sz w:val="24"/>
              </w:rPr>
            </w:pPr>
            <w:r>
              <w:rPr>
                <w:sz w:val="24"/>
              </w:rPr>
              <w:t xml:space="preserve">数据上报</w:t>
            </w:r>
            <w:r>
              <w:rPr>
                <w:sz w:val="24"/>
              </w:rPr>
            </w:r>
            <w:r/>
          </w:p>
        </w:tc>
        <w:tc>
          <w:tcPr>
            <w:tcW w:w="1638" w:type="dxa"/>
            <w:vAlign w:val="center"/>
            <w:textDirection w:val="lrTb"/>
            <w:noWrap w:val="false"/>
          </w:tcPr>
          <w:p>
            <w:pPr>
              <w:pStyle w:val="963"/>
              <w:jc w:val="center"/>
              <w:spacing w:line="360" w:lineRule="auto"/>
              <w:widowControl/>
              <w:rPr>
                <w:sz w:val="24"/>
              </w:rPr>
            </w:pPr>
            <w:r>
              <w:rPr>
                <w:sz w:val="24"/>
              </w:rPr>
              <w:t xml:space="preserve">1次/周</w:t>
            </w:r>
            <w:r>
              <w:rPr>
                <w:sz w:val="24"/>
              </w:rPr>
            </w:r>
            <w:r/>
          </w:p>
        </w:tc>
        <w:tc>
          <w:tcPr>
            <w:tcW w:w="4788" w:type="dxa"/>
            <w:vAlign w:val="center"/>
            <w:textDirection w:val="lrTb"/>
            <w:noWrap w:val="false"/>
          </w:tcPr>
          <w:p>
            <w:pPr>
              <w:pStyle w:val="963"/>
              <w:spacing w:line="360" w:lineRule="auto"/>
              <w:widowControl/>
              <w:rPr>
                <w:sz w:val="24"/>
              </w:rPr>
            </w:pPr>
            <w:r>
              <w:rPr>
                <w:sz w:val="24"/>
              </w:rPr>
              <w:t xml:space="preserve">完成对水质自动监测数据审核上报</w:t>
            </w:r>
            <w:r>
              <w:rPr>
                <w:sz w:val="24"/>
              </w:rPr>
            </w:r>
            <w:r/>
          </w:p>
        </w:tc>
      </w:tr>
    </w:tbl>
    <w:p>
      <w:pPr>
        <w:pStyle w:val="963"/>
        <w:numPr>
          <w:ilvl w:val="0"/>
          <w:numId w:val="38"/>
        </w:numPr>
        <w:ind w:left="0" w:firstLine="480"/>
        <w:jc w:val="left"/>
        <w:spacing w:line="360" w:lineRule="auto"/>
        <w:widowControl/>
        <w:rPr>
          <w:color w:val="000000"/>
          <w:sz w:val="24"/>
        </w:rPr>
      </w:pPr>
      <w:r>
        <w:rPr>
          <w:color w:val="000000"/>
          <w:sz w:val="24"/>
        </w:rPr>
        <w:t xml:space="preserve">每月工作内容</w:t>
      </w:r>
      <w:r>
        <w:rPr>
          <w:color w:val="000000"/>
          <w:sz w:val="24"/>
        </w:rPr>
      </w:r>
      <w:r/>
    </w:p>
    <w:p>
      <w:pPr>
        <w:pStyle w:val="963"/>
        <w:numPr>
          <w:ilvl w:val="0"/>
          <w:numId w:val="40"/>
        </w:numPr>
        <w:ind w:left="0" w:firstLine="480"/>
        <w:jc w:val="left"/>
        <w:spacing w:line="360" w:lineRule="auto"/>
        <w:rPr>
          <w:color w:val="000000"/>
          <w:sz w:val="24"/>
        </w:rPr>
      </w:pPr>
      <w:r>
        <w:rPr>
          <w:color w:val="000000"/>
          <w:sz w:val="24"/>
        </w:rPr>
        <w:t xml:space="preserve">站房</w:t>
      </w:r>
      <w:r>
        <w:rPr>
          <w:rFonts w:hint="eastAsia"/>
          <w:color w:val="000000"/>
          <w:sz w:val="24"/>
        </w:rPr>
        <w:t xml:space="preserve">：</w:t>
      </w:r>
      <w:r>
        <w:rPr>
          <w:color w:val="000000"/>
          <w:sz w:val="24"/>
        </w:rPr>
        <w:t xml:space="preserve">保证站房空调及取暖设施运行正常，定期对空调进行全面的清洗。</w:t>
      </w:r>
      <w:r>
        <w:rPr>
          <w:color w:val="000000"/>
          <w:sz w:val="24"/>
        </w:rPr>
      </w:r>
      <w:r/>
    </w:p>
    <w:p>
      <w:pPr>
        <w:pStyle w:val="963"/>
        <w:numPr>
          <w:ilvl w:val="0"/>
          <w:numId w:val="40"/>
        </w:numPr>
        <w:ind w:left="0" w:firstLine="480"/>
        <w:jc w:val="left"/>
        <w:spacing w:line="360" w:lineRule="auto"/>
        <w:rPr>
          <w:color w:val="000000"/>
          <w:sz w:val="24"/>
        </w:rPr>
      </w:pPr>
      <w:r>
        <w:rPr>
          <w:color w:val="000000"/>
          <w:sz w:val="24"/>
        </w:rPr>
        <w:t xml:space="preserve">分析单元</w:t>
      </w:r>
      <w:r>
        <w:rPr>
          <w:rFonts w:hint="eastAsia"/>
          <w:color w:val="000000"/>
          <w:sz w:val="24"/>
        </w:rPr>
        <w:t xml:space="preserve">：</w:t>
      </w:r>
      <w:r>
        <w:rPr>
          <w:color w:val="000000"/>
          <w:sz w:val="24"/>
        </w:rPr>
        <w:t xml:space="preserve">应依据断面水质状况、水质自动监测站环境条件和分析仪器的要求，制定易耗品（如泵管、滤膜、活性碳及干燥剂等）的更换周期，做到定期更换；对使用期限有规定的备品备件，必须严格按使用规定期限予以更换。水质自动监测站仪器所用试剂的更换周期应根据试剂稳定性和保质期确定，室内温度较高时应缩短更换周期，试剂的更换周期不得超过30天。根据水质自动监测站运行的环境状况，在规定的时间对仪器设备进行预防性检修。每月至少进行一次多点线性核查，在自动分析仪器当前量程范围内均匀选择5个浓度标准溶液（须包括空白）。</w:t>
      </w:r>
      <w:r>
        <w:rPr>
          <w:color w:val="000000"/>
          <w:sz w:val="24"/>
        </w:rPr>
      </w:r>
      <w:r/>
    </w:p>
    <w:p>
      <w:pPr>
        <w:pStyle w:val="963"/>
        <w:numPr>
          <w:ilvl w:val="0"/>
          <w:numId w:val="40"/>
        </w:numPr>
        <w:ind w:left="0" w:firstLine="480"/>
        <w:jc w:val="left"/>
        <w:spacing w:line="360" w:lineRule="auto"/>
        <w:rPr>
          <w:color w:val="000000"/>
          <w:sz w:val="24"/>
        </w:rPr>
      </w:pPr>
      <w:r>
        <w:rPr>
          <w:color w:val="000000"/>
          <w:sz w:val="24"/>
        </w:rPr>
        <w:t xml:space="preserve">采配水单元：定期检查采水、配水单元是否正常运行，清洗采水头。对于潜水泵，应定期清洗泵体、载体。取水管路应检查是否出现弯折现象，是否畅通，并清理采水头周边杂物，泥沙含量大或藻类密集的断面应视情况进行人工清洗。每月至少清洗一次采配水单元的取水管路、五参数池、沉淀池、过滤芯、配水管路和采样杯等部件。</w:t>
      </w:r>
      <w:r>
        <w:rPr>
          <w:color w:val="000000"/>
          <w:sz w:val="24"/>
        </w:rPr>
      </w:r>
      <w:r/>
    </w:p>
    <w:p>
      <w:pPr>
        <w:pStyle w:val="963"/>
        <w:numPr>
          <w:ilvl w:val="0"/>
          <w:numId w:val="40"/>
        </w:numPr>
        <w:ind w:left="0" w:firstLine="480"/>
        <w:jc w:val="left"/>
        <w:spacing w:line="360" w:lineRule="auto"/>
        <w:rPr>
          <w:color w:val="000000"/>
          <w:sz w:val="24"/>
        </w:rPr>
      </w:pPr>
      <w:r>
        <w:rPr>
          <w:color w:val="000000"/>
          <w:sz w:val="24"/>
        </w:rPr>
        <w:t xml:space="preserve">控制单元及通讯单元：定期对工控机进行断电重启，查看工控机是否可以自动启动，并运行操作系统、加载现场监控软件，查看串口通讯是否正常。定期对网络通讯设备进行断电重启，查看启动后是否通讯正常。每月检查开机过程中硬件自检过程是否有异常数据传输和报警。每月对工控机进行杀毒，防止病毒损坏软件。</w:t>
      </w:r>
      <w:r>
        <w:rPr>
          <w:color w:val="000000"/>
          <w:sz w:val="24"/>
        </w:rPr>
      </w:r>
      <w:r/>
    </w:p>
    <w:p>
      <w:pPr>
        <w:pStyle w:val="963"/>
        <w:numPr>
          <w:ilvl w:val="0"/>
          <w:numId w:val="40"/>
        </w:numPr>
        <w:ind w:left="0" w:firstLine="480"/>
        <w:jc w:val="left"/>
        <w:spacing w:line="360" w:lineRule="auto"/>
        <w:rPr>
          <w:color w:val="000000"/>
          <w:sz w:val="24"/>
        </w:rPr>
      </w:pPr>
      <w:r>
        <w:rPr>
          <w:color w:val="000000"/>
          <w:sz w:val="24"/>
        </w:rPr>
        <w:t xml:space="preserve">辅助设备：定期检查稳压电源及UPS的输出是否符合技术要求，突发异常情况须及时排查处理。每月至少检查一次空气压缩机气泵和清水增压泵的工作状况，并对空气过滤器放水。定期更换纯水机滤芯。定期检查摄像头是否破损，视频设备功能是否正常，包括摄像、视频存储、云台控制等。</w:t>
      </w:r>
      <w:r>
        <w:rPr>
          <w:color w:val="000000"/>
          <w:sz w:val="24"/>
        </w:rPr>
      </w:r>
      <w:r/>
    </w:p>
    <w:p>
      <w:pPr>
        <w:pStyle w:val="963"/>
        <w:numPr>
          <w:ilvl w:val="0"/>
          <w:numId w:val="40"/>
        </w:numPr>
        <w:ind w:left="0" w:firstLine="480"/>
        <w:jc w:val="left"/>
        <w:spacing w:line="360" w:lineRule="auto"/>
        <w:rPr>
          <w:color w:val="000000"/>
          <w:sz w:val="24"/>
        </w:rPr>
      </w:pPr>
      <w:r>
        <w:rPr>
          <w:color w:val="000000"/>
          <w:sz w:val="24"/>
        </w:rPr>
        <w:t xml:space="preserve">其它：每月对水质自动监测站监测数据进行一次备份，备份数据单独存储；每月对备用仪器进行一次校准和标样核查。根据要求，每年对站房组织一次防雷检测，并出具防雷检测报告。</w:t>
      </w:r>
      <w:r>
        <w:rPr>
          <w:color w:val="000000"/>
          <w:sz w:val="24"/>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25"/>
        <w:gridCol w:w="1362"/>
        <w:gridCol w:w="1638"/>
        <w:gridCol w:w="4788"/>
      </w:tblGrid>
      <w:tr>
        <w:trPr>
          <w:trHeight w:val="740"/>
        </w:trPr>
        <w:tc>
          <w:tcPr>
            <w:tcW w:w="525" w:type="dxa"/>
            <w:vAlign w:val="center"/>
            <w:textDirection w:val="lrTb"/>
            <w:noWrap w:val="false"/>
          </w:tcPr>
          <w:p>
            <w:pPr>
              <w:pStyle w:val="963"/>
              <w:jc w:val="center"/>
              <w:spacing w:line="360" w:lineRule="auto"/>
              <w:widowControl/>
              <w:rPr>
                <w:sz w:val="24"/>
              </w:rPr>
            </w:pPr>
            <w:r>
              <w:rPr>
                <w:sz w:val="24"/>
              </w:rPr>
              <w:t xml:space="preserve">序号</w:t>
            </w:r>
            <w:r>
              <w:rPr>
                <w:sz w:val="24"/>
              </w:rPr>
            </w:r>
            <w:r/>
          </w:p>
        </w:tc>
        <w:tc>
          <w:tcPr>
            <w:tcW w:w="1362" w:type="dxa"/>
            <w:vAlign w:val="center"/>
            <w:textDirection w:val="lrTb"/>
            <w:noWrap w:val="false"/>
          </w:tcPr>
          <w:p>
            <w:pPr>
              <w:pStyle w:val="963"/>
              <w:jc w:val="center"/>
              <w:spacing w:line="360" w:lineRule="auto"/>
              <w:widowControl/>
              <w:rPr>
                <w:sz w:val="24"/>
              </w:rPr>
            </w:pPr>
            <w:r>
              <w:rPr>
                <w:sz w:val="24"/>
              </w:rPr>
              <w:t xml:space="preserve">维护内容</w:t>
            </w:r>
            <w:r>
              <w:rPr>
                <w:sz w:val="24"/>
              </w:rPr>
            </w:r>
            <w:r/>
          </w:p>
        </w:tc>
        <w:tc>
          <w:tcPr>
            <w:tcW w:w="1638" w:type="dxa"/>
            <w:vAlign w:val="center"/>
            <w:textDirection w:val="lrTb"/>
            <w:noWrap w:val="false"/>
          </w:tcPr>
          <w:p>
            <w:pPr>
              <w:pStyle w:val="963"/>
              <w:jc w:val="center"/>
              <w:spacing w:line="360" w:lineRule="auto"/>
              <w:widowControl/>
              <w:rPr>
                <w:sz w:val="24"/>
              </w:rPr>
            </w:pPr>
            <w:r>
              <w:rPr>
                <w:sz w:val="24"/>
              </w:rPr>
              <w:t xml:space="preserve">维护周期及目标</w:t>
            </w:r>
            <w:r>
              <w:rPr>
                <w:sz w:val="24"/>
              </w:rPr>
            </w:r>
            <w:r/>
          </w:p>
        </w:tc>
        <w:tc>
          <w:tcPr>
            <w:tcW w:w="4788" w:type="dxa"/>
            <w:vAlign w:val="center"/>
            <w:textDirection w:val="lrTb"/>
            <w:noWrap w:val="false"/>
          </w:tcPr>
          <w:p>
            <w:pPr>
              <w:pStyle w:val="963"/>
              <w:jc w:val="center"/>
              <w:spacing w:line="360" w:lineRule="auto"/>
              <w:widowControl/>
              <w:rPr>
                <w:sz w:val="24"/>
              </w:rPr>
            </w:pPr>
            <w:r>
              <w:rPr>
                <w:sz w:val="24"/>
              </w:rPr>
              <w:t xml:space="preserve">维护要求</w:t>
            </w:r>
            <w:r>
              <w:rPr>
                <w:sz w:val="24"/>
              </w:rPr>
            </w:r>
            <w:r/>
          </w:p>
        </w:tc>
      </w:tr>
      <w:tr>
        <w:trPr>
          <w:cantSplit/>
          <w:trHeight w:val="285"/>
        </w:trPr>
        <w:tc>
          <w:tcPr>
            <w:tcW w:w="525" w:type="dxa"/>
            <w:vAlign w:val="center"/>
            <w:vMerge w:val="restart"/>
            <w:textDirection w:val="lrTb"/>
            <w:noWrap w:val="false"/>
          </w:tcPr>
          <w:p>
            <w:pPr>
              <w:pStyle w:val="963"/>
              <w:jc w:val="center"/>
              <w:spacing w:line="360" w:lineRule="auto"/>
              <w:widowControl/>
              <w:rPr>
                <w:sz w:val="24"/>
              </w:rPr>
            </w:pPr>
            <w:r>
              <w:rPr>
                <w:sz w:val="24"/>
              </w:rPr>
              <w:t xml:space="preserve">1</w:t>
            </w:r>
            <w:r>
              <w:rPr>
                <w:sz w:val="24"/>
              </w:rPr>
            </w:r>
            <w:r/>
          </w:p>
        </w:tc>
        <w:tc>
          <w:tcPr>
            <w:tcW w:w="1362" w:type="dxa"/>
            <w:vAlign w:val="center"/>
            <w:vMerge w:val="restart"/>
            <w:textDirection w:val="lrTb"/>
            <w:noWrap w:val="false"/>
          </w:tcPr>
          <w:p>
            <w:pPr>
              <w:pStyle w:val="963"/>
              <w:jc w:val="center"/>
              <w:spacing w:line="360" w:lineRule="auto"/>
              <w:widowControl/>
              <w:rPr>
                <w:sz w:val="24"/>
              </w:rPr>
            </w:pPr>
            <w:r>
              <w:rPr>
                <w:sz w:val="24"/>
              </w:rPr>
              <w:t xml:space="preserve">室外取水管路清洗清淤</w:t>
            </w:r>
            <w:r>
              <w:rPr>
                <w:sz w:val="24"/>
              </w:rPr>
            </w:r>
            <w:r/>
          </w:p>
        </w:tc>
        <w:tc>
          <w:tcPr>
            <w:tcW w:w="1638" w:type="dxa"/>
            <w:vAlign w:val="center"/>
            <w:vMerge w:val="restart"/>
            <w:textDirection w:val="lrTb"/>
            <w:noWrap w:val="false"/>
          </w:tcPr>
          <w:p>
            <w:pPr>
              <w:pStyle w:val="963"/>
              <w:jc w:val="center"/>
              <w:spacing w:line="360" w:lineRule="auto"/>
              <w:widowControl/>
              <w:rPr>
                <w:sz w:val="24"/>
              </w:rPr>
            </w:pPr>
            <w:r>
              <w:rPr>
                <w:sz w:val="24"/>
              </w:rPr>
              <w:t xml:space="preserve">1次/月，确保管</w:t>
            </w:r>
            <w:r>
              <w:rPr>
                <w:sz w:val="24"/>
              </w:rPr>
            </w:r>
            <w:r/>
          </w:p>
          <w:p>
            <w:pPr>
              <w:pStyle w:val="963"/>
              <w:jc w:val="center"/>
              <w:spacing w:line="360" w:lineRule="auto"/>
              <w:widowControl/>
              <w:rPr>
                <w:sz w:val="24"/>
              </w:rPr>
            </w:pPr>
            <w:r>
              <w:rPr>
                <w:sz w:val="24"/>
              </w:rPr>
              <w:t xml:space="preserve">路无泥沙附着</w:t>
            </w:r>
            <w:r>
              <w:rPr>
                <w:sz w:val="24"/>
              </w:rPr>
            </w:r>
            <w:r/>
          </w:p>
        </w:tc>
        <w:tc>
          <w:tcPr>
            <w:tcW w:w="4788" w:type="dxa"/>
            <w:vAlign w:val="center"/>
            <w:textDirection w:val="lrTb"/>
            <w:noWrap w:val="false"/>
          </w:tcPr>
          <w:p>
            <w:pPr>
              <w:pStyle w:val="963"/>
              <w:spacing w:line="360" w:lineRule="auto"/>
              <w:widowControl/>
              <w:rPr>
                <w:sz w:val="24"/>
              </w:rPr>
            </w:pPr>
            <w:r>
              <w:rPr>
                <w:sz w:val="24"/>
              </w:rPr>
              <w:t xml:space="preserve">将室外取水管路淤泥吹出。至少三次空气吹洗，以便达到良好清淤效果。</w:t>
            </w:r>
            <w:r>
              <w:rPr>
                <w:sz w:val="24"/>
              </w:rPr>
            </w:r>
            <w:r/>
          </w:p>
        </w:tc>
      </w:tr>
      <w:tr>
        <w:trPr>
          <w:cantSplit/>
          <w:trHeight w:val="600"/>
        </w:trPr>
        <w:tc>
          <w:tcPr>
            <w:tcW w:w="525"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采用3%稀盐酸，对取水管路进行清洗。清洗完毕后15分钟手动运行一次采水流程，以便将管路中残余药剂清洗掉。</w:t>
            </w:r>
            <w:r>
              <w:rPr>
                <w:sz w:val="24"/>
              </w:rPr>
            </w:r>
            <w:r/>
          </w:p>
        </w:tc>
      </w:tr>
      <w:tr>
        <w:trPr>
          <w:cantSplit/>
          <w:trHeight w:val="300"/>
        </w:trPr>
        <w:tc>
          <w:tcPr>
            <w:tcW w:w="525"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恢复取水管路原状。</w:t>
            </w:r>
            <w:r>
              <w:rPr>
                <w:sz w:val="24"/>
              </w:rPr>
            </w:r>
            <w:r/>
          </w:p>
        </w:tc>
      </w:tr>
      <w:tr>
        <w:trPr>
          <w:cantSplit/>
          <w:trHeight w:val="285"/>
        </w:trPr>
        <w:tc>
          <w:tcPr>
            <w:tcW w:w="525" w:type="dxa"/>
            <w:vAlign w:val="center"/>
            <w:vMerge w:val="restart"/>
            <w:textDirection w:val="lrTb"/>
            <w:noWrap w:val="false"/>
          </w:tcPr>
          <w:p>
            <w:pPr>
              <w:pStyle w:val="963"/>
              <w:jc w:val="center"/>
              <w:spacing w:line="360" w:lineRule="auto"/>
              <w:widowControl/>
              <w:rPr>
                <w:sz w:val="24"/>
              </w:rPr>
            </w:pPr>
            <w:r>
              <w:rPr>
                <w:sz w:val="24"/>
              </w:rPr>
              <w:t xml:space="preserve">2</w:t>
            </w:r>
            <w:r>
              <w:rPr>
                <w:sz w:val="24"/>
              </w:rPr>
            </w:r>
            <w:r/>
          </w:p>
        </w:tc>
        <w:tc>
          <w:tcPr>
            <w:tcW w:w="1362" w:type="dxa"/>
            <w:vAlign w:val="center"/>
            <w:vMerge w:val="restart"/>
            <w:textDirection w:val="lrTb"/>
            <w:noWrap w:val="false"/>
          </w:tcPr>
          <w:p>
            <w:pPr>
              <w:pStyle w:val="963"/>
              <w:jc w:val="center"/>
              <w:spacing w:line="360" w:lineRule="auto"/>
              <w:widowControl/>
              <w:rPr>
                <w:sz w:val="24"/>
              </w:rPr>
            </w:pPr>
            <w:r>
              <w:rPr>
                <w:sz w:val="24"/>
              </w:rPr>
              <w:t xml:space="preserve">室内管路清洗</w:t>
            </w:r>
            <w:r>
              <w:rPr>
                <w:sz w:val="24"/>
              </w:rPr>
            </w:r>
            <w:r/>
          </w:p>
        </w:tc>
        <w:tc>
          <w:tcPr>
            <w:tcW w:w="1638" w:type="dxa"/>
            <w:vAlign w:val="center"/>
            <w:vMerge w:val="restart"/>
            <w:textDirection w:val="lrTb"/>
            <w:noWrap w:val="false"/>
          </w:tcPr>
          <w:p>
            <w:pPr>
              <w:pStyle w:val="963"/>
              <w:jc w:val="center"/>
              <w:spacing w:line="360" w:lineRule="auto"/>
              <w:widowControl/>
              <w:rPr>
                <w:sz w:val="24"/>
              </w:rPr>
            </w:pPr>
            <w:r>
              <w:rPr>
                <w:sz w:val="24"/>
              </w:rPr>
              <w:t xml:space="preserve">2次/月，确保管</w:t>
            </w:r>
            <w:r>
              <w:rPr>
                <w:sz w:val="24"/>
              </w:rPr>
            </w:r>
            <w:r/>
          </w:p>
          <w:p>
            <w:pPr>
              <w:pStyle w:val="963"/>
              <w:jc w:val="center"/>
              <w:spacing w:line="360" w:lineRule="auto"/>
              <w:widowControl/>
              <w:rPr>
                <w:sz w:val="24"/>
              </w:rPr>
            </w:pPr>
            <w:r>
              <w:rPr>
                <w:sz w:val="24"/>
              </w:rPr>
              <w:t xml:space="preserve">路透明，无泥沙</w:t>
            </w:r>
            <w:r>
              <w:rPr>
                <w:sz w:val="24"/>
              </w:rPr>
            </w:r>
            <w:r/>
          </w:p>
          <w:p>
            <w:pPr>
              <w:pStyle w:val="963"/>
              <w:jc w:val="center"/>
              <w:spacing w:line="360" w:lineRule="auto"/>
              <w:widowControl/>
              <w:rPr>
                <w:sz w:val="24"/>
              </w:rPr>
            </w:pPr>
            <w:r>
              <w:rPr>
                <w:sz w:val="24"/>
              </w:rPr>
              <w:t xml:space="preserve">藻类附着</w:t>
            </w:r>
            <w:r>
              <w:rPr>
                <w:sz w:val="24"/>
              </w:rPr>
            </w:r>
            <w:r/>
          </w:p>
        </w:tc>
        <w:tc>
          <w:tcPr>
            <w:tcW w:w="4788" w:type="dxa"/>
            <w:vAlign w:val="center"/>
            <w:textDirection w:val="lrTb"/>
            <w:noWrap w:val="false"/>
          </w:tcPr>
          <w:p>
            <w:pPr>
              <w:pStyle w:val="963"/>
              <w:spacing w:line="360" w:lineRule="auto"/>
              <w:widowControl/>
              <w:rPr>
                <w:sz w:val="24"/>
              </w:rPr>
            </w:pPr>
            <w:r>
              <w:rPr>
                <w:sz w:val="24"/>
              </w:rPr>
              <w:t xml:space="preserve">手动拆卸阀门、弯头、过滤网和样水杯等部件，用试管刷清洗，清洗后原样装回。</w:t>
            </w:r>
            <w:r>
              <w:rPr>
                <w:sz w:val="24"/>
              </w:rPr>
            </w:r>
            <w:r/>
          </w:p>
        </w:tc>
      </w:tr>
      <w:tr>
        <w:trPr>
          <w:cantSplit/>
          <w:trHeight w:val="300"/>
        </w:trPr>
        <w:tc>
          <w:tcPr>
            <w:tcW w:w="525"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检查蠕动泵进水塑胶软管脏污情况，必要的情况更换。</w:t>
            </w:r>
            <w:r>
              <w:rPr>
                <w:sz w:val="24"/>
              </w:rPr>
            </w:r>
            <w:r/>
          </w:p>
        </w:tc>
      </w:tr>
      <w:tr>
        <w:trPr>
          <w:cantSplit/>
          <w:trHeight w:val="315"/>
        </w:trPr>
        <w:tc>
          <w:tcPr>
            <w:tcW w:w="525" w:type="dxa"/>
            <w:vAlign w:val="center"/>
            <w:vMerge w:val="restart"/>
            <w:textDirection w:val="lrTb"/>
            <w:noWrap w:val="false"/>
          </w:tcPr>
          <w:p>
            <w:pPr>
              <w:pStyle w:val="963"/>
              <w:jc w:val="center"/>
              <w:spacing w:line="360" w:lineRule="auto"/>
              <w:widowControl/>
              <w:rPr>
                <w:sz w:val="24"/>
              </w:rPr>
            </w:pPr>
            <w:r>
              <w:rPr>
                <w:sz w:val="24"/>
              </w:rPr>
              <w:t xml:space="preserve">3</w:t>
            </w:r>
            <w:r>
              <w:rPr>
                <w:sz w:val="24"/>
              </w:rPr>
            </w:r>
            <w:r/>
          </w:p>
        </w:tc>
        <w:tc>
          <w:tcPr>
            <w:tcW w:w="1362" w:type="dxa"/>
            <w:vAlign w:val="center"/>
            <w:vMerge w:val="restart"/>
            <w:textDirection w:val="lrTb"/>
            <w:noWrap w:val="false"/>
          </w:tcPr>
          <w:p>
            <w:pPr>
              <w:pStyle w:val="963"/>
              <w:jc w:val="center"/>
              <w:spacing w:line="360" w:lineRule="auto"/>
              <w:widowControl/>
              <w:rPr>
                <w:sz w:val="24"/>
              </w:rPr>
            </w:pPr>
            <w:r>
              <w:rPr>
                <w:sz w:val="24"/>
              </w:rPr>
              <w:t xml:space="preserve">清洗液位计</w:t>
            </w:r>
            <w:r>
              <w:rPr>
                <w:sz w:val="24"/>
              </w:rPr>
            </w:r>
            <w:r/>
          </w:p>
        </w:tc>
        <w:tc>
          <w:tcPr>
            <w:tcW w:w="1638" w:type="dxa"/>
            <w:vAlign w:val="center"/>
            <w:vMerge w:val="restart"/>
            <w:textDirection w:val="lrTb"/>
            <w:noWrap w:val="false"/>
          </w:tcPr>
          <w:p>
            <w:pPr>
              <w:pStyle w:val="963"/>
              <w:jc w:val="center"/>
              <w:spacing w:line="360" w:lineRule="auto"/>
              <w:widowControl/>
              <w:rPr>
                <w:sz w:val="24"/>
              </w:rPr>
            </w:pPr>
            <w:r>
              <w:rPr>
                <w:sz w:val="24"/>
              </w:rPr>
              <w:t xml:space="preserve">1次/月，确保液</w:t>
            </w:r>
            <w:r>
              <w:rPr>
                <w:sz w:val="24"/>
              </w:rPr>
            </w:r>
            <w:r/>
          </w:p>
          <w:p>
            <w:pPr>
              <w:pStyle w:val="963"/>
              <w:jc w:val="center"/>
              <w:spacing w:line="360" w:lineRule="auto"/>
              <w:widowControl/>
              <w:rPr>
                <w:sz w:val="24"/>
              </w:rPr>
            </w:pPr>
            <w:r>
              <w:rPr>
                <w:sz w:val="24"/>
              </w:rPr>
              <w:t xml:space="preserve">位计工作正常</w:t>
            </w:r>
            <w:r>
              <w:rPr>
                <w:sz w:val="24"/>
              </w:rPr>
            </w:r>
            <w:r/>
          </w:p>
        </w:tc>
        <w:tc>
          <w:tcPr>
            <w:tcW w:w="4788" w:type="dxa"/>
            <w:vAlign w:val="center"/>
            <w:textDirection w:val="lrTb"/>
            <w:noWrap w:val="false"/>
          </w:tcPr>
          <w:p>
            <w:pPr>
              <w:pStyle w:val="963"/>
              <w:spacing w:line="360" w:lineRule="auto"/>
              <w:widowControl/>
              <w:rPr>
                <w:sz w:val="24"/>
              </w:rPr>
            </w:pPr>
            <w:r>
              <w:rPr>
                <w:sz w:val="24"/>
              </w:rPr>
              <w:t xml:space="preserve">将液位计拆下，用3%盐酸擦洗浮球和导杆，清除表面钙化物和污物。</w:t>
            </w:r>
            <w:r>
              <w:rPr>
                <w:sz w:val="24"/>
              </w:rPr>
            </w:r>
            <w:r/>
          </w:p>
        </w:tc>
      </w:tr>
      <w:tr>
        <w:trPr>
          <w:cantSplit/>
          <w:trHeight w:val="315"/>
        </w:trPr>
        <w:tc>
          <w:tcPr>
            <w:tcW w:w="525"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测量浮球导通电阻，导通电阻必须小于20欧姆，且反应灵敏。</w:t>
            </w:r>
            <w:r>
              <w:rPr>
                <w:sz w:val="24"/>
              </w:rPr>
            </w:r>
            <w:r/>
          </w:p>
        </w:tc>
      </w:tr>
      <w:tr>
        <w:trPr>
          <w:cantSplit/>
          <w:trHeight w:val="285"/>
        </w:trPr>
        <w:tc>
          <w:tcPr>
            <w:tcW w:w="525"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原样装回液位计。</w:t>
            </w:r>
            <w:r>
              <w:rPr>
                <w:sz w:val="24"/>
              </w:rPr>
            </w:r>
            <w:r/>
          </w:p>
        </w:tc>
      </w:tr>
      <w:tr>
        <w:trPr>
          <w:cantSplit/>
          <w:trHeight w:val="300"/>
        </w:trPr>
        <w:tc>
          <w:tcPr>
            <w:tcW w:w="525"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必要的情况更换新液位计。</w:t>
            </w:r>
            <w:r>
              <w:rPr>
                <w:sz w:val="24"/>
              </w:rPr>
            </w:r>
            <w:r/>
          </w:p>
        </w:tc>
      </w:tr>
      <w:tr>
        <w:trPr>
          <w:cantSplit/>
          <w:trHeight w:val="600"/>
        </w:trPr>
        <w:tc>
          <w:tcPr>
            <w:tcW w:w="525" w:type="dxa"/>
            <w:vAlign w:val="center"/>
            <w:vMerge w:val="restart"/>
            <w:textDirection w:val="lrTb"/>
            <w:noWrap w:val="false"/>
          </w:tcPr>
          <w:p>
            <w:pPr>
              <w:pStyle w:val="963"/>
              <w:jc w:val="center"/>
              <w:spacing w:line="360" w:lineRule="auto"/>
              <w:widowControl/>
              <w:rPr>
                <w:sz w:val="24"/>
              </w:rPr>
            </w:pPr>
            <w:r>
              <w:rPr>
                <w:sz w:val="24"/>
              </w:rPr>
              <w:t xml:space="preserve">4</w:t>
            </w:r>
            <w:r>
              <w:rPr>
                <w:sz w:val="24"/>
              </w:rPr>
            </w:r>
            <w:r/>
          </w:p>
        </w:tc>
        <w:tc>
          <w:tcPr>
            <w:tcW w:w="1362" w:type="dxa"/>
            <w:vAlign w:val="center"/>
            <w:vMerge w:val="restart"/>
            <w:textDirection w:val="lrTb"/>
            <w:noWrap w:val="false"/>
          </w:tcPr>
          <w:p>
            <w:pPr>
              <w:pStyle w:val="963"/>
              <w:jc w:val="center"/>
              <w:spacing w:line="360" w:lineRule="auto"/>
              <w:widowControl/>
              <w:rPr>
                <w:sz w:val="24"/>
              </w:rPr>
            </w:pPr>
            <w:r>
              <w:rPr>
                <w:sz w:val="24"/>
              </w:rPr>
              <w:t xml:space="preserve">清洗样水杯喷头</w:t>
            </w:r>
            <w:r>
              <w:rPr>
                <w:sz w:val="24"/>
              </w:rPr>
            </w:r>
            <w:r/>
          </w:p>
        </w:tc>
        <w:tc>
          <w:tcPr>
            <w:tcW w:w="1638" w:type="dxa"/>
            <w:vAlign w:val="center"/>
            <w:vMerge w:val="restart"/>
            <w:textDirection w:val="lrTb"/>
            <w:noWrap w:val="false"/>
          </w:tcPr>
          <w:p>
            <w:pPr>
              <w:pStyle w:val="963"/>
              <w:jc w:val="center"/>
              <w:spacing w:line="360" w:lineRule="auto"/>
              <w:widowControl/>
              <w:rPr>
                <w:sz w:val="24"/>
              </w:rPr>
            </w:pPr>
            <w:r>
              <w:rPr>
                <w:sz w:val="24"/>
              </w:rPr>
              <w:t xml:space="preserve">1次/月，确保喷</w:t>
            </w:r>
            <w:r>
              <w:rPr>
                <w:sz w:val="24"/>
              </w:rPr>
            </w:r>
            <w:r/>
          </w:p>
          <w:p>
            <w:pPr>
              <w:pStyle w:val="963"/>
              <w:jc w:val="center"/>
              <w:spacing w:line="360" w:lineRule="auto"/>
              <w:widowControl/>
              <w:rPr>
                <w:sz w:val="24"/>
              </w:rPr>
            </w:pPr>
            <w:r>
              <w:rPr>
                <w:sz w:val="24"/>
              </w:rPr>
              <w:t xml:space="preserve">头工作正常</w:t>
            </w:r>
            <w:r>
              <w:rPr>
                <w:sz w:val="24"/>
              </w:rPr>
            </w:r>
            <w:r/>
          </w:p>
        </w:tc>
        <w:tc>
          <w:tcPr>
            <w:tcW w:w="4788" w:type="dxa"/>
            <w:vAlign w:val="center"/>
            <w:textDirection w:val="lrTb"/>
            <w:noWrap w:val="false"/>
          </w:tcPr>
          <w:p>
            <w:pPr>
              <w:pStyle w:val="963"/>
              <w:spacing w:line="360" w:lineRule="auto"/>
              <w:widowControl/>
              <w:rPr>
                <w:sz w:val="24"/>
              </w:rPr>
            </w:pPr>
            <w:r>
              <w:rPr>
                <w:sz w:val="24"/>
              </w:rPr>
              <w:t xml:space="preserve">将样水杯清洗喷头拆下，检查是否有锈蚀状况，轻微锈蚀可采用3%稀盐酸浸泡方法清除锈蚀，严重锈蚀状况直接换新。</w:t>
            </w:r>
            <w:r>
              <w:rPr>
                <w:sz w:val="24"/>
              </w:rPr>
            </w:r>
            <w:r/>
          </w:p>
        </w:tc>
      </w:tr>
      <w:tr>
        <w:trPr>
          <w:cantSplit/>
          <w:trHeight w:val="300"/>
        </w:trPr>
        <w:tc>
          <w:tcPr>
            <w:tcW w:w="525"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将喷头原样装回后注意调节喷头配水强度。</w:t>
            </w:r>
            <w:r>
              <w:rPr>
                <w:sz w:val="24"/>
              </w:rPr>
            </w:r>
            <w:r/>
          </w:p>
        </w:tc>
      </w:tr>
      <w:tr>
        <w:trPr>
          <w:cantSplit/>
          <w:trHeight w:val="285"/>
        </w:trPr>
        <w:tc>
          <w:tcPr>
            <w:tcW w:w="525" w:type="dxa"/>
            <w:vAlign w:val="center"/>
            <w:vMerge w:val="restart"/>
            <w:textDirection w:val="lrTb"/>
            <w:noWrap w:val="false"/>
          </w:tcPr>
          <w:p>
            <w:pPr>
              <w:pStyle w:val="963"/>
              <w:jc w:val="center"/>
              <w:spacing w:line="360" w:lineRule="auto"/>
              <w:widowControl/>
              <w:rPr>
                <w:sz w:val="24"/>
              </w:rPr>
            </w:pPr>
            <w:r>
              <w:rPr>
                <w:sz w:val="24"/>
              </w:rPr>
              <w:t xml:space="preserve">5</w:t>
            </w:r>
            <w:r>
              <w:rPr>
                <w:sz w:val="24"/>
              </w:rPr>
            </w:r>
            <w:r/>
          </w:p>
        </w:tc>
        <w:tc>
          <w:tcPr>
            <w:tcW w:w="1362" w:type="dxa"/>
            <w:vAlign w:val="center"/>
            <w:vMerge w:val="restart"/>
            <w:textDirection w:val="lrTb"/>
            <w:noWrap w:val="false"/>
          </w:tcPr>
          <w:p>
            <w:pPr>
              <w:pStyle w:val="963"/>
              <w:jc w:val="center"/>
              <w:spacing w:line="360" w:lineRule="auto"/>
              <w:widowControl/>
              <w:rPr>
                <w:sz w:val="24"/>
              </w:rPr>
            </w:pPr>
            <w:r>
              <w:rPr>
                <w:sz w:val="24"/>
              </w:rPr>
              <w:t xml:space="preserve">蠕动泵负载检查</w:t>
            </w:r>
            <w:r>
              <w:rPr>
                <w:sz w:val="24"/>
              </w:rPr>
            </w:r>
            <w:r/>
          </w:p>
        </w:tc>
        <w:tc>
          <w:tcPr>
            <w:tcW w:w="1638" w:type="dxa"/>
            <w:vAlign w:val="center"/>
            <w:vMerge w:val="restart"/>
            <w:textDirection w:val="lrTb"/>
            <w:noWrap w:val="false"/>
          </w:tcPr>
          <w:p>
            <w:pPr>
              <w:pStyle w:val="963"/>
              <w:jc w:val="center"/>
              <w:spacing w:line="360" w:lineRule="auto"/>
              <w:widowControl/>
              <w:rPr>
                <w:sz w:val="24"/>
              </w:rPr>
            </w:pPr>
            <w:r>
              <w:rPr>
                <w:sz w:val="24"/>
              </w:rPr>
              <w:t xml:space="preserve">1次/月，确保蠕</w:t>
            </w:r>
            <w:r>
              <w:rPr>
                <w:sz w:val="24"/>
              </w:rPr>
            </w:r>
            <w:r/>
          </w:p>
          <w:p>
            <w:pPr>
              <w:pStyle w:val="963"/>
              <w:jc w:val="center"/>
              <w:spacing w:line="360" w:lineRule="auto"/>
              <w:widowControl/>
              <w:rPr>
                <w:sz w:val="24"/>
              </w:rPr>
            </w:pPr>
            <w:r>
              <w:rPr>
                <w:sz w:val="24"/>
              </w:rPr>
              <w:t xml:space="preserve">动泵无堵塞和</w:t>
            </w:r>
            <w:r>
              <w:rPr>
                <w:sz w:val="24"/>
              </w:rPr>
            </w:r>
            <w:r/>
          </w:p>
          <w:p>
            <w:pPr>
              <w:pStyle w:val="963"/>
              <w:jc w:val="center"/>
              <w:spacing w:line="360" w:lineRule="auto"/>
              <w:widowControl/>
              <w:rPr>
                <w:sz w:val="24"/>
              </w:rPr>
            </w:pPr>
            <w:r>
              <w:rPr>
                <w:sz w:val="24"/>
              </w:rPr>
              <w:t xml:space="preserve">渗漏，计量准确</w:t>
            </w:r>
            <w:r>
              <w:rPr>
                <w:sz w:val="24"/>
              </w:rPr>
            </w:r>
            <w:r/>
          </w:p>
        </w:tc>
        <w:tc>
          <w:tcPr>
            <w:tcW w:w="4788" w:type="dxa"/>
            <w:vAlign w:val="center"/>
            <w:textDirection w:val="lrTb"/>
            <w:noWrap w:val="false"/>
          </w:tcPr>
          <w:p>
            <w:pPr>
              <w:pStyle w:val="963"/>
              <w:spacing w:line="360" w:lineRule="auto"/>
              <w:widowControl/>
              <w:rPr>
                <w:sz w:val="24"/>
              </w:rPr>
            </w:pPr>
            <w:r>
              <w:rPr>
                <w:sz w:val="24"/>
              </w:rPr>
              <w:t xml:space="preserve">按蠕动泵说明书要求，检查输出扭矩。</w:t>
            </w:r>
            <w:r>
              <w:rPr>
                <w:sz w:val="24"/>
              </w:rPr>
            </w:r>
            <w:r/>
          </w:p>
        </w:tc>
      </w:tr>
      <w:tr>
        <w:trPr>
          <w:cantSplit/>
          <w:trHeight w:val="300"/>
        </w:trPr>
        <w:tc>
          <w:tcPr>
            <w:tcW w:w="525"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若不符合说明书规定要求，及时更换泵管</w:t>
            </w:r>
            <w:r>
              <w:rPr>
                <w:sz w:val="24"/>
              </w:rPr>
            </w:r>
            <w:r/>
          </w:p>
        </w:tc>
      </w:tr>
      <w:tr>
        <w:trPr>
          <w:cantSplit/>
          <w:trHeight w:val="285"/>
        </w:trPr>
        <w:tc>
          <w:tcPr>
            <w:tcW w:w="525" w:type="dxa"/>
            <w:vAlign w:val="center"/>
            <w:vMerge w:val="restart"/>
            <w:textDirection w:val="lrTb"/>
            <w:noWrap w:val="false"/>
          </w:tcPr>
          <w:p>
            <w:pPr>
              <w:pStyle w:val="963"/>
              <w:jc w:val="center"/>
              <w:spacing w:line="360" w:lineRule="auto"/>
              <w:widowControl/>
              <w:rPr>
                <w:sz w:val="24"/>
              </w:rPr>
            </w:pPr>
            <w:r>
              <w:rPr>
                <w:sz w:val="24"/>
              </w:rPr>
              <w:t xml:space="preserve">6</w:t>
            </w:r>
            <w:r>
              <w:rPr>
                <w:sz w:val="24"/>
              </w:rPr>
            </w:r>
            <w:r/>
          </w:p>
        </w:tc>
        <w:tc>
          <w:tcPr>
            <w:tcW w:w="1362" w:type="dxa"/>
            <w:vAlign w:val="center"/>
            <w:vMerge w:val="restart"/>
            <w:textDirection w:val="lrTb"/>
            <w:noWrap w:val="false"/>
          </w:tcPr>
          <w:p>
            <w:pPr>
              <w:pStyle w:val="963"/>
              <w:jc w:val="center"/>
              <w:spacing w:line="360" w:lineRule="auto"/>
              <w:widowControl/>
              <w:rPr>
                <w:sz w:val="24"/>
              </w:rPr>
            </w:pPr>
            <w:r>
              <w:rPr>
                <w:sz w:val="24"/>
              </w:rPr>
              <w:t xml:space="preserve">液位观察管清洗</w:t>
            </w:r>
            <w:r>
              <w:rPr>
                <w:sz w:val="24"/>
              </w:rPr>
            </w:r>
            <w:r/>
          </w:p>
        </w:tc>
        <w:tc>
          <w:tcPr>
            <w:tcW w:w="1638" w:type="dxa"/>
            <w:vAlign w:val="center"/>
            <w:vMerge w:val="restart"/>
            <w:textDirection w:val="lrTb"/>
            <w:noWrap w:val="false"/>
          </w:tcPr>
          <w:p>
            <w:pPr>
              <w:pStyle w:val="963"/>
              <w:jc w:val="center"/>
              <w:spacing w:line="360" w:lineRule="auto"/>
              <w:widowControl/>
              <w:rPr>
                <w:sz w:val="24"/>
              </w:rPr>
            </w:pPr>
            <w:r>
              <w:rPr>
                <w:sz w:val="24"/>
              </w:rPr>
              <w:t xml:space="preserve">1次/月，确保液</w:t>
            </w:r>
            <w:r>
              <w:rPr>
                <w:sz w:val="24"/>
              </w:rPr>
            </w:r>
            <w:r/>
          </w:p>
          <w:p>
            <w:pPr>
              <w:pStyle w:val="963"/>
              <w:jc w:val="center"/>
              <w:spacing w:line="360" w:lineRule="auto"/>
              <w:widowControl/>
              <w:rPr>
                <w:sz w:val="24"/>
              </w:rPr>
            </w:pPr>
            <w:r>
              <w:rPr>
                <w:sz w:val="24"/>
              </w:rPr>
              <w:t xml:space="preserve">位观察管清洗透明</w:t>
            </w:r>
            <w:r>
              <w:rPr>
                <w:sz w:val="24"/>
              </w:rPr>
            </w:r>
            <w:r/>
          </w:p>
        </w:tc>
        <w:tc>
          <w:tcPr>
            <w:tcW w:w="4788" w:type="dxa"/>
            <w:vAlign w:val="center"/>
            <w:textDirection w:val="lrTb"/>
            <w:noWrap w:val="false"/>
          </w:tcPr>
          <w:p>
            <w:pPr>
              <w:pStyle w:val="963"/>
              <w:spacing w:line="360" w:lineRule="auto"/>
              <w:widowControl/>
              <w:rPr>
                <w:sz w:val="24"/>
              </w:rPr>
            </w:pPr>
            <w:r>
              <w:rPr>
                <w:sz w:val="24"/>
              </w:rPr>
              <w:t xml:space="preserve">拆下透明管清除脏污，用试管刷清洗干净。</w:t>
            </w:r>
            <w:r>
              <w:rPr>
                <w:sz w:val="24"/>
              </w:rPr>
            </w:r>
            <w:r/>
          </w:p>
        </w:tc>
      </w:tr>
      <w:tr>
        <w:trPr>
          <w:cantSplit/>
          <w:trHeight w:val="300"/>
        </w:trPr>
        <w:tc>
          <w:tcPr>
            <w:tcW w:w="525"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拆卸部件原样装回。</w:t>
            </w:r>
            <w:r>
              <w:rPr>
                <w:sz w:val="24"/>
              </w:rPr>
            </w:r>
            <w:r/>
          </w:p>
        </w:tc>
      </w:tr>
      <w:tr>
        <w:trPr>
          <w:cantSplit/>
          <w:trHeight w:val="300"/>
        </w:trPr>
        <w:tc>
          <w:tcPr>
            <w:tcW w:w="525" w:type="dxa"/>
            <w:vAlign w:val="center"/>
            <w:vMerge w:val="restart"/>
            <w:textDirection w:val="lrTb"/>
            <w:noWrap w:val="false"/>
          </w:tcPr>
          <w:p>
            <w:pPr>
              <w:pStyle w:val="963"/>
              <w:jc w:val="center"/>
              <w:spacing w:line="360" w:lineRule="auto"/>
              <w:widowControl/>
              <w:rPr>
                <w:sz w:val="24"/>
              </w:rPr>
            </w:pPr>
            <w:r>
              <w:rPr>
                <w:sz w:val="24"/>
              </w:rPr>
              <w:t xml:space="preserve">7</w:t>
            </w:r>
            <w:r>
              <w:rPr>
                <w:sz w:val="24"/>
              </w:rPr>
            </w:r>
            <w:r/>
          </w:p>
        </w:tc>
        <w:tc>
          <w:tcPr>
            <w:tcW w:w="1362" w:type="dxa"/>
            <w:vAlign w:val="center"/>
            <w:vMerge w:val="restart"/>
            <w:textDirection w:val="lrTb"/>
            <w:noWrap w:val="false"/>
          </w:tcPr>
          <w:p>
            <w:pPr>
              <w:pStyle w:val="963"/>
              <w:jc w:val="center"/>
              <w:spacing w:line="360" w:lineRule="auto"/>
              <w:widowControl/>
              <w:rPr>
                <w:sz w:val="24"/>
              </w:rPr>
            </w:pPr>
            <w:r>
              <w:rPr>
                <w:sz w:val="24"/>
              </w:rPr>
              <w:t xml:space="preserve">取水系统综合测试</w:t>
            </w:r>
            <w:r>
              <w:rPr>
                <w:sz w:val="24"/>
              </w:rPr>
            </w:r>
            <w:r/>
          </w:p>
        </w:tc>
        <w:tc>
          <w:tcPr>
            <w:tcW w:w="1638" w:type="dxa"/>
            <w:vAlign w:val="center"/>
            <w:vMerge w:val="restart"/>
            <w:textDirection w:val="lrTb"/>
            <w:noWrap w:val="false"/>
          </w:tcPr>
          <w:p>
            <w:pPr>
              <w:pStyle w:val="963"/>
              <w:jc w:val="center"/>
              <w:spacing w:line="360" w:lineRule="auto"/>
              <w:widowControl/>
              <w:rPr>
                <w:sz w:val="24"/>
              </w:rPr>
            </w:pPr>
            <w:r>
              <w:rPr>
                <w:sz w:val="24"/>
              </w:rPr>
              <w:t xml:space="preserve">1次/1月，确保</w:t>
            </w:r>
            <w:r>
              <w:rPr>
                <w:sz w:val="24"/>
              </w:rPr>
            </w:r>
            <w:r/>
          </w:p>
          <w:p>
            <w:pPr>
              <w:pStyle w:val="963"/>
              <w:jc w:val="center"/>
              <w:spacing w:line="360" w:lineRule="auto"/>
              <w:widowControl/>
              <w:rPr>
                <w:sz w:val="24"/>
              </w:rPr>
            </w:pPr>
            <w:r>
              <w:rPr>
                <w:sz w:val="24"/>
              </w:rPr>
              <w:t xml:space="preserve">系统取水正常</w:t>
            </w:r>
            <w:r>
              <w:rPr>
                <w:sz w:val="24"/>
              </w:rPr>
            </w:r>
            <w:r/>
          </w:p>
        </w:tc>
        <w:tc>
          <w:tcPr>
            <w:tcW w:w="4788" w:type="dxa"/>
            <w:vAlign w:val="center"/>
            <w:textDirection w:val="lrTb"/>
            <w:noWrap w:val="false"/>
          </w:tcPr>
          <w:p>
            <w:pPr>
              <w:pStyle w:val="963"/>
              <w:spacing w:line="360" w:lineRule="auto"/>
              <w:widowControl/>
              <w:rPr>
                <w:sz w:val="24"/>
              </w:rPr>
            </w:pPr>
            <w:r>
              <w:rPr>
                <w:sz w:val="24"/>
              </w:rPr>
              <w:t xml:space="preserve">完成上述测试后复原所有阀门到正确位置。</w:t>
            </w:r>
            <w:r>
              <w:rPr>
                <w:sz w:val="24"/>
              </w:rPr>
            </w:r>
            <w:r/>
          </w:p>
        </w:tc>
      </w:tr>
      <w:tr>
        <w:trPr>
          <w:cantSplit/>
          <w:trHeight w:val="300"/>
        </w:trPr>
        <w:tc>
          <w:tcPr>
            <w:tcW w:w="525"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检查各个接头是否松动，各个电动球阀接线是否完好。</w:t>
            </w:r>
            <w:r>
              <w:rPr>
                <w:sz w:val="24"/>
              </w:rPr>
            </w:r>
            <w:r/>
          </w:p>
        </w:tc>
      </w:tr>
      <w:tr>
        <w:trPr>
          <w:cantSplit/>
          <w:trHeight w:val="300"/>
        </w:trPr>
        <w:tc>
          <w:tcPr>
            <w:tcW w:w="525"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textDirection w:val="lrTb"/>
            <w:noWrap w:val="false"/>
          </w:tcPr>
          <w:p>
            <w:pPr>
              <w:pStyle w:val="963"/>
              <w:spacing w:line="360" w:lineRule="auto"/>
              <w:widowControl/>
              <w:rPr>
                <w:sz w:val="24"/>
              </w:rPr>
            </w:pPr>
            <w:r>
              <w:rPr>
                <w:sz w:val="24"/>
              </w:rPr>
              <w:t xml:space="preserve">检查无误情况下，系统复电，检查整个取水流程是否正常。</w:t>
            </w:r>
            <w:r>
              <w:rPr>
                <w:sz w:val="24"/>
              </w:rPr>
            </w:r>
            <w:r/>
          </w:p>
        </w:tc>
      </w:tr>
      <w:tr>
        <w:trPr>
          <w:trHeight w:val="300"/>
        </w:trPr>
        <w:tc>
          <w:tcPr>
            <w:tcW w:w="525" w:type="dxa"/>
            <w:vAlign w:val="center"/>
            <w:textDirection w:val="lrTb"/>
            <w:noWrap w:val="false"/>
          </w:tcPr>
          <w:p>
            <w:pPr>
              <w:pStyle w:val="963"/>
              <w:jc w:val="center"/>
              <w:spacing w:line="360" w:lineRule="auto"/>
              <w:widowControl/>
              <w:rPr>
                <w:sz w:val="24"/>
              </w:rPr>
            </w:pPr>
            <w:r>
              <w:rPr>
                <w:sz w:val="24"/>
              </w:rPr>
              <w:t xml:space="preserve">8</w:t>
            </w:r>
            <w:r>
              <w:rPr>
                <w:sz w:val="24"/>
              </w:rPr>
            </w:r>
            <w:r/>
          </w:p>
        </w:tc>
        <w:tc>
          <w:tcPr>
            <w:tcW w:w="1362" w:type="dxa"/>
            <w:vAlign w:val="center"/>
            <w:textDirection w:val="lrTb"/>
            <w:noWrap w:val="false"/>
          </w:tcPr>
          <w:p>
            <w:pPr>
              <w:pStyle w:val="963"/>
              <w:jc w:val="center"/>
              <w:spacing w:line="360" w:lineRule="auto"/>
              <w:widowControl/>
              <w:rPr>
                <w:sz w:val="24"/>
              </w:rPr>
            </w:pPr>
            <w:r>
              <w:rPr>
                <w:sz w:val="24"/>
              </w:rPr>
              <w:t xml:space="preserve">高锰酸盐指数分析仪</w:t>
            </w:r>
            <w:r>
              <w:rPr>
                <w:sz w:val="24"/>
              </w:rPr>
            </w:r>
            <w:r/>
          </w:p>
        </w:tc>
        <w:tc>
          <w:tcPr>
            <w:tcW w:w="1638" w:type="dxa"/>
            <w:vAlign w:val="center"/>
            <w:textDirection w:val="lrTb"/>
            <w:noWrap w:val="false"/>
          </w:tcPr>
          <w:p>
            <w:pPr>
              <w:pStyle w:val="963"/>
              <w:jc w:val="center"/>
              <w:spacing w:line="360" w:lineRule="auto"/>
              <w:widowControl/>
              <w:rPr>
                <w:sz w:val="24"/>
              </w:rPr>
            </w:pPr>
            <w:r>
              <w:rPr>
                <w:sz w:val="24"/>
              </w:rPr>
              <w:t xml:space="preserve">2次/月，更换试</w:t>
            </w:r>
            <w:r>
              <w:rPr>
                <w:sz w:val="24"/>
              </w:rPr>
            </w:r>
            <w:r/>
          </w:p>
          <w:p>
            <w:pPr>
              <w:pStyle w:val="963"/>
              <w:jc w:val="center"/>
              <w:spacing w:line="360" w:lineRule="auto"/>
              <w:widowControl/>
              <w:rPr>
                <w:sz w:val="24"/>
              </w:rPr>
            </w:pPr>
            <w:r>
              <w:rPr>
                <w:sz w:val="24"/>
              </w:rPr>
              <w:t xml:space="preserve">剂并校正，确保</w:t>
            </w:r>
            <w:r>
              <w:rPr>
                <w:sz w:val="24"/>
              </w:rPr>
            </w:r>
            <w:r/>
          </w:p>
          <w:p>
            <w:pPr>
              <w:pStyle w:val="963"/>
              <w:jc w:val="center"/>
              <w:spacing w:line="360" w:lineRule="auto"/>
              <w:widowControl/>
              <w:rPr>
                <w:sz w:val="24"/>
              </w:rPr>
            </w:pPr>
            <w:r>
              <w:rPr>
                <w:sz w:val="24"/>
              </w:rPr>
              <w:t xml:space="preserve">数据正常</w:t>
            </w:r>
            <w:r>
              <w:rPr>
                <w:sz w:val="24"/>
              </w:rPr>
            </w:r>
            <w:r/>
          </w:p>
        </w:tc>
        <w:tc>
          <w:tcPr>
            <w:tcW w:w="4788" w:type="dxa"/>
            <w:vAlign w:val="center"/>
            <w:textDirection w:val="lrTb"/>
            <w:noWrap w:val="false"/>
          </w:tcPr>
          <w:p>
            <w:pPr>
              <w:pStyle w:val="963"/>
              <w:spacing w:line="360" w:lineRule="auto"/>
              <w:widowControl/>
              <w:rPr>
                <w:sz w:val="24"/>
              </w:rPr>
            </w:pPr>
            <w:r>
              <w:rPr>
                <w:sz w:val="24"/>
              </w:rPr>
              <w:t xml:space="preserve">更换标准校对液和分析试剂，一般不超过15天，夏天视情况缩短更换周期。更换试剂时要将前一批的试剂全部更换干净，而不是补充试剂。</w:t>
            </w:r>
            <w:r>
              <w:rPr>
                <w:sz w:val="24"/>
              </w:rPr>
            </w:r>
            <w:r/>
          </w:p>
          <w:p>
            <w:pPr>
              <w:pStyle w:val="963"/>
              <w:spacing w:line="360" w:lineRule="auto"/>
              <w:widowControl/>
              <w:rPr>
                <w:sz w:val="24"/>
              </w:rPr>
            </w:pPr>
            <w:r>
              <w:rPr>
                <w:sz w:val="24"/>
              </w:rPr>
              <w:t xml:space="preserve">试剂更换完毕须校正仪器，确保校正数据符合仪器要求。</w:t>
            </w:r>
            <w:r>
              <w:rPr>
                <w:sz w:val="24"/>
              </w:rPr>
            </w:r>
            <w:r/>
          </w:p>
        </w:tc>
      </w:tr>
      <w:tr>
        <w:trPr>
          <w:cantSplit/>
          <w:trHeight w:val="300"/>
        </w:trPr>
        <w:tc>
          <w:tcPr>
            <w:tcW w:w="525" w:type="dxa"/>
            <w:vAlign w:val="center"/>
            <w:textDirection w:val="lrTb"/>
            <w:noWrap w:val="false"/>
          </w:tcPr>
          <w:p>
            <w:pPr>
              <w:pStyle w:val="963"/>
              <w:jc w:val="center"/>
              <w:spacing w:line="360" w:lineRule="auto"/>
              <w:widowControl/>
              <w:rPr>
                <w:sz w:val="24"/>
              </w:rPr>
            </w:pPr>
            <w:r>
              <w:rPr>
                <w:sz w:val="24"/>
              </w:rPr>
              <w:t xml:space="preserve">9</w:t>
            </w:r>
            <w:r>
              <w:rPr>
                <w:sz w:val="24"/>
              </w:rPr>
            </w:r>
            <w:r/>
          </w:p>
        </w:tc>
        <w:tc>
          <w:tcPr>
            <w:tcW w:w="1362" w:type="dxa"/>
            <w:vAlign w:val="center"/>
            <w:textDirection w:val="lrTb"/>
            <w:noWrap w:val="false"/>
          </w:tcPr>
          <w:p>
            <w:pPr>
              <w:pStyle w:val="963"/>
              <w:jc w:val="center"/>
              <w:spacing w:line="360" w:lineRule="auto"/>
              <w:widowControl/>
              <w:rPr>
                <w:sz w:val="24"/>
              </w:rPr>
            </w:pPr>
            <w:r>
              <w:rPr>
                <w:sz w:val="24"/>
              </w:rPr>
              <w:t xml:space="preserve">氨氮分析仪</w:t>
            </w:r>
            <w:r>
              <w:rPr>
                <w:sz w:val="24"/>
              </w:rPr>
            </w:r>
            <w:r/>
          </w:p>
        </w:tc>
        <w:tc>
          <w:tcPr>
            <w:tcW w:w="1638" w:type="dxa"/>
            <w:vAlign w:val="center"/>
            <w:vMerge w:val="restart"/>
            <w:textDirection w:val="lrTb"/>
            <w:noWrap w:val="false"/>
          </w:tcPr>
          <w:p>
            <w:pPr>
              <w:pStyle w:val="963"/>
              <w:jc w:val="center"/>
              <w:spacing w:line="360" w:lineRule="auto"/>
              <w:widowControl/>
              <w:rPr>
                <w:sz w:val="24"/>
              </w:rPr>
            </w:pPr>
            <w:r>
              <w:rPr>
                <w:sz w:val="24"/>
              </w:rPr>
              <w:t xml:space="preserve">1次/月，更换试</w:t>
            </w:r>
            <w:r>
              <w:rPr>
                <w:sz w:val="24"/>
              </w:rPr>
            </w:r>
            <w:r/>
          </w:p>
          <w:p>
            <w:pPr>
              <w:pStyle w:val="963"/>
              <w:jc w:val="center"/>
              <w:spacing w:line="360" w:lineRule="auto"/>
              <w:widowControl/>
              <w:rPr>
                <w:sz w:val="24"/>
              </w:rPr>
            </w:pPr>
            <w:r>
              <w:rPr>
                <w:sz w:val="24"/>
              </w:rPr>
              <w:t xml:space="preserve">剂并校正，确保</w:t>
            </w:r>
            <w:r>
              <w:rPr>
                <w:sz w:val="24"/>
              </w:rPr>
            </w:r>
            <w:r/>
          </w:p>
          <w:p>
            <w:pPr>
              <w:pStyle w:val="963"/>
              <w:jc w:val="center"/>
              <w:spacing w:line="360" w:lineRule="auto"/>
              <w:widowControl/>
              <w:rPr>
                <w:sz w:val="24"/>
              </w:rPr>
            </w:pPr>
            <w:r>
              <w:rPr>
                <w:sz w:val="24"/>
              </w:rPr>
              <w:t xml:space="preserve">数据正常</w:t>
            </w:r>
            <w:r>
              <w:rPr>
                <w:sz w:val="24"/>
              </w:rPr>
            </w:r>
            <w:r/>
          </w:p>
        </w:tc>
        <w:tc>
          <w:tcPr>
            <w:tcW w:w="4788" w:type="dxa"/>
            <w:vAlign w:val="center"/>
            <w:vMerge w:val="restart"/>
            <w:textDirection w:val="lrTb"/>
            <w:noWrap w:val="false"/>
          </w:tcPr>
          <w:p>
            <w:pPr>
              <w:pStyle w:val="963"/>
              <w:spacing w:line="360" w:lineRule="auto"/>
              <w:widowControl/>
              <w:rPr>
                <w:sz w:val="24"/>
              </w:rPr>
            </w:pPr>
            <w:r>
              <w:rPr>
                <w:sz w:val="24"/>
              </w:rPr>
              <w:t xml:space="preserve">更换标准校对液和分析试剂，一般不超过30天，夏天视情况缩短更换周期。更换试剂时要将前一批的试剂全部更换干净，而不是补充试剂。</w:t>
            </w:r>
            <w:r>
              <w:rPr>
                <w:sz w:val="24"/>
              </w:rPr>
            </w:r>
            <w:r/>
          </w:p>
          <w:p>
            <w:pPr>
              <w:pStyle w:val="963"/>
              <w:spacing w:line="360" w:lineRule="auto"/>
              <w:widowControl/>
              <w:rPr>
                <w:sz w:val="24"/>
              </w:rPr>
            </w:pPr>
            <w:r>
              <w:rPr>
                <w:sz w:val="24"/>
              </w:rPr>
              <w:t xml:space="preserve">试剂更换完毕须校正仪器，确保校正数据符合仪器要求。</w:t>
            </w:r>
            <w:r>
              <w:rPr>
                <w:sz w:val="24"/>
              </w:rPr>
            </w:r>
            <w:r/>
          </w:p>
        </w:tc>
      </w:tr>
      <w:tr>
        <w:trPr>
          <w:cantSplit/>
          <w:trHeight w:val="300"/>
        </w:trPr>
        <w:tc>
          <w:tcPr>
            <w:tcW w:w="525" w:type="dxa"/>
            <w:vAlign w:val="center"/>
            <w:textDirection w:val="lrTb"/>
            <w:noWrap w:val="false"/>
          </w:tcPr>
          <w:p>
            <w:pPr>
              <w:pStyle w:val="963"/>
              <w:jc w:val="center"/>
              <w:spacing w:line="360" w:lineRule="auto"/>
              <w:widowControl/>
              <w:rPr>
                <w:sz w:val="24"/>
              </w:rPr>
            </w:pPr>
            <w:r>
              <w:rPr>
                <w:sz w:val="24"/>
              </w:rPr>
              <w:t xml:space="preserve">10</w:t>
            </w:r>
            <w:r>
              <w:rPr>
                <w:sz w:val="24"/>
              </w:rPr>
            </w:r>
            <w:r/>
          </w:p>
        </w:tc>
        <w:tc>
          <w:tcPr>
            <w:tcW w:w="1362" w:type="dxa"/>
            <w:vAlign w:val="center"/>
            <w:textDirection w:val="lrTb"/>
            <w:noWrap w:val="false"/>
          </w:tcPr>
          <w:p>
            <w:pPr>
              <w:pStyle w:val="963"/>
              <w:jc w:val="center"/>
              <w:spacing w:line="360" w:lineRule="auto"/>
              <w:widowControl/>
              <w:rPr>
                <w:sz w:val="24"/>
              </w:rPr>
            </w:pPr>
            <w:r>
              <w:rPr>
                <w:sz w:val="24"/>
              </w:rPr>
              <w:t xml:space="preserve">总磷总氮分析仪</w:t>
            </w:r>
            <w:r>
              <w:rPr>
                <w:sz w:val="24"/>
              </w:rPr>
            </w:r>
            <w:r/>
          </w:p>
        </w:tc>
        <w:tc>
          <w:tcPr>
            <w:tcW w:w="1638"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88" w:type="dxa"/>
            <w:vAlign w:val="center"/>
            <w:vMerge w:val="continue"/>
            <w:textDirection w:val="lrTb"/>
            <w:noWrap w:val="false"/>
          </w:tcPr>
          <w:p>
            <w:pPr>
              <w:pStyle w:val="963"/>
              <w:jc w:val="left"/>
              <w:spacing w:line="360" w:lineRule="auto"/>
              <w:widowControl/>
              <w:rPr>
                <w:color w:val="000000"/>
                <w:sz w:val="24"/>
              </w:rPr>
            </w:pPr>
            <w:r>
              <w:rPr>
                <w:color w:val="000000"/>
                <w:sz w:val="24"/>
              </w:rPr>
            </w:r>
            <w:r/>
          </w:p>
        </w:tc>
      </w:tr>
      <w:tr>
        <w:trPr>
          <w:trHeight w:val="285"/>
        </w:trPr>
        <w:tc>
          <w:tcPr>
            <w:tcW w:w="525" w:type="dxa"/>
            <w:vAlign w:val="center"/>
            <w:textDirection w:val="lrTb"/>
            <w:noWrap w:val="false"/>
          </w:tcPr>
          <w:p>
            <w:pPr>
              <w:pStyle w:val="963"/>
              <w:jc w:val="center"/>
              <w:spacing w:line="360" w:lineRule="auto"/>
              <w:widowControl/>
              <w:rPr>
                <w:sz w:val="24"/>
              </w:rPr>
            </w:pPr>
            <w:r>
              <w:rPr>
                <w:sz w:val="24"/>
              </w:rPr>
              <w:t xml:space="preserve">11</w:t>
            </w:r>
            <w:r>
              <w:rPr>
                <w:sz w:val="24"/>
              </w:rPr>
            </w:r>
            <w:r/>
          </w:p>
        </w:tc>
        <w:tc>
          <w:tcPr>
            <w:tcW w:w="1362" w:type="dxa"/>
            <w:vAlign w:val="center"/>
            <w:textDirection w:val="lrTb"/>
            <w:noWrap w:val="false"/>
          </w:tcPr>
          <w:p>
            <w:pPr>
              <w:pStyle w:val="963"/>
              <w:jc w:val="center"/>
              <w:spacing w:line="360" w:lineRule="auto"/>
              <w:widowControl/>
              <w:rPr>
                <w:sz w:val="24"/>
              </w:rPr>
            </w:pPr>
            <w:r>
              <w:rPr>
                <w:sz w:val="24"/>
              </w:rPr>
              <w:t xml:space="preserve">五参数分析仪</w:t>
            </w:r>
            <w:r>
              <w:rPr>
                <w:sz w:val="24"/>
              </w:rPr>
            </w:r>
            <w:r/>
          </w:p>
        </w:tc>
        <w:tc>
          <w:tcPr>
            <w:tcW w:w="1638" w:type="dxa"/>
            <w:vAlign w:val="center"/>
            <w:textDirection w:val="lrTb"/>
            <w:noWrap w:val="false"/>
          </w:tcPr>
          <w:p>
            <w:pPr>
              <w:pStyle w:val="963"/>
              <w:jc w:val="center"/>
              <w:spacing w:line="360" w:lineRule="auto"/>
              <w:widowControl/>
              <w:rPr>
                <w:sz w:val="24"/>
              </w:rPr>
            </w:pPr>
            <w:r>
              <w:rPr>
                <w:sz w:val="24"/>
              </w:rPr>
              <w:t xml:space="preserve">1次/月，校正pH</w:t>
            </w:r>
            <w:r>
              <w:rPr>
                <w:sz w:val="24"/>
              </w:rPr>
            </w:r>
            <w:r/>
          </w:p>
          <w:p>
            <w:pPr>
              <w:pStyle w:val="963"/>
              <w:jc w:val="center"/>
              <w:spacing w:line="360" w:lineRule="auto"/>
              <w:widowControl/>
              <w:rPr>
                <w:sz w:val="24"/>
              </w:rPr>
            </w:pPr>
            <w:r>
              <w:rPr>
                <w:sz w:val="24"/>
              </w:rPr>
              <w:t xml:space="preserve">和溶解氧电极，</w:t>
            </w:r>
            <w:r>
              <w:rPr>
                <w:sz w:val="24"/>
              </w:rPr>
            </w:r>
            <w:r/>
          </w:p>
          <w:p>
            <w:pPr>
              <w:pStyle w:val="963"/>
              <w:jc w:val="center"/>
              <w:spacing w:line="360" w:lineRule="auto"/>
              <w:widowControl/>
              <w:rPr>
                <w:sz w:val="24"/>
              </w:rPr>
            </w:pPr>
            <w:r>
              <w:rPr>
                <w:sz w:val="24"/>
              </w:rPr>
              <w:t xml:space="preserve">确保数据正常</w:t>
            </w:r>
            <w:r>
              <w:rPr>
                <w:sz w:val="24"/>
              </w:rPr>
            </w:r>
            <w:r/>
          </w:p>
        </w:tc>
        <w:tc>
          <w:tcPr>
            <w:tcW w:w="4788" w:type="dxa"/>
            <w:vAlign w:val="center"/>
            <w:textDirection w:val="lrTb"/>
            <w:noWrap w:val="false"/>
          </w:tcPr>
          <w:p>
            <w:pPr>
              <w:pStyle w:val="963"/>
              <w:spacing w:line="360" w:lineRule="auto"/>
              <w:widowControl/>
              <w:rPr>
                <w:sz w:val="24"/>
              </w:rPr>
            </w:pPr>
            <w:r>
              <w:rPr>
                <w:sz w:val="24"/>
              </w:rPr>
              <w:t xml:space="preserve">校正pH和溶解氧电极，确保校正数据符合仪器要求。</w:t>
            </w:r>
            <w:r>
              <w:rPr>
                <w:sz w:val="24"/>
              </w:rPr>
            </w:r>
            <w:r/>
          </w:p>
        </w:tc>
      </w:tr>
    </w:tbl>
    <w:p>
      <w:pPr>
        <w:pStyle w:val="963"/>
        <w:numPr>
          <w:ilvl w:val="0"/>
          <w:numId w:val="38"/>
        </w:numPr>
        <w:ind w:left="0" w:firstLine="480"/>
        <w:jc w:val="left"/>
        <w:spacing w:line="360" w:lineRule="auto"/>
        <w:widowControl/>
        <w:rPr>
          <w:color w:val="000000"/>
          <w:sz w:val="24"/>
        </w:rPr>
      </w:pPr>
      <w:r>
        <w:rPr>
          <w:color w:val="000000"/>
          <w:sz w:val="24"/>
        </w:rPr>
        <w:t xml:space="preserve">每2月工作内容</w:t>
      </w:r>
      <w:r>
        <w:rPr>
          <w:color w:val="000000"/>
          <w:sz w:val="24"/>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34"/>
        <w:gridCol w:w="1355"/>
        <w:gridCol w:w="1701"/>
        <w:gridCol w:w="4723"/>
      </w:tblGrid>
      <w:tr>
        <w:trPr>
          <w:trHeight w:val="576"/>
        </w:trPr>
        <w:tc>
          <w:tcPr>
            <w:tcW w:w="534" w:type="dxa"/>
            <w:vAlign w:val="center"/>
            <w:textDirection w:val="lrTb"/>
            <w:noWrap w:val="false"/>
          </w:tcPr>
          <w:p>
            <w:pPr>
              <w:pStyle w:val="963"/>
              <w:jc w:val="center"/>
              <w:spacing w:line="360" w:lineRule="auto"/>
              <w:widowControl/>
              <w:rPr>
                <w:sz w:val="24"/>
              </w:rPr>
            </w:pPr>
            <w:r>
              <w:rPr>
                <w:sz w:val="24"/>
              </w:rPr>
              <w:t xml:space="preserve">序号</w:t>
            </w:r>
            <w:r>
              <w:rPr>
                <w:sz w:val="24"/>
              </w:rPr>
            </w:r>
            <w:r/>
          </w:p>
        </w:tc>
        <w:tc>
          <w:tcPr>
            <w:tcW w:w="1355" w:type="dxa"/>
            <w:vAlign w:val="center"/>
            <w:textDirection w:val="lrTb"/>
            <w:noWrap w:val="false"/>
          </w:tcPr>
          <w:p>
            <w:pPr>
              <w:pStyle w:val="963"/>
              <w:jc w:val="center"/>
              <w:spacing w:line="360" w:lineRule="auto"/>
              <w:widowControl/>
              <w:rPr>
                <w:sz w:val="24"/>
              </w:rPr>
            </w:pPr>
            <w:r>
              <w:rPr>
                <w:sz w:val="24"/>
              </w:rPr>
              <w:t xml:space="preserve">维护内容</w:t>
            </w:r>
            <w:r>
              <w:rPr>
                <w:sz w:val="24"/>
              </w:rPr>
            </w:r>
            <w:r/>
          </w:p>
        </w:tc>
        <w:tc>
          <w:tcPr>
            <w:tcW w:w="1701" w:type="dxa"/>
            <w:vAlign w:val="center"/>
            <w:textDirection w:val="lrTb"/>
            <w:noWrap w:val="false"/>
          </w:tcPr>
          <w:p>
            <w:pPr>
              <w:pStyle w:val="963"/>
              <w:jc w:val="center"/>
              <w:spacing w:line="360" w:lineRule="auto"/>
              <w:widowControl/>
              <w:rPr>
                <w:sz w:val="24"/>
              </w:rPr>
            </w:pPr>
            <w:r>
              <w:rPr>
                <w:sz w:val="24"/>
              </w:rPr>
              <w:t xml:space="preserve">维护周期及目标</w:t>
            </w:r>
            <w:r>
              <w:rPr>
                <w:sz w:val="24"/>
              </w:rPr>
            </w:r>
            <w:r/>
          </w:p>
        </w:tc>
        <w:tc>
          <w:tcPr>
            <w:tcW w:w="4723" w:type="dxa"/>
            <w:vAlign w:val="center"/>
            <w:textDirection w:val="lrTb"/>
            <w:noWrap w:val="false"/>
          </w:tcPr>
          <w:p>
            <w:pPr>
              <w:pStyle w:val="963"/>
              <w:jc w:val="center"/>
              <w:spacing w:line="360" w:lineRule="auto"/>
              <w:widowControl/>
              <w:rPr>
                <w:sz w:val="24"/>
              </w:rPr>
            </w:pPr>
            <w:r>
              <w:rPr>
                <w:sz w:val="24"/>
              </w:rPr>
              <w:t xml:space="preserve">维护要求</w:t>
            </w:r>
            <w:r>
              <w:rPr>
                <w:sz w:val="24"/>
              </w:rPr>
            </w:r>
            <w:r/>
          </w:p>
        </w:tc>
      </w:tr>
      <w:tr>
        <w:trPr>
          <w:trHeight w:val="300"/>
        </w:trPr>
        <w:tc>
          <w:tcPr>
            <w:tcW w:w="534" w:type="dxa"/>
            <w:vAlign w:val="center"/>
            <w:textDirection w:val="lrTb"/>
            <w:noWrap w:val="false"/>
          </w:tcPr>
          <w:p>
            <w:pPr>
              <w:pStyle w:val="963"/>
              <w:jc w:val="center"/>
              <w:spacing w:line="360" w:lineRule="auto"/>
              <w:widowControl/>
              <w:rPr>
                <w:sz w:val="24"/>
              </w:rPr>
            </w:pPr>
            <w:r>
              <w:rPr>
                <w:sz w:val="24"/>
              </w:rPr>
              <w:t xml:space="preserve">1</w:t>
            </w:r>
            <w:r>
              <w:rPr>
                <w:sz w:val="24"/>
              </w:rPr>
            </w:r>
            <w:r/>
          </w:p>
        </w:tc>
        <w:tc>
          <w:tcPr>
            <w:tcW w:w="1355" w:type="dxa"/>
            <w:vAlign w:val="center"/>
            <w:textDirection w:val="lrTb"/>
            <w:noWrap w:val="false"/>
          </w:tcPr>
          <w:p>
            <w:pPr>
              <w:pStyle w:val="963"/>
              <w:jc w:val="center"/>
              <w:spacing w:line="360" w:lineRule="auto"/>
              <w:widowControl/>
              <w:rPr>
                <w:sz w:val="24"/>
              </w:rPr>
            </w:pPr>
            <w:r>
              <w:rPr>
                <w:sz w:val="24"/>
              </w:rPr>
              <w:t xml:space="preserve">采水系统维护</w:t>
            </w:r>
            <w:r>
              <w:rPr>
                <w:sz w:val="24"/>
              </w:rPr>
            </w:r>
            <w:r/>
          </w:p>
        </w:tc>
        <w:tc>
          <w:tcPr>
            <w:tcW w:w="1701" w:type="dxa"/>
            <w:vAlign w:val="center"/>
            <w:textDirection w:val="lrTb"/>
            <w:noWrap w:val="false"/>
          </w:tcPr>
          <w:p>
            <w:pPr>
              <w:pStyle w:val="963"/>
              <w:jc w:val="center"/>
              <w:spacing w:line="360" w:lineRule="auto"/>
              <w:widowControl/>
              <w:rPr>
                <w:sz w:val="24"/>
              </w:rPr>
            </w:pPr>
            <w:r>
              <w:rPr>
                <w:sz w:val="24"/>
              </w:rPr>
              <w:t xml:space="preserve">根据不同水期，适当调整，保证采水系统正常运行</w:t>
            </w:r>
            <w:r>
              <w:rPr>
                <w:sz w:val="24"/>
              </w:rPr>
            </w:r>
            <w:r/>
          </w:p>
        </w:tc>
        <w:tc>
          <w:tcPr>
            <w:tcW w:w="4723" w:type="dxa"/>
            <w:vAlign w:val="center"/>
            <w:textDirection w:val="lrTb"/>
            <w:noWrap w:val="false"/>
          </w:tcPr>
          <w:p>
            <w:pPr>
              <w:pStyle w:val="963"/>
              <w:spacing w:line="360" w:lineRule="auto"/>
              <w:widowControl/>
              <w:rPr>
                <w:sz w:val="24"/>
              </w:rPr>
            </w:pPr>
            <w:r>
              <w:rPr>
                <w:sz w:val="24"/>
              </w:rPr>
              <w:t xml:space="preserve">对季节性断流、河道改变明显的断面水质自动站采水系统进行加固、调整采水泵。</w:t>
            </w:r>
            <w:r>
              <w:rPr>
                <w:sz w:val="24"/>
              </w:rPr>
            </w:r>
            <w:r/>
          </w:p>
        </w:tc>
      </w:tr>
      <w:tr>
        <w:trPr>
          <w:cantSplit/>
          <w:trHeight w:val="285"/>
        </w:trPr>
        <w:tc>
          <w:tcPr>
            <w:tcW w:w="534" w:type="dxa"/>
            <w:vAlign w:val="center"/>
            <w:vMerge w:val="restart"/>
            <w:textDirection w:val="lrTb"/>
            <w:noWrap w:val="false"/>
          </w:tcPr>
          <w:p>
            <w:pPr>
              <w:pStyle w:val="963"/>
              <w:jc w:val="center"/>
              <w:spacing w:line="360" w:lineRule="auto"/>
              <w:widowControl/>
              <w:rPr>
                <w:sz w:val="24"/>
              </w:rPr>
            </w:pPr>
            <w:r>
              <w:rPr>
                <w:sz w:val="24"/>
              </w:rPr>
              <w:t xml:space="preserve">2</w:t>
            </w:r>
            <w:r>
              <w:rPr>
                <w:sz w:val="24"/>
              </w:rPr>
            </w:r>
            <w:r/>
          </w:p>
        </w:tc>
        <w:tc>
          <w:tcPr>
            <w:tcW w:w="1355" w:type="dxa"/>
            <w:vAlign w:val="center"/>
            <w:vMerge w:val="restart"/>
            <w:textDirection w:val="lrTb"/>
            <w:noWrap w:val="false"/>
          </w:tcPr>
          <w:p>
            <w:pPr>
              <w:pStyle w:val="963"/>
              <w:jc w:val="center"/>
              <w:spacing w:line="360" w:lineRule="auto"/>
              <w:widowControl/>
              <w:rPr>
                <w:sz w:val="24"/>
              </w:rPr>
            </w:pPr>
            <w:r>
              <w:rPr>
                <w:sz w:val="24"/>
              </w:rPr>
              <w:t xml:space="preserve">室内管路清洗</w:t>
            </w:r>
            <w:r>
              <w:rPr>
                <w:sz w:val="24"/>
              </w:rPr>
            </w:r>
            <w:r/>
          </w:p>
        </w:tc>
        <w:tc>
          <w:tcPr>
            <w:tcW w:w="1701" w:type="dxa"/>
            <w:vAlign w:val="center"/>
            <w:vMerge w:val="restart"/>
            <w:textDirection w:val="lrTb"/>
            <w:noWrap w:val="false"/>
          </w:tcPr>
          <w:p>
            <w:pPr>
              <w:pStyle w:val="963"/>
              <w:jc w:val="center"/>
              <w:spacing w:line="360" w:lineRule="auto"/>
              <w:widowControl/>
              <w:rPr>
                <w:sz w:val="24"/>
              </w:rPr>
            </w:pPr>
            <w:r>
              <w:rPr>
                <w:sz w:val="24"/>
              </w:rPr>
              <w:t xml:space="preserve">2次/月，确保管路透明，无泥沙藻类附着</w:t>
            </w:r>
            <w:r>
              <w:rPr>
                <w:sz w:val="24"/>
              </w:rPr>
            </w:r>
            <w:r/>
          </w:p>
        </w:tc>
        <w:tc>
          <w:tcPr>
            <w:tcW w:w="4723" w:type="dxa"/>
            <w:vAlign w:val="center"/>
            <w:textDirection w:val="lrTb"/>
            <w:noWrap w:val="false"/>
          </w:tcPr>
          <w:p>
            <w:pPr>
              <w:pStyle w:val="963"/>
              <w:spacing w:line="360" w:lineRule="auto"/>
              <w:widowControl/>
              <w:rPr>
                <w:sz w:val="24"/>
              </w:rPr>
            </w:pPr>
            <w:r>
              <w:rPr>
                <w:sz w:val="24"/>
              </w:rPr>
              <w:t xml:space="preserve">手动拆卸阀门、弯头、过滤网和样水杯等部件，用试管刷清洗，清洗后原样装回。</w:t>
            </w:r>
            <w:r>
              <w:rPr>
                <w:sz w:val="24"/>
              </w:rPr>
            </w:r>
            <w:r/>
          </w:p>
        </w:tc>
      </w:tr>
      <w:tr>
        <w:trPr>
          <w:cantSplit/>
          <w:trHeight w:val="300"/>
        </w:trPr>
        <w:tc>
          <w:tcPr>
            <w:tcW w:w="534"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355"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701"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23" w:type="dxa"/>
            <w:vAlign w:val="center"/>
            <w:textDirection w:val="lrTb"/>
            <w:noWrap w:val="false"/>
          </w:tcPr>
          <w:p>
            <w:pPr>
              <w:pStyle w:val="963"/>
              <w:spacing w:line="360" w:lineRule="auto"/>
              <w:widowControl/>
              <w:rPr>
                <w:sz w:val="24"/>
              </w:rPr>
            </w:pPr>
            <w:r>
              <w:rPr>
                <w:sz w:val="24"/>
              </w:rPr>
              <w:t xml:space="preserve">检查蠕动泵进水塑胶软管脏污情况，必要的情况更换。</w:t>
            </w:r>
            <w:r>
              <w:rPr>
                <w:sz w:val="24"/>
              </w:rPr>
            </w:r>
            <w:r/>
          </w:p>
        </w:tc>
      </w:tr>
      <w:tr>
        <w:trPr>
          <w:cantSplit/>
          <w:trHeight w:val="285"/>
        </w:trPr>
        <w:tc>
          <w:tcPr>
            <w:tcW w:w="534" w:type="dxa"/>
            <w:vAlign w:val="center"/>
            <w:vMerge w:val="restart"/>
            <w:textDirection w:val="lrTb"/>
            <w:noWrap w:val="false"/>
          </w:tcPr>
          <w:p>
            <w:pPr>
              <w:pStyle w:val="963"/>
              <w:jc w:val="center"/>
              <w:spacing w:line="360" w:lineRule="auto"/>
              <w:widowControl/>
              <w:rPr>
                <w:sz w:val="24"/>
              </w:rPr>
            </w:pPr>
            <w:r>
              <w:rPr>
                <w:sz w:val="24"/>
              </w:rPr>
              <w:t xml:space="preserve">3</w:t>
            </w:r>
            <w:r>
              <w:rPr>
                <w:sz w:val="24"/>
              </w:rPr>
            </w:r>
            <w:r/>
          </w:p>
        </w:tc>
        <w:tc>
          <w:tcPr>
            <w:tcW w:w="1355" w:type="dxa"/>
            <w:vAlign w:val="center"/>
            <w:vMerge w:val="restart"/>
            <w:textDirection w:val="lrTb"/>
            <w:noWrap w:val="false"/>
          </w:tcPr>
          <w:p>
            <w:pPr>
              <w:pStyle w:val="963"/>
              <w:jc w:val="center"/>
              <w:spacing w:line="360" w:lineRule="auto"/>
              <w:widowControl/>
              <w:rPr>
                <w:sz w:val="24"/>
              </w:rPr>
            </w:pPr>
            <w:r>
              <w:rPr>
                <w:sz w:val="24"/>
              </w:rPr>
              <w:t xml:space="preserve">电动球阀</w:t>
            </w:r>
            <w:r>
              <w:rPr>
                <w:sz w:val="24"/>
              </w:rPr>
            </w:r>
            <w:r/>
          </w:p>
          <w:p>
            <w:pPr>
              <w:pStyle w:val="963"/>
              <w:jc w:val="center"/>
              <w:spacing w:line="360" w:lineRule="auto"/>
              <w:widowControl/>
              <w:rPr>
                <w:sz w:val="24"/>
              </w:rPr>
            </w:pPr>
            <w:r>
              <w:rPr>
                <w:sz w:val="24"/>
              </w:rPr>
              <w:t xml:space="preserve">清洗检查</w:t>
            </w:r>
            <w:r>
              <w:rPr>
                <w:sz w:val="24"/>
              </w:rPr>
            </w:r>
            <w:r/>
          </w:p>
        </w:tc>
        <w:tc>
          <w:tcPr>
            <w:tcW w:w="1701" w:type="dxa"/>
            <w:vAlign w:val="center"/>
            <w:vMerge w:val="restart"/>
            <w:textDirection w:val="lrTb"/>
            <w:noWrap w:val="false"/>
          </w:tcPr>
          <w:p>
            <w:pPr>
              <w:pStyle w:val="963"/>
              <w:jc w:val="center"/>
              <w:spacing w:line="360" w:lineRule="auto"/>
              <w:widowControl/>
              <w:rPr>
                <w:sz w:val="24"/>
              </w:rPr>
            </w:pPr>
            <w:r>
              <w:rPr>
                <w:sz w:val="24"/>
              </w:rPr>
              <w:t xml:space="preserve">1次/2月，确保清洗</w:t>
            </w:r>
            <w:r>
              <w:rPr>
                <w:sz w:val="24"/>
              </w:rPr>
            </w:r>
            <w:r/>
          </w:p>
          <w:p>
            <w:pPr>
              <w:pStyle w:val="963"/>
              <w:jc w:val="center"/>
              <w:spacing w:line="360" w:lineRule="auto"/>
              <w:widowControl/>
              <w:rPr>
                <w:sz w:val="24"/>
              </w:rPr>
            </w:pPr>
            <w:r>
              <w:rPr>
                <w:sz w:val="24"/>
              </w:rPr>
              <w:t xml:space="preserve">后电动球阀吸合</w:t>
            </w:r>
            <w:r>
              <w:rPr>
                <w:sz w:val="24"/>
              </w:rPr>
            </w:r>
            <w:r/>
          </w:p>
          <w:p>
            <w:pPr>
              <w:pStyle w:val="963"/>
              <w:jc w:val="center"/>
              <w:spacing w:line="360" w:lineRule="auto"/>
              <w:widowControl/>
              <w:rPr>
                <w:sz w:val="24"/>
              </w:rPr>
            </w:pPr>
            <w:r>
              <w:rPr>
                <w:sz w:val="24"/>
              </w:rPr>
              <w:t xml:space="preserve">自如，无堵塞和渗漏</w:t>
            </w:r>
            <w:r>
              <w:rPr>
                <w:sz w:val="24"/>
              </w:rPr>
            </w:r>
            <w:r/>
          </w:p>
        </w:tc>
        <w:tc>
          <w:tcPr>
            <w:tcW w:w="4723" w:type="dxa"/>
            <w:vAlign w:val="center"/>
            <w:textDirection w:val="lrTb"/>
            <w:noWrap w:val="false"/>
          </w:tcPr>
          <w:p>
            <w:pPr>
              <w:pStyle w:val="963"/>
              <w:spacing w:line="360" w:lineRule="auto"/>
              <w:widowControl/>
              <w:rPr>
                <w:sz w:val="24"/>
              </w:rPr>
            </w:pPr>
            <w:r>
              <w:rPr>
                <w:sz w:val="24"/>
              </w:rPr>
              <w:t xml:space="preserve">将电动球阀手动拆下，用试管刷清洗后，将电动球阀装回管路。</w:t>
            </w:r>
            <w:r>
              <w:rPr>
                <w:sz w:val="24"/>
              </w:rPr>
            </w:r>
            <w:r/>
          </w:p>
        </w:tc>
      </w:tr>
      <w:tr>
        <w:trPr>
          <w:cantSplit/>
          <w:trHeight w:val="600"/>
        </w:trPr>
        <w:tc>
          <w:tcPr>
            <w:tcW w:w="534"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355"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701"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23" w:type="dxa"/>
            <w:vAlign w:val="center"/>
            <w:textDirection w:val="lrTb"/>
            <w:noWrap w:val="false"/>
          </w:tcPr>
          <w:p>
            <w:pPr>
              <w:pStyle w:val="963"/>
              <w:spacing w:line="360" w:lineRule="auto"/>
              <w:widowControl/>
              <w:rPr>
                <w:sz w:val="24"/>
              </w:rPr>
            </w:pPr>
            <w:r>
              <w:rPr>
                <w:sz w:val="24"/>
              </w:rPr>
              <w:t xml:space="preserve">开启组态单阀测试程序，单独控制阀门开关，检查阀门开关时间是否符合要求（10s以内）。</w:t>
            </w:r>
            <w:r>
              <w:rPr>
                <w:sz w:val="24"/>
              </w:rPr>
            </w:r>
            <w:r/>
          </w:p>
        </w:tc>
      </w:tr>
      <w:tr>
        <w:trPr>
          <w:cantSplit/>
          <w:trHeight w:val="300"/>
        </w:trPr>
        <w:tc>
          <w:tcPr>
            <w:tcW w:w="534"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355"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701"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23" w:type="dxa"/>
            <w:vAlign w:val="center"/>
            <w:textDirection w:val="lrTb"/>
            <w:noWrap w:val="false"/>
          </w:tcPr>
          <w:p>
            <w:pPr>
              <w:pStyle w:val="963"/>
              <w:spacing w:line="360" w:lineRule="auto"/>
              <w:widowControl/>
              <w:rPr>
                <w:sz w:val="24"/>
              </w:rPr>
            </w:pPr>
            <w:r>
              <w:rPr>
                <w:sz w:val="24"/>
              </w:rPr>
              <w:t xml:space="preserve">必要的情况替换电动球阀。</w:t>
            </w:r>
            <w:r>
              <w:rPr>
                <w:sz w:val="24"/>
              </w:rPr>
            </w:r>
            <w:r/>
          </w:p>
        </w:tc>
      </w:tr>
      <w:tr>
        <w:trPr>
          <w:cantSplit/>
          <w:trHeight w:val="570"/>
        </w:trPr>
        <w:tc>
          <w:tcPr>
            <w:tcW w:w="534" w:type="dxa"/>
            <w:vAlign w:val="center"/>
            <w:vMerge w:val="restart"/>
            <w:textDirection w:val="lrTb"/>
            <w:noWrap w:val="false"/>
          </w:tcPr>
          <w:p>
            <w:pPr>
              <w:pStyle w:val="963"/>
              <w:jc w:val="center"/>
              <w:spacing w:line="360" w:lineRule="auto"/>
              <w:widowControl/>
              <w:rPr>
                <w:sz w:val="24"/>
              </w:rPr>
            </w:pPr>
            <w:r>
              <w:rPr>
                <w:sz w:val="24"/>
              </w:rPr>
              <w:t xml:space="preserve">4</w:t>
            </w:r>
            <w:r>
              <w:rPr>
                <w:sz w:val="24"/>
              </w:rPr>
            </w:r>
            <w:r/>
          </w:p>
        </w:tc>
        <w:tc>
          <w:tcPr>
            <w:tcW w:w="1355" w:type="dxa"/>
            <w:vAlign w:val="center"/>
            <w:vMerge w:val="restart"/>
            <w:textDirection w:val="lrTb"/>
            <w:noWrap w:val="false"/>
          </w:tcPr>
          <w:p>
            <w:pPr>
              <w:pStyle w:val="963"/>
              <w:jc w:val="center"/>
              <w:spacing w:line="360" w:lineRule="auto"/>
              <w:widowControl/>
              <w:rPr>
                <w:sz w:val="24"/>
              </w:rPr>
            </w:pPr>
            <w:r>
              <w:rPr>
                <w:sz w:val="24"/>
              </w:rPr>
              <w:t xml:space="preserve">单向阀清洗</w:t>
            </w:r>
            <w:r>
              <w:rPr>
                <w:sz w:val="24"/>
              </w:rPr>
            </w:r>
            <w:r/>
          </w:p>
        </w:tc>
        <w:tc>
          <w:tcPr>
            <w:tcW w:w="1701" w:type="dxa"/>
            <w:vAlign w:val="center"/>
            <w:vMerge w:val="restart"/>
            <w:textDirection w:val="lrTb"/>
            <w:noWrap w:val="false"/>
          </w:tcPr>
          <w:p>
            <w:pPr>
              <w:pStyle w:val="963"/>
              <w:jc w:val="center"/>
              <w:spacing w:line="360" w:lineRule="auto"/>
              <w:widowControl/>
              <w:rPr>
                <w:sz w:val="24"/>
              </w:rPr>
            </w:pPr>
            <w:r>
              <w:rPr>
                <w:sz w:val="24"/>
              </w:rPr>
              <w:t xml:space="preserve">1次/2月，确保清</w:t>
            </w:r>
            <w:r>
              <w:rPr>
                <w:sz w:val="24"/>
              </w:rPr>
            </w:r>
            <w:r/>
          </w:p>
          <w:p>
            <w:pPr>
              <w:pStyle w:val="963"/>
              <w:jc w:val="center"/>
              <w:spacing w:line="360" w:lineRule="auto"/>
              <w:widowControl/>
              <w:rPr>
                <w:sz w:val="24"/>
              </w:rPr>
            </w:pPr>
            <w:r>
              <w:rPr>
                <w:sz w:val="24"/>
              </w:rPr>
              <w:t xml:space="preserve">洗后电动球阀吸</w:t>
            </w:r>
            <w:r>
              <w:rPr>
                <w:sz w:val="24"/>
              </w:rPr>
            </w:r>
            <w:r/>
          </w:p>
          <w:p>
            <w:pPr>
              <w:pStyle w:val="963"/>
              <w:jc w:val="center"/>
              <w:spacing w:line="360" w:lineRule="auto"/>
              <w:widowControl/>
              <w:rPr>
                <w:sz w:val="24"/>
              </w:rPr>
            </w:pPr>
            <w:r>
              <w:rPr>
                <w:sz w:val="24"/>
              </w:rPr>
              <w:t xml:space="preserve">合自如，无堵塞和渗漏</w:t>
            </w:r>
            <w:r>
              <w:rPr>
                <w:sz w:val="24"/>
              </w:rPr>
            </w:r>
            <w:r/>
          </w:p>
        </w:tc>
        <w:tc>
          <w:tcPr>
            <w:tcW w:w="4723" w:type="dxa"/>
            <w:vAlign w:val="center"/>
            <w:textDirection w:val="lrTb"/>
            <w:noWrap w:val="false"/>
          </w:tcPr>
          <w:p>
            <w:pPr>
              <w:pStyle w:val="963"/>
              <w:spacing w:line="360" w:lineRule="auto"/>
              <w:widowControl/>
              <w:rPr>
                <w:sz w:val="24"/>
              </w:rPr>
            </w:pPr>
            <w:r>
              <w:rPr>
                <w:sz w:val="24"/>
              </w:rPr>
              <w:t xml:space="preserve">拆下单向阀，用试管刷清洗单向阀阀体及密封橡胶上附着的脏污物，检查密封性是否完好后，原样装回管路。</w:t>
            </w:r>
            <w:r>
              <w:rPr>
                <w:sz w:val="24"/>
              </w:rPr>
            </w:r>
            <w:r/>
          </w:p>
        </w:tc>
      </w:tr>
      <w:tr>
        <w:trPr>
          <w:cantSplit/>
          <w:trHeight w:val="300"/>
        </w:trPr>
        <w:tc>
          <w:tcPr>
            <w:tcW w:w="534"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355"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701"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23" w:type="dxa"/>
            <w:vAlign w:val="center"/>
            <w:textDirection w:val="lrTb"/>
            <w:noWrap w:val="false"/>
          </w:tcPr>
          <w:p>
            <w:pPr>
              <w:pStyle w:val="963"/>
              <w:spacing w:line="360" w:lineRule="auto"/>
              <w:widowControl/>
              <w:rPr>
                <w:sz w:val="24"/>
              </w:rPr>
            </w:pPr>
            <w:r>
              <w:rPr>
                <w:sz w:val="24"/>
              </w:rPr>
              <w:t xml:space="preserve">必要情况更换单向阀。</w:t>
            </w:r>
            <w:r>
              <w:rPr>
                <w:sz w:val="24"/>
              </w:rPr>
            </w:r>
            <w:r/>
          </w:p>
        </w:tc>
      </w:tr>
      <w:tr>
        <w:trPr>
          <w:cantSplit/>
          <w:trHeight w:val="285"/>
        </w:trPr>
        <w:tc>
          <w:tcPr>
            <w:tcW w:w="534" w:type="dxa"/>
            <w:vAlign w:val="center"/>
            <w:vMerge w:val="restart"/>
            <w:textDirection w:val="lrTb"/>
            <w:noWrap w:val="false"/>
          </w:tcPr>
          <w:p>
            <w:pPr>
              <w:pStyle w:val="963"/>
              <w:jc w:val="center"/>
              <w:spacing w:line="360" w:lineRule="auto"/>
              <w:widowControl/>
              <w:rPr>
                <w:sz w:val="24"/>
              </w:rPr>
            </w:pPr>
            <w:r>
              <w:rPr>
                <w:sz w:val="24"/>
              </w:rPr>
              <w:t xml:space="preserve">5</w:t>
            </w:r>
            <w:r>
              <w:rPr>
                <w:sz w:val="24"/>
              </w:rPr>
            </w:r>
            <w:r/>
          </w:p>
        </w:tc>
        <w:tc>
          <w:tcPr>
            <w:tcW w:w="1355" w:type="dxa"/>
            <w:vAlign w:val="center"/>
            <w:vMerge w:val="restart"/>
            <w:textDirection w:val="lrTb"/>
            <w:noWrap w:val="false"/>
          </w:tcPr>
          <w:p>
            <w:pPr>
              <w:pStyle w:val="963"/>
              <w:jc w:val="center"/>
              <w:spacing w:line="360" w:lineRule="auto"/>
              <w:widowControl/>
              <w:rPr>
                <w:sz w:val="24"/>
              </w:rPr>
            </w:pPr>
            <w:r>
              <w:rPr>
                <w:sz w:val="24"/>
              </w:rPr>
              <w:t xml:space="preserve">压力表测试</w:t>
            </w:r>
            <w:r>
              <w:rPr>
                <w:sz w:val="24"/>
              </w:rPr>
            </w:r>
            <w:r/>
          </w:p>
        </w:tc>
        <w:tc>
          <w:tcPr>
            <w:tcW w:w="1701" w:type="dxa"/>
            <w:vAlign w:val="center"/>
            <w:vMerge w:val="restart"/>
            <w:textDirection w:val="lrTb"/>
            <w:noWrap w:val="false"/>
          </w:tcPr>
          <w:p>
            <w:pPr>
              <w:pStyle w:val="963"/>
              <w:jc w:val="center"/>
              <w:spacing w:line="360" w:lineRule="auto"/>
              <w:widowControl/>
              <w:rPr>
                <w:sz w:val="24"/>
              </w:rPr>
            </w:pPr>
            <w:r>
              <w:rPr>
                <w:sz w:val="24"/>
              </w:rPr>
              <w:t xml:space="preserve">1次/2月，确保清洗后压力表读数正常</w:t>
            </w:r>
            <w:r>
              <w:rPr>
                <w:sz w:val="24"/>
              </w:rPr>
            </w:r>
            <w:r/>
          </w:p>
        </w:tc>
        <w:tc>
          <w:tcPr>
            <w:tcW w:w="4723" w:type="dxa"/>
            <w:vAlign w:val="center"/>
            <w:textDirection w:val="lrTb"/>
            <w:noWrap w:val="false"/>
          </w:tcPr>
          <w:p>
            <w:pPr>
              <w:pStyle w:val="963"/>
              <w:spacing w:line="360" w:lineRule="auto"/>
              <w:widowControl/>
              <w:rPr>
                <w:sz w:val="24"/>
              </w:rPr>
            </w:pPr>
            <w:r>
              <w:rPr>
                <w:sz w:val="24"/>
              </w:rPr>
              <w:t xml:space="preserve">拆下压力表表头，清洗清除压力导管内泥沙。</w:t>
            </w:r>
            <w:r>
              <w:rPr>
                <w:sz w:val="24"/>
              </w:rPr>
            </w:r>
            <w:r/>
          </w:p>
        </w:tc>
      </w:tr>
      <w:tr>
        <w:trPr>
          <w:cantSplit/>
          <w:trHeight w:val="285"/>
        </w:trPr>
        <w:tc>
          <w:tcPr>
            <w:tcW w:w="534"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355"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701"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23" w:type="dxa"/>
            <w:vAlign w:val="center"/>
            <w:textDirection w:val="lrTb"/>
            <w:noWrap w:val="false"/>
          </w:tcPr>
          <w:p>
            <w:pPr>
              <w:pStyle w:val="963"/>
              <w:spacing w:line="360" w:lineRule="auto"/>
              <w:widowControl/>
              <w:rPr>
                <w:sz w:val="24"/>
              </w:rPr>
            </w:pPr>
            <w:r>
              <w:rPr>
                <w:sz w:val="24"/>
              </w:rPr>
              <w:t xml:space="preserve">压缩空气吹脱表头内残留脏污。</w:t>
            </w:r>
            <w:r>
              <w:rPr>
                <w:sz w:val="24"/>
              </w:rPr>
            </w:r>
            <w:r/>
          </w:p>
        </w:tc>
      </w:tr>
      <w:tr>
        <w:trPr>
          <w:cantSplit/>
          <w:trHeight w:val="600"/>
        </w:trPr>
        <w:tc>
          <w:tcPr>
            <w:tcW w:w="534"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355"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701"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23" w:type="dxa"/>
            <w:vAlign w:val="center"/>
            <w:textDirection w:val="lrTb"/>
            <w:noWrap w:val="false"/>
          </w:tcPr>
          <w:p>
            <w:pPr>
              <w:pStyle w:val="963"/>
              <w:spacing w:line="360" w:lineRule="auto"/>
              <w:widowControl/>
              <w:rPr>
                <w:sz w:val="24"/>
              </w:rPr>
            </w:pPr>
            <w:r>
              <w:rPr>
                <w:sz w:val="24"/>
              </w:rPr>
              <w:t xml:space="preserve">调节空压机输出压力为0.6Mpa，输出气管连接到待测压力表，检查待测压力表显示是否和空压机一致，反应是否灵敏。</w:t>
            </w:r>
            <w:r>
              <w:rPr>
                <w:sz w:val="24"/>
              </w:rPr>
            </w:r>
            <w:r/>
          </w:p>
        </w:tc>
      </w:tr>
      <w:tr>
        <w:trPr>
          <w:cantSplit/>
          <w:trHeight w:val="285"/>
        </w:trPr>
        <w:tc>
          <w:tcPr>
            <w:tcW w:w="534"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355"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701"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23" w:type="dxa"/>
            <w:vAlign w:val="center"/>
            <w:textDirection w:val="lrTb"/>
            <w:noWrap w:val="false"/>
          </w:tcPr>
          <w:p>
            <w:pPr>
              <w:pStyle w:val="963"/>
              <w:spacing w:line="360" w:lineRule="auto"/>
              <w:widowControl/>
              <w:rPr>
                <w:sz w:val="24"/>
              </w:rPr>
            </w:pPr>
            <w:r>
              <w:rPr>
                <w:sz w:val="24"/>
              </w:rPr>
              <w:t xml:space="preserve">原样装回压力表，注意气密性。</w:t>
            </w:r>
            <w:r>
              <w:rPr>
                <w:sz w:val="24"/>
              </w:rPr>
            </w:r>
            <w:r/>
          </w:p>
        </w:tc>
      </w:tr>
      <w:tr>
        <w:trPr>
          <w:cantSplit/>
          <w:trHeight w:val="300"/>
        </w:trPr>
        <w:tc>
          <w:tcPr>
            <w:tcW w:w="534"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355"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701"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4723" w:type="dxa"/>
            <w:vAlign w:val="center"/>
            <w:textDirection w:val="lrTb"/>
            <w:noWrap w:val="false"/>
          </w:tcPr>
          <w:p>
            <w:pPr>
              <w:pStyle w:val="963"/>
              <w:spacing w:line="360" w:lineRule="auto"/>
              <w:widowControl/>
              <w:rPr>
                <w:sz w:val="24"/>
              </w:rPr>
            </w:pPr>
            <w:r>
              <w:rPr>
                <w:sz w:val="24"/>
              </w:rPr>
              <w:t xml:space="preserve">必要情况更换压力表。</w:t>
            </w:r>
            <w:r>
              <w:rPr>
                <w:sz w:val="24"/>
              </w:rPr>
            </w:r>
            <w:r/>
          </w:p>
        </w:tc>
      </w:tr>
      <w:tr>
        <w:trPr>
          <w:cantSplit/>
          <w:trHeight w:val="285"/>
        </w:trPr>
        <w:tc>
          <w:tcPr>
            <w:tcW w:w="534" w:type="dxa"/>
            <w:vAlign w:val="center"/>
            <w:vMerge w:val="restart"/>
            <w:textDirection w:val="lrTb"/>
            <w:noWrap w:val="false"/>
          </w:tcPr>
          <w:p>
            <w:pPr>
              <w:pStyle w:val="963"/>
              <w:jc w:val="center"/>
              <w:spacing w:line="360" w:lineRule="auto"/>
              <w:widowControl/>
              <w:rPr>
                <w:sz w:val="24"/>
              </w:rPr>
            </w:pPr>
            <w:r>
              <w:rPr>
                <w:sz w:val="24"/>
              </w:rPr>
              <w:t xml:space="preserve">6</w:t>
            </w:r>
            <w:r>
              <w:rPr>
                <w:sz w:val="24"/>
              </w:rPr>
            </w:r>
            <w:r/>
          </w:p>
        </w:tc>
        <w:tc>
          <w:tcPr>
            <w:tcW w:w="1355" w:type="dxa"/>
            <w:vAlign w:val="center"/>
            <w:vMerge w:val="restart"/>
            <w:textDirection w:val="lrTb"/>
            <w:noWrap w:val="false"/>
          </w:tcPr>
          <w:p>
            <w:pPr>
              <w:pStyle w:val="963"/>
              <w:jc w:val="center"/>
              <w:spacing w:line="360" w:lineRule="auto"/>
              <w:widowControl/>
              <w:rPr>
                <w:sz w:val="24"/>
              </w:rPr>
            </w:pPr>
            <w:r>
              <w:rPr>
                <w:sz w:val="24"/>
              </w:rPr>
              <w:t xml:space="preserve">工控机检查</w:t>
            </w:r>
            <w:r>
              <w:rPr>
                <w:sz w:val="24"/>
              </w:rPr>
            </w:r>
            <w:r/>
          </w:p>
        </w:tc>
        <w:tc>
          <w:tcPr>
            <w:tcW w:w="1701" w:type="dxa"/>
            <w:vAlign w:val="center"/>
            <w:vMerge w:val="restart"/>
            <w:textDirection w:val="lrTb"/>
            <w:noWrap w:val="false"/>
          </w:tcPr>
          <w:p>
            <w:pPr>
              <w:pStyle w:val="963"/>
              <w:jc w:val="center"/>
              <w:spacing w:line="360" w:lineRule="auto"/>
              <w:widowControl/>
              <w:rPr>
                <w:sz w:val="24"/>
              </w:rPr>
            </w:pPr>
            <w:r>
              <w:rPr>
                <w:sz w:val="24"/>
              </w:rPr>
              <w:t xml:space="preserve">1次/2月</w:t>
            </w:r>
            <w:r>
              <w:rPr>
                <w:sz w:val="24"/>
              </w:rPr>
            </w:r>
            <w:r/>
          </w:p>
        </w:tc>
        <w:tc>
          <w:tcPr>
            <w:tcW w:w="4723" w:type="dxa"/>
            <w:vAlign w:val="center"/>
            <w:textDirection w:val="lrTb"/>
            <w:noWrap w:val="false"/>
          </w:tcPr>
          <w:p>
            <w:pPr>
              <w:pStyle w:val="963"/>
              <w:spacing w:line="360" w:lineRule="auto"/>
              <w:widowControl/>
              <w:rPr>
                <w:sz w:val="24"/>
              </w:rPr>
            </w:pPr>
            <w:r>
              <w:rPr>
                <w:sz w:val="24"/>
              </w:rPr>
              <w:t xml:space="preserve">检查开机过程中硬件自检过程是否有异常数据传输和报警。</w:t>
            </w:r>
            <w:r>
              <w:rPr>
                <w:sz w:val="24"/>
              </w:rPr>
            </w:r>
            <w:r/>
          </w:p>
        </w:tc>
      </w:tr>
      <w:tr>
        <w:trPr>
          <w:cantSplit/>
          <w:trHeight w:val="600"/>
        </w:trPr>
        <w:tc>
          <w:tcPr>
            <w:tcW w:w="534" w:type="dxa"/>
            <w:vAlign w:val="center"/>
            <w:vMerge w:val="continue"/>
            <w:textDirection w:val="lrTb"/>
            <w:noWrap w:val="false"/>
          </w:tcPr>
          <w:p>
            <w:pPr>
              <w:pStyle w:val="963"/>
              <w:jc w:val="left"/>
              <w:spacing w:line="360" w:lineRule="auto"/>
              <w:widowControl/>
              <w:rPr>
                <w:color w:val="000000"/>
                <w:sz w:val="24"/>
              </w:rPr>
            </w:pPr>
            <w:r>
              <w:rPr>
                <w:color w:val="000000"/>
                <w:sz w:val="24"/>
              </w:rPr>
            </w:r>
            <w:r/>
          </w:p>
        </w:tc>
        <w:tc>
          <w:tcPr>
            <w:tcW w:w="1355" w:type="dxa"/>
            <w:vAlign w:val="center"/>
            <w:vMerge w:val="continue"/>
            <w:textDirection w:val="lrTb"/>
            <w:noWrap w:val="false"/>
          </w:tcPr>
          <w:p>
            <w:pPr>
              <w:pStyle w:val="963"/>
              <w:jc w:val="left"/>
              <w:spacing w:line="360" w:lineRule="auto"/>
              <w:widowControl/>
              <w:rPr>
                <w:color w:val="000000"/>
                <w:sz w:val="24"/>
              </w:rPr>
            </w:pPr>
            <w:r>
              <w:rPr>
                <w:color w:val="000000"/>
                <w:sz w:val="24"/>
              </w:rPr>
            </w:r>
            <w:r/>
          </w:p>
        </w:tc>
        <w:tc>
          <w:tcPr>
            <w:tcW w:w="1701" w:type="dxa"/>
            <w:vAlign w:val="center"/>
            <w:vMerge w:val="continue"/>
            <w:textDirection w:val="lrTb"/>
            <w:noWrap w:val="false"/>
          </w:tcPr>
          <w:p>
            <w:pPr>
              <w:pStyle w:val="963"/>
              <w:jc w:val="left"/>
              <w:spacing w:line="360" w:lineRule="auto"/>
              <w:widowControl/>
              <w:rPr>
                <w:color w:val="000000"/>
                <w:sz w:val="24"/>
              </w:rPr>
            </w:pPr>
            <w:r>
              <w:rPr>
                <w:color w:val="000000"/>
                <w:sz w:val="24"/>
              </w:rPr>
            </w:r>
            <w:r/>
          </w:p>
        </w:tc>
        <w:tc>
          <w:tcPr>
            <w:tcW w:w="4723" w:type="dxa"/>
            <w:vAlign w:val="center"/>
            <w:textDirection w:val="lrTb"/>
            <w:noWrap w:val="false"/>
          </w:tcPr>
          <w:p>
            <w:pPr>
              <w:pStyle w:val="963"/>
              <w:spacing w:line="360" w:lineRule="auto"/>
              <w:widowControl/>
              <w:rPr>
                <w:sz w:val="24"/>
              </w:rPr>
            </w:pPr>
            <w:r>
              <w:rPr>
                <w:sz w:val="24"/>
              </w:rPr>
              <w:t xml:space="preserve">强制切断电源后复电工控机是否可以自动启动，并运行windos系统、加载现场监控软件，串口连接是否正常。</w:t>
            </w:r>
            <w:r>
              <w:rPr>
                <w:sz w:val="24"/>
              </w:rPr>
            </w:r>
            <w:r/>
          </w:p>
        </w:tc>
      </w:tr>
      <w:tr>
        <w:trPr>
          <w:cantSplit/>
          <w:trHeight w:val="600"/>
        </w:trPr>
        <w:tc>
          <w:tcPr>
            <w:tcW w:w="534" w:type="dxa"/>
            <w:vAlign w:val="center"/>
            <w:vMerge w:val="continue"/>
            <w:textDirection w:val="lrTb"/>
            <w:noWrap w:val="false"/>
          </w:tcPr>
          <w:p>
            <w:pPr>
              <w:pStyle w:val="963"/>
              <w:jc w:val="left"/>
              <w:spacing w:line="360" w:lineRule="auto"/>
              <w:widowControl/>
              <w:rPr>
                <w:color w:val="000000"/>
                <w:sz w:val="24"/>
              </w:rPr>
            </w:pPr>
            <w:r>
              <w:rPr>
                <w:color w:val="000000"/>
                <w:sz w:val="24"/>
              </w:rPr>
            </w:r>
            <w:r/>
          </w:p>
        </w:tc>
        <w:tc>
          <w:tcPr>
            <w:tcW w:w="1355" w:type="dxa"/>
            <w:vAlign w:val="center"/>
            <w:vMerge w:val="continue"/>
            <w:textDirection w:val="lrTb"/>
            <w:noWrap w:val="false"/>
          </w:tcPr>
          <w:p>
            <w:pPr>
              <w:pStyle w:val="963"/>
              <w:jc w:val="left"/>
              <w:spacing w:line="360" w:lineRule="auto"/>
              <w:widowControl/>
              <w:rPr>
                <w:color w:val="000000"/>
                <w:sz w:val="24"/>
              </w:rPr>
            </w:pPr>
            <w:r>
              <w:rPr>
                <w:color w:val="000000"/>
                <w:sz w:val="24"/>
              </w:rPr>
            </w:r>
            <w:r/>
          </w:p>
        </w:tc>
        <w:tc>
          <w:tcPr>
            <w:tcW w:w="1701" w:type="dxa"/>
            <w:vAlign w:val="center"/>
            <w:vMerge w:val="continue"/>
            <w:textDirection w:val="lrTb"/>
            <w:noWrap w:val="false"/>
          </w:tcPr>
          <w:p>
            <w:pPr>
              <w:pStyle w:val="963"/>
              <w:jc w:val="left"/>
              <w:spacing w:line="360" w:lineRule="auto"/>
              <w:widowControl/>
              <w:rPr>
                <w:color w:val="000000"/>
                <w:sz w:val="24"/>
              </w:rPr>
            </w:pPr>
            <w:r>
              <w:rPr>
                <w:color w:val="000000"/>
                <w:sz w:val="24"/>
              </w:rPr>
            </w:r>
            <w:r/>
          </w:p>
        </w:tc>
        <w:tc>
          <w:tcPr>
            <w:tcW w:w="4723" w:type="dxa"/>
            <w:vAlign w:val="center"/>
            <w:textDirection w:val="lrTb"/>
            <w:noWrap w:val="false"/>
          </w:tcPr>
          <w:p>
            <w:pPr>
              <w:pStyle w:val="963"/>
              <w:spacing w:line="360" w:lineRule="auto"/>
              <w:widowControl/>
              <w:rPr>
                <w:sz w:val="24"/>
              </w:rPr>
            </w:pPr>
            <w:r>
              <w:rPr>
                <w:sz w:val="24"/>
              </w:rPr>
              <w:t xml:space="preserve">插入备份光盘，用ghost软件备份操作系统。将备份好的操作系统和分区D内的文件拷贝到备份移动硬盘上。</w:t>
            </w:r>
            <w:r>
              <w:rPr>
                <w:sz w:val="24"/>
              </w:rPr>
            </w:r>
            <w:r/>
          </w:p>
        </w:tc>
      </w:tr>
      <w:tr>
        <w:trPr>
          <w:cantSplit/>
          <w:trHeight w:val="285"/>
        </w:trPr>
        <w:tc>
          <w:tcPr>
            <w:tcW w:w="534" w:type="dxa"/>
            <w:vAlign w:val="center"/>
            <w:vMerge w:val="continue"/>
            <w:textDirection w:val="lrTb"/>
            <w:noWrap w:val="false"/>
          </w:tcPr>
          <w:p>
            <w:pPr>
              <w:pStyle w:val="963"/>
              <w:jc w:val="left"/>
              <w:spacing w:line="360" w:lineRule="auto"/>
              <w:widowControl/>
              <w:rPr>
                <w:color w:val="000000"/>
                <w:sz w:val="24"/>
              </w:rPr>
            </w:pPr>
            <w:r>
              <w:rPr>
                <w:color w:val="000000"/>
                <w:sz w:val="24"/>
              </w:rPr>
            </w:r>
            <w:r/>
          </w:p>
        </w:tc>
        <w:tc>
          <w:tcPr>
            <w:tcW w:w="1355" w:type="dxa"/>
            <w:vAlign w:val="center"/>
            <w:vMerge w:val="continue"/>
            <w:textDirection w:val="lrTb"/>
            <w:noWrap w:val="false"/>
          </w:tcPr>
          <w:p>
            <w:pPr>
              <w:pStyle w:val="963"/>
              <w:jc w:val="left"/>
              <w:spacing w:line="360" w:lineRule="auto"/>
              <w:widowControl/>
              <w:rPr>
                <w:color w:val="000000"/>
                <w:sz w:val="24"/>
              </w:rPr>
            </w:pPr>
            <w:r>
              <w:rPr>
                <w:color w:val="000000"/>
                <w:sz w:val="24"/>
              </w:rPr>
            </w:r>
            <w:r/>
          </w:p>
        </w:tc>
        <w:tc>
          <w:tcPr>
            <w:tcW w:w="1701" w:type="dxa"/>
            <w:vAlign w:val="center"/>
            <w:vMerge w:val="continue"/>
            <w:textDirection w:val="lrTb"/>
            <w:noWrap w:val="false"/>
          </w:tcPr>
          <w:p>
            <w:pPr>
              <w:pStyle w:val="963"/>
              <w:jc w:val="left"/>
              <w:spacing w:line="360" w:lineRule="auto"/>
              <w:widowControl/>
              <w:rPr>
                <w:color w:val="000000"/>
                <w:sz w:val="24"/>
              </w:rPr>
            </w:pPr>
            <w:r>
              <w:rPr>
                <w:color w:val="000000"/>
                <w:sz w:val="24"/>
              </w:rPr>
            </w:r>
            <w:r/>
          </w:p>
        </w:tc>
        <w:tc>
          <w:tcPr>
            <w:tcW w:w="4723" w:type="dxa"/>
            <w:vAlign w:val="center"/>
            <w:textDirection w:val="lrTb"/>
            <w:noWrap w:val="false"/>
          </w:tcPr>
          <w:p>
            <w:pPr>
              <w:pStyle w:val="963"/>
              <w:spacing w:line="360" w:lineRule="auto"/>
              <w:widowControl/>
              <w:rPr>
                <w:sz w:val="24"/>
              </w:rPr>
            </w:pPr>
            <w:r>
              <w:rPr>
                <w:sz w:val="24"/>
              </w:rPr>
              <w:t xml:space="preserve">断电后拆下工控机，打开后盖，用细毛刷清</w:t>
            </w:r>
            <w:r>
              <w:rPr>
                <w:sz w:val="24"/>
              </w:rPr>
            </w:r>
            <w:r/>
          </w:p>
        </w:tc>
      </w:tr>
      <w:tr>
        <w:trPr>
          <w:cantSplit/>
          <w:trHeight w:val="600"/>
        </w:trPr>
        <w:tc>
          <w:tcPr>
            <w:tcW w:w="534" w:type="dxa"/>
            <w:vAlign w:val="center"/>
            <w:vMerge w:val="continue"/>
            <w:textDirection w:val="lrTb"/>
            <w:noWrap w:val="false"/>
          </w:tcPr>
          <w:p>
            <w:pPr>
              <w:pStyle w:val="963"/>
              <w:jc w:val="left"/>
              <w:spacing w:line="360" w:lineRule="auto"/>
              <w:widowControl/>
              <w:rPr>
                <w:color w:val="000000"/>
                <w:sz w:val="24"/>
              </w:rPr>
            </w:pPr>
            <w:r>
              <w:rPr>
                <w:color w:val="000000"/>
                <w:sz w:val="24"/>
              </w:rPr>
            </w:r>
            <w:r/>
          </w:p>
        </w:tc>
        <w:tc>
          <w:tcPr>
            <w:tcW w:w="1355" w:type="dxa"/>
            <w:vAlign w:val="center"/>
            <w:vMerge w:val="continue"/>
            <w:textDirection w:val="lrTb"/>
            <w:noWrap w:val="false"/>
          </w:tcPr>
          <w:p>
            <w:pPr>
              <w:pStyle w:val="963"/>
              <w:jc w:val="left"/>
              <w:spacing w:line="360" w:lineRule="auto"/>
              <w:widowControl/>
              <w:rPr>
                <w:color w:val="000000"/>
                <w:sz w:val="24"/>
              </w:rPr>
            </w:pPr>
            <w:r>
              <w:rPr>
                <w:color w:val="000000"/>
                <w:sz w:val="24"/>
              </w:rPr>
            </w:r>
            <w:r/>
          </w:p>
        </w:tc>
        <w:tc>
          <w:tcPr>
            <w:tcW w:w="1701" w:type="dxa"/>
            <w:vAlign w:val="center"/>
            <w:vMerge w:val="continue"/>
            <w:textDirection w:val="lrTb"/>
            <w:noWrap w:val="false"/>
          </w:tcPr>
          <w:p>
            <w:pPr>
              <w:pStyle w:val="963"/>
              <w:jc w:val="left"/>
              <w:spacing w:line="360" w:lineRule="auto"/>
              <w:widowControl/>
              <w:rPr>
                <w:color w:val="000000"/>
                <w:sz w:val="24"/>
              </w:rPr>
            </w:pPr>
            <w:r>
              <w:rPr>
                <w:color w:val="000000"/>
                <w:sz w:val="24"/>
              </w:rPr>
            </w:r>
            <w:r/>
          </w:p>
        </w:tc>
        <w:tc>
          <w:tcPr>
            <w:tcW w:w="4723" w:type="dxa"/>
            <w:vAlign w:val="center"/>
            <w:textDirection w:val="lrTb"/>
            <w:noWrap w:val="false"/>
          </w:tcPr>
          <w:p>
            <w:pPr>
              <w:pStyle w:val="963"/>
              <w:spacing w:line="360" w:lineRule="auto"/>
              <w:widowControl/>
              <w:rPr>
                <w:sz w:val="24"/>
              </w:rPr>
            </w:pPr>
            <w:r>
              <w:rPr>
                <w:sz w:val="24"/>
              </w:rPr>
              <w:t xml:space="preserve">除电源和主板上的灰尘，尤其注意cpu板、内存和各个串口卡上的灰尘清除。检查各个功能卡接口是否连接牢固。</w:t>
            </w:r>
            <w:r>
              <w:rPr>
                <w:sz w:val="24"/>
              </w:rPr>
            </w:r>
            <w:r/>
          </w:p>
        </w:tc>
      </w:tr>
      <w:tr>
        <w:trPr>
          <w:cantSplit/>
          <w:trHeight w:val="315"/>
        </w:trPr>
        <w:tc>
          <w:tcPr>
            <w:tcW w:w="534" w:type="dxa"/>
            <w:vAlign w:val="center"/>
            <w:vMerge w:val="continue"/>
            <w:textDirection w:val="lrTb"/>
            <w:noWrap w:val="false"/>
          </w:tcPr>
          <w:p>
            <w:pPr>
              <w:pStyle w:val="963"/>
              <w:jc w:val="left"/>
              <w:spacing w:line="360" w:lineRule="auto"/>
              <w:widowControl/>
              <w:rPr>
                <w:color w:val="000000"/>
                <w:sz w:val="24"/>
              </w:rPr>
            </w:pPr>
            <w:r>
              <w:rPr>
                <w:color w:val="000000"/>
                <w:sz w:val="24"/>
              </w:rPr>
            </w:r>
            <w:r/>
          </w:p>
        </w:tc>
        <w:tc>
          <w:tcPr>
            <w:tcW w:w="1355" w:type="dxa"/>
            <w:vAlign w:val="center"/>
            <w:vMerge w:val="continue"/>
            <w:textDirection w:val="lrTb"/>
            <w:noWrap w:val="false"/>
          </w:tcPr>
          <w:p>
            <w:pPr>
              <w:pStyle w:val="963"/>
              <w:jc w:val="left"/>
              <w:spacing w:line="360" w:lineRule="auto"/>
              <w:widowControl/>
              <w:rPr>
                <w:color w:val="000000"/>
                <w:sz w:val="24"/>
              </w:rPr>
            </w:pPr>
            <w:r>
              <w:rPr>
                <w:color w:val="000000"/>
                <w:sz w:val="24"/>
              </w:rPr>
            </w:r>
            <w:r/>
          </w:p>
        </w:tc>
        <w:tc>
          <w:tcPr>
            <w:tcW w:w="1701" w:type="dxa"/>
            <w:vAlign w:val="center"/>
            <w:vMerge w:val="continue"/>
            <w:textDirection w:val="lrTb"/>
            <w:noWrap w:val="false"/>
          </w:tcPr>
          <w:p>
            <w:pPr>
              <w:pStyle w:val="963"/>
              <w:jc w:val="left"/>
              <w:spacing w:line="360" w:lineRule="auto"/>
              <w:widowControl/>
              <w:rPr>
                <w:color w:val="000000"/>
                <w:sz w:val="24"/>
              </w:rPr>
            </w:pPr>
            <w:r>
              <w:rPr>
                <w:color w:val="000000"/>
                <w:sz w:val="24"/>
              </w:rPr>
            </w:r>
            <w:r/>
          </w:p>
        </w:tc>
        <w:tc>
          <w:tcPr>
            <w:tcW w:w="4723" w:type="dxa"/>
            <w:vAlign w:val="center"/>
            <w:textDirection w:val="lrTb"/>
            <w:noWrap w:val="false"/>
          </w:tcPr>
          <w:p>
            <w:pPr>
              <w:pStyle w:val="963"/>
              <w:spacing w:line="360" w:lineRule="auto"/>
              <w:widowControl/>
              <w:rPr>
                <w:sz w:val="24"/>
              </w:rPr>
            </w:pPr>
            <w:r>
              <w:rPr>
                <w:sz w:val="24"/>
              </w:rPr>
              <w:t xml:space="preserve">检查硬盘SATA连接线是否松动。</w:t>
            </w:r>
            <w:r>
              <w:rPr>
                <w:sz w:val="24"/>
              </w:rPr>
            </w:r>
            <w:r/>
          </w:p>
        </w:tc>
      </w:tr>
      <w:tr>
        <w:trPr>
          <w:cantSplit/>
          <w:trHeight w:val="285"/>
        </w:trPr>
        <w:tc>
          <w:tcPr>
            <w:tcW w:w="534" w:type="dxa"/>
            <w:vAlign w:val="center"/>
            <w:vMerge w:val="continue"/>
            <w:textDirection w:val="lrTb"/>
            <w:noWrap w:val="false"/>
          </w:tcPr>
          <w:p>
            <w:pPr>
              <w:pStyle w:val="963"/>
              <w:jc w:val="left"/>
              <w:spacing w:line="360" w:lineRule="auto"/>
              <w:widowControl/>
              <w:rPr>
                <w:color w:val="000000"/>
                <w:sz w:val="24"/>
              </w:rPr>
            </w:pPr>
            <w:r>
              <w:rPr>
                <w:color w:val="000000"/>
                <w:sz w:val="24"/>
              </w:rPr>
            </w:r>
            <w:r/>
          </w:p>
        </w:tc>
        <w:tc>
          <w:tcPr>
            <w:tcW w:w="1355" w:type="dxa"/>
            <w:vAlign w:val="center"/>
            <w:vMerge w:val="continue"/>
            <w:textDirection w:val="lrTb"/>
            <w:noWrap w:val="false"/>
          </w:tcPr>
          <w:p>
            <w:pPr>
              <w:pStyle w:val="963"/>
              <w:jc w:val="left"/>
              <w:spacing w:line="360" w:lineRule="auto"/>
              <w:widowControl/>
              <w:rPr>
                <w:color w:val="000000"/>
                <w:sz w:val="24"/>
              </w:rPr>
            </w:pPr>
            <w:r>
              <w:rPr>
                <w:color w:val="000000"/>
                <w:sz w:val="24"/>
              </w:rPr>
            </w:r>
            <w:r/>
          </w:p>
        </w:tc>
        <w:tc>
          <w:tcPr>
            <w:tcW w:w="1701" w:type="dxa"/>
            <w:vAlign w:val="center"/>
            <w:vMerge w:val="continue"/>
            <w:textDirection w:val="lrTb"/>
            <w:noWrap w:val="false"/>
          </w:tcPr>
          <w:p>
            <w:pPr>
              <w:pStyle w:val="963"/>
              <w:jc w:val="left"/>
              <w:spacing w:line="360" w:lineRule="auto"/>
              <w:widowControl/>
              <w:rPr>
                <w:color w:val="000000"/>
                <w:sz w:val="24"/>
              </w:rPr>
            </w:pPr>
            <w:r>
              <w:rPr>
                <w:color w:val="000000"/>
                <w:sz w:val="24"/>
              </w:rPr>
            </w:r>
            <w:r/>
          </w:p>
        </w:tc>
        <w:tc>
          <w:tcPr>
            <w:tcW w:w="4723" w:type="dxa"/>
            <w:vAlign w:val="center"/>
            <w:textDirection w:val="lrTb"/>
            <w:noWrap w:val="false"/>
          </w:tcPr>
          <w:p>
            <w:pPr>
              <w:pStyle w:val="963"/>
              <w:spacing w:line="360" w:lineRule="auto"/>
              <w:widowControl/>
              <w:rPr>
                <w:sz w:val="24"/>
              </w:rPr>
            </w:pPr>
            <w:r>
              <w:rPr>
                <w:sz w:val="24"/>
              </w:rPr>
              <w:t xml:space="preserve">定期对杀毒软件升级，专机专用，禁止从事与工作无关的活动</w:t>
            </w:r>
            <w:r>
              <w:rPr>
                <w:sz w:val="24"/>
              </w:rPr>
            </w:r>
            <w:r/>
          </w:p>
        </w:tc>
      </w:tr>
      <w:tr>
        <w:trPr>
          <w:cantSplit/>
          <w:trHeight w:val="330"/>
        </w:trPr>
        <w:tc>
          <w:tcPr>
            <w:tcW w:w="534" w:type="dxa"/>
            <w:vAlign w:val="center"/>
            <w:vMerge w:val="continue"/>
            <w:textDirection w:val="lrTb"/>
            <w:noWrap w:val="false"/>
          </w:tcPr>
          <w:p>
            <w:pPr>
              <w:pStyle w:val="963"/>
              <w:jc w:val="left"/>
              <w:spacing w:line="360" w:lineRule="auto"/>
              <w:widowControl/>
              <w:rPr>
                <w:color w:val="000000"/>
                <w:sz w:val="24"/>
              </w:rPr>
            </w:pPr>
            <w:r>
              <w:rPr>
                <w:color w:val="000000"/>
                <w:sz w:val="24"/>
              </w:rPr>
            </w:r>
            <w:r/>
          </w:p>
        </w:tc>
        <w:tc>
          <w:tcPr>
            <w:tcW w:w="1355" w:type="dxa"/>
            <w:vAlign w:val="center"/>
            <w:vMerge w:val="continue"/>
            <w:textDirection w:val="lrTb"/>
            <w:noWrap w:val="false"/>
          </w:tcPr>
          <w:p>
            <w:pPr>
              <w:pStyle w:val="963"/>
              <w:jc w:val="left"/>
              <w:spacing w:line="360" w:lineRule="auto"/>
              <w:widowControl/>
              <w:rPr>
                <w:color w:val="000000"/>
                <w:sz w:val="24"/>
              </w:rPr>
            </w:pPr>
            <w:r>
              <w:rPr>
                <w:color w:val="000000"/>
                <w:sz w:val="24"/>
              </w:rPr>
            </w:r>
            <w:r/>
          </w:p>
        </w:tc>
        <w:tc>
          <w:tcPr>
            <w:tcW w:w="1701" w:type="dxa"/>
            <w:vAlign w:val="center"/>
            <w:vMerge w:val="continue"/>
            <w:textDirection w:val="lrTb"/>
            <w:noWrap w:val="false"/>
          </w:tcPr>
          <w:p>
            <w:pPr>
              <w:pStyle w:val="963"/>
              <w:jc w:val="left"/>
              <w:spacing w:line="360" w:lineRule="auto"/>
              <w:widowControl/>
              <w:rPr>
                <w:color w:val="000000"/>
                <w:sz w:val="24"/>
              </w:rPr>
            </w:pPr>
            <w:r>
              <w:rPr>
                <w:color w:val="000000"/>
                <w:sz w:val="24"/>
              </w:rPr>
            </w:r>
            <w:r/>
          </w:p>
        </w:tc>
        <w:tc>
          <w:tcPr>
            <w:tcW w:w="4723" w:type="dxa"/>
            <w:vAlign w:val="center"/>
            <w:textDirection w:val="lrTb"/>
            <w:noWrap w:val="false"/>
          </w:tcPr>
          <w:p>
            <w:pPr>
              <w:pStyle w:val="963"/>
              <w:spacing w:line="360" w:lineRule="auto"/>
              <w:widowControl/>
              <w:rPr>
                <w:sz w:val="24"/>
              </w:rPr>
            </w:pPr>
            <w:r>
              <w:rPr>
                <w:sz w:val="24"/>
              </w:rPr>
              <w:t xml:space="preserve">装回工控机重复1）、2）步骤</w:t>
            </w:r>
            <w:r>
              <w:rPr>
                <w:sz w:val="24"/>
              </w:rPr>
            </w:r>
            <w:r/>
          </w:p>
        </w:tc>
      </w:tr>
    </w:tbl>
    <w:p>
      <w:pPr>
        <w:pStyle w:val="963"/>
        <w:numPr>
          <w:ilvl w:val="0"/>
          <w:numId w:val="37"/>
        </w:numPr>
        <w:ind w:firstLine="480"/>
        <w:jc w:val="left"/>
        <w:spacing w:line="360" w:lineRule="auto"/>
        <w:widowControl/>
        <w:rPr>
          <w:color w:val="000000"/>
          <w:sz w:val="24"/>
        </w:rPr>
      </w:pPr>
      <w:r>
        <w:rPr>
          <w:color w:val="000000"/>
          <w:sz w:val="24"/>
        </w:rPr>
        <w:t xml:space="preserve">水污染预警溯源仪运维服务内容</w:t>
      </w:r>
      <w:r>
        <w:rPr>
          <w:color w:val="000000"/>
          <w:sz w:val="24"/>
        </w:rPr>
      </w:r>
      <w:r/>
    </w:p>
    <w:p>
      <w:pPr>
        <w:pStyle w:val="963"/>
        <w:numPr>
          <w:ilvl w:val="0"/>
          <w:numId w:val="41"/>
        </w:numPr>
        <w:ind w:left="0" w:firstLine="480"/>
        <w:jc w:val="left"/>
        <w:spacing w:line="360" w:lineRule="auto"/>
        <w:widowControl/>
        <w:rPr>
          <w:color w:val="000000"/>
          <w:sz w:val="24"/>
        </w:rPr>
      </w:pPr>
      <w:r>
        <w:rPr>
          <w:color w:val="000000"/>
          <w:sz w:val="24"/>
        </w:rPr>
        <w:t xml:space="preserve">提供并定期更换监测系统和仪表所需备品备件；</w:t>
      </w:r>
      <w:r>
        <w:rPr>
          <w:color w:val="000000"/>
          <w:sz w:val="24"/>
        </w:rPr>
      </w:r>
      <w:r/>
    </w:p>
    <w:p>
      <w:pPr>
        <w:pStyle w:val="963"/>
        <w:numPr>
          <w:ilvl w:val="0"/>
          <w:numId w:val="41"/>
        </w:numPr>
        <w:ind w:left="0" w:firstLine="480"/>
        <w:jc w:val="left"/>
        <w:spacing w:line="360" w:lineRule="auto"/>
        <w:widowControl/>
        <w:rPr>
          <w:color w:val="000000"/>
          <w:sz w:val="24"/>
        </w:rPr>
      </w:pPr>
      <w:r>
        <w:rPr>
          <w:color w:val="000000"/>
          <w:sz w:val="24"/>
        </w:rPr>
        <w:t xml:space="preserve">定期检测集成系统，包括原水预处理；定期检测通讯系统，确保正常运行；</w:t>
      </w:r>
      <w:r>
        <w:rPr>
          <w:color w:val="000000"/>
          <w:sz w:val="24"/>
        </w:rPr>
      </w:r>
      <w:r/>
    </w:p>
    <w:p>
      <w:pPr>
        <w:pStyle w:val="963"/>
        <w:numPr>
          <w:ilvl w:val="0"/>
          <w:numId w:val="41"/>
        </w:numPr>
        <w:ind w:left="0" w:firstLine="480"/>
        <w:jc w:val="left"/>
        <w:spacing w:line="360" w:lineRule="auto"/>
        <w:widowControl/>
        <w:rPr>
          <w:color w:val="000000"/>
          <w:sz w:val="24"/>
        </w:rPr>
      </w:pPr>
      <w:r>
        <w:rPr>
          <w:color w:val="000000"/>
          <w:sz w:val="24"/>
        </w:rPr>
        <w:t xml:space="preserve">及时排除溯源仪出现的故障，定期标样核查，确保有效运行；</w:t>
      </w:r>
      <w:r>
        <w:rPr>
          <w:color w:val="000000"/>
          <w:sz w:val="24"/>
        </w:rPr>
      </w:r>
      <w:r/>
    </w:p>
    <w:p>
      <w:pPr>
        <w:pStyle w:val="963"/>
        <w:numPr>
          <w:ilvl w:val="0"/>
          <w:numId w:val="41"/>
        </w:numPr>
        <w:ind w:left="0" w:firstLine="480"/>
        <w:jc w:val="left"/>
        <w:spacing w:line="360" w:lineRule="auto"/>
        <w:widowControl/>
        <w:rPr>
          <w:color w:val="000000"/>
          <w:sz w:val="24"/>
        </w:rPr>
      </w:pPr>
      <w:r>
        <w:rPr>
          <w:color w:val="000000"/>
          <w:sz w:val="24"/>
        </w:rPr>
        <w:t xml:space="preserve">每月提供系统运行月报，内容包括当月系统运行有效性统计、数据监控和巡检情况、质控情况、备品备件更换情况等，以及数据简要分析。</w:t>
      </w:r>
      <w:r>
        <w:rPr>
          <w:color w:val="000000"/>
          <w:sz w:val="24"/>
        </w:rPr>
      </w:r>
      <w:r/>
    </w:p>
    <w:p>
      <w:pPr>
        <w:pStyle w:val="963"/>
        <w:numPr>
          <w:ilvl w:val="0"/>
          <w:numId w:val="37"/>
        </w:numPr>
        <w:ind w:firstLine="480"/>
        <w:jc w:val="left"/>
        <w:spacing w:line="360" w:lineRule="auto"/>
        <w:widowControl/>
        <w:rPr>
          <w:color w:val="000000"/>
          <w:sz w:val="24"/>
        </w:rPr>
      </w:pPr>
      <w:r>
        <w:rPr>
          <w:color w:val="000000"/>
          <w:sz w:val="24"/>
        </w:rPr>
        <w:t xml:space="preserve">浮标站运维服务内容</w:t>
      </w:r>
      <w:r>
        <w:rPr>
          <w:color w:val="000000"/>
          <w:sz w:val="24"/>
        </w:rPr>
      </w:r>
      <w:r/>
    </w:p>
    <w:p>
      <w:pPr>
        <w:pStyle w:val="963"/>
        <w:ind w:firstLine="480"/>
        <w:jc w:val="left"/>
        <w:spacing w:line="360" w:lineRule="auto"/>
        <w:widowControl/>
        <w:rPr>
          <w:color w:val="000000"/>
          <w:sz w:val="24"/>
        </w:rPr>
      </w:pPr>
      <w:r>
        <w:rPr>
          <w:color w:val="000000"/>
          <w:sz w:val="24"/>
        </w:rPr>
        <w:t xml:space="preserve">系统运维主要针对浮标系统整体进行运维，运维工作主要包括浮标标体的补漆、去除生物附着、系统大检修及仪器设备校准或更换备件等一系列工作，每年进行一次，采用大船及吊车将浮标系统吊上岸并进行相关的运维。</w:t>
      </w:r>
      <w:r>
        <w:rPr>
          <w:color w:val="000000"/>
          <w:sz w:val="24"/>
        </w:rPr>
      </w:r>
      <w:r/>
    </w:p>
    <w:p>
      <w:pPr>
        <w:pStyle w:val="963"/>
        <w:numPr>
          <w:ilvl w:val="0"/>
          <w:numId w:val="42"/>
        </w:numPr>
        <w:ind w:left="0" w:firstLine="480"/>
        <w:jc w:val="left"/>
        <w:spacing w:line="360" w:lineRule="auto"/>
        <w:widowControl/>
        <w:rPr>
          <w:color w:val="000000"/>
          <w:sz w:val="24"/>
        </w:rPr>
      </w:pPr>
      <w:r>
        <w:rPr>
          <w:color w:val="000000"/>
          <w:sz w:val="24"/>
        </w:rPr>
        <w:t xml:space="preserve">具体运维工作：</w:t>
      </w:r>
      <w:r>
        <w:rPr>
          <w:color w:val="000000"/>
          <w:sz w:val="24"/>
        </w:rPr>
      </w:r>
      <w:r/>
    </w:p>
    <w:p>
      <w:pPr>
        <w:pStyle w:val="963"/>
        <w:numPr>
          <w:ilvl w:val="0"/>
          <w:numId w:val="43"/>
        </w:numPr>
        <w:ind w:left="0" w:firstLine="480"/>
        <w:jc w:val="left"/>
        <w:spacing w:line="360" w:lineRule="auto"/>
        <w:widowControl/>
        <w:rPr>
          <w:color w:val="000000"/>
          <w:sz w:val="24"/>
        </w:rPr>
      </w:pPr>
      <w:r>
        <w:rPr>
          <w:color w:val="000000"/>
          <w:sz w:val="24"/>
        </w:rPr>
        <w:t xml:space="preserve">检查浮标系统外观完整后将浮标系统经施工船吊上岸来并进行拆卸，对各部分进行清洗并喷涂防护漆，如有缺少螺丝或是螺丝生锈需及时更换；</w:t>
      </w:r>
      <w:r>
        <w:rPr>
          <w:color w:val="000000"/>
          <w:sz w:val="24"/>
        </w:rPr>
      </w:r>
      <w:r/>
    </w:p>
    <w:p>
      <w:pPr>
        <w:pStyle w:val="963"/>
        <w:numPr>
          <w:ilvl w:val="0"/>
          <w:numId w:val="43"/>
        </w:numPr>
        <w:ind w:left="0" w:firstLine="480"/>
        <w:jc w:val="left"/>
        <w:spacing w:line="360" w:lineRule="auto"/>
        <w:widowControl/>
        <w:rPr>
          <w:color w:val="000000"/>
          <w:sz w:val="24"/>
        </w:rPr>
      </w:pPr>
      <w:r>
        <w:rPr>
          <w:color w:val="000000"/>
          <w:sz w:val="24"/>
        </w:rPr>
        <w:t xml:space="preserve">检查数据采集系统是否正常工作，单独通过开关电源给数据采集器供电并连接电脑进行收发数据测试，如有稳定的输出电压并收发数据正常，则数据采集器正常。检查完成后取出数据采集板上的TF卡，将TF卡上的数据拷至笔记本内以便带回进行分析处理，一般情况下需将存储卡中的数据删除以确保卡内有足够的空间继续工作，把处理好的存储卡插回插槽；</w:t>
      </w:r>
      <w:r>
        <w:rPr>
          <w:color w:val="000000"/>
          <w:sz w:val="24"/>
        </w:rPr>
      </w:r>
      <w:r/>
    </w:p>
    <w:p>
      <w:pPr>
        <w:pStyle w:val="963"/>
        <w:numPr>
          <w:ilvl w:val="0"/>
          <w:numId w:val="43"/>
        </w:numPr>
        <w:ind w:left="0" w:firstLine="480"/>
        <w:jc w:val="left"/>
        <w:spacing w:line="360" w:lineRule="auto"/>
        <w:widowControl/>
        <w:rPr>
          <w:color w:val="000000"/>
          <w:sz w:val="24"/>
        </w:rPr>
      </w:pPr>
      <w:r>
        <w:rPr>
          <w:color w:val="000000"/>
          <w:sz w:val="24"/>
        </w:rPr>
        <w:t xml:space="preserve">将水质在线传感器、水下动态声呐、水下摄像、压力传感器从剖面升降系统支架上取出并清洗，清洗完成后再对水质在线传感器进行校准，然后将其安装好；</w:t>
      </w:r>
      <w:r>
        <w:rPr>
          <w:color w:val="000000"/>
          <w:sz w:val="24"/>
        </w:rPr>
      </w:r>
      <w:r/>
    </w:p>
    <w:p>
      <w:pPr>
        <w:pStyle w:val="963"/>
        <w:numPr>
          <w:ilvl w:val="0"/>
          <w:numId w:val="43"/>
        </w:numPr>
        <w:ind w:left="0" w:firstLine="480"/>
        <w:jc w:val="left"/>
        <w:spacing w:line="360" w:lineRule="auto"/>
        <w:widowControl/>
        <w:rPr>
          <w:color w:val="000000"/>
          <w:sz w:val="24"/>
        </w:rPr>
      </w:pPr>
      <w:r>
        <w:rPr>
          <w:color w:val="000000"/>
          <w:sz w:val="24"/>
        </w:rPr>
        <w:t xml:space="preserve">人为模拟现场断电故障，在恢复供电条件后，系统能正常工作，拷机24小时数据正常上传后联系船主进行布放。</w:t>
      </w:r>
      <w:r>
        <w:rPr>
          <w:color w:val="000000"/>
          <w:sz w:val="24"/>
        </w:rPr>
      </w:r>
      <w:r/>
    </w:p>
    <w:p>
      <w:pPr>
        <w:pStyle w:val="963"/>
        <w:numPr>
          <w:ilvl w:val="0"/>
          <w:numId w:val="43"/>
        </w:numPr>
        <w:ind w:left="0" w:firstLine="480"/>
        <w:jc w:val="left"/>
        <w:spacing w:line="360" w:lineRule="auto"/>
        <w:widowControl/>
        <w:rPr>
          <w:color w:val="000000"/>
          <w:sz w:val="24"/>
        </w:rPr>
      </w:pPr>
      <w:r>
        <w:rPr>
          <w:color w:val="000000"/>
          <w:sz w:val="24"/>
        </w:rPr>
        <w:t xml:space="preserve">数据平台安排专人对设备运行和水质情况进行查看，每天上午和下午通过数据平台软件远程调看浮标水质自动监测站和岸基水质自动监测站的监测数据至少各1次，根据情况组织开展巡检、核查、维修等工作，保障系统正常、安全运行。</w:t>
      </w:r>
      <w:r>
        <w:rPr>
          <w:color w:val="000000"/>
          <w:sz w:val="24"/>
        </w:rPr>
      </w:r>
      <w:r/>
    </w:p>
    <w:p>
      <w:pPr>
        <w:pStyle w:val="963"/>
        <w:numPr>
          <w:ilvl w:val="0"/>
          <w:numId w:val="42"/>
        </w:numPr>
        <w:ind w:left="0" w:firstLine="480"/>
        <w:jc w:val="left"/>
        <w:spacing w:line="360" w:lineRule="auto"/>
        <w:widowControl/>
        <w:rPr>
          <w:color w:val="000000"/>
          <w:sz w:val="24"/>
        </w:rPr>
      </w:pPr>
      <w:r>
        <w:rPr>
          <w:color w:val="000000"/>
          <w:sz w:val="24"/>
        </w:rPr>
        <w:t xml:space="preserve">数据平台日常管理工作包括：</w:t>
      </w:r>
      <w:r>
        <w:rPr>
          <w:color w:val="000000"/>
          <w:sz w:val="24"/>
        </w:rPr>
      </w:r>
      <w:r/>
    </w:p>
    <w:p>
      <w:pPr>
        <w:pStyle w:val="963"/>
        <w:numPr>
          <w:ilvl w:val="0"/>
          <w:numId w:val="44"/>
        </w:numPr>
        <w:ind w:left="0" w:firstLine="480"/>
        <w:jc w:val="left"/>
        <w:spacing w:line="360" w:lineRule="auto"/>
        <w:widowControl/>
        <w:rPr>
          <w:color w:val="000000"/>
          <w:sz w:val="24"/>
        </w:rPr>
      </w:pPr>
      <w:r>
        <w:rPr>
          <w:color w:val="000000"/>
          <w:sz w:val="24"/>
        </w:rPr>
        <w:t xml:space="preserve">检查各浮标、数据传输、仪器及相关系统参数数据情况，发现问题及时处理；</w:t>
      </w:r>
      <w:r>
        <w:rPr>
          <w:color w:val="000000"/>
          <w:sz w:val="24"/>
        </w:rPr>
      </w:r>
      <w:r/>
    </w:p>
    <w:p>
      <w:pPr>
        <w:pStyle w:val="963"/>
        <w:numPr>
          <w:ilvl w:val="0"/>
          <w:numId w:val="44"/>
        </w:numPr>
        <w:ind w:left="0" w:firstLine="480"/>
        <w:jc w:val="left"/>
        <w:spacing w:line="360" w:lineRule="auto"/>
        <w:widowControl/>
        <w:rPr>
          <w:color w:val="000000"/>
          <w:sz w:val="24"/>
        </w:rPr>
      </w:pPr>
      <w:r>
        <w:rPr>
          <w:color w:val="000000"/>
          <w:sz w:val="24"/>
        </w:rPr>
        <w:t xml:space="preserve">发现数据有持续异常值出现时，立即安排技术人员前往现场进行调查，必要时采集实际水样进行人工分析；</w:t>
      </w:r>
      <w:r>
        <w:rPr>
          <w:color w:val="000000"/>
          <w:sz w:val="24"/>
        </w:rPr>
      </w:r>
      <w:r/>
    </w:p>
    <w:p>
      <w:pPr>
        <w:pStyle w:val="963"/>
        <w:numPr>
          <w:ilvl w:val="0"/>
          <w:numId w:val="44"/>
        </w:numPr>
        <w:ind w:left="0" w:firstLine="480"/>
        <w:jc w:val="left"/>
        <w:spacing w:line="360" w:lineRule="auto"/>
        <w:widowControl/>
        <w:rPr>
          <w:color w:val="000000"/>
          <w:sz w:val="24"/>
        </w:rPr>
      </w:pPr>
      <w:r>
        <w:rPr>
          <w:color w:val="000000"/>
          <w:sz w:val="24"/>
        </w:rPr>
        <w:t xml:space="preserve">调取并分析浮标、监测数据；</w:t>
      </w:r>
      <w:r>
        <w:rPr>
          <w:color w:val="000000"/>
          <w:sz w:val="24"/>
        </w:rPr>
      </w:r>
      <w:r/>
    </w:p>
    <w:p>
      <w:pPr>
        <w:pStyle w:val="963"/>
        <w:numPr>
          <w:ilvl w:val="0"/>
          <w:numId w:val="44"/>
        </w:numPr>
        <w:ind w:left="0" w:firstLine="480"/>
        <w:jc w:val="left"/>
        <w:spacing w:line="360" w:lineRule="auto"/>
        <w:widowControl/>
        <w:rPr>
          <w:color w:val="000000"/>
          <w:sz w:val="24"/>
        </w:rPr>
      </w:pPr>
      <w:r>
        <w:rPr>
          <w:color w:val="000000"/>
          <w:sz w:val="24"/>
        </w:rPr>
        <w:t xml:space="preserve">上报监测结果；</w:t>
      </w:r>
      <w:r>
        <w:rPr>
          <w:color w:val="000000"/>
          <w:sz w:val="24"/>
        </w:rPr>
      </w:r>
      <w:r/>
    </w:p>
    <w:p>
      <w:pPr>
        <w:pStyle w:val="963"/>
        <w:numPr>
          <w:ilvl w:val="0"/>
          <w:numId w:val="44"/>
        </w:numPr>
        <w:ind w:left="0" w:firstLine="480"/>
        <w:jc w:val="left"/>
        <w:spacing w:line="360" w:lineRule="auto"/>
        <w:widowControl/>
        <w:rPr>
          <w:color w:val="000000"/>
          <w:sz w:val="24"/>
        </w:rPr>
      </w:pPr>
      <w:r>
        <w:rPr>
          <w:color w:val="000000"/>
          <w:sz w:val="24"/>
        </w:rPr>
        <w:t xml:space="preserve">确保在用和备份计算机系统的硬、软件正常运行；定时对系统软件、水质监测软件、查杀毒软件进行升级更新；每季度备份一次系统监测数据；</w:t>
      </w:r>
      <w:r>
        <w:rPr>
          <w:color w:val="000000"/>
          <w:sz w:val="24"/>
        </w:rPr>
      </w:r>
      <w:r/>
    </w:p>
    <w:p>
      <w:pPr>
        <w:pStyle w:val="963"/>
        <w:numPr>
          <w:ilvl w:val="0"/>
          <w:numId w:val="44"/>
        </w:numPr>
        <w:ind w:left="0" w:firstLine="480"/>
        <w:jc w:val="left"/>
        <w:spacing w:line="360" w:lineRule="auto"/>
        <w:widowControl/>
        <w:rPr>
          <w:color w:val="000000"/>
          <w:sz w:val="24"/>
        </w:rPr>
      </w:pPr>
      <w:r>
        <w:rPr>
          <w:color w:val="000000"/>
          <w:sz w:val="24"/>
        </w:rPr>
        <w:t xml:space="preserve">做好数据平台日常管理工作记录。</w:t>
      </w:r>
      <w:r>
        <w:rPr>
          <w:color w:val="000000"/>
          <w:sz w:val="24"/>
        </w:rPr>
      </w:r>
      <w:r/>
    </w:p>
    <w:p>
      <w:pPr>
        <w:pStyle w:val="963"/>
        <w:numPr>
          <w:ilvl w:val="0"/>
          <w:numId w:val="42"/>
        </w:numPr>
        <w:ind w:left="0" w:firstLine="480"/>
        <w:jc w:val="left"/>
        <w:spacing w:line="360" w:lineRule="auto"/>
        <w:widowControl/>
        <w:rPr>
          <w:color w:val="000000"/>
          <w:sz w:val="24"/>
        </w:rPr>
      </w:pPr>
      <w:r>
        <w:rPr>
          <w:color w:val="000000"/>
          <w:sz w:val="24"/>
        </w:rPr>
        <w:t xml:space="preserve">常规维护</w:t>
      </w:r>
      <w:r>
        <w:rPr>
          <w:color w:val="000000"/>
          <w:sz w:val="24"/>
        </w:rPr>
      </w:r>
      <w:r/>
    </w:p>
    <w:p>
      <w:pPr>
        <w:pStyle w:val="963"/>
        <w:ind w:firstLine="480"/>
        <w:jc w:val="left"/>
        <w:spacing w:line="360" w:lineRule="auto"/>
        <w:widowControl/>
        <w:rPr>
          <w:color w:val="000000"/>
          <w:sz w:val="24"/>
        </w:rPr>
      </w:pPr>
      <w:r>
        <w:rPr>
          <w:color w:val="000000"/>
          <w:sz w:val="24"/>
        </w:rPr>
        <w:t xml:space="preserve">常规维护主要针对浮标标体及系统主要设备进行检修、校准等维护工作，保证系统监测数据的准确性和系统运行的稳定性。该维护需每月到达现场将浮标由监测海域拖至岸边固定，然后再进行相关具体工作。</w:t>
      </w:r>
      <w:r>
        <w:rPr>
          <w:color w:val="000000"/>
          <w:sz w:val="24"/>
        </w:rPr>
      </w:r>
      <w:r/>
    </w:p>
    <w:p>
      <w:pPr>
        <w:pStyle w:val="963"/>
        <w:ind w:firstLine="480"/>
        <w:jc w:val="left"/>
        <w:spacing w:line="360" w:lineRule="auto"/>
        <w:widowControl/>
        <w:rPr>
          <w:color w:val="000000"/>
          <w:sz w:val="24"/>
        </w:rPr>
      </w:pPr>
      <w:r>
        <w:rPr>
          <w:color w:val="000000"/>
          <w:sz w:val="24"/>
        </w:rPr>
        <w:t xml:space="preserve">常规维护的主要工作具体如下：</w:t>
      </w:r>
      <w:r>
        <w:rPr>
          <w:color w:val="000000"/>
          <w:sz w:val="24"/>
        </w:rPr>
      </w:r>
      <w:r/>
    </w:p>
    <w:tbl>
      <w:tblPr>
        <w:tblW w:w="4999"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36"/>
        <w:gridCol w:w="1757"/>
        <w:gridCol w:w="5327"/>
      </w:tblGrid>
      <w:tr>
        <w:trPr/>
        <w:tc>
          <w:tcPr>
            <w:tcW w:w="1436" w:type="dxa"/>
            <w:vAlign w:val="center"/>
            <w:textDirection w:val="lrTb"/>
            <w:noWrap w:val="false"/>
          </w:tcPr>
          <w:p>
            <w:pPr>
              <w:pStyle w:val="963"/>
              <w:jc w:val="center"/>
              <w:spacing w:line="360" w:lineRule="auto"/>
              <w:widowControl/>
              <w:rPr>
                <w:sz w:val="24"/>
              </w:rPr>
            </w:pPr>
            <w:r>
              <w:rPr>
                <w:sz w:val="24"/>
              </w:rPr>
              <w:t xml:space="preserve">维护单元</w:t>
            </w:r>
            <w:r>
              <w:rPr>
                <w:sz w:val="24"/>
              </w:rPr>
            </w:r>
            <w:r/>
          </w:p>
        </w:tc>
        <w:tc>
          <w:tcPr>
            <w:tcW w:w="1757" w:type="dxa"/>
            <w:vAlign w:val="center"/>
            <w:textDirection w:val="lrTb"/>
            <w:noWrap w:val="false"/>
          </w:tcPr>
          <w:p>
            <w:pPr>
              <w:pStyle w:val="963"/>
              <w:jc w:val="center"/>
              <w:spacing w:line="360" w:lineRule="auto"/>
              <w:widowControl/>
              <w:rPr>
                <w:sz w:val="24"/>
              </w:rPr>
            </w:pPr>
            <w:r>
              <w:rPr>
                <w:sz w:val="24"/>
              </w:rPr>
              <w:t xml:space="preserve">维护对象</w:t>
            </w:r>
            <w:r>
              <w:rPr>
                <w:sz w:val="24"/>
              </w:rPr>
            </w:r>
            <w:r/>
          </w:p>
        </w:tc>
        <w:tc>
          <w:tcPr>
            <w:tcW w:w="5327" w:type="dxa"/>
            <w:vAlign w:val="center"/>
            <w:textDirection w:val="lrTb"/>
            <w:noWrap w:val="false"/>
          </w:tcPr>
          <w:p>
            <w:pPr>
              <w:pStyle w:val="963"/>
              <w:jc w:val="center"/>
              <w:spacing w:line="360" w:lineRule="auto"/>
              <w:widowControl/>
              <w:rPr>
                <w:sz w:val="24"/>
              </w:rPr>
            </w:pPr>
            <w:r>
              <w:rPr>
                <w:sz w:val="24"/>
              </w:rPr>
              <w:t xml:space="preserve">检查内容</w:t>
            </w:r>
            <w:r>
              <w:rPr>
                <w:sz w:val="24"/>
              </w:rPr>
            </w:r>
            <w:r/>
          </w:p>
        </w:tc>
      </w:tr>
      <w:tr>
        <w:trPr/>
        <w:tc>
          <w:tcPr>
            <w:tcW w:w="1436" w:type="dxa"/>
            <w:vAlign w:val="center"/>
            <w:textDirection w:val="lrTb"/>
            <w:noWrap w:val="false"/>
          </w:tcPr>
          <w:p>
            <w:pPr>
              <w:pStyle w:val="963"/>
              <w:jc w:val="center"/>
              <w:spacing w:line="360" w:lineRule="auto"/>
              <w:widowControl/>
              <w:rPr>
                <w:sz w:val="24"/>
              </w:rPr>
            </w:pPr>
            <w:r>
              <w:rPr>
                <w:sz w:val="24"/>
              </w:rPr>
              <w:t xml:space="preserve">浮标体</w:t>
            </w:r>
            <w:r>
              <w:rPr>
                <w:sz w:val="24"/>
              </w:rPr>
            </w:r>
            <w:r/>
          </w:p>
        </w:tc>
        <w:tc>
          <w:tcPr>
            <w:tcW w:w="1757" w:type="dxa"/>
            <w:vAlign w:val="center"/>
            <w:textDirection w:val="lrTb"/>
            <w:noWrap w:val="false"/>
          </w:tcPr>
          <w:p>
            <w:pPr>
              <w:pStyle w:val="963"/>
              <w:jc w:val="center"/>
              <w:spacing w:line="360" w:lineRule="auto"/>
              <w:widowControl/>
              <w:rPr>
                <w:sz w:val="24"/>
              </w:rPr>
            </w:pPr>
            <w:r>
              <w:rPr>
                <w:sz w:val="24"/>
              </w:rPr>
              <w:t xml:space="preserve">浮体及组件</w:t>
            </w:r>
            <w:r>
              <w:rPr>
                <w:sz w:val="24"/>
              </w:rPr>
            </w:r>
            <w:r/>
          </w:p>
        </w:tc>
        <w:tc>
          <w:tcPr>
            <w:tcW w:w="5327" w:type="dxa"/>
            <w:vAlign w:val="center"/>
            <w:textDirection w:val="lrTb"/>
            <w:noWrap w:val="false"/>
          </w:tcPr>
          <w:p>
            <w:pPr>
              <w:pStyle w:val="963"/>
              <w:spacing w:line="360" w:lineRule="auto"/>
              <w:widowControl/>
              <w:rPr>
                <w:sz w:val="24"/>
              </w:rPr>
            </w:pPr>
            <w:r>
              <w:rPr>
                <w:sz w:val="24"/>
              </w:rPr>
              <w:t xml:space="preserve">检查浮标标体及组件有无明显磕碰及损伤；</w:t>
            </w:r>
            <w:r>
              <w:rPr>
                <w:sz w:val="24"/>
              </w:rPr>
            </w:r>
            <w:r/>
          </w:p>
          <w:p>
            <w:pPr>
              <w:pStyle w:val="963"/>
              <w:spacing w:line="360" w:lineRule="auto"/>
              <w:widowControl/>
              <w:rPr>
                <w:sz w:val="24"/>
              </w:rPr>
            </w:pPr>
            <w:r>
              <w:rPr>
                <w:sz w:val="24"/>
              </w:rPr>
              <w:t xml:space="preserve">检查标体固定螺丝，如果有松动及时拧紧，如有螺丝缺少或是螺丝生锈需立即进行更换，并对标体进行必要的清理。</w:t>
            </w:r>
            <w:r>
              <w:rPr>
                <w:sz w:val="24"/>
              </w:rPr>
            </w:r>
            <w:r/>
          </w:p>
        </w:tc>
      </w:tr>
      <w:tr>
        <w:trPr>
          <w:cantSplit/>
        </w:trPr>
        <w:tc>
          <w:tcPr>
            <w:tcW w:w="1436" w:type="dxa"/>
            <w:vAlign w:val="center"/>
            <w:vMerge w:val="restart"/>
            <w:textDirection w:val="lrTb"/>
            <w:noWrap w:val="false"/>
          </w:tcPr>
          <w:p>
            <w:pPr>
              <w:pStyle w:val="963"/>
              <w:jc w:val="center"/>
              <w:spacing w:line="360" w:lineRule="auto"/>
              <w:widowControl/>
              <w:rPr>
                <w:sz w:val="24"/>
              </w:rPr>
            </w:pPr>
            <w:r>
              <w:rPr>
                <w:sz w:val="24"/>
              </w:rPr>
              <w:t xml:space="preserve">供电单元</w:t>
            </w:r>
            <w:r>
              <w:rPr>
                <w:sz w:val="24"/>
              </w:rPr>
            </w:r>
            <w:r/>
          </w:p>
        </w:tc>
        <w:tc>
          <w:tcPr>
            <w:tcW w:w="1757" w:type="dxa"/>
            <w:vAlign w:val="center"/>
            <w:textDirection w:val="lrTb"/>
            <w:noWrap w:val="false"/>
          </w:tcPr>
          <w:p>
            <w:pPr>
              <w:pStyle w:val="963"/>
              <w:jc w:val="center"/>
              <w:spacing w:line="360" w:lineRule="auto"/>
              <w:widowControl/>
              <w:rPr>
                <w:sz w:val="24"/>
              </w:rPr>
            </w:pPr>
            <w:r>
              <w:rPr>
                <w:sz w:val="24"/>
              </w:rPr>
              <w:t xml:space="preserve">太阳能板</w:t>
            </w:r>
            <w:r>
              <w:rPr>
                <w:sz w:val="24"/>
              </w:rPr>
            </w:r>
            <w:r/>
          </w:p>
        </w:tc>
        <w:tc>
          <w:tcPr>
            <w:tcW w:w="5327" w:type="dxa"/>
            <w:vAlign w:val="center"/>
            <w:textDirection w:val="lrTb"/>
            <w:noWrap w:val="false"/>
          </w:tcPr>
          <w:p>
            <w:pPr>
              <w:pStyle w:val="963"/>
              <w:spacing w:line="360" w:lineRule="auto"/>
              <w:widowControl/>
              <w:rPr>
                <w:sz w:val="24"/>
              </w:rPr>
            </w:pPr>
            <w:r>
              <w:rPr>
                <w:sz w:val="24"/>
              </w:rPr>
              <w:t xml:space="preserve">检查太阳能板有无明显磕碰及损伤；</w:t>
            </w:r>
            <w:r>
              <w:rPr>
                <w:sz w:val="24"/>
              </w:rPr>
            </w:r>
            <w:r/>
          </w:p>
          <w:p>
            <w:pPr>
              <w:pStyle w:val="963"/>
              <w:spacing w:line="360" w:lineRule="auto"/>
              <w:widowControl/>
              <w:rPr>
                <w:sz w:val="24"/>
              </w:rPr>
            </w:pPr>
            <w:r>
              <w:rPr>
                <w:sz w:val="24"/>
              </w:rPr>
              <w:t xml:space="preserve">检查太阳能板至汇流箱的电源线连接是否松动；</w:t>
            </w:r>
            <w:r>
              <w:rPr>
                <w:sz w:val="24"/>
              </w:rPr>
            </w:r>
            <w:r/>
          </w:p>
        </w:tc>
      </w:tr>
      <w:tr>
        <w:trPr>
          <w:cantSplit/>
        </w:trPr>
        <w:tc>
          <w:tcPr>
            <w:tcW w:w="1436"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757" w:type="dxa"/>
            <w:vAlign w:val="center"/>
            <w:textDirection w:val="lrTb"/>
            <w:noWrap w:val="false"/>
          </w:tcPr>
          <w:p>
            <w:pPr>
              <w:pStyle w:val="963"/>
              <w:jc w:val="center"/>
              <w:spacing w:line="360" w:lineRule="auto"/>
              <w:widowControl/>
              <w:rPr>
                <w:sz w:val="24"/>
              </w:rPr>
            </w:pPr>
            <w:r>
              <w:rPr>
                <w:sz w:val="24"/>
              </w:rPr>
              <w:t xml:space="preserve">蓄电池</w:t>
            </w:r>
            <w:r>
              <w:rPr>
                <w:sz w:val="24"/>
              </w:rPr>
            </w:r>
            <w:r/>
          </w:p>
        </w:tc>
        <w:tc>
          <w:tcPr>
            <w:tcW w:w="5327" w:type="dxa"/>
            <w:vAlign w:val="center"/>
            <w:textDirection w:val="lrTb"/>
            <w:noWrap w:val="false"/>
          </w:tcPr>
          <w:p>
            <w:pPr>
              <w:pStyle w:val="963"/>
              <w:spacing w:line="360" w:lineRule="auto"/>
              <w:widowControl/>
              <w:rPr>
                <w:sz w:val="24"/>
              </w:rPr>
            </w:pPr>
            <w:r>
              <w:rPr>
                <w:sz w:val="24"/>
              </w:rPr>
              <w:t xml:space="preserve">检查蓄电池到太阳能控制器的连线有无松动和破损；</w:t>
            </w:r>
            <w:r>
              <w:rPr>
                <w:sz w:val="24"/>
              </w:rPr>
            </w:r>
            <w:r/>
          </w:p>
          <w:p>
            <w:pPr>
              <w:pStyle w:val="963"/>
              <w:spacing w:line="360" w:lineRule="auto"/>
              <w:widowControl/>
              <w:rPr>
                <w:sz w:val="24"/>
              </w:rPr>
            </w:pPr>
            <w:r>
              <w:rPr>
                <w:sz w:val="24"/>
              </w:rPr>
              <w:t xml:space="preserve">检查蓄电池的输出电压是否正常；</w:t>
            </w:r>
            <w:r>
              <w:rPr>
                <w:sz w:val="24"/>
              </w:rPr>
            </w:r>
            <w:r/>
          </w:p>
        </w:tc>
      </w:tr>
      <w:tr>
        <w:trPr>
          <w:cantSplit/>
        </w:trPr>
        <w:tc>
          <w:tcPr>
            <w:tcW w:w="1436" w:type="dxa"/>
            <w:vAlign w:val="center"/>
            <w:vMerge w:val="continue"/>
            <w:textDirection w:val="lrTb"/>
            <w:noWrap w:val="false"/>
          </w:tcPr>
          <w:p>
            <w:pPr>
              <w:pStyle w:val="963"/>
              <w:jc w:val="center"/>
              <w:spacing w:line="360" w:lineRule="auto"/>
              <w:widowControl/>
              <w:rPr>
                <w:color w:val="000000"/>
                <w:sz w:val="24"/>
              </w:rPr>
            </w:pPr>
            <w:r>
              <w:rPr>
                <w:color w:val="000000"/>
                <w:sz w:val="24"/>
              </w:rPr>
            </w:r>
            <w:r/>
          </w:p>
        </w:tc>
        <w:tc>
          <w:tcPr>
            <w:tcW w:w="1757" w:type="dxa"/>
            <w:vAlign w:val="center"/>
            <w:textDirection w:val="lrTb"/>
            <w:noWrap w:val="false"/>
          </w:tcPr>
          <w:p>
            <w:pPr>
              <w:pStyle w:val="963"/>
              <w:jc w:val="center"/>
              <w:spacing w:line="360" w:lineRule="auto"/>
              <w:widowControl/>
              <w:rPr>
                <w:sz w:val="24"/>
              </w:rPr>
            </w:pPr>
            <w:r>
              <w:rPr>
                <w:sz w:val="24"/>
              </w:rPr>
              <w:t xml:space="preserve">太阳能控制器</w:t>
            </w:r>
            <w:r>
              <w:rPr>
                <w:sz w:val="24"/>
              </w:rPr>
            </w:r>
            <w:r/>
          </w:p>
        </w:tc>
        <w:tc>
          <w:tcPr>
            <w:tcW w:w="5327" w:type="dxa"/>
            <w:vAlign w:val="center"/>
            <w:textDirection w:val="lrTb"/>
            <w:noWrap w:val="false"/>
          </w:tcPr>
          <w:p>
            <w:pPr>
              <w:pStyle w:val="963"/>
              <w:spacing w:line="360" w:lineRule="auto"/>
              <w:widowControl/>
              <w:rPr>
                <w:sz w:val="24"/>
              </w:rPr>
            </w:pPr>
            <w:r>
              <w:rPr>
                <w:sz w:val="24"/>
              </w:rPr>
              <w:t xml:space="preserve">检查太阳能控制器的连线有无松动和破损；</w:t>
            </w:r>
            <w:r>
              <w:rPr>
                <w:sz w:val="24"/>
              </w:rPr>
            </w:r>
            <w:r/>
          </w:p>
          <w:p>
            <w:pPr>
              <w:pStyle w:val="963"/>
              <w:spacing w:line="360" w:lineRule="auto"/>
              <w:widowControl/>
              <w:rPr>
                <w:sz w:val="24"/>
              </w:rPr>
            </w:pPr>
            <w:r>
              <w:rPr>
                <w:sz w:val="24"/>
              </w:rPr>
              <w:t xml:space="preserve">检查太阳能控制器的输入、输出电压是否正常；</w:t>
            </w:r>
            <w:r>
              <w:rPr>
                <w:sz w:val="24"/>
              </w:rPr>
            </w:r>
            <w:r/>
          </w:p>
        </w:tc>
      </w:tr>
      <w:tr>
        <w:trPr>
          <w:cantSplit/>
        </w:trPr>
        <w:tc>
          <w:tcPr>
            <w:tcW w:w="1436" w:type="dxa"/>
            <w:vAlign w:val="center"/>
            <w:vMerge w:val="restart"/>
            <w:textDirection w:val="lrTb"/>
            <w:noWrap w:val="false"/>
          </w:tcPr>
          <w:p>
            <w:pPr>
              <w:pStyle w:val="963"/>
              <w:jc w:val="center"/>
              <w:spacing w:line="360" w:lineRule="auto"/>
              <w:widowControl/>
              <w:rPr>
                <w:sz w:val="24"/>
              </w:rPr>
            </w:pPr>
            <w:r>
              <w:rPr>
                <w:sz w:val="24"/>
              </w:rPr>
              <w:t xml:space="preserve">控制系统</w:t>
            </w:r>
            <w:r>
              <w:rPr>
                <w:sz w:val="24"/>
              </w:rPr>
            </w:r>
            <w:r/>
          </w:p>
        </w:tc>
        <w:tc>
          <w:tcPr>
            <w:tcW w:w="1757" w:type="dxa"/>
            <w:vAlign w:val="center"/>
            <w:textDirection w:val="lrTb"/>
            <w:noWrap w:val="false"/>
          </w:tcPr>
          <w:p>
            <w:pPr>
              <w:pStyle w:val="963"/>
              <w:jc w:val="center"/>
              <w:spacing w:line="360" w:lineRule="auto"/>
              <w:widowControl/>
              <w:rPr>
                <w:sz w:val="24"/>
              </w:rPr>
            </w:pPr>
            <w:r>
              <w:rPr>
                <w:sz w:val="24"/>
              </w:rPr>
              <w:t xml:space="preserve">数据采集器</w:t>
            </w:r>
            <w:r>
              <w:rPr>
                <w:sz w:val="24"/>
              </w:rPr>
            </w:r>
            <w:r/>
          </w:p>
        </w:tc>
        <w:tc>
          <w:tcPr>
            <w:tcW w:w="5327" w:type="dxa"/>
            <w:vAlign w:val="center"/>
            <w:textDirection w:val="lrTb"/>
            <w:noWrap w:val="false"/>
          </w:tcPr>
          <w:p>
            <w:pPr>
              <w:pStyle w:val="963"/>
              <w:spacing w:line="360" w:lineRule="auto"/>
              <w:widowControl/>
              <w:rPr>
                <w:sz w:val="24"/>
              </w:rPr>
            </w:pPr>
            <w:r>
              <w:rPr>
                <w:sz w:val="24"/>
              </w:rPr>
              <w:t xml:space="preserve">检查数据采集箱的的连线是否有松动或破损；</w:t>
            </w:r>
            <w:r>
              <w:rPr>
                <w:sz w:val="24"/>
              </w:rPr>
            </w:r>
            <w:r/>
          </w:p>
          <w:p>
            <w:pPr>
              <w:pStyle w:val="963"/>
              <w:spacing w:line="360" w:lineRule="auto"/>
              <w:widowControl/>
              <w:rPr>
                <w:sz w:val="24"/>
              </w:rPr>
            </w:pPr>
            <w:r>
              <w:rPr>
                <w:sz w:val="24"/>
              </w:rPr>
              <w:t xml:space="preserve">通过测试软件检查控制系统的自动控制、远程控制功能；</w:t>
            </w:r>
            <w:r>
              <w:rPr>
                <w:sz w:val="24"/>
              </w:rPr>
            </w:r>
            <w:r/>
          </w:p>
        </w:tc>
      </w:tr>
      <w:tr>
        <w:trPr>
          <w:cantSplit/>
        </w:trPr>
        <w:tc>
          <w:tcPr>
            <w:tcW w:w="1436" w:type="dxa"/>
            <w:vAlign w:val="center"/>
            <w:vMerge w:val="continue"/>
            <w:textDirection w:val="lrTb"/>
            <w:noWrap w:val="false"/>
          </w:tcPr>
          <w:p>
            <w:pPr>
              <w:pStyle w:val="963"/>
              <w:jc w:val="left"/>
              <w:spacing w:line="360" w:lineRule="auto"/>
              <w:widowControl/>
              <w:rPr>
                <w:color w:val="000000"/>
                <w:sz w:val="24"/>
              </w:rPr>
            </w:pPr>
            <w:r>
              <w:rPr>
                <w:color w:val="000000"/>
                <w:sz w:val="24"/>
              </w:rPr>
            </w:r>
            <w:r/>
          </w:p>
        </w:tc>
        <w:tc>
          <w:tcPr>
            <w:tcW w:w="1757" w:type="dxa"/>
            <w:vAlign w:val="center"/>
            <w:textDirection w:val="lrTb"/>
            <w:noWrap w:val="false"/>
          </w:tcPr>
          <w:p>
            <w:pPr>
              <w:pStyle w:val="963"/>
              <w:jc w:val="center"/>
              <w:spacing w:line="360" w:lineRule="auto"/>
              <w:widowControl/>
              <w:rPr>
                <w:sz w:val="24"/>
              </w:rPr>
            </w:pPr>
            <w:r>
              <w:rPr>
                <w:sz w:val="24"/>
              </w:rPr>
              <w:t xml:space="preserve">继电器</w:t>
            </w:r>
            <w:r>
              <w:rPr>
                <w:sz w:val="24"/>
              </w:rPr>
            </w:r>
            <w:r/>
          </w:p>
        </w:tc>
        <w:tc>
          <w:tcPr>
            <w:tcW w:w="5327" w:type="dxa"/>
            <w:vAlign w:val="center"/>
            <w:textDirection w:val="lrTb"/>
            <w:noWrap w:val="false"/>
          </w:tcPr>
          <w:p>
            <w:pPr>
              <w:pStyle w:val="963"/>
              <w:spacing w:line="360" w:lineRule="auto"/>
              <w:widowControl/>
              <w:rPr>
                <w:sz w:val="24"/>
              </w:rPr>
            </w:pPr>
            <w:r>
              <w:rPr>
                <w:sz w:val="24"/>
              </w:rPr>
              <w:t xml:space="preserve">检测和保养</w:t>
            </w:r>
            <w:r>
              <w:rPr>
                <w:sz w:val="24"/>
              </w:rPr>
            </w:r>
            <w:r/>
          </w:p>
        </w:tc>
      </w:tr>
      <w:tr>
        <w:trPr/>
        <w:tc>
          <w:tcPr>
            <w:tcW w:w="1436" w:type="dxa"/>
            <w:vAlign w:val="center"/>
            <w:textDirection w:val="lrTb"/>
            <w:noWrap w:val="false"/>
          </w:tcPr>
          <w:p>
            <w:pPr>
              <w:pStyle w:val="963"/>
              <w:jc w:val="center"/>
              <w:spacing w:line="360" w:lineRule="auto"/>
              <w:widowControl/>
              <w:rPr>
                <w:sz w:val="24"/>
              </w:rPr>
            </w:pPr>
            <w:r>
              <w:rPr>
                <w:sz w:val="24"/>
              </w:rPr>
              <w:t xml:space="preserve">传输系统</w:t>
            </w:r>
            <w:r>
              <w:rPr>
                <w:sz w:val="24"/>
              </w:rPr>
            </w:r>
            <w:r/>
          </w:p>
        </w:tc>
        <w:tc>
          <w:tcPr>
            <w:tcW w:w="1757" w:type="dxa"/>
            <w:vAlign w:val="center"/>
            <w:textDirection w:val="lrTb"/>
            <w:noWrap w:val="false"/>
          </w:tcPr>
          <w:p>
            <w:pPr>
              <w:pStyle w:val="963"/>
              <w:jc w:val="center"/>
              <w:spacing w:line="360" w:lineRule="auto"/>
              <w:widowControl/>
              <w:rPr>
                <w:sz w:val="24"/>
              </w:rPr>
            </w:pPr>
            <w:r>
              <w:rPr>
                <w:sz w:val="24"/>
              </w:rPr>
              <w:t xml:space="preserve">数据传输模块</w:t>
            </w:r>
            <w:r>
              <w:rPr>
                <w:sz w:val="24"/>
              </w:rPr>
            </w:r>
            <w:r/>
          </w:p>
        </w:tc>
        <w:tc>
          <w:tcPr>
            <w:tcW w:w="5327" w:type="dxa"/>
            <w:vAlign w:val="center"/>
            <w:textDirection w:val="lrTb"/>
            <w:noWrap w:val="false"/>
          </w:tcPr>
          <w:p>
            <w:pPr>
              <w:pStyle w:val="963"/>
              <w:spacing w:line="360" w:lineRule="auto"/>
              <w:widowControl/>
              <w:rPr>
                <w:sz w:val="24"/>
              </w:rPr>
            </w:pPr>
            <w:r>
              <w:rPr>
                <w:sz w:val="24"/>
              </w:rPr>
              <w:t xml:space="preserve">检查传输模块及天线的连线是否有松动或破损；</w:t>
            </w:r>
            <w:r>
              <w:rPr>
                <w:sz w:val="24"/>
              </w:rPr>
            </w:r>
            <w:r/>
          </w:p>
          <w:p>
            <w:pPr>
              <w:pStyle w:val="963"/>
              <w:spacing w:line="360" w:lineRule="auto"/>
              <w:widowControl/>
              <w:rPr>
                <w:sz w:val="24"/>
              </w:rPr>
            </w:pPr>
            <w:r>
              <w:rPr>
                <w:sz w:val="24"/>
              </w:rPr>
              <w:t xml:space="preserve">通过测试软件检查传输模块的工作情况是否正常；</w:t>
            </w:r>
            <w:r>
              <w:rPr>
                <w:sz w:val="24"/>
              </w:rPr>
            </w:r>
            <w:r/>
          </w:p>
        </w:tc>
      </w:tr>
      <w:tr>
        <w:trPr>
          <w:cantSplit/>
        </w:trPr>
        <w:tc>
          <w:tcPr>
            <w:tcW w:w="1436" w:type="dxa"/>
            <w:vAlign w:val="center"/>
            <w:vMerge w:val="restart"/>
            <w:textDirection w:val="lrTb"/>
            <w:noWrap w:val="false"/>
          </w:tcPr>
          <w:p>
            <w:pPr>
              <w:pStyle w:val="963"/>
              <w:jc w:val="center"/>
              <w:spacing w:line="360" w:lineRule="auto"/>
              <w:widowControl/>
              <w:rPr>
                <w:sz w:val="24"/>
              </w:rPr>
            </w:pPr>
            <w:r>
              <w:rPr>
                <w:sz w:val="24"/>
              </w:rPr>
              <w:t xml:space="preserve">传感器</w:t>
            </w:r>
            <w:r>
              <w:rPr>
                <w:sz w:val="24"/>
              </w:rPr>
            </w:r>
            <w:r/>
          </w:p>
        </w:tc>
        <w:tc>
          <w:tcPr>
            <w:tcW w:w="1757" w:type="dxa"/>
            <w:vAlign w:val="center"/>
            <w:textDirection w:val="lrTb"/>
            <w:noWrap w:val="false"/>
          </w:tcPr>
          <w:p>
            <w:pPr>
              <w:pStyle w:val="963"/>
              <w:jc w:val="center"/>
              <w:spacing w:line="360" w:lineRule="auto"/>
              <w:widowControl/>
              <w:rPr>
                <w:sz w:val="24"/>
              </w:rPr>
            </w:pPr>
            <w:r>
              <w:rPr>
                <w:sz w:val="24"/>
              </w:rPr>
              <w:t xml:space="preserve">气象传感器</w:t>
            </w:r>
            <w:r>
              <w:rPr>
                <w:sz w:val="24"/>
              </w:rPr>
            </w:r>
            <w:r/>
          </w:p>
        </w:tc>
        <w:tc>
          <w:tcPr>
            <w:tcW w:w="5327" w:type="dxa"/>
            <w:vAlign w:val="center"/>
            <w:textDirection w:val="lrTb"/>
            <w:noWrap w:val="false"/>
          </w:tcPr>
          <w:p>
            <w:pPr>
              <w:pStyle w:val="963"/>
              <w:spacing w:line="360" w:lineRule="auto"/>
              <w:widowControl/>
              <w:rPr>
                <w:sz w:val="24"/>
              </w:rPr>
            </w:pPr>
            <w:r>
              <w:rPr>
                <w:sz w:val="24"/>
              </w:rPr>
              <w:t xml:space="preserve">检查气象传感器的外观是否完好，连线是否松动；</w:t>
            </w:r>
            <w:r>
              <w:rPr>
                <w:sz w:val="24"/>
              </w:rPr>
            </w:r>
            <w:r/>
          </w:p>
          <w:p>
            <w:pPr>
              <w:pStyle w:val="963"/>
              <w:spacing w:line="360" w:lineRule="auto"/>
              <w:widowControl/>
              <w:rPr>
                <w:sz w:val="24"/>
              </w:rPr>
            </w:pPr>
            <w:r>
              <w:rPr>
                <w:sz w:val="24"/>
              </w:rPr>
              <w:t xml:space="preserve">对传感器表面进行清洗；</w:t>
            </w:r>
            <w:r>
              <w:rPr>
                <w:sz w:val="24"/>
              </w:rPr>
            </w:r>
            <w:r/>
          </w:p>
        </w:tc>
      </w:tr>
      <w:tr>
        <w:trPr>
          <w:cantSplit/>
        </w:trPr>
        <w:tc>
          <w:tcPr>
            <w:tcW w:w="1436" w:type="dxa"/>
            <w:vAlign w:val="center"/>
            <w:vMerge w:val="continue"/>
            <w:textDirection w:val="lrTb"/>
            <w:noWrap w:val="false"/>
          </w:tcPr>
          <w:p>
            <w:pPr>
              <w:pStyle w:val="963"/>
              <w:jc w:val="left"/>
              <w:spacing w:line="360" w:lineRule="auto"/>
              <w:widowControl/>
              <w:rPr>
                <w:color w:val="000000"/>
                <w:sz w:val="24"/>
              </w:rPr>
            </w:pPr>
            <w:r>
              <w:rPr>
                <w:color w:val="000000"/>
                <w:sz w:val="24"/>
              </w:rPr>
            </w:r>
            <w:r/>
          </w:p>
        </w:tc>
        <w:tc>
          <w:tcPr>
            <w:tcW w:w="1757" w:type="dxa"/>
            <w:vAlign w:val="center"/>
            <w:textDirection w:val="lrTb"/>
            <w:noWrap w:val="false"/>
          </w:tcPr>
          <w:p>
            <w:pPr>
              <w:pStyle w:val="963"/>
              <w:jc w:val="center"/>
              <w:spacing w:line="360" w:lineRule="auto"/>
              <w:widowControl/>
              <w:rPr>
                <w:sz w:val="24"/>
              </w:rPr>
            </w:pPr>
            <w:r>
              <w:rPr>
                <w:sz w:val="24"/>
              </w:rPr>
              <w:t xml:space="preserve">水下动态声呐</w:t>
            </w:r>
            <w:r>
              <w:rPr>
                <w:sz w:val="24"/>
              </w:rPr>
            </w:r>
            <w:r/>
          </w:p>
        </w:tc>
        <w:tc>
          <w:tcPr>
            <w:tcW w:w="5327" w:type="dxa"/>
            <w:vAlign w:val="center"/>
            <w:textDirection w:val="lrTb"/>
            <w:noWrap w:val="false"/>
          </w:tcPr>
          <w:p>
            <w:pPr>
              <w:pStyle w:val="963"/>
              <w:spacing w:line="360" w:lineRule="auto"/>
              <w:widowControl/>
              <w:rPr>
                <w:sz w:val="24"/>
              </w:rPr>
            </w:pPr>
            <w:r>
              <w:rPr>
                <w:sz w:val="24"/>
              </w:rPr>
              <w:t xml:space="preserve">检查水下声呐的外观是否完好，接插件是否松动；</w:t>
            </w:r>
            <w:r>
              <w:rPr>
                <w:sz w:val="24"/>
              </w:rPr>
            </w:r>
            <w:r/>
          </w:p>
          <w:p>
            <w:pPr>
              <w:pStyle w:val="963"/>
              <w:spacing w:line="360" w:lineRule="auto"/>
              <w:widowControl/>
              <w:rPr>
                <w:sz w:val="24"/>
              </w:rPr>
            </w:pPr>
            <w:r>
              <w:rPr>
                <w:sz w:val="24"/>
              </w:rPr>
              <w:t xml:space="preserve">对传感器表面进行清洗；</w:t>
            </w:r>
            <w:r>
              <w:rPr>
                <w:sz w:val="24"/>
              </w:rPr>
            </w:r>
            <w:r/>
          </w:p>
        </w:tc>
      </w:tr>
      <w:tr>
        <w:trPr>
          <w:cantSplit/>
        </w:trPr>
        <w:tc>
          <w:tcPr>
            <w:tcW w:w="1436" w:type="dxa"/>
            <w:vAlign w:val="center"/>
            <w:vMerge w:val="continue"/>
            <w:textDirection w:val="lrTb"/>
            <w:noWrap w:val="false"/>
          </w:tcPr>
          <w:p>
            <w:pPr>
              <w:pStyle w:val="963"/>
              <w:jc w:val="left"/>
              <w:spacing w:line="360" w:lineRule="auto"/>
              <w:widowControl/>
              <w:rPr>
                <w:color w:val="000000"/>
                <w:sz w:val="24"/>
              </w:rPr>
            </w:pPr>
            <w:r>
              <w:rPr>
                <w:color w:val="000000"/>
                <w:sz w:val="24"/>
              </w:rPr>
            </w:r>
            <w:r/>
          </w:p>
        </w:tc>
        <w:tc>
          <w:tcPr>
            <w:tcW w:w="1757" w:type="dxa"/>
            <w:vAlign w:val="center"/>
            <w:textDirection w:val="lrTb"/>
            <w:noWrap w:val="false"/>
          </w:tcPr>
          <w:p>
            <w:pPr>
              <w:pStyle w:val="963"/>
              <w:jc w:val="center"/>
              <w:spacing w:line="360" w:lineRule="auto"/>
              <w:widowControl/>
              <w:rPr>
                <w:sz w:val="24"/>
              </w:rPr>
            </w:pPr>
            <w:r>
              <w:rPr>
                <w:sz w:val="24"/>
              </w:rPr>
              <w:t xml:space="preserve">水下摄像</w:t>
            </w:r>
            <w:r>
              <w:rPr>
                <w:sz w:val="24"/>
              </w:rPr>
            </w:r>
            <w:r/>
          </w:p>
        </w:tc>
        <w:tc>
          <w:tcPr>
            <w:tcW w:w="5327" w:type="dxa"/>
            <w:vAlign w:val="center"/>
            <w:textDirection w:val="lrTb"/>
            <w:noWrap w:val="false"/>
          </w:tcPr>
          <w:p>
            <w:pPr>
              <w:pStyle w:val="963"/>
              <w:spacing w:line="360" w:lineRule="auto"/>
              <w:widowControl/>
              <w:rPr>
                <w:sz w:val="24"/>
              </w:rPr>
            </w:pPr>
            <w:r>
              <w:rPr>
                <w:sz w:val="24"/>
              </w:rPr>
              <w:t xml:space="preserve">检查传感器的外观是否完好，接插件是否松动；</w:t>
            </w:r>
            <w:r>
              <w:rPr>
                <w:sz w:val="24"/>
              </w:rPr>
            </w:r>
            <w:r/>
          </w:p>
          <w:p>
            <w:pPr>
              <w:pStyle w:val="963"/>
              <w:spacing w:line="360" w:lineRule="auto"/>
              <w:widowControl/>
              <w:rPr>
                <w:sz w:val="24"/>
              </w:rPr>
            </w:pPr>
            <w:r>
              <w:rPr>
                <w:sz w:val="24"/>
              </w:rPr>
              <w:t xml:space="preserve">对传感器表面进行清洗；</w:t>
            </w:r>
            <w:r>
              <w:rPr>
                <w:sz w:val="24"/>
              </w:rPr>
            </w:r>
            <w:r/>
          </w:p>
        </w:tc>
      </w:tr>
      <w:tr>
        <w:trPr>
          <w:cantSplit/>
        </w:trPr>
        <w:tc>
          <w:tcPr>
            <w:tcW w:w="1436" w:type="dxa"/>
            <w:vAlign w:val="center"/>
            <w:vMerge w:val="continue"/>
            <w:textDirection w:val="lrTb"/>
            <w:noWrap w:val="false"/>
          </w:tcPr>
          <w:p>
            <w:pPr>
              <w:pStyle w:val="963"/>
              <w:jc w:val="left"/>
              <w:spacing w:line="360" w:lineRule="auto"/>
              <w:widowControl/>
              <w:rPr>
                <w:color w:val="000000"/>
                <w:sz w:val="24"/>
              </w:rPr>
            </w:pPr>
            <w:r>
              <w:rPr>
                <w:color w:val="000000"/>
                <w:sz w:val="24"/>
              </w:rPr>
            </w:r>
            <w:r/>
          </w:p>
        </w:tc>
        <w:tc>
          <w:tcPr>
            <w:tcW w:w="1757" w:type="dxa"/>
            <w:vAlign w:val="center"/>
            <w:textDirection w:val="lrTb"/>
            <w:noWrap w:val="false"/>
          </w:tcPr>
          <w:p>
            <w:pPr>
              <w:pStyle w:val="963"/>
              <w:jc w:val="center"/>
              <w:spacing w:line="360" w:lineRule="auto"/>
              <w:widowControl/>
              <w:rPr>
                <w:sz w:val="24"/>
              </w:rPr>
            </w:pPr>
            <w:r>
              <w:rPr>
                <w:sz w:val="24"/>
              </w:rPr>
              <w:t xml:space="preserve">水质在线传感器</w:t>
            </w:r>
            <w:r>
              <w:rPr>
                <w:sz w:val="24"/>
              </w:rPr>
            </w:r>
            <w:r/>
          </w:p>
        </w:tc>
        <w:tc>
          <w:tcPr>
            <w:tcW w:w="5327" w:type="dxa"/>
            <w:vAlign w:val="center"/>
            <w:textDirection w:val="lrTb"/>
            <w:noWrap w:val="false"/>
          </w:tcPr>
          <w:p>
            <w:pPr>
              <w:pStyle w:val="963"/>
              <w:spacing w:line="360" w:lineRule="auto"/>
              <w:widowControl/>
              <w:rPr>
                <w:sz w:val="24"/>
              </w:rPr>
            </w:pPr>
            <w:r>
              <w:rPr>
                <w:sz w:val="24"/>
              </w:rPr>
              <w:t xml:space="preserve">检查传感器的外观是否完好，接插件是否松动；</w:t>
            </w:r>
            <w:r>
              <w:rPr>
                <w:sz w:val="24"/>
              </w:rPr>
            </w:r>
            <w:r/>
          </w:p>
          <w:p>
            <w:pPr>
              <w:pStyle w:val="963"/>
              <w:spacing w:line="360" w:lineRule="auto"/>
              <w:widowControl/>
              <w:rPr>
                <w:sz w:val="24"/>
              </w:rPr>
            </w:pPr>
            <w:r>
              <w:rPr>
                <w:sz w:val="24"/>
              </w:rPr>
              <w:t xml:space="preserve">.对传感器表面进行清洗；</w:t>
            </w:r>
            <w:r>
              <w:rPr>
                <w:sz w:val="24"/>
              </w:rPr>
            </w:r>
            <w:r/>
          </w:p>
          <w:p>
            <w:pPr>
              <w:pStyle w:val="963"/>
              <w:spacing w:line="360" w:lineRule="auto"/>
              <w:widowControl/>
              <w:rPr>
                <w:sz w:val="24"/>
              </w:rPr>
            </w:pPr>
            <w:r>
              <w:rPr>
                <w:sz w:val="24"/>
              </w:rPr>
              <w:t xml:space="preserve">对传感器进行校准。</w:t>
            </w:r>
            <w:r>
              <w:rPr>
                <w:sz w:val="24"/>
              </w:rPr>
            </w:r>
            <w:r/>
          </w:p>
        </w:tc>
      </w:tr>
    </w:tbl>
    <w:p>
      <w:pPr>
        <w:pStyle w:val="963"/>
        <w:numPr>
          <w:ilvl w:val="0"/>
          <w:numId w:val="42"/>
        </w:numPr>
        <w:ind w:left="0" w:firstLine="480"/>
        <w:jc w:val="left"/>
        <w:spacing w:line="360" w:lineRule="auto"/>
        <w:widowControl/>
        <w:rPr>
          <w:color w:val="000000"/>
          <w:sz w:val="24"/>
        </w:rPr>
      </w:pPr>
      <w:r>
        <w:rPr>
          <w:color w:val="000000"/>
          <w:sz w:val="24"/>
        </w:rPr>
        <w:t xml:space="preserve">突发状况维护</w:t>
      </w:r>
      <w:r>
        <w:rPr>
          <w:color w:val="000000"/>
          <w:sz w:val="24"/>
        </w:rPr>
      </w:r>
      <w:r/>
    </w:p>
    <w:p>
      <w:pPr>
        <w:pStyle w:val="963"/>
        <w:ind w:firstLine="480"/>
        <w:jc w:val="left"/>
        <w:spacing w:line="360" w:lineRule="auto"/>
        <w:widowControl/>
        <w:rPr>
          <w:color w:val="000000"/>
          <w:sz w:val="24"/>
        </w:rPr>
      </w:pPr>
      <w:r>
        <w:rPr>
          <w:color w:val="000000"/>
          <w:sz w:val="24"/>
        </w:rPr>
        <w:t xml:space="preserve">突发状况维护主要是应对系统突发情况，如浮标长时间断电、数据异常等现象时，采取的应急应对措施。</w:t>
      </w:r>
      <w:r>
        <w:rPr>
          <w:color w:val="000000"/>
          <w:sz w:val="24"/>
        </w:rPr>
      </w:r>
      <w:r/>
    </w:p>
    <w:p>
      <w:pPr>
        <w:pStyle w:val="963"/>
        <w:ind w:firstLine="480"/>
        <w:jc w:val="left"/>
        <w:spacing w:line="360" w:lineRule="auto"/>
        <w:widowControl/>
        <w:rPr>
          <w:color w:val="000000"/>
          <w:sz w:val="24"/>
        </w:rPr>
      </w:pPr>
      <w:r>
        <w:rPr>
          <w:color w:val="000000"/>
          <w:sz w:val="24"/>
        </w:rPr>
        <w:t xml:space="preserve">主要通过以下检查手段发现突发状况并进行应急处理：</w:t>
      </w:r>
      <w:r>
        <w:rPr>
          <w:color w:val="000000"/>
          <w:sz w:val="24"/>
        </w:rPr>
      </w:r>
      <w:r/>
    </w:p>
    <w:tbl>
      <w:tblPr>
        <w:tblW w:w="4998"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92"/>
        <w:gridCol w:w="4515"/>
        <w:gridCol w:w="2212"/>
      </w:tblGrid>
      <w:tr>
        <w:trPr/>
        <w:tc>
          <w:tcPr>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pStyle w:val="963"/>
              <w:jc w:val="center"/>
              <w:spacing w:line="360" w:lineRule="auto"/>
              <w:widowControl/>
              <w:rPr>
                <w:sz w:val="24"/>
              </w:rPr>
            </w:pPr>
            <w:r>
              <w:rPr>
                <w:sz w:val="24"/>
              </w:rPr>
              <w:t xml:space="preserve">检测对象</w:t>
            </w:r>
            <w:r>
              <w:rPr>
                <w:sz w:val="24"/>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963"/>
              <w:jc w:val="center"/>
              <w:spacing w:line="360" w:lineRule="auto"/>
              <w:widowControl/>
              <w:rPr>
                <w:sz w:val="24"/>
              </w:rPr>
            </w:pPr>
            <w:r>
              <w:rPr>
                <w:sz w:val="24"/>
              </w:rPr>
              <w:t xml:space="preserve">检查内容</w:t>
            </w:r>
            <w:r>
              <w:rPr>
                <w:sz w:val="24"/>
              </w:rPr>
            </w:r>
            <w:r/>
          </w:p>
        </w:tc>
        <w:tc>
          <w:tcPr>
            <w:tcBorders>
              <w:top w:val="single" w:color="000000" w:sz="4" w:space="0"/>
              <w:left w:val="single" w:color="000000" w:sz="4" w:space="0"/>
              <w:bottom w:val="single" w:color="000000" w:sz="4" w:space="0"/>
              <w:right w:val="single" w:color="000000" w:sz="4" w:space="0"/>
            </w:tcBorders>
            <w:tcW w:w="2212" w:type="dxa"/>
            <w:vAlign w:val="center"/>
            <w:textDirection w:val="lrTb"/>
            <w:noWrap w:val="false"/>
          </w:tcPr>
          <w:p>
            <w:pPr>
              <w:pStyle w:val="963"/>
              <w:jc w:val="center"/>
              <w:spacing w:line="360" w:lineRule="auto"/>
              <w:widowControl/>
              <w:rPr>
                <w:sz w:val="24"/>
              </w:rPr>
            </w:pPr>
            <w:r>
              <w:rPr>
                <w:sz w:val="24"/>
              </w:rPr>
              <w:t xml:space="preserve">应急处理方式</w:t>
            </w:r>
            <w:r>
              <w:rPr>
                <w:sz w:val="24"/>
              </w:rPr>
            </w:r>
            <w:r/>
          </w:p>
        </w:tc>
      </w:tr>
      <w:tr>
        <w:trPr/>
        <w:tc>
          <w:tcPr>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pStyle w:val="963"/>
              <w:jc w:val="center"/>
              <w:spacing w:line="360" w:lineRule="auto"/>
              <w:widowControl/>
              <w:rPr>
                <w:sz w:val="24"/>
              </w:rPr>
            </w:pPr>
            <w:r>
              <w:rPr>
                <w:sz w:val="24"/>
              </w:rPr>
              <w:t xml:space="preserve">浮标位置</w:t>
            </w:r>
            <w:r>
              <w:rPr>
                <w:sz w:val="24"/>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963"/>
              <w:spacing w:line="360" w:lineRule="auto"/>
              <w:widowControl/>
              <w:rPr>
                <w:sz w:val="24"/>
              </w:rPr>
            </w:pPr>
            <w:r>
              <w:rPr>
                <w:sz w:val="24"/>
              </w:rPr>
              <w:t xml:space="preserve">查看浮标GPS/北斗定位信息，如果浮标位于预先设定的经纬度范围内时，则说明浮标处于正常布放区域，若超过此经纬度，浮标系统可能发生移位</w:t>
            </w:r>
            <w:r>
              <w:rPr>
                <w:sz w:val="24"/>
              </w:rPr>
            </w:r>
            <w:r/>
          </w:p>
        </w:tc>
        <w:tc>
          <w:tcPr>
            <w:tcBorders>
              <w:top w:val="single" w:color="000000" w:sz="4" w:space="0"/>
              <w:left w:val="single" w:color="000000" w:sz="4" w:space="0"/>
              <w:bottom w:val="single" w:color="000000" w:sz="4" w:space="0"/>
              <w:right w:val="single" w:color="000000" w:sz="4" w:space="0"/>
            </w:tcBorders>
            <w:tcW w:w="2212" w:type="dxa"/>
            <w:vAlign w:val="center"/>
            <w:textDirection w:val="lrTb"/>
            <w:noWrap w:val="false"/>
          </w:tcPr>
          <w:p>
            <w:pPr>
              <w:pStyle w:val="963"/>
              <w:spacing w:line="360" w:lineRule="auto"/>
              <w:widowControl/>
              <w:rPr>
                <w:sz w:val="24"/>
              </w:rPr>
            </w:pPr>
            <w:r>
              <w:rPr>
                <w:sz w:val="24"/>
              </w:rPr>
              <w:t xml:space="preserve">跟踪浮标的运动轨迹，同时前往现场进行查看</w:t>
            </w:r>
            <w:r>
              <w:rPr>
                <w:sz w:val="24"/>
              </w:rPr>
            </w:r>
            <w:r/>
          </w:p>
        </w:tc>
      </w:tr>
      <w:tr>
        <w:trPr/>
        <w:tc>
          <w:tcPr>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pStyle w:val="963"/>
              <w:jc w:val="center"/>
              <w:spacing w:line="360" w:lineRule="auto"/>
              <w:widowControl/>
              <w:rPr>
                <w:sz w:val="24"/>
              </w:rPr>
            </w:pPr>
            <w:r>
              <w:rPr>
                <w:sz w:val="24"/>
              </w:rPr>
              <w:t xml:space="preserve">供电系统</w:t>
            </w:r>
            <w:r>
              <w:rPr>
                <w:sz w:val="24"/>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963"/>
              <w:spacing w:line="360" w:lineRule="auto"/>
              <w:widowControl/>
              <w:rPr>
                <w:sz w:val="24"/>
              </w:rPr>
            </w:pPr>
            <w:r>
              <w:rPr>
                <w:sz w:val="24"/>
              </w:rPr>
              <w:t xml:space="preserve">采用专用测试软件远程查看太阳能系统的输入输出电压及蓄电池的电量</w:t>
            </w:r>
            <w:r>
              <w:rPr>
                <w:sz w:val="24"/>
              </w:rPr>
            </w:r>
            <w:r/>
          </w:p>
        </w:tc>
        <w:tc>
          <w:tcPr>
            <w:tcBorders>
              <w:top w:val="single" w:color="000000" w:sz="4" w:space="0"/>
              <w:left w:val="single" w:color="000000" w:sz="4" w:space="0"/>
              <w:bottom w:val="single" w:color="000000" w:sz="4" w:space="0"/>
              <w:right w:val="single" w:color="000000" w:sz="4" w:space="0"/>
            </w:tcBorders>
            <w:tcW w:w="2212" w:type="dxa"/>
            <w:vAlign w:val="center"/>
            <w:textDirection w:val="lrTb"/>
            <w:noWrap w:val="false"/>
          </w:tcPr>
          <w:p>
            <w:pPr>
              <w:pStyle w:val="963"/>
              <w:spacing w:line="360" w:lineRule="auto"/>
              <w:widowControl/>
              <w:rPr>
                <w:sz w:val="24"/>
              </w:rPr>
            </w:pPr>
            <w:r>
              <w:rPr>
                <w:sz w:val="24"/>
              </w:rPr>
              <w:t xml:space="preserve">如蓄电池电量超出正常范围，须前往现场进行查看</w:t>
            </w:r>
            <w:r>
              <w:rPr>
                <w:sz w:val="24"/>
              </w:rPr>
            </w:r>
            <w:r/>
          </w:p>
        </w:tc>
      </w:tr>
      <w:tr>
        <w:trPr/>
        <w:tc>
          <w:tcPr>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pStyle w:val="963"/>
              <w:jc w:val="center"/>
              <w:spacing w:line="360" w:lineRule="auto"/>
              <w:widowControl/>
              <w:rPr>
                <w:sz w:val="24"/>
              </w:rPr>
            </w:pPr>
            <w:r>
              <w:rPr>
                <w:sz w:val="24"/>
              </w:rPr>
              <w:t xml:space="preserve">通信网络</w:t>
            </w:r>
            <w:r>
              <w:rPr>
                <w:sz w:val="24"/>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963"/>
              <w:spacing w:line="360" w:lineRule="auto"/>
              <w:widowControl/>
              <w:rPr>
                <w:sz w:val="24"/>
              </w:rPr>
            </w:pPr>
            <w:r>
              <w:rPr>
                <w:sz w:val="24"/>
              </w:rPr>
              <w:t xml:space="preserve">采用专用测试软件远程测试无线数据传输网络的通断</w:t>
            </w:r>
            <w:r>
              <w:rPr>
                <w:sz w:val="24"/>
              </w:rPr>
            </w:r>
            <w:r/>
          </w:p>
        </w:tc>
        <w:tc>
          <w:tcPr>
            <w:tcBorders>
              <w:top w:val="single" w:color="000000" w:sz="4" w:space="0"/>
              <w:left w:val="single" w:color="000000" w:sz="4" w:space="0"/>
              <w:bottom w:val="single" w:color="000000" w:sz="4" w:space="0"/>
              <w:right w:val="single" w:color="000000" w:sz="4" w:space="0"/>
            </w:tcBorders>
            <w:tcW w:w="2212" w:type="dxa"/>
            <w:vAlign w:val="center"/>
            <w:textDirection w:val="lrTb"/>
            <w:noWrap w:val="false"/>
          </w:tcPr>
          <w:p>
            <w:pPr>
              <w:pStyle w:val="963"/>
              <w:spacing w:line="360" w:lineRule="auto"/>
              <w:widowControl/>
              <w:rPr>
                <w:sz w:val="24"/>
              </w:rPr>
            </w:pPr>
            <w:r>
              <w:rPr>
                <w:sz w:val="24"/>
              </w:rPr>
              <w:t xml:space="preserve">若发现传输网络长期断开，须前往现场进行查看</w:t>
            </w:r>
            <w:r>
              <w:rPr>
                <w:sz w:val="24"/>
              </w:rPr>
            </w:r>
            <w:r/>
          </w:p>
        </w:tc>
      </w:tr>
      <w:tr>
        <w:trPr/>
        <w:tc>
          <w:tcPr>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pStyle w:val="963"/>
              <w:jc w:val="center"/>
              <w:spacing w:line="360" w:lineRule="auto"/>
              <w:widowControl/>
              <w:rPr>
                <w:sz w:val="24"/>
              </w:rPr>
            </w:pPr>
            <w:r>
              <w:rPr>
                <w:sz w:val="24"/>
              </w:rPr>
              <w:t xml:space="preserve">系统运行数据</w:t>
            </w:r>
            <w:r>
              <w:rPr>
                <w:sz w:val="24"/>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963"/>
              <w:spacing w:line="360" w:lineRule="auto"/>
              <w:widowControl/>
              <w:rPr>
                <w:sz w:val="24"/>
              </w:rPr>
            </w:pPr>
            <w:r>
              <w:rPr>
                <w:sz w:val="24"/>
              </w:rPr>
              <w:t xml:space="preserve">采用专用测试软件远程查看系统运行数据，如内部电压、电流、工作温度、湿度、舱门密封情况等等</w:t>
            </w:r>
            <w:r>
              <w:rPr>
                <w:sz w:val="24"/>
              </w:rPr>
            </w:r>
            <w:r/>
          </w:p>
        </w:tc>
        <w:tc>
          <w:tcPr>
            <w:tcBorders>
              <w:top w:val="single" w:color="000000" w:sz="4" w:space="0"/>
              <w:left w:val="single" w:color="000000" w:sz="4" w:space="0"/>
              <w:bottom w:val="single" w:color="000000" w:sz="4" w:space="0"/>
              <w:right w:val="single" w:color="000000" w:sz="4" w:space="0"/>
            </w:tcBorders>
            <w:tcW w:w="2212" w:type="dxa"/>
            <w:vAlign w:val="center"/>
            <w:textDirection w:val="lrTb"/>
            <w:noWrap w:val="false"/>
          </w:tcPr>
          <w:p>
            <w:pPr>
              <w:pStyle w:val="963"/>
              <w:spacing w:line="360" w:lineRule="auto"/>
              <w:widowControl/>
              <w:rPr>
                <w:sz w:val="24"/>
              </w:rPr>
            </w:pPr>
            <w:r>
              <w:rPr>
                <w:sz w:val="24"/>
              </w:rPr>
              <w:t xml:space="preserve">若系统运行数据出现异常，须前往现场进行排查</w:t>
            </w:r>
            <w:r>
              <w:rPr>
                <w:sz w:val="24"/>
              </w:rPr>
            </w:r>
            <w:r/>
          </w:p>
        </w:tc>
      </w:tr>
      <w:tr>
        <w:trPr/>
        <w:tc>
          <w:tcPr>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pStyle w:val="963"/>
              <w:jc w:val="center"/>
              <w:spacing w:line="360" w:lineRule="auto"/>
              <w:widowControl/>
              <w:rPr>
                <w:sz w:val="24"/>
              </w:rPr>
            </w:pPr>
            <w:r>
              <w:rPr>
                <w:sz w:val="24"/>
              </w:rPr>
              <w:t xml:space="preserve">水质数据</w:t>
            </w:r>
            <w:r>
              <w:rPr>
                <w:sz w:val="24"/>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963"/>
              <w:spacing w:line="360" w:lineRule="auto"/>
              <w:widowControl/>
              <w:rPr>
                <w:sz w:val="24"/>
              </w:rPr>
            </w:pPr>
            <w:r>
              <w:rPr>
                <w:sz w:val="24"/>
              </w:rPr>
              <w:t xml:space="preserve">根据国标GB3097-1997《中国人民共和国国家标准海水水质标准》和仪器长期正常运行测量数据得出各个参数正常范围，通过数据平台检查数据是否正常。</w:t>
            </w:r>
            <w:r>
              <w:rPr>
                <w:sz w:val="24"/>
              </w:rPr>
            </w:r>
            <w:r/>
          </w:p>
        </w:tc>
        <w:tc>
          <w:tcPr>
            <w:tcBorders>
              <w:top w:val="single" w:color="000000" w:sz="4" w:space="0"/>
              <w:left w:val="single" w:color="000000" w:sz="4" w:space="0"/>
              <w:bottom w:val="single" w:color="000000" w:sz="4" w:space="0"/>
              <w:right w:val="single" w:color="000000" w:sz="4" w:space="0"/>
            </w:tcBorders>
            <w:tcW w:w="2212" w:type="dxa"/>
            <w:vAlign w:val="center"/>
            <w:textDirection w:val="lrTb"/>
            <w:noWrap w:val="false"/>
          </w:tcPr>
          <w:p>
            <w:pPr>
              <w:pStyle w:val="963"/>
              <w:spacing w:line="360" w:lineRule="auto"/>
              <w:widowControl/>
              <w:rPr>
                <w:sz w:val="24"/>
              </w:rPr>
            </w:pPr>
            <w:r>
              <w:rPr>
                <w:sz w:val="24"/>
              </w:rPr>
              <w:t xml:space="preserve">如水质参数数据出现数据为0或长期超出正常范围，则需立即排查问题，如有必要须前往现场校准或检修。</w:t>
            </w:r>
            <w:r>
              <w:rPr>
                <w:sz w:val="24"/>
              </w:rPr>
            </w:r>
            <w:r/>
          </w:p>
        </w:tc>
      </w:tr>
    </w:tbl>
    <w:p>
      <w:pPr>
        <w:pStyle w:val="963"/>
        <w:numPr>
          <w:ilvl w:val="2"/>
          <w:numId w:val="31"/>
        </w:numPr>
        <w:jc w:val="left"/>
        <w:keepLines/>
        <w:keepNext/>
        <w:spacing w:line="360" w:lineRule="auto"/>
        <w:rPr>
          <w:rFonts w:cs="Arial"/>
          <w:b/>
          <w:bCs/>
          <w:color w:val="000000"/>
          <w:sz w:val="24"/>
        </w:rPr>
        <w:outlineLvl w:val="3"/>
      </w:pPr>
      <w:r>
        <w:rPr>
          <w:rFonts w:hint="eastAsia" w:cs="Arial"/>
          <w:b/>
          <w:bCs/>
          <w:color w:val="000000"/>
          <w:sz w:val="24"/>
        </w:rPr>
        <w:t xml:space="preserve"> </w:t>
      </w:r>
      <w:r>
        <w:rPr>
          <w:rFonts w:cs="Arial"/>
          <w:b/>
          <w:bCs/>
          <w:color w:val="000000"/>
          <w:sz w:val="24"/>
        </w:rPr>
        <w:t xml:space="preserve">应急措施要求</w:t>
      </w:r>
      <w:r>
        <w:rPr>
          <w:rFonts w:cs="Arial"/>
          <w:b/>
          <w:bCs/>
          <w:color w:val="000000"/>
          <w:sz w:val="24"/>
        </w:rPr>
      </w:r>
      <w:r/>
    </w:p>
    <w:p>
      <w:pPr>
        <w:pStyle w:val="963"/>
        <w:numPr>
          <w:ilvl w:val="0"/>
          <w:numId w:val="45"/>
        </w:numPr>
        <w:ind w:left="0" w:firstLine="480"/>
        <w:jc w:val="left"/>
        <w:spacing w:line="360" w:lineRule="auto"/>
        <w:widowControl/>
        <w:rPr>
          <w:color w:val="000000"/>
          <w:sz w:val="24"/>
        </w:rPr>
      </w:pPr>
      <w:r>
        <w:rPr>
          <w:rFonts w:hint="eastAsia"/>
          <w:color w:val="000000"/>
          <w:sz w:val="24"/>
        </w:rPr>
        <w:t xml:space="preserve"> </w:t>
      </w:r>
      <w:r>
        <w:rPr>
          <w:color w:val="000000"/>
          <w:sz w:val="24"/>
        </w:rPr>
        <w:t xml:space="preserve">突发污染事故要求</w:t>
      </w:r>
      <w:r>
        <w:rPr>
          <w:color w:val="000000"/>
          <w:sz w:val="24"/>
        </w:rPr>
      </w:r>
      <w:r/>
    </w:p>
    <w:p>
      <w:pPr>
        <w:pStyle w:val="963"/>
        <w:ind w:firstLine="480"/>
        <w:jc w:val="left"/>
        <w:spacing w:line="360" w:lineRule="auto"/>
        <w:widowControl/>
        <w:rPr>
          <w:color w:val="000000"/>
          <w:sz w:val="24"/>
        </w:rPr>
      </w:pPr>
      <w:r>
        <w:rPr>
          <w:color w:val="000000"/>
          <w:sz w:val="24"/>
        </w:rPr>
        <w:t xml:space="preserve">当水站监测数据发现异常或发现所在断面发生污染事故时，须2小时内报告业主，并及时核查仪器运行状态，保证系统仪器正常运行，监测数据准确，传输畅通，并协助托管站进行手工监测复核。</w:t>
      </w:r>
      <w:r>
        <w:rPr>
          <w:color w:val="000000"/>
          <w:sz w:val="24"/>
        </w:rPr>
      </w:r>
      <w:r/>
    </w:p>
    <w:p>
      <w:pPr>
        <w:pStyle w:val="963"/>
        <w:numPr>
          <w:ilvl w:val="0"/>
          <w:numId w:val="45"/>
        </w:numPr>
        <w:ind w:left="0" w:firstLine="480"/>
        <w:jc w:val="left"/>
        <w:spacing w:line="360" w:lineRule="auto"/>
        <w:widowControl/>
        <w:rPr>
          <w:color w:val="000000"/>
          <w:sz w:val="24"/>
        </w:rPr>
      </w:pPr>
      <w:r>
        <w:rPr>
          <w:rFonts w:hint="eastAsia"/>
          <w:color w:val="000000"/>
          <w:sz w:val="24"/>
        </w:rPr>
        <w:t xml:space="preserve"> </w:t>
      </w:r>
      <w:r>
        <w:rPr>
          <w:color w:val="000000"/>
          <w:sz w:val="24"/>
        </w:rPr>
        <w:t xml:space="preserve">针对异常数据、系统故障和数据缺失等情况，必须建立一套完整的应急维护方案。</w:t>
      </w:r>
      <w:r>
        <w:rPr>
          <w:color w:val="000000"/>
          <w:sz w:val="24"/>
        </w:rPr>
      </w:r>
      <w:r/>
    </w:p>
    <w:p>
      <w:pPr>
        <w:pStyle w:val="963"/>
        <w:numPr>
          <w:ilvl w:val="0"/>
          <w:numId w:val="46"/>
        </w:numPr>
        <w:ind w:firstLine="480"/>
        <w:jc w:val="left"/>
        <w:spacing w:line="360" w:lineRule="auto"/>
        <w:widowControl/>
        <w:rPr>
          <w:color w:val="000000"/>
          <w:sz w:val="24"/>
        </w:rPr>
      </w:pPr>
      <w:r>
        <w:rPr>
          <w:color w:val="000000"/>
          <w:sz w:val="24"/>
        </w:rPr>
        <w:t xml:space="preserve">发生数据异常情况时应及时远程启动标样核查和留样复测，通过核查结果初步判定仪表当前的状态是否正常；确系污染过程应启动水质自动监测站加密测试模式，同时记录并上报。</w:t>
      </w:r>
      <w:r>
        <w:rPr>
          <w:color w:val="000000"/>
          <w:sz w:val="24"/>
        </w:rPr>
      </w:r>
      <w:r/>
    </w:p>
    <w:p>
      <w:pPr>
        <w:pStyle w:val="963"/>
        <w:numPr>
          <w:ilvl w:val="0"/>
          <w:numId w:val="46"/>
        </w:numPr>
        <w:ind w:firstLine="480"/>
        <w:jc w:val="left"/>
        <w:spacing w:line="360" w:lineRule="auto"/>
        <w:widowControl/>
        <w:rPr>
          <w:color w:val="000000"/>
          <w:sz w:val="24"/>
        </w:rPr>
      </w:pPr>
      <w:r>
        <w:rPr>
          <w:color w:val="000000"/>
          <w:sz w:val="24"/>
        </w:rPr>
        <w:t xml:space="preserve">水质自动监测站仪器发生故障时，应及时响应（响应时间不超过</w:t>
      </w:r>
      <w:r>
        <w:rPr>
          <w:rFonts w:hint="eastAsia"/>
          <w:sz w:val="24"/>
        </w:rPr>
        <w:t xml:space="preserve">4</w:t>
      </w:r>
      <w:r>
        <w:rPr>
          <w:sz w:val="24"/>
        </w:rPr>
        <w:t xml:space="preserve">小时</w:t>
      </w:r>
      <w:r>
        <w:rPr>
          <w:color w:val="000000"/>
          <w:sz w:val="24"/>
        </w:rPr>
        <w:t xml:space="preserve">）；若水质自动监测站仪器核心部件半年内出现三次及以上故障，则按需更换全新设备。</w:t>
      </w:r>
      <w:r>
        <w:rPr>
          <w:color w:val="000000"/>
          <w:sz w:val="24"/>
        </w:rPr>
      </w:r>
      <w:r/>
    </w:p>
    <w:p>
      <w:pPr>
        <w:pStyle w:val="963"/>
        <w:numPr>
          <w:ilvl w:val="0"/>
          <w:numId w:val="46"/>
        </w:numPr>
        <w:ind w:firstLine="480"/>
        <w:jc w:val="left"/>
        <w:spacing w:line="360" w:lineRule="auto"/>
        <w:widowControl/>
        <w:rPr>
          <w:color w:val="000000"/>
          <w:sz w:val="24"/>
        </w:rPr>
      </w:pPr>
      <w:r>
        <w:rPr>
          <w:color w:val="000000"/>
          <w:sz w:val="24"/>
        </w:rPr>
        <w:t xml:space="preserve">当出现水质自动监测站长时间停电和水位不足造成水质自动监测站无法自动取样时需进行人工补测，并将实验室分析结果录入数据平台；补测频率为每周两次，两次采样间隔不低于两天；根据各站仪器配置补测相关监测项目，包括pH、溶解氧、氨氮、高锰酸盐指数、总磷和总氮等。</w:t>
      </w:r>
      <w:r>
        <w:rPr>
          <w:color w:val="000000"/>
          <w:sz w:val="24"/>
        </w:rPr>
      </w:r>
      <w:r/>
    </w:p>
    <w:p>
      <w:pPr>
        <w:pStyle w:val="963"/>
        <w:ind w:firstLine="480"/>
        <w:jc w:val="left"/>
        <w:spacing w:line="500" w:lineRule="exact"/>
        <w:rPr>
          <w:sz w:val="24"/>
          <w:szCs w:val="24"/>
        </w:rPr>
      </w:pPr>
      <w:r>
        <w:rPr>
          <w:sz w:val="24"/>
          <w:szCs w:val="24"/>
        </w:rPr>
      </w:r>
      <w:r/>
    </w:p>
    <w:p>
      <w:pPr>
        <w:pStyle w:val="963"/>
        <w:ind w:firstLine="482"/>
        <w:jc w:val="left"/>
        <w:spacing w:line="500" w:lineRule="exact"/>
        <w:rPr>
          <w:b/>
          <w:sz w:val="24"/>
          <w:szCs w:val="24"/>
        </w:rPr>
        <w:outlineLvl w:val="1"/>
      </w:pPr>
      <w:r>
        <w:rPr>
          <w:rFonts w:hint="eastAsia"/>
          <w:b/>
          <w:sz w:val="24"/>
          <w:szCs w:val="24"/>
        </w:rPr>
        <w:t xml:space="preserve">（二）采购包2：</w:t>
      </w:r>
      <w:r>
        <w:rPr>
          <w:b/>
          <w:sz w:val="24"/>
          <w:szCs w:val="24"/>
        </w:rPr>
        <w:t xml:space="preserve">污染源自动监控网络运行维护</w:t>
      </w:r>
      <w:r>
        <w:rPr>
          <w:rFonts w:hint="eastAsia"/>
          <w:b/>
          <w:sz w:val="24"/>
          <w:szCs w:val="24"/>
        </w:rPr>
        <w:t xml:space="preserve">项目</w:t>
      </w:r>
      <w:r>
        <w:rPr>
          <w:b/>
          <w:sz w:val="24"/>
          <w:szCs w:val="24"/>
        </w:rPr>
      </w:r>
      <w:r/>
    </w:p>
    <w:p>
      <w:pPr>
        <w:pStyle w:val="963"/>
        <w:ind w:firstLine="482"/>
        <w:spacing w:line="480" w:lineRule="auto"/>
        <w:rPr>
          <w:rFonts w:ascii="宋体" w:hAnsi="宋体"/>
          <w:b/>
          <w:bCs/>
          <w:color w:val="000000"/>
          <w:sz w:val="24"/>
        </w:rPr>
      </w:pPr>
      <w:r>
        <w:rPr>
          <w:rFonts w:hint="eastAsia" w:ascii="宋体" w:hAnsi="宋体"/>
          <w:b/>
          <w:bCs/>
          <w:color w:val="000000"/>
          <w:sz w:val="24"/>
        </w:rPr>
        <w:t xml:space="preserve">1、服务范围（服务内容）：</w:t>
      </w:r>
      <w:r>
        <w:rPr>
          <w:rFonts w:ascii="宋体" w:hAnsi="宋体"/>
          <w:b/>
          <w:bCs/>
          <w:color w:val="000000"/>
          <w:sz w:val="24"/>
        </w:rPr>
      </w:r>
      <w:r/>
    </w:p>
    <w:p>
      <w:pPr>
        <w:pStyle w:val="963"/>
        <w:ind w:firstLine="720"/>
        <w:spacing w:line="360" w:lineRule="auto"/>
        <w:rPr>
          <w:rFonts w:ascii="宋体" w:hAnsi="宋体"/>
          <w:sz w:val="24"/>
          <w:lang w:val="zh-CN"/>
        </w:rPr>
      </w:pPr>
      <w:r>
        <w:rPr>
          <w:rFonts w:hint="eastAsia" w:ascii="宋体" w:hAnsi="宋体"/>
          <w:sz w:val="24"/>
          <w:lang w:val="zh-CN"/>
        </w:rPr>
        <w:t xml:space="preserve">保障连云港市国发软件运行和考核工作的正常开展，确保软件平台的网络、平台等软硬件环境正常运行，数据接收和上传正常实现，协助管理部门调度传输有效率考核情况、分析存在问题，提出解决的建议，通过对污染源在线监控数据的分析，选取和结合企业污染物排放浓度、流量、排放量、氧含量、工况等角度，筛查存疑数据，为相关部门大气污染管控提供数据支持。</w:t>
      </w:r>
      <w:r>
        <w:rPr>
          <w:rFonts w:ascii="宋体" w:hAnsi="宋体"/>
          <w:sz w:val="24"/>
          <w:lang w:val="zh-CN"/>
        </w:rPr>
      </w:r>
      <w:r/>
    </w:p>
    <w:p>
      <w:pPr>
        <w:pStyle w:val="963"/>
        <w:ind w:firstLine="720"/>
        <w:spacing w:line="360" w:lineRule="auto"/>
        <w:rPr>
          <w:rFonts w:ascii="宋体" w:hAnsi="宋体"/>
          <w:sz w:val="24"/>
          <w:lang w:val="zh-CN"/>
        </w:rPr>
      </w:pPr>
      <w:r>
        <w:rPr>
          <w:rFonts w:hint="eastAsia" w:ascii="宋体" w:hAnsi="宋体"/>
          <w:sz w:val="24"/>
          <w:lang w:val="zh-CN"/>
        </w:rPr>
        <w:t xml:space="preserve">通过第三方的平台运维服务，促使本地污染源企业在排放污染物过程中合法合规，在线监控设施运行符合国家及各地要求；辅助生态环境局进行污染源一源一档管理、在线数据传输有效率审核、环保数据分析、在线数据溯源管理、环境应急等一系列专业工作，达到本地环境监管关口前移，提升环保部门执法效率的目标。</w:t>
      </w:r>
      <w:r>
        <w:rPr>
          <w:rFonts w:ascii="宋体" w:hAnsi="宋体"/>
          <w:sz w:val="24"/>
          <w:lang w:val="zh-CN"/>
        </w:rPr>
      </w:r>
      <w:r/>
    </w:p>
    <w:p>
      <w:pPr>
        <w:pStyle w:val="963"/>
        <w:ind w:firstLine="720"/>
        <w:spacing w:line="360" w:lineRule="auto"/>
        <w:rPr>
          <w:rFonts w:ascii="宋体" w:hAnsi="宋体"/>
          <w:sz w:val="24"/>
          <w:lang w:val="zh-CN"/>
        </w:rPr>
      </w:pPr>
      <w:r>
        <w:rPr>
          <w:rFonts w:hint="eastAsia" w:ascii="宋体" w:hAnsi="宋体"/>
          <w:sz w:val="24"/>
          <w:lang w:val="zh-CN"/>
        </w:rPr>
        <w:t xml:space="preserve">对重点排污单位自动监控与基础数据库系统、江苏省污染源末端监控平台、连云港市污染源综合管理平台等监管平台数据分析汇总，提供分析研判报告，加强排污单位自动监测监控，有效提升“非现场”监管能力。</w:t>
      </w:r>
      <w:r>
        <w:rPr>
          <w:rFonts w:ascii="宋体" w:hAnsi="宋体"/>
          <w:sz w:val="24"/>
          <w:lang w:val="zh-CN"/>
        </w:rPr>
      </w:r>
      <w:r/>
    </w:p>
    <w:p>
      <w:pPr>
        <w:pStyle w:val="963"/>
        <w:ind w:firstLine="482"/>
        <w:spacing w:line="480" w:lineRule="auto"/>
        <w:rPr>
          <w:rFonts w:ascii="宋体" w:hAnsi="宋体"/>
          <w:b/>
          <w:bCs/>
          <w:color w:val="000000"/>
          <w:sz w:val="24"/>
        </w:rPr>
      </w:pPr>
      <w:r>
        <w:rPr>
          <w:rFonts w:hint="eastAsia" w:ascii="宋体" w:hAnsi="宋体"/>
          <w:b/>
          <w:bCs/>
          <w:color w:val="000000"/>
          <w:sz w:val="24"/>
        </w:rPr>
        <w:t xml:space="preserve">2、服务要求：</w:t>
      </w:r>
      <w:r>
        <w:rPr>
          <w:rFonts w:ascii="宋体" w:hAnsi="宋体"/>
          <w:b/>
          <w:bCs/>
          <w:color w:val="000000"/>
          <w:sz w:val="24"/>
        </w:rPr>
      </w:r>
      <w:r/>
    </w:p>
    <w:p>
      <w:pPr>
        <w:pStyle w:val="963"/>
        <w:ind w:firstLine="720"/>
        <w:spacing w:line="360" w:lineRule="auto"/>
        <w:rPr>
          <w:rFonts w:ascii="宋体" w:hAnsi="宋体"/>
          <w:sz w:val="24"/>
          <w:lang w:val="zh-CN"/>
        </w:rPr>
      </w:pPr>
      <w:r>
        <w:rPr>
          <w:rFonts w:hint="eastAsia" w:ascii="宋体" w:hAnsi="宋体"/>
          <w:sz w:val="24"/>
          <w:lang w:val="zh-CN"/>
        </w:rPr>
        <w:t xml:space="preserve">(1)根据项目要求投标人需派驻专业技术服务人员</w:t>
      </w:r>
      <w:r>
        <w:rPr>
          <w:rFonts w:hint="eastAsia" w:ascii="宋体" w:hAnsi="宋体"/>
          <w:sz w:val="24"/>
        </w:rPr>
        <w:t xml:space="preserve">1</w:t>
      </w:r>
      <w:r>
        <w:rPr>
          <w:rFonts w:hint="eastAsia" w:ascii="宋体" w:hAnsi="宋体"/>
          <w:sz w:val="24"/>
          <w:lang w:val="zh-CN"/>
        </w:rPr>
        <w:t xml:space="preserve">名，在合同期内驻守连云港生态环境局进行日常运行维护工作。提供对国发平台及主要污染物总量减排监测体系建设运行情况考核指标——“传输有效率”的平台端运维，以及对应的业务支撑服务。</w:t>
      </w:r>
      <w:r>
        <w:rPr>
          <w:rFonts w:ascii="宋体" w:hAnsi="宋体"/>
          <w:sz w:val="24"/>
          <w:lang w:val="zh-CN"/>
        </w:rPr>
      </w:r>
      <w:r/>
    </w:p>
    <w:p>
      <w:pPr>
        <w:pStyle w:val="963"/>
        <w:ind w:firstLine="720"/>
        <w:spacing w:line="360" w:lineRule="auto"/>
        <w:rPr>
          <w:rFonts w:ascii="宋体" w:hAnsi="宋体"/>
          <w:sz w:val="24"/>
          <w:lang w:val="zh-CN"/>
        </w:rPr>
      </w:pPr>
      <w:r>
        <w:rPr>
          <w:rFonts w:hint="eastAsia" w:ascii="宋体" w:hAnsi="宋体"/>
          <w:sz w:val="24"/>
          <w:lang w:val="zh-CN"/>
        </w:rPr>
        <w:t xml:space="preserve">(2)对连云港现有3套污染源自动监控系统（包括国发平台、江苏省污染源末端监控平台、连云港市污染源综合管理平台）开展数据统计等工作，有效提升全市数据质量，确保数据有效传输率达到95%以上。</w:t>
      </w:r>
      <w:r>
        <w:rPr>
          <w:rFonts w:ascii="宋体" w:hAnsi="宋体"/>
          <w:sz w:val="24"/>
          <w:lang w:val="zh-CN"/>
        </w:rPr>
      </w:r>
      <w:r/>
    </w:p>
    <w:p>
      <w:pPr>
        <w:pStyle w:val="963"/>
        <w:ind w:firstLine="720"/>
        <w:spacing w:line="360" w:lineRule="auto"/>
        <w:rPr>
          <w:rFonts w:ascii="宋体" w:hAnsi="宋体"/>
          <w:sz w:val="24"/>
          <w:lang w:val="zh-CN"/>
        </w:rPr>
      </w:pP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)配合连云港开展的各类专项检查、整改跟踪等工作及上级环保部门对连云港市污染源自动监控系统的监督检查等工作。</w:t>
      </w:r>
      <w:r>
        <w:rPr>
          <w:rFonts w:ascii="宋体" w:hAnsi="宋体"/>
          <w:sz w:val="24"/>
          <w:lang w:val="zh-CN"/>
        </w:rPr>
      </w:r>
      <w:r/>
    </w:p>
    <w:p>
      <w:pPr>
        <w:pStyle w:val="963"/>
        <w:ind w:firstLine="720"/>
        <w:spacing w:line="360" w:lineRule="auto"/>
        <w:rPr>
          <w:rFonts w:ascii="宋体" w:hAnsi="宋体"/>
          <w:sz w:val="24"/>
          <w:lang w:val="zh-CN"/>
        </w:rPr>
      </w:pP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)保障</w:t>
      </w:r>
      <w:r>
        <w:rPr>
          <w:rFonts w:hint="eastAsia" w:ascii="宋体" w:hAnsi="宋体"/>
          <w:sz w:val="24"/>
        </w:rPr>
        <w:t xml:space="preserve">污</w:t>
      </w:r>
      <w:r>
        <w:rPr>
          <w:rFonts w:hint="eastAsia" w:ascii="宋体" w:hAnsi="宋体"/>
          <w:sz w:val="24"/>
          <w:lang w:val="zh-CN"/>
        </w:rPr>
        <w:t xml:space="preserve">染源自动监控平台的正常运行，包含环节有：通讯数据收取、解析入库、平台应用、数据逐级交换、传输有效率汇总统计、基数确认信息传递，协助处理由于软件、硬件、网络等问题引起的系统异常问题，在故障恢复后对故障期间数据进行检查及恢复。</w:t>
      </w:r>
      <w:r>
        <w:rPr>
          <w:rFonts w:ascii="宋体" w:hAnsi="宋体"/>
          <w:sz w:val="24"/>
          <w:lang w:val="zh-CN"/>
        </w:rPr>
      </w:r>
      <w:r/>
    </w:p>
    <w:p>
      <w:pPr>
        <w:pStyle w:val="963"/>
        <w:ind w:firstLine="720"/>
        <w:spacing w:line="360" w:lineRule="auto"/>
        <w:rPr>
          <w:rFonts w:ascii="宋体" w:hAnsi="宋体"/>
          <w:sz w:val="24"/>
          <w:lang w:val="zh-CN"/>
        </w:rPr>
      </w:pP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)对使用国发软件的企业、设区市生态环境部门提供染源自动监控平台软件培训（一年一次）。</w:t>
      </w:r>
      <w:r>
        <w:rPr>
          <w:rFonts w:ascii="宋体" w:hAnsi="宋体"/>
          <w:sz w:val="24"/>
          <w:lang w:val="zh-CN"/>
        </w:rPr>
      </w:r>
      <w:r/>
    </w:p>
    <w:p>
      <w:pPr>
        <w:pStyle w:val="963"/>
        <w:ind w:firstLine="720"/>
        <w:spacing w:line="360" w:lineRule="auto"/>
        <w:rPr>
          <w:rFonts w:ascii="宋体" w:hAnsi="宋体"/>
          <w:sz w:val="24"/>
          <w:lang w:val="zh-CN"/>
        </w:rPr>
      </w:pP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)通过对污染源在线监控数据的分析，选取企业污染物排放浓度、流量、排放量、氧含量等角度，筛查存疑数据。</w:t>
      </w:r>
      <w:r>
        <w:rPr>
          <w:rFonts w:ascii="宋体" w:hAnsi="宋体"/>
          <w:sz w:val="24"/>
          <w:lang w:val="zh-CN"/>
        </w:rPr>
      </w:r>
      <w:r/>
    </w:p>
    <w:p>
      <w:pPr>
        <w:pStyle w:val="963"/>
        <w:ind w:firstLine="720"/>
        <w:spacing w:line="360" w:lineRule="auto"/>
        <w:rPr>
          <w:rFonts w:ascii="宋体" w:hAnsi="宋体"/>
          <w:sz w:val="24"/>
          <w:lang w:val="zh-CN"/>
        </w:rPr>
      </w:pP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)按周汇报工作情况，并根据用户单位要求，不定期及时开展相关数据分析，完成重点排污单位自动监控工作进度调度及重点排污单位工作进度汇总的日常管理及维护工作。</w:t>
      </w:r>
      <w:r>
        <w:rPr>
          <w:rFonts w:ascii="宋体" w:hAnsi="宋体"/>
          <w:sz w:val="24"/>
          <w:lang w:val="zh-CN"/>
        </w:rPr>
      </w:r>
      <w:r/>
    </w:p>
    <w:p>
      <w:pPr>
        <w:pStyle w:val="963"/>
        <w:ind w:firstLine="720"/>
        <w:spacing w:line="360" w:lineRule="auto"/>
        <w:rPr>
          <w:rFonts w:ascii="宋体" w:hAnsi="宋体"/>
          <w:sz w:val="24"/>
          <w:lang w:val="zh-CN"/>
        </w:rPr>
      </w:pPr>
      <w:r>
        <w:rPr>
          <w:rFonts w:hint="eastAsia" w:ascii="宋体" w:hAnsi="宋体"/>
          <w:sz w:val="24"/>
          <w:lang w:val="zh-CN"/>
        </w:rPr>
        <w:t xml:space="preserve">(</w:t>
      </w:r>
      <w:r>
        <w:rPr>
          <w:rFonts w:hint="eastAsia" w:ascii="宋体" w:hAnsi="宋体"/>
          <w:sz w:val="24"/>
        </w:rPr>
        <w:t xml:space="preserve">8</w:t>
      </w:r>
      <w:r>
        <w:rPr>
          <w:rFonts w:hint="eastAsia" w:ascii="宋体" w:hAnsi="宋体"/>
          <w:sz w:val="24"/>
          <w:lang w:val="zh-CN"/>
        </w:rPr>
        <w:t xml:space="preserve">)配合</w:t>
      </w:r>
      <w:r>
        <w:rPr>
          <w:rFonts w:hint="eastAsia" w:ascii="宋体" w:hAnsi="宋体"/>
          <w:sz w:val="24"/>
        </w:rPr>
        <w:t xml:space="preserve">连云港市</w:t>
      </w:r>
      <w:r>
        <w:rPr>
          <w:rFonts w:hint="eastAsia" w:ascii="宋体" w:hAnsi="宋体"/>
          <w:sz w:val="24"/>
          <w:lang w:val="zh-CN"/>
        </w:rPr>
        <w:t xml:space="preserve">生态环境局实施国发平台软件的升级、调整、维护等。</w:t>
      </w:r>
      <w:r>
        <w:rPr>
          <w:rFonts w:ascii="宋体" w:hAnsi="宋体"/>
          <w:sz w:val="24"/>
          <w:lang w:val="zh-CN"/>
        </w:rPr>
      </w:r>
      <w:r/>
    </w:p>
    <w:p>
      <w:pPr>
        <w:pStyle w:val="963"/>
        <w:ind w:firstLine="720"/>
        <w:spacing w:line="360" w:lineRule="auto"/>
        <w:rPr>
          <w:rFonts w:ascii="宋体" w:hAnsi="宋体"/>
          <w:sz w:val="24"/>
          <w:lang w:val="zh-CN"/>
        </w:rPr>
      </w:pPr>
      <w:r>
        <w:rPr>
          <w:rFonts w:hint="eastAsia" w:ascii="宋体" w:hAnsi="宋体"/>
          <w:sz w:val="24"/>
          <w:lang w:val="zh-CN"/>
        </w:rPr>
        <w:t xml:space="preserve">(</w:t>
      </w:r>
      <w:r>
        <w:rPr>
          <w:rFonts w:hint="eastAsia" w:ascii="宋体" w:hAnsi="宋体"/>
          <w:sz w:val="24"/>
        </w:rPr>
        <w:t xml:space="preserve">9</w:t>
      </w:r>
      <w:r>
        <w:rPr>
          <w:rFonts w:hint="eastAsia" w:ascii="宋体" w:hAnsi="宋体"/>
          <w:sz w:val="24"/>
          <w:lang w:val="zh-CN"/>
        </w:rPr>
        <w:t xml:space="preserve">)定期检查数据库性能和状态，备份数据库，确保平台、现场端各类数据的一致准确；按需求查询并导出各类报表。</w:t>
      </w:r>
      <w:r>
        <w:rPr>
          <w:rFonts w:ascii="宋体" w:hAnsi="宋体"/>
          <w:sz w:val="24"/>
          <w:lang w:val="zh-CN"/>
        </w:rPr>
      </w:r>
      <w:r/>
    </w:p>
    <w:p>
      <w:pPr>
        <w:pStyle w:val="963"/>
        <w:ind w:firstLine="720"/>
        <w:spacing w:line="360" w:lineRule="auto"/>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0</w:t>
      </w:r>
      <w:r>
        <w:rPr>
          <w:rFonts w:hint="eastAsia" w:ascii="宋体" w:hAnsi="宋体"/>
          <w:sz w:val="24"/>
          <w:lang w:val="zh-CN"/>
        </w:rPr>
        <w:t xml:space="preserve">)配合连云港</w:t>
      </w:r>
      <w:r>
        <w:rPr>
          <w:rFonts w:hint="eastAsia" w:ascii="宋体" w:hAnsi="宋体"/>
          <w:sz w:val="24"/>
        </w:rPr>
        <w:t xml:space="preserve">市</w:t>
      </w:r>
      <w:r>
        <w:rPr>
          <w:rFonts w:hint="eastAsia" w:ascii="宋体" w:hAnsi="宋体"/>
          <w:sz w:val="24"/>
          <w:lang w:val="zh-CN"/>
        </w:rPr>
        <w:t xml:space="preserve">生态环境局分析汇总各项专项检查、专项汇报所需的数据报表。</w:t>
      </w:r>
      <w:r>
        <w:rPr>
          <w:rFonts w:ascii="宋体" w:hAnsi="宋体"/>
          <w:sz w:val="24"/>
          <w:lang w:val="zh-CN"/>
        </w:rPr>
      </w:r>
      <w:r/>
    </w:p>
    <w:p>
      <w:pPr>
        <w:pStyle w:val="963"/>
        <w:ind w:firstLine="480"/>
        <w:jc w:val="left"/>
        <w:spacing w:line="500" w:lineRule="exact"/>
        <w:rPr>
          <w:sz w:val="24"/>
          <w:szCs w:val="24"/>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)完成连云港</w:t>
      </w:r>
      <w:r>
        <w:rPr>
          <w:rFonts w:hint="eastAsia" w:ascii="宋体" w:hAnsi="宋体"/>
          <w:sz w:val="24"/>
        </w:rPr>
        <w:t xml:space="preserve">市</w:t>
      </w:r>
      <w:r>
        <w:rPr>
          <w:rFonts w:hint="eastAsia" w:ascii="宋体" w:hAnsi="宋体"/>
          <w:sz w:val="24"/>
          <w:lang w:val="zh-CN"/>
        </w:rPr>
        <w:t xml:space="preserve">生态环境局安排的其他各项相关工作。</w:t>
      </w:r>
      <w:r>
        <w:rPr>
          <w:sz w:val="24"/>
          <w:szCs w:val="24"/>
        </w:rPr>
      </w:r>
      <w:r/>
    </w:p>
    <w:p>
      <w:pPr>
        <w:pStyle w:val="963"/>
        <w:ind w:firstLine="482"/>
        <w:jc w:val="left"/>
        <w:spacing w:line="500" w:lineRule="exact"/>
        <w:rPr>
          <w:b/>
          <w:sz w:val="24"/>
          <w:szCs w:val="24"/>
        </w:rPr>
        <w:outlineLvl w:val="1"/>
      </w:pPr>
      <w:r>
        <w:rPr>
          <w:rFonts w:hint="eastAsia"/>
          <w:b/>
          <w:sz w:val="24"/>
          <w:szCs w:val="24"/>
        </w:rPr>
        <w:t xml:space="preserve">（三）采购包3：</w:t>
      </w:r>
      <w:r>
        <w:rPr>
          <w:b/>
          <w:sz w:val="24"/>
          <w:szCs w:val="24"/>
        </w:rPr>
        <w:t xml:space="preserve">危险废物视频监控云平台运行维护</w:t>
      </w:r>
      <w:r>
        <w:rPr>
          <w:rFonts w:hint="eastAsia"/>
          <w:b/>
          <w:sz w:val="24"/>
          <w:szCs w:val="24"/>
        </w:rPr>
        <w:t xml:space="preserve">项目</w:t>
      </w:r>
      <w:r>
        <w:rPr>
          <w:b/>
          <w:sz w:val="24"/>
          <w:szCs w:val="24"/>
        </w:rPr>
      </w:r>
      <w:r/>
    </w:p>
    <w:p>
      <w:pPr>
        <w:pStyle w:val="963"/>
        <w:numPr>
          <w:ilvl w:val="0"/>
          <w:numId w:val="47"/>
        </w:numPr>
        <w:ind w:firstLine="480"/>
        <w:spacing w:line="360" w:lineRule="auto"/>
        <w:rPr>
          <w:rFonts w:ascii="Times New Roman" w:hAnsi="Times New Roman"/>
          <w:sz w:val="24"/>
        </w:rPr>
      </w:pPr>
      <w:r>
        <w:rPr>
          <w:rFonts w:hint="eastAsia" w:ascii="Times New Roman" w:hAnsi="Times New Roman"/>
          <w:sz w:val="24"/>
        </w:rPr>
        <w:t xml:space="preserve">服务范围（服务内容）</w:t>
      </w:r>
      <w:r>
        <w:rPr>
          <w:rFonts w:ascii="Times New Roman" w:hAnsi="Times New Roman"/>
          <w:sz w:val="24"/>
        </w:rPr>
      </w:r>
      <w:r/>
    </w:p>
    <w:p>
      <w:pPr>
        <w:pStyle w:val="963"/>
        <w:ind w:firstLine="480"/>
        <w:spacing w:line="360" w:lineRule="auto"/>
        <w:rPr>
          <w:rFonts w:ascii="宋体" w:hAnsi="宋体"/>
          <w:sz w:val="24"/>
          <w:szCs w:val="24"/>
        </w:rPr>
      </w:pPr>
      <w:r>
        <w:rPr>
          <w:rFonts w:hint="eastAsia" w:ascii="宋体" w:hAnsi="宋体"/>
          <w:sz w:val="24"/>
          <w:szCs w:val="24"/>
        </w:rPr>
        <w:t xml:space="preserve">1.1为全市39家重点监控的危废企业总计270路视频监控提供管理及播放服务；</w:t>
      </w:r>
      <w:r>
        <w:rPr>
          <w:rFonts w:ascii="宋体" w:hAnsi="宋体"/>
          <w:sz w:val="24"/>
          <w:szCs w:val="24"/>
        </w:rPr>
      </w:r>
      <w:r/>
    </w:p>
    <w:p>
      <w:pPr>
        <w:pStyle w:val="963"/>
        <w:ind w:firstLine="480"/>
        <w:spacing w:line="360" w:lineRule="auto"/>
        <w:rPr>
          <w:rFonts w:ascii="宋体" w:hAnsi="宋体"/>
          <w:sz w:val="24"/>
          <w:szCs w:val="24"/>
        </w:rPr>
      </w:pPr>
      <w:r>
        <w:rPr>
          <w:rFonts w:hint="eastAsia" w:ascii="宋体" w:hAnsi="宋体"/>
          <w:sz w:val="24"/>
          <w:szCs w:val="24"/>
        </w:rPr>
        <w:t xml:space="preserve">1.2对其中10家重点危废企业40路视频提供</w:t>
      </w:r>
      <w:r>
        <w:rPr>
          <w:rFonts w:hint="eastAsia" w:ascii="宋体" w:hAnsi="宋体"/>
          <w:sz w:val="24"/>
          <w:szCs w:val="24"/>
        </w:rPr>
        <w:t xml:space="preserve">测试及</w:t>
      </w:r>
      <w:r>
        <w:rPr>
          <w:rFonts w:hint="eastAsia" w:ascii="宋体" w:hAnsi="宋体"/>
          <w:sz w:val="24"/>
          <w:szCs w:val="24"/>
        </w:rPr>
        <w:t xml:space="preserve">AI云分析服务；</w:t>
      </w:r>
      <w:r>
        <w:rPr>
          <w:rFonts w:ascii="宋体" w:hAnsi="宋体"/>
          <w:sz w:val="24"/>
          <w:szCs w:val="24"/>
        </w:rPr>
      </w:r>
      <w:r/>
    </w:p>
    <w:p>
      <w:pPr>
        <w:pStyle w:val="963"/>
        <w:ind w:firstLine="480"/>
        <w:spacing w:line="360" w:lineRule="auto"/>
        <w:rPr>
          <w:rFonts w:ascii="宋体" w:hAnsi="宋体"/>
          <w:sz w:val="24"/>
          <w:szCs w:val="24"/>
        </w:rPr>
      </w:pPr>
      <w:r>
        <w:rPr>
          <w:rFonts w:hint="eastAsia" w:ascii="宋体" w:hAnsi="宋体"/>
          <w:sz w:val="24"/>
          <w:szCs w:val="24"/>
        </w:rPr>
        <w:t xml:space="preserve">1.3提供视频云对应网络带宽服务；</w:t>
      </w:r>
      <w:r>
        <w:rPr>
          <w:rFonts w:ascii="宋体" w:hAnsi="宋体"/>
          <w:sz w:val="24"/>
          <w:szCs w:val="24"/>
        </w:rPr>
      </w:r>
      <w:r/>
    </w:p>
    <w:p>
      <w:pPr>
        <w:pStyle w:val="963"/>
        <w:ind w:firstLine="480"/>
        <w:spacing w:line="360" w:lineRule="auto"/>
        <w:rPr>
          <w:rFonts w:ascii="Times New Roman" w:hAnsi="Times New Roman"/>
          <w:sz w:val="24"/>
          <w:szCs w:val="24"/>
        </w:rPr>
      </w:pPr>
      <w:r>
        <w:rPr>
          <w:rFonts w:hint="eastAsia" w:ascii="宋体" w:hAnsi="宋体"/>
          <w:sz w:val="24"/>
          <w:szCs w:val="24"/>
        </w:rPr>
        <w:t xml:space="preserve">1.4提供企业巡检及危废全生命周期平台咨询服务。</w:t>
      </w:r>
      <w:r>
        <w:rPr>
          <w:rFonts w:ascii="Times New Roman" w:hAnsi="Times New Roman"/>
          <w:sz w:val="24"/>
          <w:szCs w:val="24"/>
        </w:rPr>
      </w:r>
      <w:r/>
    </w:p>
    <w:p>
      <w:pPr>
        <w:pStyle w:val="963"/>
        <w:ind w:firstLine="480"/>
        <w:spacing w:line="360" w:lineRule="auto"/>
        <w:rPr>
          <w:rFonts w:ascii="Times New Roman" w:hAnsi="Times New Roman"/>
          <w:sz w:val="24"/>
        </w:rPr>
      </w:pPr>
      <w:r>
        <w:rPr>
          <w:rFonts w:hint="eastAsia" w:ascii="Times New Roman" w:hAnsi="Times New Roman"/>
          <w:sz w:val="24"/>
        </w:rPr>
        <w:t xml:space="preserve">2、服务技术要求</w:t>
      </w:r>
      <w:r>
        <w:rPr>
          <w:rFonts w:ascii="Times New Roman" w:hAnsi="Times New Roman"/>
          <w:sz w:val="24"/>
        </w:rPr>
      </w:r>
      <w:r/>
    </w:p>
    <w:p>
      <w:pPr>
        <w:pStyle w:val="963"/>
        <w:ind w:firstLine="480"/>
        <w:spacing w:line="360" w:lineRule="auto"/>
        <w:rPr>
          <w:rFonts w:ascii="宋体" w:hAnsi="宋体"/>
          <w:sz w:val="24"/>
          <w:szCs w:val="24"/>
        </w:rPr>
      </w:pPr>
      <w:r>
        <w:rPr>
          <w:rFonts w:hint="eastAsia" w:ascii="宋体" w:hAnsi="宋体"/>
          <w:sz w:val="24"/>
          <w:szCs w:val="24"/>
        </w:rPr>
        <w:t xml:space="preserve">2.1视频监控管理要求</w:t>
      </w:r>
      <w:r>
        <w:rPr>
          <w:rFonts w:ascii="宋体" w:hAnsi="宋体"/>
          <w:sz w:val="24"/>
          <w:szCs w:val="24"/>
        </w:rPr>
      </w:r>
      <w:r/>
    </w:p>
    <w:p>
      <w:pPr>
        <w:pStyle w:val="963"/>
        <w:ind w:firstLine="480"/>
        <w:spacing w:line="360" w:lineRule="auto"/>
        <w:rPr>
          <w:rFonts w:ascii="宋体" w:hAnsi="宋体"/>
          <w:sz w:val="24"/>
          <w:szCs w:val="24"/>
        </w:rPr>
      </w:pPr>
      <w:r>
        <w:rPr>
          <w:rFonts w:hint="eastAsia" w:ascii="宋体" w:hAnsi="宋体"/>
          <w:sz w:val="24"/>
          <w:szCs w:val="24"/>
        </w:rPr>
        <w:t xml:space="preserve">应根据我市接入企业视频路数，提供对应的云存储服务资源，支持自动持久化视频流直接云端存储，企业视频云存储不少于7天，支持后期根据需要灵活扩展存储资源。视频云存储包含弹性云存储服务及对象存储服务。</w:t>
      </w:r>
      <w:r>
        <w:rPr>
          <w:rFonts w:ascii="宋体" w:hAnsi="宋体"/>
          <w:sz w:val="24"/>
          <w:szCs w:val="24"/>
        </w:rPr>
      </w:r>
      <w:r/>
    </w:p>
    <w:p>
      <w:pPr>
        <w:pStyle w:val="963"/>
        <w:ind w:firstLine="480"/>
        <w:spacing w:line="360" w:lineRule="auto"/>
        <w:rPr>
          <w:rFonts w:ascii="宋体" w:hAnsi="宋体"/>
          <w:sz w:val="24"/>
          <w:szCs w:val="24"/>
        </w:rPr>
      </w:pPr>
      <w:r>
        <w:rPr>
          <w:rFonts w:hint="eastAsia" w:ascii="宋体" w:hAnsi="宋体"/>
          <w:sz w:val="24"/>
          <w:szCs w:val="24"/>
        </w:rPr>
        <w:t xml:space="preserve">2.2视频云点播要求</w:t>
      </w:r>
      <w:r>
        <w:rPr>
          <w:rFonts w:ascii="宋体" w:hAnsi="宋体"/>
          <w:sz w:val="24"/>
          <w:szCs w:val="24"/>
        </w:rPr>
      </w:r>
      <w:r/>
    </w:p>
    <w:p>
      <w:pPr>
        <w:pStyle w:val="963"/>
        <w:ind w:firstLine="480"/>
        <w:spacing w:line="360" w:lineRule="auto"/>
        <w:rPr>
          <w:rFonts w:ascii="宋体" w:hAnsi="宋体"/>
          <w:sz w:val="24"/>
          <w:szCs w:val="24"/>
        </w:rPr>
      </w:pPr>
      <w:r>
        <w:rPr>
          <w:rFonts w:hint="eastAsia" w:ascii="宋体" w:hAnsi="宋体"/>
          <w:sz w:val="24"/>
          <w:szCs w:val="24"/>
        </w:rPr>
        <w:t xml:space="preserve">保证视频云存储平台视频的正常播放、调用。</w:t>
      </w:r>
      <w:r>
        <w:rPr>
          <w:rFonts w:ascii="宋体" w:hAnsi="宋体"/>
          <w:sz w:val="24"/>
          <w:szCs w:val="24"/>
        </w:rPr>
      </w:r>
      <w:r/>
    </w:p>
    <w:p>
      <w:pPr>
        <w:pStyle w:val="963"/>
        <w:ind w:firstLine="480"/>
        <w:spacing w:line="360" w:lineRule="auto"/>
        <w:rPr>
          <w:rFonts w:ascii="宋体" w:hAnsi="宋体"/>
          <w:sz w:val="24"/>
          <w:szCs w:val="24"/>
        </w:rPr>
      </w:pPr>
      <w:r>
        <w:rPr>
          <w:rFonts w:hint="eastAsia" w:ascii="宋体" w:hAnsi="宋体"/>
          <w:sz w:val="24"/>
          <w:szCs w:val="24"/>
        </w:rPr>
        <w:t xml:space="preserve">a</w:t>
      </w:r>
      <w:r>
        <w:rPr>
          <w:rFonts w:ascii="宋体" w:hAnsi="宋体"/>
          <w:sz w:val="24"/>
          <w:szCs w:val="24"/>
        </w:rPr>
        <w:t xml:space="preserve">.</w:t>
      </w:r>
      <w:r>
        <w:rPr>
          <w:rFonts w:hint="eastAsia" w:ascii="宋体" w:hAnsi="宋体"/>
          <w:sz w:val="24"/>
          <w:szCs w:val="24"/>
        </w:rPr>
        <w:t xml:space="preserve">实时播放</w:t>
      </w:r>
      <w:r>
        <w:rPr>
          <w:rFonts w:ascii="宋体" w:hAnsi="宋体"/>
          <w:sz w:val="24"/>
          <w:szCs w:val="24"/>
        </w:rPr>
      </w:r>
      <w:r/>
    </w:p>
    <w:p>
      <w:pPr>
        <w:pStyle w:val="963"/>
        <w:ind w:firstLine="480"/>
        <w:spacing w:line="360" w:lineRule="auto"/>
        <w:rPr>
          <w:rFonts w:ascii="宋体" w:hAnsi="宋体"/>
          <w:sz w:val="24"/>
          <w:szCs w:val="24"/>
        </w:rPr>
      </w:pPr>
      <w:r>
        <w:rPr>
          <w:rFonts w:hint="eastAsia" w:ascii="宋体" w:hAnsi="宋体"/>
          <w:sz w:val="24"/>
          <w:szCs w:val="24"/>
        </w:rPr>
        <w:t xml:space="preserve">视频云存储服务支持在浏览器或者播放器中实时播放企业视频画面。</w:t>
      </w:r>
      <w:r>
        <w:rPr>
          <w:rFonts w:ascii="宋体" w:hAnsi="宋体"/>
          <w:sz w:val="24"/>
          <w:szCs w:val="24"/>
        </w:rPr>
      </w:r>
      <w:r/>
    </w:p>
    <w:p>
      <w:pPr>
        <w:pStyle w:val="963"/>
        <w:ind w:firstLine="480"/>
        <w:spacing w:line="360" w:lineRule="auto"/>
        <w:rPr>
          <w:rFonts w:ascii="宋体" w:hAnsi="宋体"/>
          <w:sz w:val="24"/>
          <w:szCs w:val="24"/>
        </w:rPr>
      </w:pPr>
      <w:r>
        <w:rPr>
          <w:rFonts w:hint="eastAsia" w:ascii="宋体" w:hAnsi="宋体"/>
          <w:sz w:val="24"/>
          <w:szCs w:val="24"/>
        </w:rPr>
        <w:t xml:space="preserve">b</w:t>
      </w:r>
      <w:r>
        <w:rPr>
          <w:rFonts w:ascii="宋体" w:hAnsi="宋体"/>
          <w:sz w:val="24"/>
          <w:szCs w:val="24"/>
        </w:rPr>
        <w:t xml:space="preserve">.</w:t>
      </w:r>
      <w:r>
        <w:rPr>
          <w:rFonts w:hint="eastAsia" w:ascii="宋体" w:hAnsi="宋体"/>
          <w:sz w:val="24"/>
          <w:szCs w:val="24"/>
        </w:rPr>
        <w:t xml:space="preserve">视屏调用</w:t>
      </w:r>
      <w:r>
        <w:rPr>
          <w:rFonts w:ascii="宋体" w:hAnsi="宋体"/>
          <w:sz w:val="24"/>
          <w:szCs w:val="24"/>
        </w:rPr>
      </w:r>
      <w:r/>
    </w:p>
    <w:p>
      <w:pPr>
        <w:pStyle w:val="963"/>
        <w:ind w:firstLine="480"/>
        <w:spacing w:line="360" w:lineRule="auto"/>
        <w:rPr>
          <w:rFonts w:ascii="宋体" w:hAnsi="宋体"/>
          <w:sz w:val="24"/>
          <w:szCs w:val="24"/>
        </w:rPr>
      </w:pPr>
      <w:r>
        <w:rPr>
          <w:rFonts w:hint="eastAsia" w:ascii="宋体" w:hAnsi="宋体"/>
          <w:sz w:val="24"/>
          <w:szCs w:val="24"/>
        </w:rPr>
        <w:t xml:space="preserve">对所有接入平台的重点企业， 7日内视频资源任意调用。</w:t>
      </w:r>
      <w:r>
        <w:rPr>
          <w:rFonts w:ascii="宋体" w:hAnsi="宋体"/>
          <w:sz w:val="24"/>
          <w:szCs w:val="24"/>
        </w:rPr>
      </w:r>
      <w:r/>
    </w:p>
    <w:p>
      <w:pPr>
        <w:pStyle w:val="963"/>
        <w:ind w:firstLine="480"/>
        <w:spacing w:line="360" w:lineRule="auto"/>
        <w:rPr>
          <w:rFonts w:ascii="宋体" w:hAnsi="宋体"/>
          <w:sz w:val="24"/>
          <w:szCs w:val="24"/>
        </w:rPr>
      </w:pPr>
      <w:r>
        <w:rPr>
          <w:rFonts w:hint="eastAsia" w:ascii="宋体" w:hAnsi="宋体"/>
          <w:sz w:val="24"/>
          <w:szCs w:val="24"/>
        </w:rPr>
        <w:t xml:space="preserve">c</w:t>
      </w:r>
      <w:r>
        <w:rPr>
          <w:rFonts w:ascii="宋体" w:hAnsi="宋体"/>
          <w:sz w:val="24"/>
          <w:szCs w:val="24"/>
        </w:rPr>
        <w:t xml:space="preserve">.</w:t>
      </w:r>
      <w:r>
        <w:rPr>
          <w:rFonts w:hint="eastAsia" w:ascii="宋体" w:hAnsi="宋体"/>
          <w:sz w:val="24"/>
          <w:szCs w:val="24"/>
        </w:rPr>
        <w:t xml:space="preserve">安全管理</w:t>
      </w:r>
      <w:r>
        <w:rPr>
          <w:rFonts w:ascii="宋体" w:hAnsi="宋体"/>
          <w:sz w:val="24"/>
          <w:szCs w:val="24"/>
        </w:rPr>
      </w:r>
      <w:r/>
    </w:p>
    <w:p>
      <w:pPr>
        <w:pStyle w:val="963"/>
        <w:ind w:firstLine="480"/>
        <w:spacing w:line="360" w:lineRule="auto"/>
        <w:rPr>
          <w:rFonts w:ascii="宋体" w:hAnsi="宋体"/>
          <w:sz w:val="24"/>
          <w:szCs w:val="24"/>
        </w:rPr>
      </w:pPr>
      <w:r>
        <w:rPr>
          <w:rFonts w:hint="eastAsia" w:ascii="宋体" w:hAnsi="宋体"/>
          <w:sz w:val="24"/>
          <w:szCs w:val="24"/>
        </w:rPr>
        <w:t xml:space="preserve">支持HTTPS安全协议，防盗链保障资源以及用户资产安全。具备视频内容加密以及播放鉴权功能，保障资源安全可靠。</w:t>
      </w:r>
      <w:r>
        <w:rPr>
          <w:rFonts w:ascii="宋体" w:hAnsi="宋体"/>
          <w:sz w:val="24"/>
          <w:szCs w:val="24"/>
        </w:rPr>
      </w:r>
      <w:r/>
    </w:p>
    <w:p>
      <w:pPr>
        <w:pStyle w:val="963"/>
        <w:ind w:firstLine="480"/>
        <w:spacing w:line="360" w:lineRule="auto"/>
        <w:rPr>
          <w:rFonts w:ascii="宋体" w:hAnsi="宋体"/>
          <w:sz w:val="24"/>
          <w:szCs w:val="24"/>
        </w:rPr>
      </w:pPr>
      <w:r>
        <w:rPr>
          <w:rFonts w:ascii="宋体" w:hAnsi="宋体"/>
          <w:sz w:val="24"/>
          <w:szCs w:val="24"/>
        </w:rPr>
        <w:t xml:space="preserve">d.</w:t>
      </w:r>
      <w:r>
        <w:rPr>
          <w:rFonts w:hint="eastAsia" w:ascii="宋体" w:hAnsi="宋体"/>
          <w:sz w:val="24"/>
          <w:szCs w:val="24"/>
        </w:rPr>
        <w:t xml:space="preserve">视频点播VOD</w:t>
      </w:r>
      <w:r>
        <w:rPr>
          <w:rFonts w:ascii="宋体" w:hAnsi="宋体"/>
          <w:sz w:val="24"/>
          <w:szCs w:val="24"/>
        </w:rPr>
      </w:r>
      <w:r/>
    </w:p>
    <w:p>
      <w:pPr>
        <w:pStyle w:val="963"/>
        <w:ind w:firstLine="480"/>
        <w:spacing w:line="360" w:lineRule="auto"/>
        <w:rPr>
          <w:rFonts w:ascii="宋体" w:hAnsi="宋体"/>
          <w:sz w:val="24"/>
          <w:szCs w:val="24"/>
        </w:rPr>
      </w:pPr>
      <w:r>
        <w:rPr>
          <w:rFonts w:hint="eastAsia" w:ascii="宋体" w:hAnsi="宋体"/>
          <w:sz w:val="24"/>
          <w:szCs w:val="24"/>
        </w:rPr>
        <w:t xml:space="preserve">提供视频点播功能，包括视频上传、自动化转码处理、资源管理、分发加速、视频播放于一体的一站式服务。</w:t>
      </w:r>
      <w:r>
        <w:rPr>
          <w:rFonts w:ascii="宋体" w:hAnsi="宋体"/>
          <w:sz w:val="24"/>
          <w:szCs w:val="24"/>
        </w:rPr>
      </w:r>
      <w:r/>
    </w:p>
    <w:p>
      <w:pPr>
        <w:pStyle w:val="963"/>
        <w:ind w:firstLine="480"/>
        <w:spacing w:line="360" w:lineRule="auto"/>
        <w:rPr>
          <w:rFonts w:ascii="宋体" w:hAnsi="宋体"/>
          <w:sz w:val="24"/>
          <w:szCs w:val="24"/>
        </w:rPr>
      </w:pPr>
      <w:r>
        <w:rPr>
          <w:rFonts w:hint="eastAsia" w:ascii="宋体" w:hAnsi="宋体"/>
          <w:sz w:val="24"/>
          <w:szCs w:val="24"/>
        </w:rPr>
        <w:t xml:space="preserve">2.3视频AI 云分析服务要求</w:t>
      </w:r>
      <w:r>
        <w:rPr>
          <w:rFonts w:ascii="宋体" w:hAnsi="宋体"/>
          <w:sz w:val="24"/>
          <w:szCs w:val="24"/>
        </w:rPr>
      </w:r>
      <w:r/>
    </w:p>
    <w:p>
      <w:pPr>
        <w:pStyle w:val="963"/>
        <w:ind w:firstLine="480"/>
        <w:spacing w:line="360" w:lineRule="auto"/>
        <w:rPr>
          <w:rFonts w:ascii="宋体" w:hAnsi="宋体"/>
          <w:sz w:val="24"/>
          <w:szCs w:val="24"/>
        </w:rPr>
      </w:pPr>
      <w:r>
        <w:rPr>
          <w:rFonts w:hint="eastAsia" w:ascii="宋体" w:hAnsi="宋体"/>
          <w:sz w:val="24"/>
          <w:szCs w:val="24"/>
        </w:rPr>
        <w:t xml:space="preserve">全市纳入重点企业监控视频AI分析的企业数量10家，总计40路。提供视频AI分析云服务功能，用于危废视频AI分析，保证AI分析服务所得数据在平台上及时预警推送。</w:t>
      </w:r>
      <w:r>
        <w:rPr>
          <w:rFonts w:ascii="宋体" w:hAnsi="宋体"/>
          <w:sz w:val="24"/>
          <w:szCs w:val="24"/>
        </w:rPr>
      </w:r>
      <w:r/>
    </w:p>
    <w:p>
      <w:pPr>
        <w:pStyle w:val="963"/>
        <w:ind w:firstLine="480"/>
        <w:spacing w:line="360" w:lineRule="auto"/>
        <w:rPr>
          <w:rFonts w:ascii="宋体" w:hAnsi="宋体"/>
          <w:sz w:val="24"/>
          <w:szCs w:val="24"/>
        </w:rPr>
      </w:pPr>
      <w:r>
        <w:rPr>
          <w:rFonts w:hint="eastAsia" w:ascii="宋体" w:hAnsi="宋体"/>
          <w:sz w:val="24"/>
          <w:szCs w:val="24"/>
        </w:rPr>
        <w:t xml:space="preserve">支持在线推理和第三方算法加载，支持主流GPU卡或国产NPU进行AI推理和训练。支持海量数据预处理及半自动化标注、大规模分布式训练、自动化模型生成等能力，可基于历史视频进行训练学习，提高算法分析精准度。</w:t>
      </w:r>
      <w:r>
        <w:rPr>
          <w:rFonts w:ascii="宋体" w:hAnsi="宋体"/>
          <w:sz w:val="24"/>
          <w:szCs w:val="24"/>
        </w:rPr>
      </w:r>
      <w:r/>
    </w:p>
    <w:p>
      <w:pPr>
        <w:pStyle w:val="963"/>
        <w:ind w:firstLine="480"/>
        <w:spacing w:line="360" w:lineRule="auto"/>
        <w:rPr>
          <w:rFonts w:ascii="宋体" w:hAnsi="宋体"/>
          <w:sz w:val="24"/>
          <w:szCs w:val="24"/>
        </w:rPr>
      </w:pPr>
      <w:r>
        <w:rPr>
          <w:rFonts w:hint="eastAsia" w:ascii="宋体" w:hAnsi="宋体"/>
          <w:sz w:val="24"/>
          <w:szCs w:val="24"/>
        </w:rPr>
        <w:t xml:space="preserve">根据算法模型识别企业的违规、违法操作行为，通过边缘节点平台及时预警推送，供用户进行查看；</w:t>
      </w:r>
      <w:bookmarkStart w:id="6" w:name="_Hlk123673304"/>
      <w:r>
        <w:rPr>
          <w:rFonts w:hint="eastAsia" w:ascii="宋体" w:hAnsi="宋体"/>
          <w:sz w:val="24"/>
          <w:szCs w:val="24"/>
        </w:rPr>
        <w:t xml:space="preserve">同时满足在线消息实时刷新、离线消息实时推送、消息个数提醒、未读已读消息查看等功能</w:t>
      </w:r>
      <w:bookmarkEnd w:id="6"/>
      <w:r>
        <w:rPr>
          <w:rFonts w:hint="eastAsia" w:ascii="宋体" w:hAnsi="宋体"/>
          <w:sz w:val="24"/>
          <w:szCs w:val="24"/>
        </w:rPr>
        <w:t xml:space="preserve">。</w:t>
      </w:r>
      <w:r>
        <w:rPr>
          <w:rFonts w:ascii="宋体" w:hAnsi="宋体"/>
          <w:sz w:val="24"/>
          <w:szCs w:val="24"/>
        </w:rPr>
      </w:r>
      <w:r/>
    </w:p>
    <w:p>
      <w:pPr>
        <w:pStyle w:val="963"/>
        <w:ind w:firstLine="480"/>
        <w:spacing w:line="360" w:lineRule="auto"/>
        <w:rPr>
          <w:rFonts w:ascii="宋体" w:hAnsi="宋体"/>
          <w:sz w:val="24"/>
          <w:szCs w:val="24"/>
        </w:rPr>
      </w:pPr>
      <w:r>
        <w:rPr>
          <w:rFonts w:hint="eastAsia" w:ascii="宋体" w:hAnsi="宋体"/>
          <w:sz w:val="24"/>
          <w:szCs w:val="24"/>
        </w:rPr>
        <w:t xml:space="preserve">视频AI分析应包含以下场景：支持对运输危废车辆车牌识别</w:t>
      </w:r>
      <w:r>
        <w:rPr>
          <w:rFonts w:ascii="宋体" w:hAnsi="宋体"/>
          <w:sz w:val="24"/>
          <w:szCs w:val="24"/>
        </w:rPr>
      </w:r>
      <w:r/>
    </w:p>
    <w:p>
      <w:pPr>
        <w:pStyle w:val="963"/>
        <w:ind w:firstLine="480"/>
        <w:spacing w:line="360" w:lineRule="auto"/>
        <w:rPr>
          <w:rFonts w:ascii="宋体" w:hAnsi="宋体"/>
          <w:sz w:val="24"/>
          <w:szCs w:val="24"/>
        </w:rPr>
      </w:pPr>
      <w:r>
        <w:rPr>
          <w:rFonts w:hint="eastAsia" w:ascii="宋体" w:hAnsi="宋体"/>
          <w:sz w:val="24"/>
          <w:szCs w:val="24"/>
        </w:rPr>
        <w:t xml:space="preserve">2.4网络带宽要求</w:t>
      </w:r>
      <w:r>
        <w:rPr>
          <w:rFonts w:ascii="宋体" w:hAnsi="宋体"/>
          <w:sz w:val="24"/>
          <w:szCs w:val="24"/>
        </w:rPr>
      </w:r>
      <w:r/>
    </w:p>
    <w:p>
      <w:pPr>
        <w:pStyle w:val="963"/>
        <w:ind w:firstLine="480"/>
        <w:spacing w:line="360" w:lineRule="auto"/>
        <w:rPr>
          <w:rFonts w:ascii="宋体" w:hAnsi="宋体"/>
          <w:sz w:val="24"/>
          <w:szCs w:val="24"/>
        </w:rPr>
      </w:pPr>
      <w:r>
        <w:rPr>
          <w:rFonts w:hint="eastAsia" w:ascii="宋体" w:hAnsi="宋体"/>
          <w:sz w:val="24"/>
          <w:szCs w:val="24"/>
        </w:rPr>
        <w:t xml:space="preserve">视频云接入互联网的上行带宽不小于2</w:t>
      </w:r>
      <w:r>
        <w:rPr>
          <w:rFonts w:ascii="宋体" w:hAnsi="宋体"/>
          <w:sz w:val="24"/>
          <w:szCs w:val="24"/>
        </w:rPr>
        <w:t xml:space="preserve">70</w:t>
      </w:r>
      <w:r>
        <w:rPr>
          <w:rFonts w:hint="eastAsia" w:ascii="宋体" w:hAnsi="宋体"/>
          <w:sz w:val="24"/>
          <w:szCs w:val="24"/>
        </w:rPr>
        <w:t xml:space="preserve">×2.8（Mbps）= </w:t>
      </w:r>
      <w:r>
        <w:rPr>
          <w:rFonts w:ascii="宋体" w:hAnsi="宋体"/>
          <w:sz w:val="24"/>
          <w:szCs w:val="24"/>
        </w:rPr>
        <w:t xml:space="preserve">756</w:t>
      </w:r>
      <w:r>
        <w:rPr>
          <w:rFonts w:hint="eastAsia" w:ascii="宋体" w:hAnsi="宋体"/>
          <w:sz w:val="24"/>
          <w:szCs w:val="24"/>
        </w:rPr>
        <w:t xml:space="preserve">（Mbps）。</w:t>
      </w:r>
      <w:r>
        <w:rPr>
          <w:rFonts w:ascii="宋体" w:hAnsi="宋体"/>
          <w:sz w:val="24"/>
          <w:szCs w:val="24"/>
        </w:rPr>
      </w:r>
      <w:r/>
    </w:p>
    <w:p>
      <w:pPr>
        <w:pStyle w:val="963"/>
        <w:ind w:firstLine="480"/>
        <w:spacing w:line="360" w:lineRule="auto"/>
        <w:rPr>
          <w:rFonts w:ascii="宋体" w:hAnsi="宋体"/>
          <w:sz w:val="24"/>
          <w:szCs w:val="24"/>
        </w:rPr>
      </w:pPr>
      <w:r>
        <w:rPr>
          <w:rFonts w:hint="eastAsia" w:ascii="宋体" w:hAnsi="宋体"/>
          <w:sz w:val="24"/>
          <w:szCs w:val="24"/>
        </w:rPr>
        <w:t xml:space="preserve">2.5巡检服务要求</w:t>
      </w:r>
      <w:r>
        <w:rPr>
          <w:rFonts w:ascii="宋体" w:hAnsi="宋体"/>
          <w:sz w:val="24"/>
          <w:szCs w:val="24"/>
        </w:rPr>
      </w:r>
      <w:r/>
    </w:p>
    <w:p>
      <w:pPr>
        <w:pStyle w:val="963"/>
        <w:ind w:firstLine="480"/>
        <w:spacing w:line="360" w:lineRule="auto"/>
        <w:rPr>
          <w:rFonts w:ascii="宋体" w:hAnsi="宋体"/>
          <w:sz w:val="24"/>
          <w:szCs w:val="24"/>
        </w:rPr>
      </w:pPr>
      <w:r>
        <w:rPr>
          <w:rFonts w:hint="eastAsia" w:ascii="宋体" w:hAnsi="宋体"/>
          <w:sz w:val="24"/>
          <w:szCs w:val="24"/>
        </w:rPr>
        <w:t xml:space="preserve">安排专业技术人员定期对企业视频接入情况进行巡检，对存在问题进行检查，排除技术问题，提供巡检报告，如因企业问题导致视频中断，配合采购人督促企业完成整改工作。</w:t>
      </w:r>
      <w:r>
        <w:rPr>
          <w:rFonts w:ascii="宋体" w:hAnsi="宋体"/>
          <w:sz w:val="24"/>
          <w:szCs w:val="24"/>
        </w:rPr>
      </w:r>
      <w:r/>
    </w:p>
    <w:p>
      <w:pPr>
        <w:pStyle w:val="963"/>
        <w:ind w:firstLine="480"/>
        <w:spacing w:line="360" w:lineRule="auto"/>
        <w:rPr>
          <w:rFonts w:ascii="宋体" w:hAnsi="宋体"/>
          <w:sz w:val="24"/>
          <w:szCs w:val="24"/>
        </w:rPr>
      </w:pPr>
      <w:r>
        <w:rPr>
          <w:rFonts w:hint="eastAsia" w:ascii="宋体" w:hAnsi="宋体"/>
          <w:sz w:val="24"/>
          <w:szCs w:val="24"/>
        </w:rPr>
        <w:t xml:space="preserve">2.6平台咨询服务要求</w:t>
      </w:r>
      <w:r>
        <w:rPr>
          <w:rFonts w:ascii="宋体" w:hAnsi="宋体"/>
          <w:sz w:val="24"/>
          <w:szCs w:val="24"/>
        </w:rPr>
      </w:r>
      <w:r/>
    </w:p>
    <w:p>
      <w:pPr>
        <w:pStyle w:val="963"/>
        <w:ind w:firstLine="480"/>
        <w:spacing w:line="360" w:lineRule="auto"/>
        <w:rPr>
          <w:rFonts w:ascii="宋体" w:hAnsi="宋体"/>
          <w:sz w:val="24"/>
          <w:szCs w:val="24"/>
        </w:rPr>
      </w:pPr>
      <w:r>
        <w:rPr>
          <w:rFonts w:hint="eastAsia" w:ascii="宋体" w:hAnsi="宋体"/>
          <w:sz w:val="24"/>
          <w:szCs w:val="24"/>
        </w:rPr>
        <w:t xml:space="preserve">对采购人以及所接入企业提供包括在线、电话、会议等不少于两种咨询服务方式，并指定</w:t>
      </w:r>
      <w:bookmarkStart w:id="7" w:name="_Hlk123673623"/>
      <w:r>
        <w:rPr>
          <w:rFonts w:hint="eastAsia" w:ascii="宋体" w:hAnsi="宋体"/>
          <w:sz w:val="24"/>
          <w:szCs w:val="24"/>
        </w:rPr>
        <w:t xml:space="preserve">专职工程师24小时响应用户紧急服务需求，</w:t>
      </w:r>
      <w:bookmarkEnd w:id="7"/>
      <w:r>
        <w:rPr>
          <w:rFonts w:hint="eastAsia" w:ascii="宋体" w:hAnsi="宋体"/>
          <w:sz w:val="24"/>
          <w:szCs w:val="24"/>
        </w:rPr>
        <w:t xml:space="preserve">对平台运行中的使用问题、影响平台正常运转的问题提供良好的技术支持和解答。</w:t>
      </w:r>
      <w:r>
        <w:rPr>
          <w:rFonts w:ascii="宋体" w:hAnsi="宋体"/>
          <w:sz w:val="24"/>
          <w:szCs w:val="24"/>
        </w:rPr>
      </w:r>
      <w:r/>
    </w:p>
    <w:p>
      <w:pPr>
        <w:pStyle w:val="963"/>
        <w:ind w:firstLine="480"/>
        <w:spacing w:line="360" w:lineRule="auto"/>
        <w:rPr>
          <w:rFonts w:ascii="宋体" w:hAnsi="宋体"/>
          <w:sz w:val="24"/>
          <w:szCs w:val="24"/>
        </w:rPr>
      </w:pPr>
      <w:r>
        <w:rPr>
          <w:rFonts w:hint="eastAsia" w:ascii="宋体" w:hAnsi="宋体"/>
          <w:sz w:val="24"/>
          <w:szCs w:val="24"/>
        </w:rPr>
        <w:t xml:space="preserve">2.7质量控制要求</w:t>
      </w:r>
      <w:r>
        <w:rPr>
          <w:rFonts w:ascii="宋体" w:hAnsi="宋体"/>
          <w:sz w:val="24"/>
          <w:szCs w:val="24"/>
        </w:rPr>
      </w:r>
      <w:r/>
    </w:p>
    <w:p>
      <w:pPr>
        <w:pStyle w:val="963"/>
        <w:ind w:firstLine="480"/>
        <w:spacing w:line="360" w:lineRule="auto"/>
        <w:rPr>
          <w:rFonts w:ascii="宋体" w:hAnsi="宋体"/>
          <w:sz w:val="24"/>
          <w:szCs w:val="24"/>
        </w:rPr>
      </w:pPr>
      <w:r>
        <w:rPr>
          <w:rFonts w:hint="eastAsia" w:ascii="宋体" w:hAnsi="宋体"/>
          <w:sz w:val="24"/>
          <w:szCs w:val="24"/>
        </w:rPr>
        <w:t xml:space="preserve">建立健全保障项目顺利实施的各项管理制度和质量保证体系，每周总结并提交周报，对项目过程进行追踪和控制。</w:t>
      </w:r>
      <w:r>
        <w:rPr>
          <w:rFonts w:ascii="宋体" w:hAnsi="宋体"/>
          <w:sz w:val="24"/>
          <w:szCs w:val="24"/>
        </w:rPr>
      </w:r>
      <w:r/>
    </w:p>
    <w:p>
      <w:pPr>
        <w:pStyle w:val="963"/>
        <w:ind w:firstLine="480"/>
        <w:jc w:val="left"/>
        <w:spacing w:line="500" w:lineRule="exact"/>
        <w:rPr>
          <w:sz w:val="24"/>
          <w:szCs w:val="24"/>
        </w:rPr>
      </w:pPr>
      <w:r>
        <w:rPr>
          <w:sz w:val="24"/>
          <w:szCs w:val="24"/>
        </w:rPr>
      </w:r>
      <w:r/>
    </w:p>
    <w:p>
      <w:pPr>
        <w:pStyle w:val="963"/>
        <w:ind w:firstLine="482"/>
        <w:jc w:val="left"/>
        <w:spacing w:line="500" w:lineRule="exact"/>
        <w:rPr>
          <w:b/>
          <w:sz w:val="24"/>
          <w:szCs w:val="24"/>
        </w:rPr>
        <w:outlineLvl w:val="1"/>
      </w:pPr>
      <w:r>
        <w:rPr>
          <w:rFonts w:hint="eastAsia"/>
          <w:b/>
          <w:sz w:val="24"/>
          <w:szCs w:val="24"/>
        </w:rPr>
        <w:t xml:space="preserve">（四）采购包4：</w:t>
      </w:r>
      <w:r>
        <w:rPr>
          <w:b/>
          <w:sz w:val="24"/>
          <w:szCs w:val="24"/>
        </w:rPr>
        <w:t xml:space="preserve">2024年度连云港市环境信息化暨监测监控能力提升工程--软件子项运维服务项目</w:t>
      </w:r>
      <w:r>
        <w:rPr>
          <w:b/>
          <w:sz w:val="24"/>
          <w:szCs w:val="24"/>
        </w:rPr>
      </w:r>
      <w:r/>
    </w:p>
    <w:p>
      <w:pPr>
        <w:pStyle w:val="963"/>
        <w:ind w:firstLine="480"/>
        <w:spacing w:line="360" w:lineRule="auto"/>
        <w:rPr>
          <w:sz w:val="24"/>
        </w:rPr>
      </w:pPr>
      <w:r>
        <w:rPr>
          <w:rFonts w:hint="eastAsia"/>
          <w:sz w:val="24"/>
        </w:rPr>
        <w:t xml:space="preserve">1、服务范围（服务内容）</w:t>
      </w:r>
      <w:r>
        <w:rPr>
          <w:sz w:val="24"/>
        </w:rPr>
      </w:r>
      <w:r/>
    </w:p>
    <w:p>
      <w:pPr>
        <w:pStyle w:val="963"/>
        <w:ind w:firstLine="480"/>
        <w:spacing w:line="400" w:lineRule="exact"/>
        <w:rPr>
          <w:rFonts w:ascii="宋体" w:hAnsi="宋体"/>
          <w:bCs/>
          <w:color w:val="000000"/>
          <w:sz w:val="24"/>
        </w:rPr>
      </w:pPr>
      <w:r>
        <w:rPr>
          <w:rFonts w:hint="eastAsia" w:ascii="宋体" w:hAnsi="宋体"/>
          <w:bCs/>
          <w:color w:val="000000"/>
          <w:sz w:val="24"/>
        </w:rPr>
        <w:t xml:space="preserve">本项目内容主要为</w:t>
      </w:r>
      <w:r>
        <w:rPr>
          <w:rFonts w:hint="eastAsia" w:ascii="宋体" w:hAnsi="宋体"/>
          <w:bCs/>
          <w:color w:val="000000"/>
          <w:sz w:val="24"/>
        </w:rPr>
        <w:t xml:space="preserve">中标人</w:t>
      </w:r>
      <w:r>
        <w:rPr>
          <w:rFonts w:hint="eastAsia" w:ascii="宋体" w:hAnsi="宋体"/>
          <w:bCs/>
          <w:color w:val="000000"/>
          <w:sz w:val="24"/>
        </w:rPr>
        <w:t xml:space="preserve">按照采购人业务管理和应用的要求，负责连云港市环境信息化暨监测监控能力提升工程软件子项运维工作，承担运营管理平台系统和业务的运行状态例行巡检、相关事件和问题的处理等工作；并按管理要求，认真执行管理流程，对所发生的软件故障及修复情况、事件及处理过程等信息如实记录，及时上报故障、事件处理报告；及时填写维护日志，维护结束后向业主提交年度运营维护服务质量总结报告，同时完成采购人交办的与维护工作相关其它工作等，保障综合信息平台各系统稳定、可靠和安全运行。</w:t>
      </w:r>
      <w:r>
        <w:rPr>
          <w:rFonts w:ascii="宋体" w:hAnsi="宋体"/>
          <w:bCs/>
          <w:color w:val="000000"/>
          <w:sz w:val="24"/>
        </w:rPr>
      </w:r>
      <w:r/>
    </w:p>
    <w:p>
      <w:pPr>
        <w:pStyle w:val="963"/>
        <w:ind w:firstLine="480"/>
        <w:spacing w:line="400" w:lineRule="exact"/>
        <w:rPr>
          <w:rFonts w:ascii="宋体" w:hAnsi="宋体"/>
          <w:bCs/>
          <w:color w:val="000000"/>
          <w:sz w:val="24"/>
        </w:rPr>
      </w:pPr>
      <w:r>
        <w:rPr>
          <w:rFonts w:hint="eastAsia" w:ascii="宋体" w:hAnsi="宋体"/>
          <w:bCs/>
          <w:color w:val="000000"/>
          <w:sz w:val="24"/>
        </w:rPr>
        <w:t xml:space="preserve">软件子项运维内容清单：</w:t>
      </w:r>
      <w:r>
        <w:rPr>
          <w:rFonts w:ascii="宋体" w:hAnsi="宋体"/>
          <w:bCs/>
          <w:color w:val="000000"/>
          <w:sz w:val="24"/>
        </w:rPr>
      </w:r>
      <w:r/>
    </w:p>
    <w:tbl>
      <w:tblPr>
        <w:tblW w:w="4997" w:type="pct"/>
        <w:tblInd w:w="0" w:type="dxa"/>
        <w:tblLayout w:type="autofit"/>
        <w:tblCellMar>
          <w:left w:w="0" w:type="dxa"/>
          <w:top w:w="0" w:type="dxa"/>
          <w:right w:w="0" w:type="dxa"/>
          <w:bottom w:w="0" w:type="dxa"/>
        </w:tblCellMar>
        <w:tblLook w:val="04A0" w:firstRow="1" w:lastRow="0" w:firstColumn="1" w:lastColumn="0" w:noHBand="0" w:noVBand="1"/>
      </w:tblPr>
      <w:tblGrid>
        <w:gridCol w:w="1344"/>
        <w:gridCol w:w="3878"/>
        <w:gridCol w:w="1521"/>
        <w:gridCol w:w="1578"/>
      </w:tblGrid>
      <w:tr>
        <w:trPr>
          <w:trHeight w:val="315"/>
        </w:trPr>
        <w:tc>
          <w:tcPr>
            <w:tcBorders>
              <w:top w:val="single" w:color="000000" w:sz="8"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项号</w:t>
            </w:r>
            <w:r>
              <w:rPr>
                <w:rFonts w:ascii="微软雅黑" w:hAnsi="微软雅黑" w:eastAsia="微软雅黑" w:cs="微软雅黑"/>
                <w:color w:val="000000"/>
                <w:sz w:val="18"/>
                <w:szCs w:val="18"/>
              </w:rPr>
            </w:r>
            <w:r/>
          </w:p>
        </w:tc>
        <w:tc>
          <w:tcPr>
            <w:tcBorders>
              <w:top w:val="single" w:color="000000" w:sz="8"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货物名称</w:t>
            </w:r>
            <w:r>
              <w:rPr>
                <w:rFonts w:ascii="微软雅黑" w:hAnsi="微软雅黑" w:eastAsia="微软雅黑" w:cs="微软雅黑"/>
                <w:color w:val="000000"/>
                <w:sz w:val="18"/>
                <w:szCs w:val="18"/>
              </w:rPr>
            </w:r>
            <w:r/>
          </w:p>
        </w:tc>
        <w:tc>
          <w:tcPr>
            <w:tcBorders>
              <w:top w:val="single" w:color="000000" w:sz="8"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数量</w:t>
            </w:r>
            <w:r>
              <w:rPr>
                <w:rFonts w:ascii="微软雅黑" w:hAnsi="微软雅黑" w:eastAsia="微软雅黑" w:cs="微软雅黑"/>
                <w:color w:val="000000"/>
                <w:sz w:val="18"/>
                <w:szCs w:val="18"/>
              </w:rPr>
            </w:r>
            <w:r/>
          </w:p>
        </w:tc>
        <w:tc>
          <w:tcPr>
            <w:tcBorders>
              <w:top w:val="single" w:color="000000" w:sz="8"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单位</w:t>
            </w:r>
            <w:r>
              <w:rPr>
                <w:rFonts w:ascii="微软雅黑" w:hAnsi="微软雅黑" w:eastAsia="微软雅黑" w:cs="微软雅黑"/>
                <w:color w:val="000000"/>
                <w:sz w:val="18"/>
                <w:szCs w:val="18"/>
              </w:rPr>
            </w:r>
            <w:r/>
          </w:p>
        </w:tc>
      </w:tr>
      <w:tr>
        <w:trPr>
          <w:trHeight w:val="315"/>
        </w:trPr>
        <w:tc>
          <w:tcPr>
            <w:shd w:val="clear" w:color="auto" w:fill="92d050"/>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b/>
                <w:color w:val="000000"/>
                <w:sz w:val="18"/>
                <w:szCs w:val="18"/>
              </w:rPr>
            </w:pPr>
            <w:r>
              <w:rPr>
                <w:rFonts w:hint="eastAsia" w:ascii="微软雅黑" w:hAnsi="微软雅黑" w:eastAsia="微软雅黑" w:cs="微软雅黑"/>
                <w:b/>
                <w:color w:val="000000"/>
                <w:sz w:val="18"/>
                <w:szCs w:val="18"/>
              </w:rPr>
              <w:t xml:space="preserve">1</w:t>
            </w:r>
            <w:r>
              <w:rPr>
                <w:rFonts w:ascii="微软雅黑" w:hAnsi="微软雅黑" w:eastAsia="微软雅黑" w:cs="微软雅黑"/>
                <w:b/>
                <w:color w:val="000000"/>
                <w:sz w:val="18"/>
                <w:szCs w:val="18"/>
              </w:rPr>
            </w:r>
            <w:r/>
          </w:p>
        </w:tc>
        <w:tc>
          <w:tcPr>
            <w:shd w:val="clear" w:color="auto" w:fill="92d050"/>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b/>
                <w:color w:val="000000"/>
                <w:sz w:val="18"/>
                <w:szCs w:val="18"/>
              </w:rPr>
            </w:pPr>
            <w:r>
              <w:rPr>
                <w:rFonts w:hint="eastAsia" w:ascii="微软雅黑" w:hAnsi="微软雅黑" w:eastAsia="微软雅黑" w:cs="微软雅黑"/>
                <w:b/>
                <w:color w:val="000000"/>
                <w:sz w:val="18"/>
                <w:szCs w:val="18"/>
              </w:rPr>
              <w:t xml:space="preserve">系统软件</w:t>
            </w:r>
            <w:r>
              <w:rPr>
                <w:rFonts w:ascii="微软雅黑" w:hAnsi="微软雅黑" w:eastAsia="微软雅黑" w:cs="微软雅黑"/>
                <w:b/>
                <w:color w:val="000000"/>
                <w:sz w:val="18"/>
                <w:szCs w:val="18"/>
              </w:rPr>
            </w:r>
            <w:r/>
          </w:p>
        </w:tc>
        <w:tc>
          <w:tcPr>
            <w:shd w:val="clear" w:color="auto" w:fill="92d050"/>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rPr>
                <w:rFonts w:ascii="微软雅黑" w:hAnsi="微软雅黑" w:eastAsia="微软雅黑" w:cs="微软雅黑"/>
                <w:b/>
                <w:color w:val="000000"/>
                <w:sz w:val="18"/>
                <w:szCs w:val="18"/>
              </w:rPr>
            </w:pPr>
            <w:r>
              <w:rPr>
                <w:rFonts w:ascii="微软雅黑" w:hAnsi="微软雅黑" w:eastAsia="微软雅黑" w:cs="微软雅黑"/>
                <w:b/>
                <w:color w:val="000000"/>
                <w:sz w:val="18"/>
                <w:szCs w:val="18"/>
              </w:rPr>
            </w:r>
            <w:r/>
          </w:p>
        </w:tc>
        <w:tc>
          <w:tcPr>
            <w:shd w:val="clear" w:color="auto" w:fill="92d050"/>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left"/>
              <w:rPr>
                <w:rFonts w:ascii="微软雅黑" w:hAnsi="微软雅黑" w:eastAsia="微软雅黑" w:cs="微软雅黑"/>
                <w:b/>
                <w:color w:val="000000"/>
                <w:sz w:val="18"/>
                <w:szCs w:val="18"/>
              </w:rPr>
            </w:pPr>
            <w:r>
              <w:rPr>
                <w:rFonts w:ascii="微软雅黑" w:hAnsi="微软雅黑" w:eastAsia="微软雅黑" w:cs="微软雅黑"/>
                <w:b/>
                <w:color w:val="000000"/>
                <w:sz w:val="18"/>
                <w:szCs w:val="18"/>
              </w:rPr>
            </w:r>
            <w:r/>
          </w:p>
        </w:tc>
      </w:tr>
      <w:tr>
        <w:trPr>
          <w:trHeight w:val="53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操作系统（Windows Server 2012 R2 标准版）</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套</w:t>
            </w:r>
            <w:r>
              <w:rPr>
                <w:rFonts w:ascii="微软雅黑" w:hAnsi="微软雅黑" w:eastAsia="微软雅黑" w:cs="微软雅黑"/>
                <w:color w:val="000000"/>
                <w:sz w:val="18"/>
                <w:szCs w:val="18"/>
              </w:rPr>
            </w:r>
            <w:r/>
          </w:p>
        </w:tc>
      </w:tr>
      <w:tr>
        <w:trPr>
          <w:trHeight w:val="660"/>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1.2</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操作系统（SUSE Linux Enterprise Server 12）</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套</w:t>
            </w:r>
            <w:r>
              <w:rPr>
                <w:rFonts w:ascii="微软雅黑" w:hAnsi="微软雅黑" w:eastAsia="微软雅黑" w:cs="微软雅黑"/>
                <w:color w:val="000000"/>
                <w:sz w:val="18"/>
                <w:szCs w:val="18"/>
              </w:rPr>
            </w:r>
            <w:r/>
          </w:p>
        </w:tc>
      </w:tr>
      <w:tr>
        <w:trPr>
          <w:trHeight w:val="31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1.3</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数据库</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套</w:t>
            </w:r>
            <w:r>
              <w:rPr>
                <w:rFonts w:ascii="微软雅黑" w:hAnsi="微软雅黑" w:eastAsia="微软雅黑" w:cs="微软雅黑"/>
                <w:color w:val="000000"/>
                <w:sz w:val="18"/>
                <w:szCs w:val="18"/>
              </w:rPr>
            </w:r>
            <w:r/>
          </w:p>
        </w:tc>
      </w:tr>
      <w:tr>
        <w:trPr>
          <w:trHeight w:val="53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1.4</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地理信息系统软件</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套</w:t>
            </w:r>
            <w:r>
              <w:rPr>
                <w:rFonts w:ascii="微软雅黑" w:hAnsi="微软雅黑" w:eastAsia="微软雅黑" w:cs="微软雅黑"/>
                <w:color w:val="000000"/>
                <w:sz w:val="18"/>
                <w:szCs w:val="18"/>
              </w:rPr>
            </w:r>
            <w:r/>
          </w:p>
        </w:tc>
      </w:tr>
      <w:tr>
        <w:trPr>
          <w:trHeight w:val="53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1.5</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大数据开发平台</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套</w:t>
            </w:r>
            <w:r>
              <w:rPr>
                <w:rFonts w:ascii="微软雅黑" w:hAnsi="微软雅黑" w:eastAsia="微软雅黑" w:cs="微软雅黑"/>
                <w:color w:val="000000"/>
                <w:sz w:val="18"/>
                <w:szCs w:val="18"/>
              </w:rPr>
            </w:r>
            <w:r/>
          </w:p>
        </w:tc>
      </w:tr>
      <w:tr>
        <w:trPr>
          <w:trHeight w:val="53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1.6</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报表工具</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套</w:t>
            </w:r>
            <w:r>
              <w:rPr>
                <w:rFonts w:ascii="微软雅黑" w:hAnsi="微软雅黑" w:eastAsia="微软雅黑" w:cs="微软雅黑"/>
                <w:color w:val="000000"/>
                <w:sz w:val="18"/>
                <w:szCs w:val="18"/>
              </w:rPr>
            </w:r>
            <w:r/>
          </w:p>
        </w:tc>
      </w:tr>
      <w:tr>
        <w:trPr>
          <w:trHeight w:val="315"/>
        </w:trPr>
        <w:tc>
          <w:tcPr>
            <w:shd w:val="clear" w:color="auto" w:fill="92d050"/>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b/>
                <w:color w:val="000000"/>
                <w:sz w:val="18"/>
                <w:szCs w:val="18"/>
              </w:rPr>
            </w:pPr>
            <w:r>
              <w:rPr>
                <w:rFonts w:hint="eastAsia" w:ascii="微软雅黑" w:hAnsi="微软雅黑" w:eastAsia="微软雅黑" w:cs="微软雅黑"/>
                <w:b/>
                <w:color w:val="000000"/>
                <w:sz w:val="18"/>
                <w:szCs w:val="18"/>
              </w:rPr>
              <w:t xml:space="preserve">2</w:t>
            </w:r>
            <w:r>
              <w:rPr>
                <w:rFonts w:ascii="微软雅黑" w:hAnsi="微软雅黑" w:eastAsia="微软雅黑" w:cs="微软雅黑"/>
                <w:b/>
                <w:color w:val="000000"/>
                <w:sz w:val="18"/>
                <w:szCs w:val="18"/>
              </w:rPr>
            </w:r>
            <w:r/>
          </w:p>
        </w:tc>
        <w:tc>
          <w:tcPr>
            <w:shd w:val="clear" w:color="auto" w:fill="92d050"/>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b/>
                <w:color w:val="000000"/>
                <w:sz w:val="18"/>
                <w:szCs w:val="18"/>
              </w:rPr>
            </w:pPr>
            <w:r>
              <w:rPr>
                <w:rFonts w:hint="eastAsia" w:ascii="微软雅黑" w:hAnsi="微软雅黑" w:eastAsia="微软雅黑" w:cs="微软雅黑"/>
                <w:b/>
                <w:color w:val="000000"/>
                <w:sz w:val="18"/>
                <w:szCs w:val="18"/>
              </w:rPr>
              <w:t xml:space="preserve">环境信息化应用软件</w:t>
            </w:r>
            <w:r>
              <w:rPr>
                <w:rFonts w:ascii="微软雅黑" w:hAnsi="微软雅黑" w:eastAsia="微软雅黑" w:cs="微软雅黑"/>
                <w:b/>
                <w:color w:val="000000"/>
                <w:sz w:val="18"/>
                <w:szCs w:val="18"/>
              </w:rPr>
            </w:r>
            <w:r/>
          </w:p>
        </w:tc>
        <w:tc>
          <w:tcPr>
            <w:shd w:val="clear" w:color="auto" w:fill="92d050"/>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shd w:val="clear" w:color="auto" w:fill="92d050"/>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r>
      <w:tr>
        <w:trPr>
          <w:trHeight w:val="31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b/>
                <w:color w:val="000000"/>
                <w:sz w:val="18"/>
                <w:szCs w:val="18"/>
              </w:rPr>
            </w:pPr>
            <w:r>
              <w:rPr>
                <w:rFonts w:hint="eastAsia" w:ascii="微软雅黑" w:hAnsi="微软雅黑" w:eastAsia="微软雅黑" w:cs="微软雅黑"/>
                <w:b/>
                <w:color w:val="000000"/>
                <w:sz w:val="18"/>
                <w:szCs w:val="18"/>
              </w:rPr>
              <w:t xml:space="preserve">2.1</w:t>
            </w:r>
            <w:r>
              <w:rPr>
                <w:rFonts w:ascii="微软雅黑" w:hAnsi="微软雅黑" w:eastAsia="微软雅黑" w:cs="微软雅黑"/>
                <w:b/>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b/>
                <w:color w:val="000000"/>
                <w:sz w:val="18"/>
                <w:szCs w:val="18"/>
              </w:rPr>
            </w:pPr>
            <w:r>
              <w:rPr>
                <w:rFonts w:hint="eastAsia" w:ascii="微软雅黑" w:hAnsi="微软雅黑" w:eastAsia="微软雅黑" w:cs="微软雅黑"/>
                <w:b/>
                <w:color w:val="000000"/>
                <w:sz w:val="18"/>
                <w:szCs w:val="18"/>
              </w:rPr>
              <w:t xml:space="preserve">大数据平台</w:t>
            </w:r>
            <w:r>
              <w:rPr>
                <w:rFonts w:ascii="微软雅黑" w:hAnsi="微软雅黑" w:eastAsia="微软雅黑" w:cs="微软雅黑"/>
                <w:b/>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r>
      <w:tr>
        <w:trPr>
          <w:trHeight w:val="53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b/>
                <w:color w:val="000000"/>
                <w:sz w:val="18"/>
                <w:szCs w:val="18"/>
              </w:rPr>
            </w:pPr>
            <w:r>
              <w:rPr>
                <w:rFonts w:hint="eastAsia" w:ascii="微软雅黑" w:hAnsi="微软雅黑" w:eastAsia="微软雅黑" w:cs="微软雅黑"/>
                <w:b/>
                <w:color w:val="000000"/>
                <w:sz w:val="18"/>
                <w:szCs w:val="18"/>
              </w:rPr>
              <w:t xml:space="preserve">2.1.1</w:t>
            </w:r>
            <w:r>
              <w:rPr>
                <w:rFonts w:ascii="微软雅黑" w:hAnsi="微软雅黑" w:eastAsia="微软雅黑" w:cs="微软雅黑"/>
                <w:b/>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b/>
                <w:color w:val="000000"/>
                <w:sz w:val="18"/>
                <w:szCs w:val="18"/>
              </w:rPr>
            </w:pPr>
            <w:r>
              <w:rPr>
                <w:rFonts w:hint="eastAsia" w:ascii="微软雅黑" w:hAnsi="微软雅黑" w:eastAsia="微软雅黑" w:cs="微软雅黑"/>
                <w:b/>
                <w:color w:val="000000"/>
                <w:sz w:val="18"/>
                <w:szCs w:val="18"/>
              </w:rPr>
              <w:t xml:space="preserve">环境数据资源中心升级</w:t>
            </w:r>
            <w:r>
              <w:rPr>
                <w:rFonts w:ascii="微软雅黑" w:hAnsi="微软雅黑" w:eastAsia="微软雅黑" w:cs="微软雅黑"/>
                <w:b/>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套</w:t>
            </w:r>
            <w:r>
              <w:rPr>
                <w:rFonts w:ascii="微软雅黑" w:hAnsi="微软雅黑" w:eastAsia="微软雅黑" w:cs="微软雅黑"/>
                <w:color w:val="000000"/>
                <w:sz w:val="18"/>
                <w:szCs w:val="18"/>
              </w:rPr>
            </w:r>
            <w:r/>
          </w:p>
        </w:tc>
      </w:tr>
      <w:tr>
        <w:trPr>
          <w:trHeight w:val="31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b/>
                <w:color w:val="000000"/>
                <w:sz w:val="18"/>
                <w:szCs w:val="18"/>
              </w:rPr>
            </w:pPr>
            <w:r>
              <w:rPr>
                <w:rFonts w:hint="eastAsia" w:ascii="微软雅黑" w:hAnsi="微软雅黑" w:eastAsia="微软雅黑" w:cs="微软雅黑"/>
                <w:b/>
                <w:color w:val="000000"/>
                <w:sz w:val="18"/>
                <w:szCs w:val="18"/>
              </w:rPr>
              <w:t xml:space="preserve">2.1.2</w:t>
            </w:r>
            <w:r>
              <w:rPr>
                <w:rFonts w:ascii="微软雅黑" w:hAnsi="微软雅黑" w:eastAsia="微软雅黑" w:cs="微软雅黑"/>
                <w:b/>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b/>
                <w:color w:val="000000"/>
                <w:sz w:val="18"/>
                <w:szCs w:val="18"/>
              </w:rPr>
            </w:pPr>
            <w:r>
              <w:rPr>
                <w:rFonts w:hint="eastAsia" w:ascii="微软雅黑" w:hAnsi="微软雅黑" w:eastAsia="微软雅黑" w:cs="微软雅黑"/>
                <w:b/>
                <w:color w:val="000000"/>
                <w:sz w:val="18"/>
                <w:szCs w:val="18"/>
              </w:rPr>
              <w:t xml:space="preserve">大数据支撑平台</w:t>
            </w:r>
            <w:r>
              <w:rPr>
                <w:rFonts w:ascii="微软雅黑" w:hAnsi="微软雅黑" w:eastAsia="微软雅黑" w:cs="微软雅黑"/>
                <w:b/>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r>
      <w:tr>
        <w:trPr>
          <w:trHeight w:val="53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2.1.2.1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大数据计算分析支撑</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套</w:t>
            </w:r>
            <w:r>
              <w:rPr>
                <w:rFonts w:ascii="微软雅黑" w:hAnsi="微软雅黑" w:eastAsia="微软雅黑" w:cs="微软雅黑"/>
                <w:color w:val="000000"/>
                <w:sz w:val="18"/>
                <w:szCs w:val="18"/>
              </w:rPr>
            </w:r>
            <w:r/>
          </w:p>
        </w:tc>
      </w:tr>
      <w:tr>
        <w:trPr>
          <w:trHeight w:val="53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2.1.2.2</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大数据应用支撑服务</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套</w:t>
            </w:r>
            <w:r>
              <w:rPr>
                <w:rFonts w:ascii="微软雅黑" w:hAnsi="微软雅黑" w:eastAsia="微软雅黑" w:cs="微软雅黑"/>
                <w:color w:val="000000"/>
                <w:sz w:val="18"/>
                <w:szCs w:val="18"/>
              </w:rPr>
            </w:r>
            <w:r/>
          </w:p>
        </w:tc>
      </w:tr>
      <w:tr>
        <w:trPr>
          <w:trHeight w:val="53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2.1.2.3</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数据集成系统</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套</w:t>
            </w:r>
            <w:r>
              <w:rPr>
                <w:rFonts w:ascii="微软雅黑" w:hAnsi="微软雅黑" w:eastAsia="微软雅黑" w:cs="微软雅黑"/>
                <w:color w:val="000000"/>
                <w:sz w:val="18"/>
                <w:szCs w:val="18"/>
              </w:rPr>
            </w:r>
            <w:r/>
          </w:p>
        </w:tc>
      </w:tr>
      <w:tr>
        <w:trPr>
          <w:trHeight w:val="53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2.1.2.4</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数据组织系统</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套</w:t>
            </w:r>
            <w:r>
              <w:rPr>
                <w:rFonts w:ascii="微软雅黑" w:hAnsi="微软雅黑" w:eastAsia="微软雅黑" w:cs="微软雅黑"/>
                <w:color w:val="000000"/>
                <w:sz w:val="18"/>
                <w:szCs w:val="18"/>
              </w:rPr>
            </w:r>
            <w:r/>
          </w:p>
        </w:tc>
      </w:tr>
      <w:tr>
        <w:trPr>
          <w:trHeight w:val="53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2.1.2.5</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数据治理系统</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套</w:t>
            </w:r>
            <w:r>
              <w:rPr>
                <w:rFonts w:ascii="微软雅黑" w:hAnsi="微软雅黑" w:eastAsia="微软雅黑" w:cs="微软雅黑"/>
                <w:color w:val="000000"/>
                <w:sz w:val="18"/>
                <w:szCs w:val="18"/>
              </w:rPr>
            </w:r>
            <w:r/>
          </w:p>
        </w:tc>
      </w:tr>
      <w:tr>
        <w:trPr>
          <w:trHeight w:val="53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2.1.2.6</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数据资源目录</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套</w:t>
            </w:r>
            <w:r>
              <w:rPr>
                <w:rFonts w:ascii="微软雅黑" w:hAnsi="微软雅黑" w:eastAsia="微软雅黑" w:cs="微软雅黑"/>
                <w:color w:val="000000"/>
                <w:sz w:val="18"/>
                <w:szCs w:val="18"/>
              </w:rPr>
            </w:r>
            <w:r/>
          </w:p>
        </w:tc>
      </w:tr>
      <w:tr>
        <w:trPr>
          <w:trHeight w:val="53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2.1.2.7</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资源评估系统</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套</w:t>
            </w:r>
            <w:r>
              <w:rPr>
                <w:rFonts w:ascii="微软雅黑" w:hAnsi="微软雅黑" w:eastAsia="微软雅黑" w:cs="微软雅黑"/>
                <w:color w:val="000000"/>
                <w:sz w:val="18"/>
                <w:szCs w:val="18"/>
              </w:rPr>
            </w:r>
            <w:r/>
          </w:p>
        </w:tc>
      </w:tr>
      <w:tr>
        <w:trPr>
          <w:trHeight w:val="53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2.1.2.8</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监控管理系统</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套</w:t>
            </w:r>
            <w:r>
              <w:rPr>
                <w:rFonts w:ascii="微软雅黑" w:hAnsi="微软雅黑" w:eastAsia="微软雅黑" w:cs="微软雅黑"/>
                <w:color w:val="000000"/>
                <w:sz w:val="18"/>
                <w:szCs w:val="18"/>
              </w:rPr>
            </w:r>
            <w:r/>
          </w:p>
        </w:tc>
      </w:tr>
      <w:tr>
        <w:trPr>
          <w:trHeight w:val="31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b/>
                <w:color w:val="000000"/>
                <w:sz w:val="18"/>
                <w:szCs w:val="18"/>
              </w:rPr>
            </w:pPr>
            <w:r>
              <w:rPr>
                <w:rFonts w:hint="eastAsia" w:ascii="微软雅黑" w:hAnsi="微软雅黑" w:eastAsia="微软雅黑" w:cs="微软雅黑"/>
                <w:b/>
                <w:color w:val="000000"/>
                <w:sz w:val="18"/>
                <w:szCs w:val="18"/>
              </w:rPr>
              <w:t xml:space="preserve">2.2</w:t>
            </w:r>
            <w:r>
              <w:rPr>
                <w:rFonts w:ascii="微软雅黑" w:hAnsi="微软雅黑" w:eastAsia="微软雅黑" w:cs="微软雅黑"/>
                <w:b/>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b/>
                <w:color w:val="000000"/>
                <w:sz w:val="18"/>
                <w:szCs w:val="18"/>
              </w:rPr>
            </w:pPr>
            <w:r>
              <w:rPr>
                <w:rFonts w:hint="eastAsia" w:ascii="微软雅黑" w:hAnsi="微软雅黑" w:eastAsia="微软雅黑" w:cs="微软雅黑"/>
                <w:b/>
                <w:color w:val="000000"/>
                <w:sz w:val="18"/>
                <w:szCs w:val="18"/>
              </w:rPr>
              <w:t xml:space="preserve">场景化业务综合应用</w:t>
            </w:r>
            <w:r>
              <w:rPr>
                <w:rFonts w:ascii="微软雅黑" w:hAnsi="微软雅黑" w:eastAsia="微软雅黑" w:cs="微软雅黑"/>
                <w:b/>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r>
      <w:tr>
        <w:trPr>
          <w:trHeight w:val="31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b/>
                <w:color w:val="000000"/>
                <w:sz w:val="18"/>
                <w:szCs w:val="18"/>
              </w:rPr>
            </w:pPr>
            <w:r>
              <w:rPr>
                <w:rFonts w:hint="eastAsia" w:ascii="微软雅黑" w:hAnsi="微软雅黑" w:eastAsia="微软雅黑" w:cs="微软雅黑"/>
                <w:b/>
                <w:color w:val="000000"/>
                <w:sz w:val="18"/>
                <w:szCs w:val="18"/>
              </w:rPr>
              <w:t xml:space="preserve">2.2.1</w:t>
            </w:r>
            <w:r>
              <w:rPr>
                <w:rFonts w:ascii="微软雅黑" w:hAnsi="微软雅黑" w:eastAsia="微软雅黑" w:cs="微软雅黑"/>
                <w:b/>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b/>
                <w:color w:val="000000"/>
                <w:sz w:val="18"/>
                <w:szCs w:val="18"/>
              </w:rPr>
            </w:pPr>
            <w:r>
              <w:rPr>
                <w:rFonts w:hint="eastAsia" w:ascii="微软雅黑" w:hAnsi="微软雅黑" w:eastAsia="微软雅黑" w:cs="微软雅黑"/>
                <w:b/>
                <w:color w:val="000000"/>
                <w:sz w:val="18"/>
                <w:szCs w:val="18"/>
              </w:rPr>
              <w:t xml:space="preserve">大气环境综合管理平台</w:t>
            </w:r>
            <w:r>
              <w:rPr>
                <w:rFonts w:ascii="微软雅黑" w:hAnsi="微软雅黑" w:eastAsia="微软雅黑" w:cs="微软雅黑"/>
                <w:b/>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r>
      <w:tr>
        <w:trPr>
          <w:trHeight w:val="53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2.2.1.1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空气质量在线监测系统</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套</w:t>
            </w:r>
            <w:r>
              <w:rPr>
                <w:rFonts w:ascii="微软雅黑" w:hAnsi="微软雅黑" w:eastAsia="微软雅黑" w:cs="微软雅黑"/>
                <w:color w:val="000000"/>
                <w:sz w:val="18"/>
                <w:szCs w:val="18"/>
              </w:rPr>
            </w:r>
            <w:r/>
          </w:p>
        </w:tc>
      </w:tr>
      <w:tr>
        <w:trPr>
          <w:trHeight w:val="53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2.2.1.2</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VOCs环境走航监测管理系统</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套</w:t>
            </w:r>
            <w:r>
              <w:rPr>
                <w:rFonts w:ascii="微软雅黑" w:hAnsi="微软雅黑" w:eastAsia="微软雅黑" w:cs="微软雅黑"/>
                <w:color w:val="000000"/>
                <w:sz w:val="18"/>
                <w:szCs w:val="18"/>
              </w:rPr>
            </w:r>
            <w:r/>
          </w:p>
        </w:tc>
      </w:tr>
      <w:tr>
        <w:trPr>
          <w:trHeight w:val="53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2.2.1.3</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移动式颗粒物激光雷达扫描仪监测管理系统</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套</w:t>
            </w:r>
            <w:r>
              <w:rPr>
                <w:rFonts w:ascii="微软雅黑" w:hAnsi="微软雅黑" w:eastAsia="微软雅黑" w:cs="微软雅黑"/>
                <w:color w:val="000000"/>
                <w:sz w:val="18"/>
                <w:szCs w:val="18"/>
              </w:rPr>
            </w:r>
            <w:r/>
          </w:p>
        </w:tc>
      </w:tr>
      <w:tr>
        <w:trPr>
          <w:trHeight w:val="53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2.2.1.4</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餐饮油烟在线监控系统</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套</w:t>
            </w:r>
            <w:r>
              <w:rPr>
                <w:rFonts w:ascii="微软雅黑" w:hAnsi="微软雅黑" w:eastAsia="微软雅黑" w:cs="微软雅黑"/>
                <w:color w:val="000000"/>
                <w:sz w:val="18"/>
                <w:szCs w:val="18"/>
              </w:rPr>
            </w:r>
            <w:r/>
          </w:p>
        </w:tc>
      </w:tr>
      <w:tr>
        <w:trPr>
          <w:trHeight w:val="53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2.2.1.5</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空气质量分析系统</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套</w:t>
            </w:r>
            <w:r>
              <w:rPr>
                <w:rFonts w:ascii="微软雅黑" w:hAnsi="微软雅黑" w:eastAsia="微软雅黑" w:cs="微软雅黑"/>
                <w:color w:val="000000"/>
                <w:sz w:val="18"/>
                <w:szCs w:val="18"/>
              </w:rPr>
            </w:r>
            <w:r/>
          </w:p>
        </w:tc>
      </w:tr>
      <w:tr>
        <w:trPr>
          <w:trHeight w:val="53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2.2.1.6</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颗粒物动态溯源解析系统</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套</w:t>
            </w:r>
            <w:r>
              <w:rPr>
                <w:rFonts w:ascii="微软雅黑" w:hAnsi="微软雅黑" w:eastAsia="微软雅黑" w:cs="微软雅黑"/>
                <w:color w:val="000000"/>
                <w:sz w:val="18"/>
                <w:szCs w:val="18"/>
              </w:rPr>
            </w:r>
            <w:r/>
          </w:p>
        </w:tc>
      </w:tr>
      <w:tr>
        <w:trPr>
          <w:trHeight w:val="53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2.2.1.7</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臭氧动态溯源解析系统</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套</w:t>
            </w:r>
            <w:r>
              <w:rPr>
                <w:rFonts w:ascii="微软雅黑" w:hAnsi="微软雅黑" w:eastAsia="微软雅黑" w:cs="微软雅黑"/>
                <w:color w:val="000000"/>
                <w:sz w:val="18"/>
                <w:szCs w:val="18"/>
              </w:rPr>
            </w:r>
            <w:r/>
          </w:p>
        </w:tc>
      </w:tr>
      <w:tr>
        <w:trPr>
          <w:trHeight w:val="31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b/>
                <w:color w:val="000000"/>
                <w:sz w:val="18"/>
                <w:szCs w:val="18"/>
              </w:rPr>
            </w:pPr>
            <w:r>
              <w:rPr>
                <w:rFonts w:hint="eastAsia" w:ascii="微软雅黑" w:hAnsi="微软雅黑" w:eastAsia="微软雅黑" w:cs="微软雅黑"/>
                <w:b/>
                <w:color w:val="000000"/>
                <w:sz w:val="18"/>
                <w:szCs w:val="18"/>
              </w:rPr>
              <w:t xml:space="preserve">2.2.2</w:t>
            </w:r>
            <w:r>
              <w:rPr>
                <w:rFonts w:ascii="微软雅黑" w:hAnsi="微软雅黑" w:eastAsia="微软雅黑" w:cs="微软雅黑"/>
                <w:b/>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b/>
                <w:color w:val="000000"/>
                <w:sz w:val="18"/>
                <w:szCs w:val="18"/>
              </w:rPr>
            </w:pPr>
            <w:r>
              <w:rPr>
                <w:rFonts w:hint="eastAsia" w:ascii="微软雅黑" w:hAnsi="微软雅黑" w:eastAsia="微软雅黑" w:cs="微软雅黑"/>
                <w:b/>
                <w:color w:val="000000"/>
                <w:sz w:val="18"/>
                <w:szCs w:val="18"/>
              </w:rPr>
              <w:t xml:space="preserve">机动车环境综合管理平台</w:t>
            </w:r>
            <w:r>
              <w:rPr>
                <w:rFonts w:ascii="微软雅黑" w:hAnsi="微软雅黑" w:eastAsia="微软雅黑" w:cs="微软雅黑"/>
                <w:b/>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r>
      <w:tr>
        <w:trPr>
          <w:trHeight w:val="53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2.2.2.1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油气回收监控系统</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套</w:t>
            </w:r>
            <w:r>
              <w:rPr>
                <w:rFonts w:ascii="微软雅黑" w:hAnsi="微软雅黑" w:eastAsia="微软雅黑" w:cs="微软雅黑"/>
                <w:color w:val="000000"/>
                <w:sz w:val="18"/>
                <w:szCs w:val="18"/>
              </w:rPr>
            </w:r>
            <w:r/>
          </w:p>
        </w:tc>
      </w:tr>
      <w:tr>
        <w:trPr>
          <w:trHeight w:val="53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2.2.2.3</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柴油车排放在线监控系统</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套</w:t>
            </w:r>
            <w:r>
              <w:rPr>
                <w:rFonts w:ascii="微软雅黑" w:hAnsi="微软雅黑" w:eastAsia="微软雅黑" w:cs="微软雅黑"/>
                <w:color w:val="000000"/>
                <w:sz w:val="18"/>
                <w:szCs w:val="18"/>
              </w:rPr>
            </w:r>
            <w:r/>
          </w:p>
        </w:tc>
      </w:tr>
      <w:tr>
        <w:trPr>
          <w:trHeight w:val="53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2.2.2.4</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机动车检测防作弊管理系统</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套</w:t>
            </w:r>
            <w:r>
              <w:rPr>
                <w:rFonts w:ascii="微软雅黑" w:hAnsi="微软雅黑" w:eastAsia="微软雅黑" w:cs="微软雅黑"/>
                <w:color w:val="000000"/>
                <w:sz w:val="18"/>
                <w:szCs w:val="18"/>
              </w:rPr>
            </w:r>
            <w:r/>
          </w:p>
        </w:tc>
      </w:tr>
      <w:tr>
        <w:trPr>
          <w:trHeight w:val="53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2.2.2.6</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非道路移动机械监管系统</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套</w:t>
            </w:r>
            <w:r>
              <w:rPr>
                <w:rFonts w:ascii="微软雅黑" w:hAnsi="微软雅黑" w:eastAsia="微软雅黑" w:cs="微软雅黑"/>
                <w:color w:val="000000"/>
                <w:sz w:val="18"/>
                <w:szCs w:val="18"/>
              </w:rPr>
            </w:r>
            <w:r/>
          </w:p>
        </w:tc>
      </w:tr>
      <w:tr>
        <w:trPr>
          <w:trHeight w:val="31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b/>
                <w:color w:val="000000"/>
                <w:sz w:val="18"/>
                <w:szCs w:val="18"/>
              </w:rPr>
            </w:pPr>
            <w:r>
              <w:rPr>
                <w:rFonts w:hint="eastAsia" w:ascii="微软雅黑" w:hAnsi="微软雅黑" w:eastAsia="微软雅黑" w:cs="微软雅黑"/>
                <w:b/>
                <w:color w:val="000000"/>
                <w:sz w:val="18"/>
                <w:szCs w:val="18"/>
              </w:rPr>
              <w:t xml:space="preserve">2.2.3</w:t>
            </w:r>
            <w:r>
              <w:rPr>
                <w:rFonts w:ascii="微软雅黑" w:hAnsi="微软雅黑" w:eastAsia="微软雅黑" w:cs="微软雅黑"/>
                <w:b/>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b/>
                <w:color w:val="000000"/>
                <w:sz w:val="18"/>
                <w:szCs w:val="18"/>
              </w:rPr>
            </w:pPr>
            <w:r>
              <w:rPr>
                <w:rFonts w:hint="eastAsia" w:ascii="微软雅黑" w:hAnsi="微软雅黑" w:eastAsia="微软雅黑" w:cs="微软雅黑"/>
                <w:b/>
                <w:color w:val="000000"/>
                <w:sz w:val="18"/>
                <w:szCs w:val="18"/>
              </w:rPr>
              <w:t xml:space="preserve">水环境综合管理平台</w:t>
            </w:r>
            <w:r>
              <w:rPr>
                <w:rFonts w:ascii="微软雅黑" w:hAnsi="微软雅黑" w:eastAsia="微软雅黑" w:cs="微软雅黑"/>
                <w:b/>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r>
      <w:tr>
        <w:trPr>
          <w:trHeight w:val="53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2.2.3.1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环境水监测系统</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套</w:t>
            </w:r>
            <w:r>
              <w:rPr>
                <w:rFonts w:ascii="微软雅黑" w:hAnsi="微软雅黑" w:eastAsia="微软雅黑" w:cs="微软雅黑"/>
                <w:color w:val="000000"/>
                <w:sz w:val="18"/>
                <w:szCs w:val="18"/>
              </w:rPr>
            </w:r>
            <w:r/>
          </w:p>
        </w:tc>
      </w:tr>
      <w:tr>
        <w:trPr>
          <w:trHeight w:val="53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2.2.3.2</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环境水质量分析系统</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套</w:t>
            </w:r>
            <w:r>
              <w:rPr>
                <w:rFonts w:ascii="微软雅黑" w:hAnsi="微软雅黑" w:eastAsia="微软雅黑" w:cs="微软雅黑"/>
                <w:color w:val="000000"/>
                <w:sz w:val="18"/>
                <w:szCs w:val="18"/>
              </w:rPr>
            </w:r>
            <w:r/>
          </w:p>
        </w:tc>
      </w:tr>
      <w:tr>
        <w:trPr>
          <w:trHeight w:val="53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2.2.3.3</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河流水质预测预警系统</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套</w:t>
            </w:r>
            <w:r>
              <w:rPr>
                <w:rFonts w:ascii="微软雅黑" w:hAnsi="微软雅黑" w:eastAsia="微软雅黑" w:cs="微软雅黑"/>
                <w:color w:val="000000"/>
                <w:sz w:val="18"/>
                <w:szCs w:val="18"/>
              </w:rPr>
            </w:r>
            <w:r/>
          </w:p>
        </w:tc>
      </w:tr>
      <w:tr>
        <w:trPr>
          <w:trHeight w:val="31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b/>
                <w:color w:val="000000"/>
                <w:sz w:val="18"/>
                <w:szCs w:val="18"/>
              </w:rPr>
            </w:pPr>
            <w:r>
              <w:rPr>
                <w:rFonts w:hint="eastAsia" w:ascii="微软雅黑" w:hAnsi="微软雅黑" w:eastAsia="微软雅黑" w:cs="微软雅黑"/>
                <w:b/>
                <w:color w:val="000000"/>
                <w:sz w:val="18"/>
                <w:szCs w:val="18"/>
              </w:rPr>
              <w:t xml:space="preserve">2.2.4</w:t>
            </w:r>
            <w:r>
              <w:rPr>
                <w:rFonts w:ascii="微软雅黑" w:hAnsi="微软雅黑" w:eastAsia="微软雅黑" w:cs="微软雅黑"/>
                <w:b/>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b/>
                <w:color w:val="000000"/>
                <w:sz w:val="18"/>
                <w:szCs w:val="18"/>
              </w:rPr>
            </w:pPr>
            <w:r>
              <w:rPr>
                <w:rFonts w:hint="eastAsia" w:ascii="微软雅黑" w:hAnsi="微软雅黑" w:eastAsia="微软雅黑" w:cs="微软雅黑"/>
                <w:b/>
                <w:color w:val="000000"/>
                <w:sz w:val="18"/>
                <w:szCs w:val="18"/>
              </w:rPr>
              <w:t xml:space="preserve">污染源综合管理平台</w:t>
            </w:r>
            <w:r>
              <w:rPr>
                <w:rFonts w:ascii="微软雅黑" w:hAnsi="微软雅黑" w:eastAsia="微软雅黑" w:cs="微软雅黑"/>
                <w:b/>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r>
      <w:tr>
        <w:trPr>
          <w:trHeight w:val="53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2.2.4.1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污染源基础信息动态管理系统</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套</w:t>
            </w:r>
            <w:r>
              <w:rPr>
                <w:rFonts w:ascii="微软雅黑" w:hAnsi="微软雅黑" w:eastAsia="微软雅黑" w:cs="微软雅黑"/>
                <w:color w:val="000000"/>
                <w:sz w:val="18"/>
                <w:szCs w:val="18"/>
              </w:rPr>
            </w:r>
            <w:r/>
          </w:p>
        </w:tc>
      </w:tr>
      <w:tr>
        <w:trPr>
          <w:trHeight w:val="31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2.2.4.2</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污染源全过程监控系统</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r>
      <w:tr>
        <w:trPr>
          <w:trHeight w:val="53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2.2.4.2.1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污染源自动监控系统改造</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套</w:t>
            </w:r>
            <w:r>
              <w:rPr>
                <w:rFonts w:ascii="微软雅黑" w:hAnsi="微软雅黑" w:eastAsia="微软雅黑" w:cs="微软雅黑"/>
                <w:color w:val="000000"/>
                <w:sz w:val="18"/>
                <w:szCs w:val="18"/>
              </w:rPr>
            </w:r>
            <w:r/>
          </w:p>
        </w:tc>
      </w:tr>
      <w:tr>
        <w:trPr>
          <w:trHeight w:val="53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2.2.4.2.2</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污染源监测设备动态管控子系统</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套</w:t>
            </w:r>
            <w:r>
              <w:rPr>
                <w:rFonts w:ascii="微软雅黑" w:hAnsi="微软雅黑" w:eastAsia="微软雅黑" w:cs="微软雅黑"/>
                <w:color w:val="000000"/>
                <w:sz w:val="18"/>
                <w:szCs w:val="18"/>
              </w:rPr>
            </w:r>
            <w:r/>
          </w:p>
        </w:tc>
      </w:tr>
      <w:tr>
        <w:trPr>
          <w:trHeight w:val="53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2.2.4.2.3</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污染源工况监控子系统</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套</w:t>
            </w:r>
            <w:r>
              <w:rPr>
                <w:rFonts w:ascii="微软雅黑" w:hAnsi="微软雅黑" w:eastAsia="微软雅黑" w:cs="微软雅黑"/>
                <w:color w:val="000000"/>
                <w:sz w:val="18"/>
                <w:szCs w:val="18"/>
              </w:rPr>
            </w:r>
            <w:r/>
          </w:p>
        </w:tc>
      </w:tr>
      <w:tr>
        <w:trPr>
          <w:trHeight w:val="53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2.2.4.3</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污染源综合分析系统</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套</w:t>
            </w:r>
            <w:r>
              <w:rPr>
                <w:rFonts w:ascii="微软雅黑" w:hAnsi="微软雅黑" w:eastAsia="微软雅黑" w:cs="微软雅黑"/>
                <w:color w:val="000000"/>
                <w:sz w:val="18"/>
                <w:szCs w:val="18"/>
              </w:rPr>
            </w:r>
            <w:r/>
          </w:p>
        </w:tc>
      </w:tr>
      <w:tr>
        <w:trPr>
          <w:trHeight w:val="31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b/>
                <w:color w:val="000000"/>
                <w:sz w:val="18"/>
                <w:szCs w:val="18"/>
              </w:rPr>
            </w:pPr>
            <w:r>
              <w:rPr>
                <w:rFonts w:hint="eastAsia" w:ascii="微软雅黑" w:hAnsi="微软雅黑" w:eastAsia="微软雅黑" w:cs="微软雅黑"/>
                <w:b/>
                <w:color w:val="000000"/>
                <w:sz w:val="18"/>
                <w:szCs w:val="18"/>
              </w:rPr>
              <w:t xml:space="preserve">2.2.5</w:t>
            </w:r>
            <w:r>
              <w:rPr>
                <w:rFonts w:ascii="微软雅黑" w:hAnsi="微软雅黑" w:eastAsia="微软雅黑" w:cs="微软雅黑"/>
                <w:b/>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b/>
                <w:color w:val="000000"/>
                <w:sz w:val="18"/>
                <w:szCs w:val="18"/>
              </w:rPr>
            </w:pPr>
            <w:r>
              <w:rPr>
                <w:rFonts w:hint="eastAsia" w:ascii="微软雅黑" w:hAnsi="微软雅黑" w:eastAsia="微软雅黑" w:cs="微软雅黑"/>
                <w:b/>
                <w:color w:val="000000"/>
                <w:sz w:val="18"/>
                <w:szCs w:val="18"/>
              </w:rPr>
              <w:t xml:space="preserve">工业园区综合管理平台</w:t>
            </w:r>
            <w:r>
              <w:rPr>
                <w:rFonts w:ascii="微软雅黑" w:hAnsi="微软雅黑" w:eastAsia="微软雅黑" w:cs="微软雅黑"/>
                <w:b/>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r>
      <w:tr>
        <w:trPr>
          <w:trHeight w:val="53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2.2.5.1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工业园区监管系统</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套</w:t>
            </w:r>
            <w:r>
              <w:rPr>
                <w:rFonts w:ascii="微软雅黑" w:hAnsi="微软雅黑" w:eastAsia="微软雅黑" w:cs="微软雅黑"/>
                <w:color w:val="000000"/>
                <w:sz w:val="18"/>
                <w:szCs w:val="18"/>
              </w:rPr>
            </w:r>
            <w:r/>
          </w:p>
        </w:tc>
      </w:tr>
      <w:tr>
        <w:trPr>
          <w:trHeight w:val="53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b/>
                <w:color w:val="000000"/>
                <w:sz w:val="18"/>
                <w:szCs w:val="18"/>
              </w:rPr>
            </w:pPr>
            <w:r>
              <w:rPr>
                <w:rFonts w:hint="eastAsia" w:ascii="微软雅黑" w:hAnsi="微软雅黑" w:eastAsia="微软雅黑" w:cs="微软雅黑"/>
                <w:b/>
                <w:color w:val="000000"/>
                <w:sz w:val="18"/>
                <w:szCs w:val="18"/>
              </w:rPr>
              <w:t xml:space="preserve">2.2.6</w:t>
            </w:r>
            <w:r>
              <w:rPr>
                <w:rFonts w:ascii="微软雅黑" w:hAnsi="微软雅黑" w:eastAsia="微软雅黑" w:cs="微软雅黑"/>
                <w:b/>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b/>
                <w:color w:val="000000"/>
                <w:sz w:val="18"/>
                <w:szCs w:val="18"/>
              </w:rPr>
            </w:pPr>
            <w:r>
              <w:rPr>
                <w:rFonts w:hint="eastAsia" w:ascii="微软雅黑" w:hAnsi="微软雅黑" w:eastAsia="微软雅黑" w:cs="微软雅黑"/>
                <w:b/>
                <w:color w:val="000000"/>
                <w:sz w:val="18"/>
                <w:szCs w:val="18"/>
              </w:rPr>
              <w:t xml:space="preserve">土壤环境综合管理平台</w:t>
            </w:r>
            <w:r>
              <w:rPr>
                <w:rFonts w:ascii="微软雅黑" w:hAnsi="微软雅黑" w:eastAsia="微软雅黑" w:cs="微软雅黑"/>
                <w:b/>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套</w:t>
            </w:r>
            <w:r>
              <w:rPr>
                <w:rFonts w:ascii="微软雅黑" w:hAnsi="微软雅黑" w:eastAsia="微软雅黑" w:cs="微软雅黑"/>
                <w:color w:val="000000"/>
                <w:sz w:val="18"/>
                <w:szCs w:val="18"/>
              </w:rPr>
            </w:r>
            <w:r/>
          </w:p>
        </w:tc>
      </w:tr>
      <w:tr>
        <w:trPr>
          <w:trHeight w:val="53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b/>
                <w:color w:val="000000"/>
                <w:sz w:val="18"/>
                <w:szCs w:val="18"/>
              </w:rPr>
            </w:pPr>
            <w:r>
              <w:rPr>
                <w:rFonts w:hint="eastAsia" w:ascii="微软雅黑" w:hAnsi="微软雅黑" w:eastAsia="微软雅黑" w:cs="微软雅黑"/>
                <w:b/>
                <w:color w:val="000000"/>
                <w:sz w:val="18"/>
                <w:szCs w:val="18"/>
              </w:rPr>
              <w:t xml:space="preserve">2.2.8</w:t>
            </w:r>
            <w:r>
              <w:rPr>
                <w:rFonts w:ascii="微软雅黑" w:hAnsi="微软雅黑" w:eastAsia="微软雅黑" w:cs="微软雅黑"/>
                <w:b/>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b/>
                <w:color w:val="000000"/>
                <w:sz w:val="18"/>
                <w:szCs w:val="18"/>
              </w:rPr>
            </w:pPr>
            <w:r>
              <w:rPr>
                <w:rFonts w:hint="eastAsia" w:ascii="微软雅黑" w:hAnsi="微软雅黑" w:eastAsia="微软雅黑" w:cs="微软雅黑"/>
                <w:b/>
                <w:color w:val="000000"/>
                <w:sz w:val="18"/>
                <w:szCs w:val="18"/>
              </w:rPr>
              <w:t xml:space="preserve">噪声综合管理平台</w:t>
            </w:r>
            <w:r>
              <w:rPr>
                <w:rFonts w:ascii="微软雅黑" w:hAnsi="微软雅黑" w:eastAsia="微软雅黑" w:cs="微软雅黑"/>
                <w:b/>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套</w:t>
            </w:r>
            <w:r>
              <w:rPr>
                <w:rFonts w:ascii="微软雅黑" w:hAnsi="微软雅黑" w:eastAsia="微软雅黑" w:cs="微软雅黑"/>
                <w:color w:val="000000"/>
                <w:sz w:val="18"/>
                <w:szCs w:val="18"/>
              </w:rPr>
            </w:r>
            <w:r/>
          </w:p>
        </w:tc>
      </w:tr>
      <w:tr>
        <w:trPr>
          <w:trHeight w:val="31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b/>
                <w:color w:val="000000"/>
                <w:sz w:val="18"/>
                <w:szCs w:val="18"/>
              </w:rPr>
            </w:pPr>
            <w:r>
              <w:rPr>
                <w:rFonts w:hint="eastAsia" w:ascii="微软雅黑" w:hAnsi="微软雅黑" w:eastAsia="微软雅黑" w:cs="微软雅黑"/>
                <w:b/>
                <w:color w:val="000000"/>
                <w:sz w:val="18"/>
                <w:szCs w:val="18"/>
              </w:rPr>
              <w:t xml:space="preserve">2.2.9</w:t>
            </w:r>
            <w:r>
              <w:rPr>
                <w:rFonts w:ascii="微软雅黑" w:hAnsi="微软雅黑" w:eastAsia="微软雅黑" w:cs="微软雅黑"/>
                <w:b/>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b/>
                <w:color w:val="000000"/>
                <w:sz w:val="18"/>
                <w:szCs w:val="18"/>
              </w:rPr>
            </w:pPr>
            <w:r>
              <w:rPr>
                <w:rFonts w:hint="eastAsia" w:ascii="微软雅黑" w:hAnsi="微软雅黑" w:eastAsia="微软雅黑" w:cs="微软雅黑"/>
                <w:b/>
                <w:color w:val="000000"/>
                <w:sz w:val="18"/>
                <w:szCs w:val="18"/>
              </w:rPr>
              <w:t xml:space="preserve">自然生态综合管理平台</w:t>
            </w:r>
            <w:r>
              <w:rPr>
                <w:rFonts w:ascii="微软雅黑" w:hAnsi="微软雅黑" w:eastAsia="微软雅黑" w:cs="微软雅黑"/>
                <w:b/>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r>
      <w:tr>
        <w:trPr>
          <w:trHeight w:val="53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2.2.9.1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生物多样性管理系统</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套</w:t>
            </w:r>
            <w:r>
              <w:rPr>
                <w:rFonts w:ascii="微软雅黑" w:hAnsi="微软雅黑" w:eastAsia="微软雅黑" w:cs="微软雅黑"/>
                <w:color w:val="000000"/>
                <w:sz w:val="18"/>
                <w:szCs w:val="18"/>
              </w:rPr>
            </w:r>
            <w:r/>
          </w:p>
        </w:tc>
      </w:tr>
      <w:tr>
        <w:trPr>
          <w:trHeight w:val="31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b/>
                <w:color w:val="000000"/>
                <w:sz w:val="18"/>
                <w:szCs w:val="18"/>
              </w:rPr>
            </w:pPr>
            <w:r>
              <w:rPr>
                <w:rFonts w:hint="eastAsia" w:ascii="微软雅黑" w:hAnsi="微软雅黑" w:eastAsia="微软雅黑" w:cs="微软雅黑"/>
                <w:b/>
                <w:color w:val="000000"/>
                <w:sz w:val="18"/>
                <w:szCs w:val="18"/>
              </w:rPr>
              <w:t xml:space="preserve">2.2.10</w:t>
            </w:r>
            <w:r>
              <w:rPr>
                <w:rFonts w:ascii="微软雅黑" w:hAnsi="微软雅黑" w:eastAsia="微软雅黑" w:cs="微软雅黑"/>
                <w:b/>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b/>
                <w:color w:val="000000"/>
                <w:sz w:val="18"/>
                <w:szCs w:val="18"/>
              </w:rPr>
            </w:pPr>
            <w:r>
              <w:rPr>
                <w:rFonts w:hint="eastAsia" w:ascii="微软雅黑" w:hAnsi="微软雅黑" w:eastAsia="微软雅黑" w:cs="微软雅黑"/>
                <w:b/>
                <w:color w:val="000000"/>
                <w:sz w:val="18"/>
                <w:szCs w:val="18"/>
              </w:rPr>
              <w:t xml:space="preserve">政务综合管理平台</w:t>
            </w:r>
            <w:r>
              <w:rPr>
                <w:rFonts w:ascii="微软雅黑" w:hAnsi="微软雅黑" w:eastAsia="微软雅黑" w:cs="微软雅黑"/>
                <w:b/>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r>
      <w:tr>
        <w:trPr>
          <w:trHeight w:val="608"/>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2.2.10.1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多源信访管理系统</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套</w:t>
            </w:r>
            <w:r>
              <w:rPr>
                <w:rFonts w:ascii="微软雅黑" w:hAnsi="微软雅黑" w:eastAsia="微软雅黑" w:cs="微软雅黑"/>
                <w:color w:val="000000"/>
                <w:sz w:val="18"/>
                <w:szCs w:val="18"/>
              </w:rPr>
            </w:r>
            <w:r/>
          </w:p>
        </w:tc>
      </w:tr>
      <w:tr>
        <w:trPr>
          <w:trHeight w:val="53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2.2.10.2</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环保专项资金管理系统</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套</w:t>
            </w:r>
            <w:r>
              <w:rPr>
                <w:rFonts w:ascii="微软雅黑" w:hAnsi="微软雅黑" w:eastAsia="微软雅黑" w:cs="微软雅黑"/>
                <w:color w:val="000000"/>
                <w:sz w:val="18"/>
                <w:szCs w:val="18"/>
              </w:rPr>
            </w:r>
            <w:r/>
          </w:p>
        </w:tc>
      </w:tr>
      <w:tr>
        <w:trPr>
          <w:trHeight w:val="53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2.2.10.3</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环保智库系统</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套</w:t>
            </w:r>
            <w:r>
              <w:rPr>
                <w:rFonts w:ascii="微软雅黑" w:hAnsi="微软雅黑" w:eastAsia="微软雅黑" w:cs="微软雅黑"/>
                <w:color w:val="000000"/>
                <w:sz w:val="18"/>
                <w:szCs w:val="18"/>
              </w:rPr>
            </w:r>
            <w:r/>
          </w:p>
        </w:tc>
      </w:tr>
      <w:tr>
        <w:trPr>
          <w:trHeight w:val="31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b/>
                <w:color w:val="000000"/>
                <w:sz w:val="18"/>
                <w:szCs w:val="18"/>
              </w:rPr>
            </w:pPr>
            <w:r>
              <w:rPr>
                <w:rFonts w:hint="eastAsia" w:ascii="微软雅黑" w:hAnsi="微软雅黑" w:eastAsia="微软雅黑" w:cs="微软雅黑"/>
                <w:b/>
                <w:color w:val="000000"/>
                <w:sz w:val="18"/>
                <w:szCs w:val="18"/>
              </w:rPr>
              <w:t xml:space="preserve">2.2.11</w:t>
            </w:r>
            <w:r>
              <w:rPr>
                <w:rFonts w:ascii="微软雅黑" w:hAnsi="微软雅黑" w:eastAsia="微软雅黑" w:cs="微软雅黑"/>
                <w:b/>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b/>
                <w:color w:val="000000"/>
                <w:sz w:val="18"/>
                <w:szCs w:val="18"/>
              </w:rPr>
            </w:pPr>
            <w:r>
              <w:rPr>
                <w:rFonts w:hint="eastAsia" w:ascii="微软雅黑" w:hAnsi="微软雅黑" w:eastAsia="微软雅黑" w:cs="微软雅黑"/>
                <w:b/>
                <w:color w:val="000000"/>
                <w:sz w:val="18"/>
                <w:szCs w:val="18"/>
              </w:rPr>
              <w:t xml:space="preserve">公共服务管理平台</w:t>
            </w:r>
            <w:r>
              <w:rPr>
                <w:rFonts w:ascii="微软雅黑" w:hAnsi="微软雅黑" w:eastAsia="微软雅黑" w:cs="微软雅黑"/>
                <w:b/>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r>
      <w:tr>
        <w:trPr>
          <w:trHeight w:val="53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2.2.11.2</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生态环境综合移动监管APP</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套</w:t>
            </w:r>
            <w:r>
              <w:rPr>
                <w:rFonts w:ascii="微软雅黑" w:hAnsi="微软雅黑" w:eastAsia="微软雅黑" w:cs="微软雅黑"/>
                <w:color w:val="000000"/>
                <w:sz w:val="18"/>
                <w:szCs w:val="18"/>
              </w:rPr>
            </w:r>
            <w:r/>
          </w:p>
        </w:tc>
      </w:tr>
      <w:tr>
        <w:trPr>
          <w:trHeight w:val="53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2.2.11.3</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项目成果多媒体视频</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套</w:t>
            </w:r>
            <w:r>
              <w:rPr>
                <w:rFonts w:ascii="微软雅黑" w:hAnsi="微软雅黑" w:eastAsia="微软雅黑" w:cs="微软雅黑"/>
                <w:color w:val="000000"/>
                <w:sz w:val="18"/>
                <w:szCs w:val="18"/>
              </w:rPr>
            </w:r>
            <w:r/>
          </w:p>
        </w:tc>
      </w:tr>
      <w:tr>
        <w:trPr>
          <w:trHeight w:val="53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2.2.11.5</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排污企业信息申报系统</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套</w:t>
            </w:r>
            <w:r>
              <w:rPr>
                <w:rFonts w:ascii="微软雅黑" w:hAnsi="微软雅黑" w:eastAsia="微软雅黑" w:cs="微软雅黑"/>
                <w:color w:val="000000"/>
                <w:sz w:val="18"/>
                <w:szCs w:val="18"/>
              </w:rPr>
            </w:r>
            <w:r/>
          </w:p>
        </w:tc>
      </w:tr>
      <w:tr>
        <w:trPr>
          <w:trHeight w:val="53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2.2.11.6</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环境质量监控运维管理系统</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套</w:t>
            </w:r>
            <w:r>
              <w:rPr>
                <w:rFonts w:ascii="微软雅黑" w:hAnsi="微软雅黑" w:eastAsia="微软雅黑" w:cs="微软雅黑"/>
                <w:color w:val="000000"/>
                <w:sz w:val="18"/>
                <w:szCs w:val="18"/>
              </w:rPr>
            </w:r>
            <w:r/>
          </w:p>
        </w:tc>
      </w:tr>
      <w:tr>
        <w:trPr>
          <w:trHeight w:val="31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b/>
                <w:color w:val="000000"/>
                <w:sz w:val="18"/>
                <w:szCs w:val="18"/>
              </w:rPr>
            </w:pPr>
            <w:r>
              <w:rPr>
                <w:rFonts w:hint="eastAsia" w:ascii="微软雅黑" w:hAnsi="微软雅黑" w:eastAsia="微软雅黑" w:cs="微软雅黑"/>
                <w:b/>
                <w:color w:val="000000"/>
                <w:sz w:val="18"/>
                <w:szCs w:val="18"/>
              </w:rPr>
              <w:t xml:space="preserve">2.2.12</w:t>
            </w:r>
            <w:r>
              <w:rPr>
                <w:rFonts w:ascii="微软雅黑" w:hAnsi="微软雅黑" w:eastAsia="微软雅黑" w:cs="微软雅黑"/>
                <w:b/>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b/>
                <w:color w:val="000000"/>
                <w:sz w:val="18"/>
                <w:szCs w:val="18"/>
              </w:rPr>
            </w:pPr>
            <w:r>
              <w:rPr>
                <w:rFonts w:hint="eastAsia" w:ascii="微软雅黑" w:hAnsi="微软雅黑" w:eastAsia="微软雅黑" w:cs="微软雅黑"/>
                <w:b/>
                <w:color w:val="000000"/>
                <w:sz w:val="18"/>
                <w:szCs w:val="18"/>
              </w:rPr>
              <w:t xml:space="preserve">应急响应与处置平台</w:t>
            </w:r>
            <w:r>
              <w:rPr>
                <w:rFonts w:ascii="微软雅黑" w:hAnsi="微软雅黑" w:eastAsia="微软雅黑" w:cs="微软雅黑"/>
                <w:b/>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r>
      <w:tr>
        <w:trPr>
          <w:trHeight w:val="53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2.2.12.1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重污染天气企业减排督导系统</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套</w:t>
            </w:r>
            <w:r>
              <w:rPr>
                <w:rFonts w:ascii="微软雅黑" w:hAnsi="微软雅黑" w:eastAsia="微软雅黑" w:cs="微软雅黑"/>
                <w:color w:val="000000"/>
                <w:sz w:val="18"/>
                <w:szCs w:val="18"/>
              </w:rPr>
            </w:r>
            <w:r/>
          </w:p>
        </w:tc>
      </w:tr>
      <w:tr>
        <w:trPr>
          <w:trHeight w:val="53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2.2.12.2</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环境突发事件应急处置系统</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套</w:t>
            </w:r>
            <w:r>
              <w:rPr>
                <w:rFonts w:ascii="微软雅黑" w:hAnsi="微软雅黑" w:eastAsia="微软雅黑" w:cs="微软雅黑"/>
                <w:color w:val="000000"/>
                <w:sz w:val="18"/>
                <w:szCs w:val="18"/>
              </w:rPr>
            </w:r>
            <w:r/>
          </w:p>
        </w:tc>
      </w:tr>
      <w:tr>
        <w:trPr>
          <w:trHeight w:val="31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b/>
                <w:color w:val="000000"/>
                <w:sz w:val="18"/>
                <w:szCs w:val="18"/>
              </w:rPr>
            </w:pPr>
            <w:r>
              <w:rPr>
                <w:rFonts w:hint="eastAsia" w:ascii="微软雅黑" w:hAnsi="微软雅黑" w:eastAsia="微软雅黑" w:cs="微软雅黑"/>
                <w:b/>
                <w:color w:val="000000"/>
                <w:sz w:val="18"/>
                <w:szCs w:val="18"/>
              </w:rPr>
              <w:t xml:space="preserve">2.3</w:t>
            </w:r>
            <w:r>
              <w:rPr>
                <w:rFonts w:ascii="微软雅黑" w:hAnsi="微软雅黑" w:eastAsia="微软雅黑" w:cs="微软雅黑"/>
                <w:b/>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b/>
                <w:color w:val="000000"/>
                <w:sz w:val="18"/>
                <w:szCs w:val="18"/>
              </w:rPr>
            </w:pPr>
            <w:r>
              <w:rPr>
                <w:rFonts w:hint="eastAsia" w:ascii="微软雅黑" w:hAnsi="微软雅黑" w:eastAsia="微软雅黑" w:cs="微软雅黑"/>
                <w:b/>
                <w:color w:val="000000"/>
                <w:sz w:val="18"/>
                <w:szCs w:val="18"/>
              </w:rPr>
              <w:t xml:space="preserve">生态环境大数据应用</w:t>
            </w:r>
            <w:r>
              <w:rPr>
                <w:rFonts w:ascii="微软雅黑" w:hAnsi="微软雅黑" w:eastAsia="微软雅黑" w:cs="微软雅黑"/>
                <w:b/>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r>
      <w:tr>
        <w:trPr>
          <w:trHeight w:val="53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2.3.1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环境智能分析系统</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套</w:t>
            </w:r>
            <w:r>
              <w:rPr>
                <w:rFonts w:ascii="微软雅黑" w:hAnsi="微软雅黑" w:eastAsia="微软雅黑" w:cs="微软雅黑"/>
                <w:color w:val="000000"/>
                <w:sz w:val="18"/>
                <w:szCs w:val="18"/>
              </w:rPr>
            </w:r>
            <w:r/>
          </w:p>
        </w:tc>
      </w:tr>
      <w:tr>
        <w:trPr>
          <w:trHeight w:val="53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2.3.3</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环境物联视觉智能管理与分析系统</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套</w:t>
            </w:r>
            <w:r>
              <w:rPr>
                <w:rFonts w:ascii="微软雅黑" w:hAnsi="微软雅黑" w:eastAsia="微软雅黑" w:cs="微软雅黑"/>
                <w:color w:val="000000"/>
                <w:sz w:val="18"/>
                <w:szCs w:val="18"/>
              </w:rPr>
            </w:r>
            <w:r/>
          </w:p>
        </w:tc>
      </w:tr>
      <w:tr>
        <w:trPr>
          <w:trHeight w:val="53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2.3.4</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无人机应用管理系统</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套</w:t>
            </w:r>
            <w:r>
              <w:rPr>
                <w:rFonts w:ascii="微软雅黑" w:hAnsi="微软雅黑" w:eastAsia="微软雅黑" w:cs="微软雅黑"/>
                <w:color w:val="000000"/>
                <w:sz w:val="18"/>
                <w:szCs w:val="18"/>
              </w:rPr>
            </w:r>
            <w:r/>
          </w:p>
        </w:tc>
      </w:tr>
      <w:tr>
        <w:trPr>
          <w:trHeight w:val="53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2.3.5</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环保大数据搜索系统</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套</w:t>
            </w:r>
            <w:r>
              <w:rPr>
                <w:rFonts w:ascii="微软雅黑" w:hAnsi="微软雅黑" w:eastAsia="微软雅黑" w:cs="微软雅黑"/>
                <w:color w:val="000000"/>
                <w:sz w:val="18"/>
                <w:szCs w:val="18"/>
              </w:rPr>
            </w:r>
            <w:r/>
          </w:p>
        </w:tc>
      </w:tr>
      <w:tr>
        <w:trPr>
          <w:trHeight w:val="53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2.3.6</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环境GIS一张图系统</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套</w:t>
            </w:r>
            <w:r>
              <w:rPr>
                <w:rFonts w:ascii="微软雅黑" w:hAnsi="微软雅黑" w:eastAsia="微软雅黑" w:cs="微软雅黑"/>
                <w:color w:val="000000"/>
                <w:sz w:val="18"/>
                <w:szCs w:val="18"/>
              </w:rPr>
            </w:r>
            <w:r/>
          </w:p>
        </w:tc>
      </w:tr>
      <w:tr>
        <w:trPr>
          <w:trHeight w:val="53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2.3.7</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数据资源共享服务管理系统</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套</w:t>
            </w:r>
            <w:r>
              <w:rPr>
                <w:rFonts w:ascii="微软雅黑" w:hAnsi="微软雅黑" w:eastAsia="微软雅黑" w:cs="微软雅黑"/>
                <w:color w:val="000000"/>
                <w:sz w:val="18"/>
                <w:szCs w:val="18"/>
              </w:rPr>
            </w:r>
            <w:r/>
          </w:p>
        </w:tc>
      </w:tr>
      <w:tr>
        <w:trPr>
          <w:trHeight w:val="31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b/>
                <w:color w:val="000000"/>
                <w:sz w:val="18"/>
                <w:szCs w:val="18"/>
              </w:rPr>
            </w:pPr>
            <w:r>
              <w:rPr>
                <w:rFonts w:hint="eastAsia" w:ascii="微软雅黑" w:hAnsi="微软雅黑" w:eastAsia="微软雅黑" w:cs="微软雅黑"/>
                <w:b/>
                <w:color w:val="000000"/>
                <w:sz w:val="18"/>
                <w:szCs w:val="18"/>
              </w:rPr>
              <w:t xml:space="preserve">2.4</w:t>
            </w:r>
            <w:r>
              <w:rPr>
                <w:rFonts w:ascii="微软雅黑" w:hAnsi="微软雅黑" w:eastAsia="微软雅黑" w:cs="微软雅黑"/>
                <w:b/>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b/>
                <w:color w:val="000000"/>
                <w:sz w:val="18"/>
                <w:szCs w:val="18"/>
              </w:rPr>
            </w:pPr>
            <w:r>
              <w:rPr>
                <w:rFonts w:hint="eastAsia" w:ascii="微软雅黑" w:hAnsi="微软雅黑" w:eastAsia="微软雅黑" w:cs="微软雅黑"/>
                <w:b/>
                <w:color w:val="000000"/>
                <w:sz w:val="18"/>
                <w:szCs w:val="18"/>
              </w:rPr>
              <w:t xml:space="preserve">统一门户</w:t>
            </w:r>
            <w:r>
              <w:rPr>
                <w:rFonts w:ascii="微软雅黑" w:hAnsi="微软雅黑" w:eastAsia="微软雅黑" w:cs="微软雅黑"/>
                <w:b/>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r>
      <w:tr>
        <w:trPr>
          <w:trHeight w:val="535"/>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1344"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2.4.1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3878" w:type="dxa"/>
            <w:vAlign w:val="center"/>
            <w:textDirection w:val="lrTb"/>
            <w:noWrap w:val="false"/>
          </w:tcPr>
          <w:p>
            <w:pPr>
              <w:pStyle w:val="963"/>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环保综合门户</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21"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rPr>
                <w:rFonts w:ascii="微软雅黑" w:hAnsi="微软雅黑" w:eastAsia="微软雅黑" w:cs="微软雅黑"/>
                <w:color w:val="000000"/>
                <w:sz w:val="18"/>
                <w:szCs w:val="18"/>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1578" w:type="dxa"/>
            <w:vAlign w:val="center"/>
            <w:textDirection w:val="lrTb"/>
            <w:noWrap w:val="false"/>
          </w:tcPr>
          <w:p>
            <w:pPr>
              <w:pStyle w:val="963"/>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套</w:t>
            </w:r>
            <w:r>
              <w:rPr>
                <w:rFonts w:ascii="微软雅黑" w:hAnsi="微软雅黑" w:eastAsia="微软雅黑" w:cs="微软雅黑"/>
                <w:color w:val="000000"/>
                <w:sz w:val="18"/>
                <w:szCs w:val="18"/>
              </w:rPr>
            </w:r>
            <w:r/>
          </w:p>
        </w:tc>
      </w:tr>
    </w:tbl>
    <w:p>
      <w:pPr>
        <w:pStyle w:val="963"/>
        <w:ind w:firstLine="480"/>
        <w:spacing w:line="360" w:lineRule="auto"/>
        <w:rPr>
          <w:sz w:val="24"/>
        </w:rPr>
      </w:pPr>
      <w:r>
        <w:rPr>
          <w:sz w:val="24"/>
        </w:rPr>
      </w:r>
      <w:r/>
    </w:p>
    <w:p>
      <w:pPr>
        <w:pStyle w:val="963"/>
        <w:numPr>
          <w:ilvl w:val="0"/>
          <w:numId w:val="48"/>
        </w:numPr>
        <w:ind w:firstLine="480"/>
        <w:spacing w:line="360" w:lineRule="auto"/>
        <w:rPr>
          <w:sz w:val="24"/>
        </w:rPr>
      </w:pPr>
      <w:r>
        <w:rPr>
          <w:rFonts w:hint="eastAsia"/>
          <w:sz w:val="24"/>
        </w:rPr>
        <w:t xml:space="preserve">服务技术要求</w:t>
      </w:r>
      <w:r>
        <w:rPr>
          <w:sz w:val="24"/>
        </w:rPr>
      </w:r>
      <w:r/>
    </w:p>
    <w:p>
      <w:pPr>
        <w:pStyle w:val="1157"/>
        <w:ind w:firstLine="461"/>
        <w:spacing w:line="360" w:lineRule="auto"/>
        <w:rPr>
          <w:rFonts w:ascii="宋体" w:hAnsi="宋体" w:cs="宋体"/>
          <w:sz w:val="24"/>
        </w:rPr>
      </w:pPr>
      <w:r>
        <w:rPr>
          <w:rFonts w:hint="eastAsia" w:ascii="宋体" w:hAnsi="宋体" w:cs="宋体"/>
          <w:sz w:val="24"/>
        </w:rPr>
        <w:t xml:space="preserve">本项目规划，旨在完善连云港市环境信息化暨监测控能力提升项目软件部分的运维管理，建立科学合理、统一规范的运维制度，压实运维绩效管理主体责任，实现“建设服务体系、管理技术贯通”的总体目标，保障各系统稳定、可靠和安全运行。</w:t>
      </w:r>
      <w:r>
        <w:rPr>
          <w:rFonts w:ascii="宋体" w:hAnsi="宋体" w:cs="宋体"/>
          <w:sz w:val="24"/>
        </w:rPr>
      </w:r>
      <w:r/>
    </w:p>
    <w:p>
      <w:pPr>
        <w:pStyle w:val="963"/>
        <w:ind w:firstLine="463"/>
        <w:rPr>
          <w:rFonts w:ascii="宋体" w:hAnsi="宋体" w:cs="宋体"/>
          <w:b/>
          <w:sz w:val="24"/>
        </w:rPr>
      </w:pPr>
      <w:r>
        <w:rPr>
          <w:rFonts w:hint="eastAsia" w:ascii="宋体" w:hAnsi="宋体" w:cs="宋体"/>
          <w:b/>
          <w:sz w:val="24"/>
        </w:rPr>
        <w:t xml:space="preserve">2.1、运维服务要求</w:t>
      </w:r>
      <w:r>
        <w:rPr>
          <w:rFonts w:ascii="宋体" w:hAnsi="宋体" w:cs="宋体"/>
          <w:b/>
          <w:sz w:val="24"/>
        </w:rPr>
      </w:r>
      <w:r/>
    </w:p>
    <w:p>
      <w:pPr>
        <w:pStyle w:val="963"/>
        <w:ind w:firstLine="482"/>
        <w:jc w:val="left"/>
        <w:spacing w:line="400" w:lineRule="exact"/>
        <w:rPr>
          <w:rFonts w:ascii="宋体" w:hAnsi="宋体" w:cs="宋体"/>
          <w:b/>
          <w:sz w:val="24"/>
        </w:rPr>
      </w:pPr>
      <w:r>
        <w:rPr>
          <w:rFonts w:hint="eastAsia" w:ascii="宋体" w:hAnsi="宋体" w:cs="宋体"/>
          <w:b/>
          <w:sz w:val="24"/>
        </w:rPr>
        <w:t xml:space="preserve">2.1.1、应用软件维护要求</w:t>
      </w:r>
      <w:r>
        <w:rPr>
          <w:rFonts w:ascii="宋体" w:hAnsi="宋体" w:cs="宋体"/>
          <w:b/>
          <w:sz w:val="24"/>
        </w:rPr>
      </w:r>
      <w:r/>
    </w:p>
    <w:p>
      <w:pPr>
        <w:pStyle w:val="963"/>
        <w:ind w:firstLine="482"/>
        <w:jc w:val="left"/>
        <w:spacing w:line="400" w:lineRule="exact"/>
        <w:rPr>
          <w:rFonts w:ascii="宋体" w:hAnsi="宋体" w:cs="宋体"/>
          <w:b/>
          <w:sz w:val="24"/>
        </w:rPr>
      </w:pPr>
      <w:r>
        <w:rPr>
          <w:rFonts w:hint="eastAsia" w:ascii="宋体" w:hAnsi="宋体" w:cs="宋体"/>
          <w:b/>
          <w:sz w:val="24"/>
        </w:rPr>
        <w:t xml:space="preserve">2.1.1.1、软件系统运维要求</w:t>
      </w:r>
      <w:r>
        <w:rPr>
          <w:rFonts w:ascii="宋体" w:hAnsi="宋体" w:cs="宋体"/>
          <w:b/>
          <w:sz w:val="24"/>
        </w:rPr>
      </w:r>
      <w:r/>
    </w:p>
    <w:p>
      <w:pPr>
        <w:pStyle w:val="963"/>
        <w:ind w:firstLine="480"/>
        <w:spacing w:line="400" w:lineRule="exact"/>
        <w:rPr>
          <w:rFonts w:ascii="宋体" w:hAnsi="宋体" w:cs="宋体"/>
          <w:sz w:val="24"/>
        </w:rPr>
      </w:pPr>
      <w:r>
        <w:rPr>
          <w:rFonts w:hint="eastAsia" w:ascii="宋体" w:hAnsi="宋体" w:cs="宋体"/>
          <w:sz w:val="24"/>
        </w:rPr>
        <w:t xml:space="preserve">中标人所提供的软件系统类运维应包含以下工作内容： </w:t>
      </w:r>
      <w:r>
        <w:rPr>
          <w:rFonts w:ascii="宋体" w:hAnsi="宋体" w:cs="宋体"/>
          <w:sz w:val="24"/>
        </w:rPr>
      </w:r>
      <w:r/>
    </w:p>
    <w:p>
      <w:pPr>
        <w:pStyle w:val="963"/>
        <w:ind w:firstLine="480"/>
        <w:spacing w:line="400" w:lineRule="exact"/>
        <w:rPr>
          <w:rFonts w:ascii="宋体" w:hAnsi="宋体" w:cs="宋体"/>
          <w:sz w:val="24"/>
        </w:rPr>
      </w:pPr>
      <w:r>
        <w:rPr>
          <w:rFonts w:hint="eastAsia" w:ascii="宋体" w:hAnsi="宋体" w:cs="宋体"/>
          <w:sz w:val="24"/>
        </w:rPr>
        <w:t xml:space="preserve">（1）提供系统持续优化。</w:t>
      </w:r>
      <w:r>
        <w:rPr>
          <w:rFonts w:ascii="宋体" w:hAnsi="宋体" w:cs="宋体"/>
          <w:sz w:val="24"/>
        </w:rPr>
      </w:r>
      <w:r/>
    </w:p>
    <w:p>
      <w:pPr>
        <w:pStyle w:val="963"/>
        <w:ind w:firstLine="480"/>
        <w:spacing w:line="400" w:lineRule="exact"/>
        <w:rPr>
          <w:rFonts w:ascii="宋体" w:hAnsi="宋体" w:cs="宋体"/>
          <w:sz w:val="24"/>
        </w:rPr>
      </w:pPr>
      <w:r>
        <w:rPr>
          <w:rFonts w:hint="eastAsia" w:ascii="宋体" w:hAnsi="宋体" w:cs="宋体"/>
          <w:sz w:val="24"/>
        </w:rPr>
        <w:t xml:space="preserve">（2）根据用户需求，持续提供的数据采集、整理、治理工作。</w:t>
      </w:r>
      <w:r>
        <w:rPr>
          <w:rFonts w:ascii="宋体" w:hAnsi="宋体" w:cs="宋体"/>
          <w:sz w:val="24"/>
        </w:rPr>
      </w:r>
      <w:r/>
    </w:p>
    <w:p>
      <w:pPr>
        <w:pStyle w:val="963"/>
        <w:ind w:firstLine="480"/>
        <w:spacing w:line="400" w:lineRule="exact"/>
        <w:rPr>
          <w:rFonts w:ascii="宋体" w:hAnsi="宋体" w:cs="宋体"/>
          <w:sz w:val="24"/>
        </w:rPr>
      </w:pPr>
      <w:r>
        <w:rPr>
          <w:rFonts w:hint="eastAsia" w:ascii="宋体" w:hAnsi="宋体" w:cs="宋体"/>
          <w:sz w:val="24"/>
        </w:rPr>
        <w:t xml:space="preserve">（3）提供系统使用情况报告编制。</w:t>
      </w:r>
      <w:r>
        <w:rPr>
          <w:rFonts w:ascii="宋体" w:hAnsi="宋体" w:cs="宋体"/>
          <w:sz w:val="24"/>
        </w:rPr>
      </w:r>
      <w:r/>
    </w:p>
    <w:p>
      <w:pPr>
        <w:pStyle w:val="963"/>
        <w:ind w:firstLine="480"/>
        <w:spacing w:line="400" w:lineRule="exact"/>
        <w:rPr>
          <w:rFonts w:ascii="宋体" w:hAnsi="宋体" w:cs="宋体"/>
          <w:sz w:val="24"/>
        </w:rPr>
      </w:pPr>
      <w:r>
        <w:rPr>
          <w:rFonts w:hint="eastAsia" w:ascii="宋体" w:hAnsi="宋体" w:cs="宋体"/>
          <w:sz w:val="24"/>
        </w:rPr>
        <w:t xml:space="preserve">（4）根据用户的需求升级、调整系统功能，自提出需求起1个月内完成。</w:t>
      </w:r>
      <w:r>
        <w:rPr>
          <w:rFonts w:ascii="宋体" w:hAnsi="宋体" w:cs="宋体"/>
          <w:sz w:val="24"/>
        </w:rPr>
      </w:r>
      <w:r/>
    </w:p>
    <w:p>
      <w:pPr>
        <w:pStyle w:val="963"/>
        <w:ind w:firstLine="480"/>
        <w:spacing w:line="400" w:lineRule="exact"/>
        <w:rPr>
          <w:rFonts w:ascii="宋体" w:hAnsi="宋体" w:cs="宋体"/>
          <w:sz w:val="24"/>
        </w:rPr>
      </w:pPr>
      <w:r>
        <w:rPr>
          <w:rFonts w:hint="eastAsia" w:ascii="宋体" w:hAnsi="宋体" w:cs="宋体"/>
          <w:sz w:val="24"/>
        </w:rPr>
        <w:t xml:space="preserve">（5）提供系统使用培训、指导。</w:t>
      </w:r>
      <w:r>
        <w:rPr>
          <w:rFonts w:ascii="宋体" w:hAnsi="宋体" w:cs="宋体"/>
          <w:sz w:val="24"/>
        </w:rPr>
      </w:r>
      <w:r/>
    </w:p>
    <w:p>
      <w:pPr>
        <w:pStyle w:val="963"/>
        <w:ind w:firstLine="480"/>
        <w:spacing w:line="400" w:lineRule="exact"/>
        <w:rPr>
          <w:rFonts w:ascii="宋体" w:hAnsi="宋体" w:cs="宋体"/>
          <w:sz w:val="24"/>
        </w:rPr>
      </w:pPr>
      <w:r>
        <w:rPr>
          <w:rFonts w:hint="eastAsia" w:ascii="宋体" w:hAnsi="宋体" w:cs="宋体"/>
          <w:sz w:val="24"/>
        </w:rPr>
        <w:t xml:space="preserve">（6）根据用户的实际应用场景，定期提供各类报表的编制和输出。</w:t>
      </w:r>
      <w:r>
        <w:rPr>
          <w:rFonts w:ascii="宋体" w:hAnsi="宋体" w:cs="宋体"/>
          <w:sz w:val="24"/>
        </w:rPr>
      </w:r>
      <w:r/>
    </w:p>
    <w:p>
      <w:pPr>
        <w:pStyle w:val="963"/>
        <w:ind w:firstLine="480"/>
        <w:spacing w:line="400" w:lineRule="exact"/>
        <w:rPr>
          <w:rFonts w:ascii="宋体" w:hAnsi="宋体" w:cs="宋体"/>
          <w:sz w:val="24"/>
        </w:rPr>
      </w:pPr>
      <w:r>
        <w:rPr>
          <w:rFonts w:hint="eastAsia" w:ascii="宋体" w:hAnsi="宋体" w:cs="宋体"/>
          <w:sz w:val="24"/>
        </w:rPr>
        <w:t xml:space="preserve">（7）监控政务云资源利用情况，提供优化建议。</w:t>
      </w:r>
      <w:r>
        <w:rPr>
          <w:rFonts w:ascii="宋体" w:hAnsi="宋体" w:cs="宋体"/>
          <w:sz w:val="24"/>
        </w:rPr>
      </w:r>
      <w:r/>
    </w:p>
    <w:p>
      <w:pPr>
        <w:pStyle w:val="963"/>
        <w:ind w:firstLine="480"/>
        <w:spacing w:line="400" w:lineRule="exact"/>
        <w:rPr>
          <w:rFonts w:ascii="宋体" w:hAnsi="宋体" w:cs="宋体"/>
          <w:sz w:val="24"/>
        </w:rPr>
      </w:pPr>
      <w:r>
        <w:rPr>
          <w:rFonts w:hint="eastAsia" w:ascii="宋体" w:hAnsi="宋体" w:cs="宋体"/>
          <w:sz w:val="24"/>
        </w:rPr>
        <w:t xml:space="preserve">（8）提供定期数据的备份。</w:t>
      </w:r>
      <w:r>
        <w:rPr>
          <w:rFonts w:ascii="宋体" w:hAnsi="宋体" w:cs="宋体"/>
          <w:sz w:val="24"/>
        </w:rPr>
      </w:r>
      <w:r/>
    </w:p>
    <w:p>
      <w:pPr>
        <w:pStyle w:val="963"/>
        <w:ind w:firstLine="480"/>
        <w:spacing w:line="400" w:lineRule="exact"/>
        <w:rPr>
          <w:rFonts w:ascii="宋体" w:hAnsi="宋体" w:cs="宋体"/>
          <w:sz w:val="24"/>
        </w:rPr>
      </w:pPr>
      <w:r>
        <w:rPr>
          <w:rFonts w:hint="eastAsia" w:ascii="宋体" w:hAnsi="宋体" w:cs="宋体"/>
          <w:sz w:val="24"/>
        </w:rPr>
        <w:t xml:space="preserve">（9）根据用户需求，对运维软件提供小功能优化及小功能开发，自提出需求起1个月内完成。</w:t>
      </w:r>
      <w:r>
        <w:rPr>
          <w:rFonts w:ascii="宋体" w:hAnsi="宋体" w:cs="宋体"/>
          <w:sz w:val="24"/>
        </w:rPr>
      </w:r>
      <w:r/>
    </w:p>
    <w:p>
      <w:pPr>
        <w:pStyle w:val="963"/>
        <w:ind w:firstLine="480"/>
        <w:spacing w:line="400" w:lineRule="exact"/>
        <w:rPr>
          <w:rFonts w:ascii="宋体" w:hAnsi="宋体" w:cs="宋体"/>
          <w:sz w:val="24"/>
        </w:rPr>
      </w:pPr>
      <w:r>
        <w:rPr>
          <w:rFonts w:ascii="宋体" w:hAnsi="宋体" w:cs="宋体"/>
          <w:sz w:val="24"/>
        </w:rPr>
      </w:r>
      <w:r/>
    </w:p>
    <w:p>
      <w:pPr>
        <w:pStyle w:val="963"/>
        <w:ind w:firstLine="482"/>
        <w:jc w:val="left"/>
        <w:spacing w:line="400" w:lineRule="exact"/>
        <w:rPr>
          <w:rFonts w:ascii="宋体" w:hAnsi="宋体" w:cs="宋体"/>
          <w:b/>
          <w:sz w:val="24"/>
        </w:rPr>
      </w:pPr>
      <w:r>
        <w:rPr>
          <w:rFonts w:hint="eastAsia" w:ascii="宋体" w:hAnsi="宋体" w:cs="宋体"/>
          <w:b/>
          <w:sz w:val="24"/>
        </w:rPr>
        <w:t xml:space="preserve">2.1.1.2、定期巡检服务</w:t>
      </w:r>
      <w:r>
        <w:rPr>
          <w:rFonts w:ascii="宋体" w:hAnsi="宋体" w:cs="宋体"/>
          <w:b/>
          <w:sz w:val="24"/>
        </w:rPr>
      </w:r>
      <w:r/>
    </w:p>
    <w:p>
      <w:pPr>
        <w:pStyle w:val="963"/>
        <w:ind w:firstLine="480"/>
        <w:spacing w:line="400" w:lineRule="exact"/>
        <w:rPr>
          <w:rFonts w:ascii="宋体" w:hAnsi="宋体" w:cs="宋体"/>
          <w:sz w:val="24"/>
        </w:rPr>
      </w:pPr>
      <w:r>
        <w:rPr>
          <w:rFonts w:hint="eastAsia" w:ascii="宋体" w:hAnsi="宋体" w:cs="宋体"/>
          <w:sz w:val="24"/>
        </w:rPr>
        <w:t xml:space="preserve">（1）例行检查各系统软件运行情况，每季度提供一次纸质维护记录。</w:t>
      </w:r>
      <w:r>
        <w:rPr>
          <w:rFonts w:ascii="宋体" w:hAnsi="宋体" w:cs="宋体"/>
          <w:sz w:val="24"/>
        </w:rPr>
      </w:r>
      <w:r/>
    </w:p>
    <w:p>
      <w:pPr>
        <w:pStyle w:val="963"/>
        <w:ind w:firstLine="480"/>
        <w:spacing w:line="400" w:lineRule="exact"/>
        <w:rPr>
          <w:rFonts w:ascii="宋体" w:hAnsi="宋体" w:cs="宋体"/>
          <w:sz w:val="24"/>
        </w:rPr>
      </w:pPr>
      <w:r>
        <w:rPr>
          <w:rFonts w:hint="eastAsia" w:ascii="宋体" w:hAnsi="宋体" w:cs="宋体"/>
          <w:sz w:val="24"/>
        </w:rPr>
        <w:t xml:space="preserve">（2）定期检查系统的数据、文件等占用服务器资源情况，并针对定期检查情况做出分析与报告。</w:t>
      </w:r>
      <w:r>
        <w:rPr>
          <w:rFonts w:ascii="宋体" w:hAnsi="宋体" w:cs="宋体"/>
          <w:sz w:val="24"/>
        </w:rPr>
      </w:r>
      <w:r/>
    </w:p>
    <w:p>
      <w:pPr>
        <w:pStyle w:val="963"/>
        <w:ind w:firstLine="480"/>
        <w:spacing w:line="400" w:lineRule="exact"/>
        <w:rPr>
          <w:rFonts w:ascii="宋体" w:hAnsi="宋体" w:cs="宋体"/>
          <w:sz w:val="24"/>
        </w:rPr>
      </w:pPr>
      <w:r>
        <w:rPr>
          <w:rFonts w:hint="eastAsia" w:ascii="宋体" w:hAnsi="宋体" w:cs="宋体"/>
          <w:sz w:val="24"/>
        </w:rPr>
        <w:t xml:space="preserve">（3）定期采集系统信息进行分析并提供分析报告，提供性能改进措施建议。</w:t>
      </w:r>
      <w:r>
        <w:rPr>
          <w:rFonts w:ascii="宋体" w:hAnsi="宋体" w:cs="宋体"/>
          <w:sz w:val="24"/>
        </w:rPr>
      </w:r>
      <w:r/>
    </w:p>
    <w:p>
      <w:pPr>
        <w:pStyle w:val="963"/>
        <w:ind w:firstLine="480"/>
        <w:spacing w:line="400" w:lineRule="exact"/>
        <w:rPr>
          <w:rFonts w:ascii="宋体" w:hAnsi="宋体" w:cs="宋体"/>
          <w:sz w:val="24"/>
        </w:rPr>
      </w:pPr>
      <w:r>
        <w:rPr>
          <w:rFonts w:hint="eastAsia" w:ascii="宋体" w:hAnsi="宋体" w:cs="宋体"/>
          <w:sz w:val="24"/>
        </w:rPr>
        <w:t xml:space="preserve">（4）定期系统安全维护服务。</w:t>
      </w:r>
      <w:r>
        <w:rPr>
          <w:rFonts w:ascii="宋体" w:hAnsi="宋体" w:cs="宋体"/>
          <w:sz w:val="24"/>
        </w:rPr>
      </w:r>
      <w:r/>
    </w:p>
    <w:p>
      <w:pPr>
        <w:pStyle w:val="963"/>
        <w:ind w:firstLine="480"/>
        <w:spacing w:line="400" w:lineRule="exact"/>
        <w:rPr>
          <w:rFonts w:ascii="宋体" w:hAnsi="宋体" w:cs="宋体"/>
          <w:sz w:val="24"/>
        </w:rPr>
      </w:pPr>
      <w:r>
        <w:rPr>
          <w:rFonts w:hint="eastAsia" w:ascii="宋体" w:hAnsi="宋体" w:cs="宋体"/>
          <w:sz w:val="24"/>
        </w:rPr>
        <w:t xml:space="preserve">（5）定期系统数据备份服务。</w:t>
      </w:r>
      <w:r>
        <w:rPr>
          <w:rFonts w:ascii="宋体" w:hAnsi="宋体" w:cs="宋体"/>
          <w:sz w:val="24"/>
        </w:rPr>
      </w:r>
      <w:r/>
    </w:p>
    <w:p>
      <w:pPr>
        <w:pStyle w:val="963"/>
        <w:ind w:firstLine="482"/>
        <w:jc w:val="left"/>
        <w:spacing w:line="400" w:lineRule="exact"/>
        <w:rPr>
          <w:rFonts w:ascii="宋体" w:hAnsi="宋体" w:cs="宋体"/>
          <w:b/>
          <w:sz w:val="24"/>
        </w:rPr>
      </w:pPr>
      <w:r>
        <w:rPr>
          <w:rFonts w:hint="eastAsia" w:ascii="宋体" w:hAnsi="宋体" w:cs="宋体"/>
          <w:b/>
          <w:sz w:val="24"/>
        </w:rPr>
        <w:t xml:space="preserve">2.1.1.3、故障排除服务</w:t>
      </w:r>
      <w:r>
        <w:rPr>
          <w:rFonts w:ascii="宋体" w:hAnsi="宋体" w:cs="宋体"/>
          <w:b/>
          <w:sz w:val="24"/>
        </w:rPr>
      </w:r>
      <w:r/>
    </w:p>
    <w:p>
      <w:pPr>
        <w:pStyle w:val="963"/>
        <w:ind w:firstLine="480"/>
        <w:spacing w:line="400" w:lineRule="exact"/>
        <w:rPr>
          <w:rFonts w:ascii="宋体" w:hAnsi="宋体" w:cs="宋体"/>
          <w:sz w:val="24"/>
        </w:rPr>
      </w:pPr>
      <w:r>
        <w:rPr>
          <w:rFonts w:hint="eastAsia" w:ascii="宋体" w:hAnsi="宋体" w:cs="宋体"/>
          <w:sz w:val="24"/>
        </w:rPr>
        <w:t xml:space="preserve">各业务系统在运行中，如果系统或者应用软件本身出现了故障，而影响到业务的正常服务时，采取各种处理措施，以保证业务系统的正常对外服务，尽力将损失减小到最少。</w:t>
      </w:r>
      <w:r>
        <w:rPr>
          <w:rFonts w:ascii="宋体" w:hAnsi="宋体" w:cs="宋体"/>
          <w:sz w:val="24"/>
        </w:rPr>
      </w:r>
      <w:r/>
    </w:p>
    <w:p>
      <w:pPr>
        <w:pStyle w:val="963"/>
        <w:ind w:firstLine="480"/>
        <w:spacing w:line="400" w:lineRule="exact"/>
        <w:rPr>
          <w:rFonts w:ascii="宋体" w:hAnsi="宋体" w:cs="宋体"/>
          <w:sz w:val="24"/>
        </w:rPr>
      </w:pPr>
      <w:r>
        <w:rPr>
          <w:rFonts w:hint="eastAsia" w:ascii="宋体" w:hAnsi="宋体" w:cs="宋体"/>
          <w:sz w:val="24"/>
        </w:rPr>
        <w:t xml:space="preserve">运维服务中，所提供的排除故障的范围包括：</w:t>
      </w:r>
      <w:r>
        <w:rPr>
          <w:rFonts w:ascii="宋体" w:hAnsi="宋体" w:cs="宋体"/>
          <w:sz w:val="24"/>
        </w:rPr>
      </w:r>
      <w:r/>
    </w:p>
    <w:p>
      <w:pPr>
        <w:pStyle w:val="963"/>
        <w:ind w:firstLine="480"/>
        <w:spacing w:line="400" w:lineRule="exact"/>
        <w:rPr>
          <w:rFonts w:ascii="宋体" w:hAnsi="宋体" w:cs="宋体"/>
          <w:sz w:val="24"/>
        </w:rPr>
      </w:pPr>
      <w:r>
        <w:rPr>
          <w:rFonts w:hint="eastAsia" w:ascii="宋体" w:hAnsi="宋体" w:cs="宋体"/>
          <w:sz w:val="24"/>
        </w:rPr>
        <w:t xml:space="preserve">（1）正常使用中发生的系统故障</w:t>
      </w:r>
      <w:r>
        <w:rPr>
          <w:rFonts w:ascii="宋体" w:hAnsi="宋体" w:cs="宋体"/>
          <w:sz w:val="24"/>
        </w:rPr>
      </w:r>
      <w:r/>
    </w:p>
    <w:p>
      <w:pPr>
        <w:pStyle w:val="963"/>
        <w:ind w:firstLine="480"/>
        <w:spacing w:line="400" w:lineRule="exact"/>
        <w:rPr>
          <w:rFonts w:ascii="宋体" w:hAnsi="宋体" w:cs="宋体"/>
          <w:sz w:val="24"/>
        </w:rPr>
      </w:pPr>
      <w:r>
        <w:rPr>
          <w:rFonts w:hint="eastAsia" w:ascii="宋体" w:hAnsi="宋体" w:cs="宋体"/>
          <w:sz w:val="24"/>
        </w:rPr>
        <w:t xml:space="preserve">（2）系统在使用过程中故障的排除</w:t>
      </w:r>
      <w:r>
        <w:rPr>
          <w:rFonts w:ascii="宋体" w:hAnsi="宋体" w:cs="宋体"/>
          <w:sz w:val="24"/>
        </w:rPr>
      </w:r>
      <w:r/>
    </w:p>
    <w:p>
      <w:pPr>
        <w:pStyle w:val="963"/>
        <w:ind w:firstLine="480"/>
        <w:spacing w:line="400" w:lineRule="exact"/>
        <w:rPr>
          <w:rFonts w:ascii="宋体" w:hAnsi="宋体" w:cs="宋体"/>
          <w:sz w:val="24"/>
        </w:rPr>
      </w:pPr>
      <w:r>
        <w:rPr>
          <w:rFonts w:hint="eastAsia" w:ascii="宋体" w:hAnsi="宋体" w:cs="宋体"/>
          <w:sz w:val="24"/>
        </w:rPr>
        <w:t xml:space="preserve">（3）正常维护中发生的系统技术故障</w:t>
      </w:r>
      <w:r>
        <w:rPr>
          <w:rFonts w:ascii="宋体" w:hAnsi="宋体" w:cs="宋体"/>
          <w:sz w:val="24"/>
        </w:rPr>
      </w:r>
      <w:r/>
    </w:p>
    <w:p>
      <w:pPr>
        <w:pStyle w:val="963"/>
        <w:ind w:firstLine="480"/>
        <w:spacing w:line="400" w:lineRule="exact"/>
        <w:rPr>
          <w:rFonts w:ascii="宋体" w:hAnsi="宋体" w:cs="宋体"/>
          <w:sz w:val="24"/>
        </w:rPr>
      </w:pPr>
      <w:r>
        <w:rPr>
          <w:rFonts w:hint="eastAsia" w:ascii="宋体" w:hAnsi="宋体" w:cs="宋体"/>
          <w:sz w:val="24"/>
        </w:rPr>
        <w:t xml:space="preserve">（4）系统峰值期使用中发生的系统故障</w:t>
      </w:r>
      <w:r>
        <w:rPr>
          <w:rFonts w:ascii="宋体" w:hAnsi="宋体" w:cs="宋体"/>
          <w:sz w:val="24"/>
        </w:rPr>
      </w:r>
      <w:r/>
    </w:p>
    <w:p>
      <w:pPr>
        <w:pStyle w:val="963"/>
        <w:ind w:firstLine="480"/>
        <w:spacing w:line="400" w:lineRule="exact"/>
        <w:rPr>
          <w:rFonts w:ascii="宋体" w:hAnsi="宋体" w:cs="宋体"/>
          <w:sz w:val="24"/>
        </w:rPr>
      </w:pPr>
      <w:r>
        <w:rPr>
          <w:rFonts w:hint="eastAsia" w:ascii="宋体" w:hAnsi="宋体" w:cs="宋体"/>
          <w:sz w:val="24"/>
        </w:rPr>
        <w:t xml:space="preserve">（5）高级（复杂）维护发生的系统技术故障</w:t>
      </w:r>
      <w:r>
        <w:rPr>
          <w:rFonts w:ascii="宋体" w:hAnsi="宋体" w:cs="宋体"/>
          <w:sz w:val="24"/>
        </w:rPr>
      </w:r>
      <w:r/>
    </w:p>
    <w:p>
      <w:pPr>
        <w:pStyle w:val="963"/>
        <w:ind w:firstLine="480"/>
        <w:spacing w:line="400" w:lineRule="exact"/>
        <w:rPr>
          <w:rFonts w:ascii="宋体" w:hAnsi="宋体" w:cs="宋体"/>
          <w:sz w:val="24"/>
        </w:rPr>
      </w:pPr>
      <w:r>
        <w:rPr>
          <w:rFonts w:hint="eastAsia" w:ascii="宋体" w:hAnsi="宋体" w:cs="宋体"/>
          <w:sz w:val="24"/>
        </w:rPr>
        <w:t xml:space="preserve">（6）特殊原因引发的系统重新调试、配置等工作</w:t>
      </w:r>
      <w:r>
        <w:rPr>
          <w:rFonts w:ascii="宋体" w:hAnsi="宋体" w:cs="宋体"/>
          <w:sz w:val="24"/>
        </w:rPr>
      </w:r>
      <w:r/>
    </w:p>
    <w:p>
      <w:pPr>
        <w:pStyle w:val="963"/>
        <w:ind w:firstLine="480"/>
        <w:spacing w:line="400" w:lineRule="exact"/>
        <w:rPr>
          <w:rFonts w:ascii="宋体" w:hAnsi="宋体" w:cs="宋体"/>
          <w:sz w:val="24"/>
        </w:rPr>
      </w:pPr>
      <w:r>
        <w:rPr>
          <w:rFonts w:hint="eastAsia" w:ascii="宋体" w:hAnsi="宋体" w:cs="宋体"/>
          <w:sz w:val="24"/>
        </w:rPr>
        <w:t xml:space="preserve">（7）特殊原因（电力中断等）造成系统故障的排除和应急处理</w:t>
      </w:r>
      <w:r>
        <w:rPr>
          <w:rFonts w:ascii="宋体" w:hAnsi="宋体" w:cs="宋体"/>
          <w:sz w:val="24"/>
        </w:rPr>
      </w:r>
      <w:r/>
    </w:p>
    <w:p>
      <w:pPr>
        <w:pStyle w:val="963"/>
        <w:ind w:firstLine="482"/>
        <w:spacing w:line="400" w:lineRule="exact"/>
        <w:rPr>
          <w:rFonts w:ascii="宋体" w:hAnsi="宋体" w:cs="宋体"/>
          <w:b/>
          <w:bCs/>
          <w:sz w:val="24"/>
        </w:rPr>
      </w:pPr>
      <w:r>
        <w:rPr>
          <w:rFonts w:hint="eastAsia" w:ascii="宋体" w:hAnsi="宋体" w:cs="宋体"/>
          <w:b/>
          <w:bCs/>
          <w:sz w:val="24"/>
        </w:rPr>
        <w:t xml:space="preserve">2.1.1.4、电话技术咨询服务</w:t>
      </w:r>
      <w:r>
        <w:rPr>
          <w:rFonts w:ascii="宋体" w:hAnsi="宋体" w:cs="宋体"/>
          <w:b/>
          <w:bCs/>
          <w:sz w:val="24"/>
        </w:rPr>
      </w:r>
      <w:r/>
    </w:p>
    <w:p>
      <w:pPr>
        <w:pStyle w:val="963"/>
        <w:ind w:firstLine="480"/>
        <w:spacing w:line="400" w:lineRule="exact"/>
        <w:rPr>
          <w:rFonts w:ascii="宋体" w:hAnsi="宋体" w:cs="宋体"/>
          <w:sz w:val="24"/>
        </w:rPr>
      </w:pPr>
      <w:r>
        <w:rPr>
          <w:rFonts w:hint="eastAsia" w:ascii="宋体" w:hAnsi="宋体" w:cs="宋体"/>
          <w:sz w:val="24"/>
        </w:rPr>
        <w:t xml:space="preserve">（1）提供7*8小时在线技术咨询服务、远程技术支持以及热线电话服务，解决系统相关的业务和技术问题，提供问题故障解决方案，保障系统正常运行。</w:t>
      </w:r>
      <w:r>
        <w:rPr>
          <w:rFonts w:ascii="宋体" w:hAnsi="宋体" w:cs="宋体"/>
          <w:sz w:val="24"/>
        </w:rPr>
      </w:r>
      <w:r/>
    </w:p>
    <w:p>
      <w:pPr>
        <w:pStyle w:val="963"/>
        <w:ind w:firstLine="480"/>
        <w:spacing w:line="400" w:lineRule="exact"/>
        <w:rPr>
          <w:rFonts w:ascii="宋体" w:hAnsi="宋体" w:cs="宋体"/>
          <w:sz w:val="24"/>
        </w:rPr>
      </w:pPr>
      <w:r>
        <w:rPr>
          <w:rFonts w:hint="eastAsia" w:ascii="宋体" w:hAnsi="宋体" w:cs="宋体"/>
          <w:sz w:val="24"/>
        </w:rPr>
        <w:t xml:space="preserve">（2）提供 7*24小时应急响应服务，若发生系统故障，2小时内应急响应，4小时内给出解决方案，48小时内承诺解决。</w:t>
      </w:r>
      <w:r>
        <w:rPr>
          <w:rFonts w:ascii="宋体" w:hAnsi="宋体" w:cs="宋体"/>
          <w:sz w:val="24"/>
        </w:rPr>
      </w:r>
      <w:r/>
    </w:p>
    <w:p>
      <w:pPr>
        <w:pStyle w:val="963"/>
        <w:ind w:firstLine="482"/>
        <w:jc w:val="left"/>
        <w:spacing w:line="400" w:lineRule="exact"/>
        <w:rPr>
          <w:rFonts w:ascii="宋体" w:hAnsi="宋体" w:cs="宋体"/>
          <w:b/>
          <w:sz w:val="24"/>
        </w:rPr>
      </w:pPr>
      <w:r>
        <w:rPr>
          <w:rFonts w:hint="eastAsia" w:ascii="宋体" w:hAnsi="宋体" w:cs="宋体"/>
          <w:b/>
          <w:sz w:val="24"/>
        </w:rPr>
        <w:t xml:space="preserve">2.1.1.5、响应处理时限 </w:t>
      </w:r>
      <w:r>
        <w:rPr>
          <w:rFonts w:ascii="宋体" w:hAnsi="宋体" w:cs="宋体"/>
          <w:b/>
          <w:sz w:val="24"/>
        </w:rPr>
      </w:r>
      <w:r/>
    </w:p>
    <w:p>
      <w:pPr>
        <w:pStyle w:val="963"/>
        <w:ind w:firstLine="480"/>
        <w:spacing w:line="400" w:lineRule="exact"/>
        <w:rPr>
          <w:rFonts w:ascii="宋体" w:hAnsi="宋体" w:cs="宋体"/>
          <w:sz w:val="24"/>
        </w:rPr>
      </w:pPr>
      <w:r>
        <w:rPr>
          <w:rFonts w:hint="eastAsia" w:ascii="宋体" w:hAnsi="宋体" w:cs="宋体"/>
          <w:sz w:val="24"/>
        </w:rPr>
        <w:t xml:space="preserve">（1）服务商工作日提供5×8小时的现场驻场服务，</w:t>
      </w:r>
      <w:r>
        <w:rPr>
          <w:rFonts w:hint="eastAsia" w:ascii="宋体" w:hAnsi="宋体" w:cs="宋体"/>
          <w:color w:val="333333"/>
          <w:sz w:val="24"/>
        </w:rPr>
        <w:t xml:space="preserve">非驻场时间所有人员24小时保持手机畅通,按甲方工作需要随时到达现场。</w:t>
      </w:r>
      <w:r>
        <w:rPr>
          <w:rFonts w:ascii="宋体" w:hAnsi="宋体" w:cs="宋体"/>
          <w:sz w:val="24"/>
        </w:rPr>
      </w:r>
      <w:r/>
    </w:p>
    <w:p>
      <w:pPr>
        <w:pStyle w:val="963"/>
        <w:ind w:firstLine="480"/>
        <w:spacing w:line="400" w:lineRule="exact"/>
        <w:rPr>
          <w:rFonts w:ascii="宋体" w:hAnsi="宋体" w:cs="宋体"/>
          <w:sz w:val="24"/>
        </w:rPr>
      </w:pPr>
      <w:r>
        <w:rPr>
          <w:rFonts w:hint="eastAsia" w:ascii="宋体" w:hAnsi="宋体" w:cs="宋体"/>
          <w:sz w:val="24"/>
        </w:rPr>
        <w:t xml:space="preserve">（2）技术人员响应时限：接障后技术人员必须在10分钟内做出响应，详细记录故障现象。</w:t>
      </w:r>
      <w:r>
        <w:rPr>
          <w:rFonts w:ascii="宋体" w:hAnsi="宋体" w:cs="宋体"/>
          <w:sz w:val="24"/>
        </w:rPr>
      </w:r>
      <w:r/>
    </w:p>
    <w:p>
      <w:pPr>
        <w:pStyle w:val="963"/>
        <w:ind w:firstLine="480"/>
        <w:spacing w:line="400" w:lineRule="exact"/>
        <w:rPr>
          <w:rFonts w:ascii="宋体" w:hAnsi="宋体" w:cs="宋体"/>
          <w:sz w:val="24"/>
        </w:rPr>
      </w:pPr>
      <w:r>
        <w:rPr>
          <w:rFonts w:hint="eastAsia" w:ascii="宋体" w:hAnsi="宋体" w:cs="宋体"/>
          <w:sz w:val="24"/>
        </w:rPr>
        <w:t xml:space="preserve">（3）3-4级bug处理时限：4个小时、 2级bug处理时限：8小时、1级bug处理时限：不超过24小时。</w:t>
      </w:r>
      <w:r>
        <w:rPr>
          <w:rFonts w:ascii="宋体" w:hAnsi="宋体" w:cs="宋体"/>
          <w:sz w:val="24"/>
        </w:rPr>
      </w:r>
      <w:r/>
    </w:p>
    <w:p>
      <w:pPr>
        <w:pStyle w:val="963"/>
        <w:ind w:firstLine="482"/>
        <w:jc w:val="left"/>
        <w:spacing w:line="400" w:lineRule="exact"/>
        <w:rPr>
          <w:rFonts w:ascii="宋体" w:hAnsi="宋体" w:cs="宋体"/>
          <w:b/>
          <w:sz w:val="24"/>
        </w:rPr>
      </w:pPr>
      <w:r>
        <w:rPr>
          <w:rFonts w:hint="eastAsia" w:ascii="宋体" w:hAnsi="宋体" w:cs="宋体"/>
          <w:b/>
          <w:sz w:val="24"/>
        </w:rPr>
        <w:t xml:space="preserve">2.1.1.6、软件错误修改</w:t>
      </w:r>
      <w:r>
        <w:rPr>
          <w:rFonts w:ascii="宋体" w:hAnsi="宋体" w:cs="宋体"/>
          <w:b/>
          <w:sz w:val="24"/>
        </w:rPr>
      </w:r>
      <w:r/>
    </w:p>
    <w:p>
      <w:pPr>
        <w:pStyle w:val="963"/>
        <w:ind w:firstLine="480"/>
        <w:spacing w:line="400" w:lineRule="exact"/>
        <w:rPr>
          <w:rFonts w:ascii="宋体" w:hAnsi="宋体" w:cs="宋体"/>
          <w:sz w:val="24"/>
        </w:rPr>
      </w:pPr>
      <w:r>
        <w:rPr>
          <w:rFonts w:hint="eastAsia" w:ascii="宋体" w:hAnsi="宋体" w:cs="宋体"/>
          <w:sz w:val="24"/>
        </w:rPr>
        <w:t xml:space="preserve">软件测试不可能找出程序中的所有错误，系统试运行过程中软件会存在隐藏错误。软件错误修改就是在发现这种隐藏的错误后，诊断和改正这些错误的维护活动，提供系统运行异常的修改、系统BUG的修正；如用户在系统运行过程中，按正常程序操作，仍然发生不可预知错误，无法定位出错点时，需提供错误排查服务，如不能及时解决，联系更高级别的技术人员，确保系统的正常运行。</w:t>
      </w:r>
      <w:r>
        <w:rPr>
          <w:rFonts w:ascii="宋体" w:hAnsi="宋体" w:cs="宋体"/>
          <w:sz w:val="24"/>
        </w:rPr>
      </w:r>
      <w:r/>
    </w:p>
    <w:p>
      <w:pPr>
        <w:pStyle w:val="963"/>
        <w:ind w:firstLine="482"/>
        <w:jc w:val="left"/>
        <w:spacing w:line="400" w:lineRule="exact"/>
        <w:rPr>
          <w:rFonts w:ascii="宋体" w:hAnsi="宋体" w:cs="宋体"/>
          <w:b/>
          <w:sz w:val="24"/>
        </w:rPr>
      </w:pPr>
      <w:r>
        <w:rPr>
          <w:rFonts w:hint="eastAsia" w:ascii="宋体" w:hAnsi="宋体" w:cs="宋体"/>
          <w:b/>
          <w:sz w:val="24"/>
        </w:rPr>
        <w:t xml:space="preserve">2.1.1.7、技术优化服务</w:t>
      </w:r>
      <w:r>
        <w:rPr>
          <w:rFonts w:ascii="宋体" w:hAnsi="宋体" w:cs="宋体"/>
          <w:b/>
          <w:sz w:val="24"/>
        </w:rPr>
      </w:r>
      <w:r/>
    </w:p>
    <w:p>
      <w:pPr>
        <w:pStyle w:val="963"/>
        <w:ind w:firstLine="480"/>
        <w:spacing w:line="400" w:lineRule="exact"/>
        <w:rPr>
          <w:rFonts w:ascii="宋体" w:hAnsi="宋体" w:cs="宋体"/>
          <w:sz w:val="24"/>
        </w:rPr>
      </w:pPr>
      <w:r>
        <w:rPr>
          <w:rFonts w:hint="eastAsia" w:ascii="宋体" w:hAnsi="宋体" w:cs="宋体"/>
          <w:sz w:val="24"/>
        </w:rPr>
        <w:t xml:space="preserve">随着业务量的增加和应用系统负荷的提升，应用业务系统在运行过程的效率和管理必然要有一些变化，以适应日益增长的系统运行负载，需提供每月定期维护服务，解决系统调试优化和系统维护工作，对系统本身以及运行的环境进行优化，以保证始终处于较好的运行状态。</w:t>
      </w:r>
      <w:r>
        <w:rPr>
          <w:rFonts w:ascii="宋体" w:hAnsi="宋体" w:cs="宋体"/>
          <w:sz w:val="24"/>
        </w:rPr>
      </w:r>
      <w:r/>
    </w:p>
    <w:p>
      <w:pPr>
        <w:pStyle w:val="963"/>
        <w:ind w:firstLine="480"/>
        <w:spacing w:line="400" w:lineRule="exact"/>
        <w:rPr>
          <w:rFonts w:ascii="宋体" w:hAnsi="宋体" w:cs="宋体"/>
          <w:sz w:val="24"/>
        </w:rPr>
      </w:pPr>
      <w:r>
        <w:rPr>
          <w:rFonts w:hint="eastAsia" w:ascii="宋体" w:hAnsi="宋体" w:cs="宋体"/>
          <w:sz w:val="24"/>
        </w:rPr>
        <w:t xml:space="preserve">技术优化将主要提供以下服务内容：</w:t>
      </w:r>
      <w:r>
        <w:rPr>
          <w:rFonts w:ascii="宋体" w:hAnsi="宋体" w:cs="宋体"/>
          <w:sz w:val="24"/>
        </w:rPr>
      </w:r>
      <w:r/>
    </w:p>
    <w:p>
      <w:pPr>
        <w:pStyle w:val="963"/>
        <w:ind w:firstLine="480"/>
        <w:spacing w:line="400" w:lineRule="exact"/>
        <w:rPr>
          <w:rFonts w:ascii="宋体" w:hAnsi="宋体" w:cs="宋体"/>
          <w:sz w:val="24"/>
        </w:rPr>
      </w:pPr>
      <w:r>
        <w:rPr>
          <w:rFonts w:hint="eastAsia" w:ascii="宋体" w:hAnsi="宋体" w:cs="宋体"/>
          <w:sz w:val="24"/>
        </w:rPr>
        <w:t xml:space="preserve">（1）系统运行中的配置优化</w:t>
      </w:r>
      <w:r>
        <w:rPr>
          <w:rFonts w:ascii="宋体" w:hAnsi="宋体" w:cs="宋体"/>
          <w:sz w:val="24"/>
        </w:rPr>
      </w:r>
      <w:r/>
    </w:p>
    <w:p>
      <w:pPr>
        <w:pStyle w:val="963"/>
        <w:ind w:firstLine="480"/>
        <w:spacing w:line="400" w:lineRule="exact"/>
        <w:rPr>
          <w:rFonts w:ascii="宋体" w:hAnsi="宋体" w:cs="宋体"/>
          <w:sz w:val="24"/>
        </w:rPr>
      </w:pPr>
      <w:r>
        <w:rPr>
          <w:rFonts w:hint="eastAsia" w:ascii="宋体" w:hAnsi="宋体" w:cs="宋体"/>
          <w:sz w:val="24"/>
        </w:rPr>
        <w:t xml:space="preserve">（2）系统运行中安全方面的建议</w:t>
      </w:r>
      <w:r>
        <w:rPr>
          <w:rFonts w:ascii="宋体" w:hAnsi="宋体" w:cs="宋体"/>
          <w:sz w:val="24"/>
        </w:rPr>
      </w:r>
      <w:r/>
    </w:p>
    <w:p>
      <w:pPr>
        <w:pStyle w:val="963"/>
        <w:ind w:firstLine="480"/>
        <w:spacing w:line="400" w:lineRule="exact"/>
        <w:rPr>
          <w:rFonts w:ascii="宋体" w:hAnsi="宋体" w:cs="宋体"/>
          <w:sz w:val="24"/>
        </w:rPr>
      </w:pPr>
      <w:r>
        <w:rPr>
          <w:rFonts w:hint="eastAsia" w:ascii="宋体" w:hAnsi="宋体" w:cs="宋体"/>
          <w:sz w:val="24"/>
        </w:rPr>
        <w:t xml:space="preserve">（3）系统运行中硬件升级、扩容的建议</w:t>
      </w:r>
      <w:r>
        <w:rPr>
          <w:rFonts w:ascii="宋体" w:hAnsi="宋体" w:cs="宋体"/>
          <w:sz w:val="24"/>
        </w:rPr>
      </w:r>
      <w:r/>
    </w:p>
    <w:p>
      <w:pPr>
        <w:pStyle w:val="963"/>
        <w:ind w:firstLine="480"/>
        <w:spacing w:line="400" w:lineRule="exact"/>
        <w:rPr>
          <w:rFonts w:ascii="宋体" w:hAnsi="宋体" w:cs="宋体"/>
          <w:sz w:val="24"/>
        </w:rPr>
      </w:pPr>
      <w:r>
        <w:rPr>
          <w:rFonts w:hint="eastAsia" w:ascii="宋体" w:hAnsi="宋体" w:cs="宋体"/>
          <w:sz w:val="24"/>
        </w:rPr>
        <w:t xml:space="preserve">（4）系统运行中遇到的其他问题的优化</w:t>
      </w:r>
      <w:r>
        <w:rPr>
          <w:rFonts w:ascii="宋体" w:hAnsi="宋体" w:cs="宋体"/>
          <w:sz w:val="24"/>
        </w:rPr>
      </w:r>
      <w:r/>
    </w:p>
    <w:p>
      <w:pPr>
        <w:pStyle w:val="963"/>
        <w:ind w:firstLine="480"/>
        <w:spacing w:line="400" w:lineRule="exact"/>
        <w:rPr>
          <w:rFonts w:ascii="宋体" w:hAnsi="宋体" w:cs="宋体"/>
          <w:sz w:val="24"/>
        </w:rPr>
      </w:pPr>
      <w:r>
        <w:rPr>
          <w:rFonts w:hint="eastAsia" w:ascii="宋体" w:hAnsi="宋体" w:cs="宋体"/>
          <w:sz w:val="24"/>
        </w:rPr>
        <w:t xml:space="preserve">（5）系统运行中的备份及恢复策略和方案建议</w:t>
      </w:r>
      <w:r>
        <w:rPr>
          <w:rFonts w:ascii="宋体" w:hAnsi="宋体" w:cs="宋体"/>
          <w:sz w:val="24"/>
        </w:rPr>
      </w:r>
      <w:r/>
    </w:p>
    <w:p>
      <w:pPr>
        <w:pStyle w:val="963"/>
        <w:ind w:firstLine="482"/>
        <w:jc w:val="left"/>
        <w:spacing w:line="400" w:lineRule="exact"/>
        <w:rPr>
          <w:rFonts w:ascii="宋体" w:hAnsi="宋体" w:cs="宋体"/>
          <w:b/>
          <w:sz w:val="24"/>
        </w:rPr>
      </w:pPr>
      <w:r>
        <w:rPr>
          <w:rFonts w:hint="eastAsia" w:ascii="宋体" w:hAnsi="宋体" w:cs="宋体"/>
          <w:b/>
          <w:sz w:val="24"/>
        </w:rPr>
        <w:t xml:space="preserve">2.1.1.8、咨询与辅导服务</w:t>
      </w:r>
      <w:r>
        <w:rPr>
          <w:rFonts w:ascii="宋体" w:hAnsi="宋体" w:cs="宋体"/>
          <w:b/>
          <w:sz w:val="24"/>
        </w:rPr>
      </w:r>
      <w:r/>
    </w:p>
    <w:p>
      <w:pPr>
        <w:pStyle w:val="963"/>
        <w:ind w:firstLine="480"/>
        <w:spacing w:line="400" w:lineRule="exact"/>
        <w:rPr>
          <w:rFonts w:ascii="宋体" w:hAnsi="宋体" w:cs="宋体"/>
          <w:sz w:val="24"/>
        </w:rPr>
      </w:pPr>
      <w:r>
        <w:rPr>
          <w:rFonts w:hint="eastAsia" w:ascii="宋体" w:hAnsi="宋体" w:cs="宋体"/>
          <w:sz w:val="24"/>
        </w:rPr>
        <w:t xml:space="preserve">由于各应用业务系统在使用过程中难免会遇到各式各样的问题，运维人员需提供对这些问题的解决咨询建议与辅导，以保证所涉及的操作人员与管理员理解并能进行下一步操作。</w:t>
      </w:r>
      <w:r>
        <w:rPr>
          <w:rFonts w:ascii="宋体" w:hAnsi="宋体" w:cs="宋体"/>
          <w:sz w:val="24"/>
        </w:rPr>
      </w:r>
      <w:r/>
    </w:p>
    <w:p>
      <w:pPr>
        <w:pStyle w:val="963"/>
        <w:ind w:firstLine="480"/>
        <w:spacing w:line="400" w:lineRule="exact"/>
        <w:rPr>
          <w:rFonts w:ascii="宋体" w:hAnsi="宋体" w:cs="宋体"/>
          <w:sz w:val="24"/>
        </w:rPr>
      </w:pPr>
      <w:r>
        <w:rPr>
          <w:rFonts w:hint="eastAsia" w:ascii="宋体" w:hAnsi="宋体" w:cs="宋体"/>
          <w:sz w:val="24"/>
        </w:rPr>
        <w:t xml:space="preserve">咨询与辅导的问题包括：</w:t>
      </w:r>
      <w:r>
        <w:rPr>
          <w:rFonts w:ascii="宋体" w:hAnsi="宋体" w:cs="宋体"/>
          <w:sz w:val="24"/>
        </w:rPr>
      </w:r>
      <w:r/>
    </w:p>
    <w:p>
      <w:pPr>
        <w:pStyle w:val="963"/>
        <w:ind w:firstLine="480"/>
        <w:spacing w:line="400" w:lineRule="exact"/>
        <w:rPr>
          <w:rFonts w:ascii="宋体" w:hAnsi="宋体" w:cs="宋体"/>
          <w:sz w:val="24"/>
        </w:rPr>
      </w:pPr>
      <w:r>
        <w:rPr>
          <w:rFonts w:hint="eastAsia" w:ascii="宋体" w:hAnsi="宋体" w:cs="宋体"/>
          <w:sz w:val="24"/>
        </w:rPr>
        <w:t xml:space="preserve">（1）业务操作中的软件使用问题</w:t>
      </w:r>
      <w:r>
        <w:rPr>
          <w:rFonts w:ascii="宋体" w:hAnsi="宋体" w:cs="宋体"/>
          <w:sz w:val="24"/>
        </w:rPr>
      </w:r>
      <w:r/>
    </w:p>
    <w:p>
      <w:pPr>
        <w:pStyle w:val="963"/>
        <w:ind w:firstLine="480"/>
        <w:spacing w:line="400" w:lineRule="exact"/>
        <w:rPr>
          <w:rFonts w:ascii="宋体" w:hAnsi="宋体" w:cs="宋体"/>
          <w:sz w:val="24"/>
        </w:rPr>
      </w:pPr>
      <w:r>
        <w:rPr>
          <w:rFonts w:hint="eastAsia" w:ascii="宋体" w:hAnsi="宋体" w:cs="宋体"/>
          <w:sz w:val="24"/>
        </w:rPr>
        <w:t xml:space="preserve">（2）业务操作中的技术使用问题</w:t>
      </w:r>
      <w:r>
        <w:rPr>
          <w:rFonts w:ascii="宋体" w:hAnsi="宋体" w:cs="宋体"/>
          <w:sz w:val="24"/>
        </w:rPr>
      </w:r>
      <w:r/>
    </w:p>
    <w:p>
      <w:pPr>
        <w:pStyle w:val="963"/>
        <w:ind w:firstLine="480"/>
        <w:spacing w:line="400" w:lineRule="exact"/>
        <w:tabs>
          <w:tab w:val="left" w:pos="6969" w:leader="none"/>
        </w:tabs>
        <w:rPr>
          <w:rFonts w:ascii="宋体" w:hAnsi="宋体" w:cs="宋体"/>
          <w:sz w:val="24"/>
        </w:rPr>
      </w:pPr>
      <w:r>
        <w:rPr>
          <w:rFonts w:hint="eastAsia" w:ascii="宋体" w:hAnsi="宋体" w:cs="宋体"/>
          <w:sz w:val="24"/>
        </w:rPr>
        <w:t xml:space="preserve">（3）用户维护中的操作方法问题</w:t>
        <w:tab/>
      </w:r>
      <w:r>
        <w:rPr>
          <w:rFonts w:ascii="宋体" w:hAnsi="宋体" w:cs="宋体"/>
          <w:sz w:val="24"/>
        </w:rPr>
      </w:r>
      <w:r/>
    </w:p>
    <w:p>
      <w:pPr>
        <w:pStyle w:val="963"/>
        <w:ind w:firstLine="480"/>
        <w:spacing w:line="400" w:lineRule="exact"/>
        <w:rPr>
          <w:rFonts w:ascii="宋体" w:hAnsi="宋体" w:cs="宋体"/>
          <w:sz w:val="24"/>
        </w:rPr>
      </w:pPr>
      <w:r>
        <w:rPr>
          <w:rFonts w:hint="eastAsia" w:ascii="宋体" w:hAnsi="宋体" w:cs="宋体"/>
          <w:sz w:val="24"/>
        </w:rPr>
        <w:t xml:space="preserve">（4）系统数据备份与恢复的问题</w:t>
      </w:r>
      <w:r>
        <w:rPr>
          <w:rFonts w:ascii="宋体" w:hAnsi="宋体" w:cs="宋体"/>
          <w:sz w:val="24"/>
        </w:rPr>
      </w:r>
      <w:r/>
    </w:p>
    <w:p>
      <w:pPr>
        <w:pStyle w:val="963"/>
        <w:ind w:firstLine="480"/>
        <w:spacing w:line="400" w:lineRule="exact"/>
        <w:rPr>
          <w:rFonts w:ascii="宋体" w:hAnsi="宋体" w:cs="宋体"/>
          <w:sz w:val="24"/>
        </w:rPr>
      </w:pPr>
      <w:r>
        <w:rPr>
          <w:rFonts w:hint="eastAsia" w:ascii="宋体" w:hAnsi="宋体" w:cs="宋体"/>
          <w:sz w:val="24"/>
        </w:rPr>
        <w:t xml:space="preserve">（5）业务相关技术应用和业务咨询</w:t>
      </w:r>
      <w:r>
        <w:rPr>
          <w:rFonts w:ascii="宋体" w:hAnsi="宋体" w:cs="宋体"/>
          <w:sz w:val="24"/>
        </w:rPr>
      </w:r>
      <w:r/>
    </w:p>
    <w:p>
      <w:pPr>
        <w:pStyle w:val="963"/>
        <w:ind w:firstLine="480"/>
        <w:spacing w:line="400" w:lineRule="exact"/>
        <w:rPr>
          <w:rFonts w:ascii="黑体" w:hAnsi="黑体" w:eastAsia="黑体"/>
          <w:b/>
          <w:sz w:val="24"/>
        </w:rPr>
      </w:pPr>
      <w:r>
        <w:rPr>
          <w:rFonts w:hint="eastAsia" w:ascii="宋体" w:hAnsi="宋体" w:cs="宋体"/>
          <w:sz w:val="24"/>
        </w:rPr>
        <w:t xml:space="preserve">（6）其他问题</w:t>
      </w:r>
      <w:r>
        <w:rPr>
          <w:rFonts w:ascii="黑体" w:hAnsi="黑体" w:eastAsia="黑体"/>
          <w:b/>
          <w:sz w:val="24"/>
        </w:rPr>
      </w:r>
      <w:r/>
    </w:p>
    <w:p>
      <w:pPr>
        <w:pStyle w:val="963"/>
        <w:ind w:firstLine="562"/>
        <w:spacing w:line="360" w:lineRule="auto"/>
        <w:rPr>
          <w:rFonts w:ascii="Times New Roman" w:hAnsi="Times New Roman"/>
          <w:b/>
          <w:sz w:val="28"/>
          <w:szCs w:val="28"/>
        </w:rPr>
        <w:outlineLvl w:val="1"/>
      </w:pPr>
      <w:r>
        <w:rPr>
          <w:rFonts w:hint="eastAsia" w:ascii="Times New Roman" w:hAnsi="Times New Roman"/>
          <w:b/>
          <w:sz w:val="28"/>
          <w:szCs w:val="28"/>
        </w:rPr>
        <w:t xml:space="preserve">三、人员配备要求</w:t>
      </w:r>
      <w:r>
        <w:rPr>
          <w:rFonts w:ascii="Times New Roman" w:hAnsi="Times New Roman"/>
          <w:b/>
          <w:sz w:val="28"/>
          <w:szCs w:val="28"/>
        </w:rPr>
      </w:r>
      <w:r/>
    </w:p>
    <w:p>
      <w:pPr>
        <w:pStyle w:val="963"/>
        <w:ind w:firstLine="482"/>
        <w:spacing w:line="360" w:lineRule="auto"/>
        <w:rPr>
          <w:rFonts w:ascii="宋体" w:hAnsi="宋体" w:cs="宋体"/>
          <w:sz w:val="24"/>
        </w:rPr>
      </w:pPr>
      <w:r>
        <w:rPr>
          <w:rFonts w:hint="eastAsia" w:ascii="宋体" w:hAnsi="宋体" w:cs="宋体"/>
          <w:b/>
          <w:sz w:val="24"/>
        </w:rPr>
        <w:t xml:space="preserve">采购包1：</w:t>
      </w:r>
      <w:r>
        <w:rPr>
          <w:rFonts w:hint="eastAsia" w:ascii="宋体" w:hAnsi="宋体" w:cs="宋体"/>
          <w:sz w:val="24"/>
        </w:rPr>
        <w:t xml:space="preserve">（1）大气自动监测站运维工作需有丰富运维和数据分析经验的团队及项目经理1人，项目经理须具有本科及以上学历，有环境、气象、电子或自动化等相关专业背景，负责指导空气自动站运行管理和监测数据分析，其他专业技术人员（含驻场）</w:t>
      </w:r>
      <w:r>
        <w:rPr>
          <w:rFonts w:ascii="宋体" w:hAnsi="宋体" w:cs="宋体"/>
          <w:sz w:val="24"/>
        </w:rPr>
        <w:t xml:space="preserve">14</w:t>
      </w:r>
      <w:r>
        <w:rPr>
          <w:rFonts w:hint="eastAsia" w:ascii="宋体" w:hAnsi="宋体" w:cs="宋体"/>
          <w:sz w:val="24"/>
        </w:rPr>
        <w:t xml:space="preserve">人、巡检保障车12辆。</w:t>
      </w:r>
      <w:r>
        <w:rPr>
          <w:rFonts w:ascii="宋体" w:hAnsi="宋体" w:cs="宋体"/>
          <w:sz w:val="24"/>
        </w:rPr>
      </w:r>
      <w:r/>
    </w:p>
    <w:p>
      <w:pPr>
        <w:pStyle w:val="963"/>
        <w:ind w:firstLine="480"/>
        <w:spacing w:line="360" w:lineRule="auto"/>
        <w:rPr>
          <w:rFonts w:ascii="宋体" w:hAnsi="宋体" w:cs="宋体"/>
          <w:sz w:val="24"/>
        </w:rPr>
      </w:pPr>
      <w:r>
        <w:rPr>
          <w:rFonts w:hint="eastAsia" w:ascii="宋体" w:hAnsi="宋体" w:cs="宋体"/>
          <w:sz w:val="24"/>
        </w:rPr>
        <w:t xml:space="preserve">（2）走航监测设施维工作需有丰富运维和数据分析经验的团队及项目经理1人，项目经理必须具有本科及以上学历，具备项目管理及环境监测数据分析相关经验，能够指导走航车、固定站点管理和监测数据分析，其他专业技术人员（含司机）</w:t>
      </w:r>
      <w:r>
        <w:rPr>
          <w:rFonts w:ascii="宋体" w:hAnsi="宋体" w:cs="宋体"/>
          <w:sz w:val="24"/>
        </w:rPr>
        <w:t xml:space="preserve">9</w:t>
      </w:r>
      <w:r>
        <w:rPr>
          <w:rFonts w:hint="eastAsia" w:ascii="宋体" w:hAnsi="宋体" w:cs="宋体"/>
          <w:sz w:val="24"/>
        </w:rPr>
        <w:t xml:space="preserve">人。</w:t>
      </w:r>
      <w:r>
        <w:rPr>
          <w:rFonts w:ascii="宋体" w:hAnsi="宋体" w:cs="宋体"/>
          <w:sz w:val="24"/>
        </w:rPr>
      </w:r>
      <w:r/>
    </w:p>
    <w:p>
      <w:pPr>
        <w:pStyle w:val="963"/>
        <w:ind w:firstLine="480"/>
        <w:spacing w:line="360" w:lineRule="auto"/>
        <w:rPr>
          <w:rFonts w:ascii="宋体" w:hAnsi="宋体" w:cs="宋体"/>
          <w:sz w:val="24"/>
        </w:rPr>
      </w:pPr>
      <w:r>
        <w:rPr>
          <w:rFonts w:hint="eastAsia" w:ascii="宋体" w:hAnsi="宋体" w:cs="宋体"/>
          <w:sz w:val="24"/>
        </w:rPr>
        <w:t xml:space="preserve">（3）水质自动监测站维工作需有丰富运维和数据分析经验的团队及项目经理1人，项目经理必须具有本科及以上学历，有环境、气象、电子或自动化等相关专业背景，负责指导水质自动站运行管理和监测数据分析，其他专业技术人员（含驻场）</w:t>
      </w:r>
      <w:r>
        <w:rPr>
          <w:rFonts w:ascii="宋体" w:hAnsi="宋体" w:cs="宋体"/>
          <w:sz w:val="24"/>
        </w:rPr>
        <w:t xml:space="preserve">2</w:t>
      </w:r>
      <w:r>
        <w:rPr>
          <w:rFonts w:hint="eastAsia" w:ascii="宋体" w:hAnsi="宋体" w:cs="宋体"/>
          <w:sz w:val="24"/>
        </w:rPr>
        <w:t xml:space="preserve">人、提供保障车</w:t>
      </w:r>
      <w:r>
        <w:rPr>
          <w:rFonts w:ascii="宋体" w:hAnsi="宋体" w:cs="宋体"/>
          <w:sz w:val="24"/>
        </w:rPr>
        <w:t xml:space="preserve">2</w:t>
      </w:r>
      <w:r>
        <w:rPr>
          <w:rFonts w:hint="eastAsia" w:ascii="宋体" w:hAnsi="宋体" w:cs="宋体"/>
          <w:sz w:val="24"/>
        </w:rPr>
        <w:t xml:space="preserve">辆。</w:t>
      </w:r>
      <w:r>
        <w:rPr>
          <w:rFonts w:ascii="宋体" w:hAnsi="宋体" w:cs="宋体"/>
          <w:sz w:val="24"/>
        </w:rPr>
      </w:r>
      <w:r/>
    </w:p>
    <w:p>
      <w:pPr>
        <w:pStyle w:val="963"/>
        <w:ind w:firstLine="480"/>
        <w:spacing w:line="360" w:lineRule="auto"/>
        <w:rPr>
          <w:rFonts w:ascii="宋体" w:hAnsi="宋体"/>
          <w:sz w:val="24"/>
        </w:rPr>
      </w:pPr>
      <w:r>
        <w:rPr>
          <w:rFonts w:hint="eastAsia" w:ascii="宋体" w:hAnsi="宋体"/>
          <w:sz w:val="24"/>
        </w:rPr>
        <w:t xml:space="preserve">（4）涉及大气自动监测站运维工作人员、水质自动站运维工作人员和</w:t>
      </w:r>
      <w:r>
        <w:rPr>
          <w:rFonts w:hint="eastAsia" w:ascii="宋体" w:hAnsi="宋体" w:cs="宋体"/>
          <w:sz w:val="24"/>
        </w:rPr>
        <w:t xml:space="preserve">走航监测设施运维工作人员均</w:t>
      </w:r>
      <w:r>
        <w:rPr>
          <w:rFonts w:hint="eastAsia" w:ascii="宋体" w:hAnsi="宋体"/>
          <w:sz w:val="24"/>
        </w:rPr>
        <w:t xml:space="preserve">不得重合，</w:t>
      </w:r>
      <w:r>
        <w:rPr>
          <w:color w:val="000000"/>
          <w:spacing w:val="-6"/>
          <w:sz w:val="24"/>
          <w:szCs w:val="24"/>
        </w:rPr>
        <w:t xml:space="preserve">空气自动监测站</w:t>
      </w:r>
      <w:r>
        <w:rPr>
          <w:rFonts w:hint="eastAsia"/>
          <w:color w:val="000000"/>
          <w:spacing w:val="-6"/>
          <w:sz w:val="24"/>
          <w:szCs w:val="24"/>
        </w:rPr>
        <w:t xml:space="preserve">运维工作人员与</w:t>
      </w:r>
      <w:r>
        <w:rPr>
          <w:rFonts w:hint="eastAsia" w:ascii="宋体" w:hAnsi="宋体"/>
          <w:sz w:val="24"/>
        </w:rPr>
        <w:t xml:space="preserve">VOCs站点运维工作人员也不得重合。</w:t>
      </w:r>
      <w:r>
        <w:rPr>
          <w:rFonts w:ascii="宋体" w:hAnsi="宋体"/>
          <w:sz w:val="24"/>
        </w:rPr>
      </w:r>
      <w:r/>
    </w:p>
    <w:p>
      <w:pPr>
        <w:pStyle w:val="963"/>
        <w:ind w:firstLine="480"/>
        <w:spacing w:line="360" w:lineRule="auto"/>
        <w:rPr>
          <w:rFonts w:ascii="宋体" w:hAnsi="宋体"/>
          <w:sz w:val="24"/>
        </w:rPr>
      </w:pPr>
      <w:r>
        <w:rPr>
          <w:rFonts w:ascii="宋体" w:hAnsi="宋体"/>
          <w:sz w:val="24"/>
        </w:rPr>
      </w:r>
      <w:r/>
    </w:p>
    <w:p>
      <w:pPr>
        <w:pStyle w:val="963"/>
        <w:ind w:firstLine="482"/>
        <w:spacing w:line="360" w:lineRule="auto"/>
        <w:rPr>
          <w:rFonts w:ascii="宋体" w:hAnsi="宋体"/>
          <w:sz w:val="24"/>
          <w:lang w:val="zh-CN"/>
        </w:rPr>
      </w:pPr>
      <w:r>
        <w:rPr>
          <w:rFonts w:hint="eastAsia" w:ascii="宋体" w:hAnsi="宋体"/>
          <w:b/>
          <w:sz w:val="24"/>
          <w:lang w:val="zh-CN"/>
        </w:rPr>
        <w:t xml:space="preserve">采购包2：</w:t>
      </w:r>
      <w:r>
        <w:rPr>
          <w:rFonts w:hint="eastAsia" w:ascii="宋体" w:hAnsi="宋体"/>
          <w:sz w:val="24"/>
          <w:lang w:val="zh-CN"/>
        </w:rPr>
        <w:t xml:space="preserve">投标人提供不少于</w:t>
      </w:r>
      <w:r>
        <w:rPr>
          <w:rFonts w:hint="eastAsia" w:ascii="宋体" w:hAnsi="宋体"/>
          <w:sz w:val="24"/>
        </w:rPr>
        <w:t xml:space="preserve">一名</w:t>
      </w:r>
      <w:r>
        <w:rPr>
          <w:rFonts w:hint="eastAsia" w:ascii="宋体" w:hAnsi="宋体"/>
          <w:sz w:val="24"/>
          <w:lang w:val="zh-CN"/>
        </w:rPr>
        <w:t xml:space="preserve">有丰富的行业经验和运维技能的运维人员进行整个项目的实施工作</w:t>
      </w:r>
      <w:r>
        <w:rPr>
          <w:rFonts w:hint="eastAsia" w:ascii="宋体" w:hAnsi="宋体"/>
          <w:sz w:val="24"/>
          <w:lang w:val="zh-CN"/>
        </w:rPr>
        <w:t xml:space="preserve">；提供远程技术支持人员（信息类专业）为本项目提供技术服务。</w:t>
      </w:r>
      <w:r>
        <w:rPr>
          <w:rFonts w:ascii="宋体" w:hAnsi="宋体"/>
          <w:sz w:val="24"/>
          <w:lang w:val="zh-CN"/>
        </w:rPr>
      </w:r>
      <w:r/>
    </w:p>
    <w:p>
      <w:pPr>
        <w:pStyle w:val="963"/>
        <w:ind w:firstLine="482"/>
        <w:spacing w:line="360" w:lineRule="auto"/>
        <w:rPr>
          <w:rFonts w:ascii="宋体" w:hAnsi="宋体"/>
          <w:bCs/>
          <w:sz w:val="24"/>
          <w:szCs w:val="24"/>
        </w:rPr>
      </w:pPr>
      <w:r>
        <w:rPr>
          <w:rFonts w:hint="eastAsia" w:ascii="宋体" w:hAnsi="宋体"/>
          <w:b/>
          <w:bCs/>
          <w:color w:val="000000"/>
          <w:sz w:val="24"/>
        </w:rPr>
        <w:t xml:space="preserve">采购包3：</w:t>
      </w:r>
      <w:r>
        <w:rPr>
          <w:rFonts w:hint="eastAsia" w:ascii="宋体" w:hAnsi="宋体"/>
          <w:bCs/>
          <w:color w:val="000000"/>
          <w:sz w:val="24"/>
        </w:rPr>
        <w:t xml:space="preserve">本项目拟派项目团队成员不少于5名，包含项目经理1人、技术负责人1人、项目组成员不少于3人。</w:t>
      </w:r>
      <w:r>
        <w:rPr>
          <w:rFonts w:hint="eastAsia" w:ascii="宋体" w:hAnsi="宋体"/>
          <w:bCs/>
          <w:sz w:val="24"/>
          <w:szCs w:val="24"/>
        </w:rPr>
        <w:t xml:space="preserve">项目团队人员应具备环境领域专业知识、系统集成、网络与信息安全管理、网络工程管理、IT服务相关能力。</w:t>
      </w:r>
      <w:r>
        <w:rPr>
          <w:rFonts w:ascii="宋体" w:hAnsi="宋体"/>
          <w:bCs/>
          <w:sz w:val="24"/>
          <w:szCs w:val="24"/>
        </w:rPr>
      </w:r>
      <w:r/>
    </w:p>
    <w:p>
      <w:pPr>
        <w:pStyle w:val="963"/>
        <w:ind w:firstLine="480"/>
        <w:spacing w:line="360" w:lineRule="auto"/>
        <w:rPr>
          <w:rFonts w:ascii="宋体" w:hAnsi="宋体"/>
          <w:bCs/>
          <w:sz w:val="24"/>
          <w:szCs w:val="24"/>
        </w:rPr>
      </w:pPr>
      <w:r>
        <w:rPr>
          <w:rFonts w:hint="eastAsia" w:ascii="宋体" w:hAnsi="宋体"/>
          <w:bCs/>
          <w:sz w:val="24"/>
          <w:szCs w:val="24"/>
        </w:rPr>
        <w:t xml:space="preserve">项目经理：具备IT服务项目经理证书，负责全面履行合同，负责整个项目的实施，确保整个项目的顺利进行，协调下属各个项目组之间的工作；制定工作实施计划，及时向项目管理汇报项目进度及项目中出现的问题。</w:t>
      </w:r>
      <w:r>
        <w:rPr>
          <w:rFonts w:ascii="宋体" w:hAnsi="宋体"/>
          <w:bCs/>
          <w:sz w:val="24"/>
          <w:szCs w:val="24"/>
        </w:rPr>
      </w:r>
      <w:r/>
    </w:p>
    <w:p>
      <w:pPr>
        <w:pStyle w:val="963"/>
        <w:ind w:firstLine="480"/>
        <w:spacing w:line="360" w:lineRule="auto"/>
        <w:rPr>
          <w:rFonts w:ascii="宋体" w:hAnsi="宋体"/>
          <w:bCs/>
          <w:sz w:val="24"/>
          <w:szCs w:val="24"/>
        </w:rPr>
      </w:pPr>
      <w:r>
        <w:rPr>
          <w:rFonts w:hint="eastAsia" w:ascii="宋体" w:hAnsi="宋体"/>
          <w:bCs/>
          <w:sz w:val="24"/>
          <w:szCs w:val="24"/>
        </w:rPr>
        <w:t xml:space="preserve">技术负责人：负责项目实施过程阶段成果的质量审定，负责质量问题的处理；参与项目质量的检查、监督、考核、验收，进行分部、分项工程的自检评定和资料收集归档等工作。</w:t>
      </w:r>
      <w:r>
        <w:rPr>
          <w:rFonts w:ascii="宋体" w:hAnsi="宋体"/>
          <w:bCs/>
          <w:sz w:val="24"/>
          <w:szCs w:val="24"/>
        </w:rPr>
      </w:r>
      <w:r/>
    </w:p>
    <w:p>
      <w:pPr>
        <w:pStyle w:val="963"/>
        <w:ind w:firstLine="480"/>
        <w:spacing w:line="360" w:lineRule="auto"/>
        <w:rPr>
          <w:sz w:val="24"/>
        </w:rPr>
      </w:pPr>
      <w:r>
        <w:rPr>
          <w:rFonts w:hint="eastAsia" w:ascii="宋体" w:hAnsi="宋体"/>
          <w:bCs/>
          <w:sz w:val="24"/>
          <w:szCs w:val="24"/>
        </w:rPr>
        <w:t xml:space="preserve">项目团队成员：负责落实项目经理制定的实施计划，及时向项目经理汇报项目进度及项目中出现的问题。负责到企业现场指导企业视频的联网接入工作，负责企业现场培训工作以及定期提供现场视频网络中断、视频异常等巡检报告。</w:t>
      </w:r>
      <w:r>
        <w:rPr>
          <w:sz w:val="24"/>
        </w:rPr>
      </w:r>
      <w:r/>
    </w:p>
    <w:p>
      <w:pPr>
        <w:pStyle w:val="963"/>
        <w:ind w:firstLine="482"/>
        <w:spacing w:line="360" w:lineRule="auto"/>
        <w:rPr>
          <w:rFonts w:ascii="宋体" w:hAnsi="宋体" w:cs="宋体"/>
          <w:bCs/>
          <w:sz w:val="24"/>
        </w:rPr>
      </w:pPr>
      <w:r>
        <w:rPr>
          <w:rFonts w:hint="eastAsia"/>
          <w:b/>
          <w:sz w:val="24"/>
        </w:rPr>
        <w:t xml:space="preserve">采购包4：</w:t>
      </w:r>
      <w:r>
        <w:rPr>
          <w:rFonts w:hint="eastAsia"/>
          <w:sz w:val="24"/>
        </w:rPr>
        <w:t xml:space="preserve">本项目</w:t>
      </w:r>
      <w:r>
        <w:rPr>
          <w:rFonts w:hint="eastAsia" w:ascii="宋体" w:hAnsi="宋体" w:cs="宋体"/>
          <w:bCs/>
          <w:sz w:val="24"/>
        </w:rPr>
        <w:t xml:space="preserve">要求该运维团队提供配备不少于8人的运维团队（包括不少于4人的驻场服务），负责软件的运维。</w:t>
      </w:r>
      <w:r>
        <w:rPr>
          <w:rFonts w:ascii="宋体" w:hAnsi="宋体" w:cs="宋体"/>
          <w:bCs/>
          <w:sz w:val="24"/>
        </w:rPr>
      </w:r>
      <w:r/>
    </w:p>
    <w:p>
      <w:pPr>
        <w:pStyle w:val="963"/>
        <w:ind w:firstLine="480"/>
        <w:spacing w:line="360" w:lineRule="auto"/>
        <w:rPr>
          <w:rFonts w:ascii="宋体" w:hAnsi="宋体" w:cs="宋体"/>
          <w:sz w:val="24"/>
        </w:rPr>
      </w:pPr>
      <w:r>
        <w:rPr>
          <w:rFonts w:hint="eastAsia" w:ascii="宋体" w:hAnsi="宋体" w:cs="宋体"/>
          <w:sz w:val="24"/>
        </w:rPr>
        <w:t xml:space="preserve">现场支持：软件应用系统维护，需要安排工程师5*8小时驻场值守，至少配置4个人：1人负责大气类相关应用运营支持；1人负责水环境相关应用、其他业务运营支持；1人负责污染源企业相关应用运营支持；1人负责软件开发和大数据相关应用服务支持，监控数据服务状态；</w:t>
      </w:r>
      <w:r>
        <w:rPr>
          <w:rFonts w:ascii="宋体" w:hAnsi="宋体" w:cs="宋体"/>
          <w:sz w:val="24"/>
        </w:rPr>
      </w:r>
      <w:r/>
    </w:p>
    <w:p>
      <w:pPr>
        <w:pStyle w:val="963"/>
        <w:ind w:firstLine="480"/>
        <w:spacing w:line="360" w:lineRule="auto"/>
        <w:rPr>
          <w:rFonts w:ascii="宋体" w:hAnsi="宋体" w:cs="宋体"/>
          <w:sz w:val="24"/>
        </w:rPr>
      </w:pPr>
      <w:r>
        <w:rPr>
          <w:rFonts w:hint="eastAsia" w:ascii="宋体" w:hAnsi="宋体" w:cs="宋体"/>
          <w:sz w:val="24"/>
        </w:rPr>
        <w:t xml:space="preserve">远程支持：安排软件开发人员远程提供技术支持，至少配置4人：1人负责操作系统、数据库运维，负责系统补丁升级、系统安全管理、网络攻击与入侵检测管理、系统调优、配合硬件系统扩容及处理日志警告和故障，对数据库进行变更、监控、备份、高可用优化等工作；1人负责对维护软件进行前端优化设计；1人负责对维护的软件进行后端功能优化设计；1人负责数据接入、清洗，数据治理。</w:t>
      </w:r>
      <w:r>
        <w:rPr>
          <w:rFonts w:ascii="宋体" w:hAnsi="宋体" w:cs="宋体"/>
          <w:sz w:val="24"/>
        </w:rPr>
      </w:r>
      <w:r/>
    </w:p>
    <w:p>
      <w:pPr>
        <w:pStyle w:val="963"/>
        <w:ind w:firstLine="562"/>
        <w:spacing w:line="360" w:lineRule="auto"/>
        <w:rPr>
          <w:rFonts w:ascii="Times New Roman" w:hAnsi="Times New Roman"/>
          <w:b/>
          <w:sz w:val="28"/>
          <w:szCs w:val="28"/>
        </w:rPr>
        <w:outlineLvl w:val="1"/>
      </w:pPr>
      <w:r>
        <w:rPr>
          <w:rFonts w:hint="eastAsia" w:ascii="Times New Roman" w:hAnsi="Times New Roman"/>
          <w:b/>
          <w:sz w:val="28"/>
          <w:szCs w:val="28"/>
        </w:rPr>
        <w:t xml:space="preserve">四、服务期限与项目进度安排</w:t>
      </w:r>
      <w:r>
        <w:rPr>
          <w:rFonts w:ascii="Times New Roman" w:hAnsi="Times New Roman"/>
          <w:b/>
          <w:sz w:val="28"/>
          <w:szCs w:val="28"/>
        </w:rPr>
      </w:r>
      <w:r/>
    </w:p>
    <w:p>
      <w:pPr>
        <w:pStyle w:val="963"/>
        <w:ind w:firstLine="480"/>
        <w:spacing w:line="360" w:lineRule="auto"/>
        <w:rPr>
          <w:rFonts w:ascii="宋体" w:hAnsi="宋体" w:cs="宋体"/>
          <w:sz w:val="24"/>
        </w:rPr>
      </w:pPr>
      <w:r>
        <w:rPr>
          <w:rFonts w:hint="eastAsia" w:ascii="宋体" w:hAnsi="宋体" w:cs="宋体"/>
          <w:sz w:val="24"/>
        </w:rPr>
        <w:t xml:space="preserve">一年（自合同签订之日起）。</w:t>
      </w:r>
      <w:r>
        <w:rPr>
          <w:rFonts w:ascii="宋体" w:hAnsi="宋体" w:cs="宋体"/>
          <w:sz w:val="24"/>
        </w:rPr>
      </w:r>
      <w:r/>
    </w:p>
    <w:p>
      <w:pPr>
        <w:pStyle w:val="963"/>
        <w:ind w:firstLine="562"/>
        <w:spacing w:line="360" w:lineRule="auto"/>
        <w:rPr>
          <w:rFonts w:ascii="Times New Roman" w:hAnsi="Times New Roman"/>
          <w:b/>
          <w:sz w:val="28"/>
          <w:szCs w:val="28"/>
        </w:rPr>
        <w:outlineLvl w:val="1"/>
      </w:pPr>
      <w:r>
        <w:rPr>
          <w:rFonts w:hint="eastAsia" w:ascii="Times New Roman" w:hAnsi="Times New Roman"/>
          <w:b/>
          <w:sz w:val="28"/>
          <w:szCs w:val="28"/>
        </w:rPr>
        <w:t xml:space="preserve">五、服务标准</w:t>
      </w:r>
      <w:r>
        <w:rPr>
          <w:rFonts w:ascii="Times New Roman" w:hAnsi="Times New Roman"/>
          <w:b/>
          <w:sz w:val="28"/>
          <w:szCs w:val="28"/>
        </w:rPr>
      </w:r>
      <w:r/>
    </w:p>
    <w:p>
      <w:pPr>
        <w:pStyle w:val="963"/>
        <w:ind w:firstLine="482"/>
        <w:spacing w:line="360" w:lineRule="auto"/>
        <w:rPr>
          <w:rFonts w:ascii="宋体" w:hAnsi="宋体" w:cs="宋体"/>
          <w:sz w:val="24"/>
        </w:rPr>
      </w:pPr>
      <w:r>
        <w:rPr>
          <w:rFonts w:hint="eastAsia" w:ascii="宋体" w:hAnsi="宋体" w:cs="宋体"/>
          <w:b/>
          <w:sz w:val="24"/>
        </w:rPr>
        <w:t xml:space="preserve">采购包1：</w:t>
      </w:r>
      <w:r>
        <w:rPr>
          <w:rFonts w:hint="eastAsia" w:ascii="宋体" w:hAnsi="宋体" w:cs="宋体"/>
          <w:sz w:val="24"/>
        </w:rPr>
        <w:t xml:space="preserve">运维服务单位应遵守生态环境部、总站、省生态环境厅、省监测中心关于空气自动站、VOCS站、大气环境走航监测、机动车尾气及卫星遥感监测设施及水质自动站运行管理的各项规定。如运维期间出台新的运行管理规定，则运维工作按最新规定执行。</w:t>
      </w:r>
      <w:r>
        <w:rPr>
          <w:rFonts w:ascii="宋体" w:hAnsi="宋体" w:cs="宋体"/>
          <w:sz w:val="24"/>
        </w:rPr>
      </w:r>
      <w:r/>
    </w:p>
    <w:p>
      <w:pPr>
        <w:pStyle w:val="963"/>
        <w:ind w:firstLine="482"/>
        <w:spacing w:line="360" w:lineRule="auto"/>
        <w:rPr>
          <w:rFonts w:ascii="宋体" w:hAnsi="宋体" w:cs="宋体"/>
          <w:sz w:val="24"/>
        </w:rPr>
      </w:pPr>
      <w:r>
        <w:rPr>
          <w:rFonts w:hint="eastAsia" w:ascii="宋体" w:hAnsi="宋体"/>
          <w:b/>
          <w:sz w:val="24"/>
          <w:lang w:val="zh-CN"/>
        </w:rPr>
        <w:t xml:space="preserve">采购包2：</w:t>
      </w:r>
      <w:r>
        <w:rPr>
          <w:rFonts w:hint="eastAsia" w:ascii="宋体" w:hAnsi="宋体"/>
          <w:sz w:val="24"/>
          <w:lang w:val="zh-CN"/>
        </w:rPr>
        <w:t xml:space="preserve">(1)实施过程中确保运维质量符合国家及行业的相关标准规范。(2)严格按照甲方的要求保质保量完成工作。(3)规范项目实施过程中的文档管理。(4)制定相应灾难备份恢复应急机制，以应对突发问题。(5)运行维护期间正常服务请求， 1个小时之内响应，2个工作日内解决。</w:t>
      </w:r>
      <w:r>
        <w:rPr>
          <w:rFonts w:ascii="宋体" w:hAnsi="宋体" w:cs="宋体"/>
          <w:sz w:val="24"/>
        </w:rPr>
      </w:r>
      <w:r/>
    </w:p>
    <w:p>
      <w:pPr>
        <w:pStyle w:val="963"/>
        <w:ind w:firstLine="482"/>
        <w:spacing w:line="360" w:lineRule="auto"/>
        <w:rPr>
          <w:sz w:val="24"/>
        </w:rPr>
      </w:pPr>
      <w:r>
        <w:rPr>
          <w:rFonts w:hint="eastAsia"/>
          <w:b/>
          <w:sz w:val="24"/>
        </w:rPr>
        <w:t xml:space="preserve">采购包3：</w:t>
      </w:r>
      <w:r>
        <w:rPr>
          <w:rFonts w:hint="eastAsia"/>
          <w:sz w:val="24"/>
        </w:rPr>
        <w:t xml:space="preserve">采购标的需执行的国家相关标准、行业标准、地方标准或者其他标准、规范。</w:t>
      </w:r>
      <w:r>
        <w:rPr>
          <w:sz w:val="24"/>
        </w:rPr>
      </w:r>
      <w:r/>
    </w:p>
    <w:p>
      <w:pPr>
        <w:pStyle w:val="1157"/>
        <w:ind w:firstLine="463"/>
        <w:spacing w:line="360" w:lineRule="auto"/>
        <w:rPr>
          <w:rFonts w:ascii="宋体" w:hAnsi="宋体" w:cs="宋体"/>
          <w:sz w:val="24"/>
        </w:rPr>
      </w:pPr>
      <w:r>
        <w:rPr>
          <w:rFonts w:hint="eastAsia" w:ascii="宋体" w:hAnsi="宋体" w:cs="宋体"/>
          <w:b/>
          <w:sz w:val="24"/>
        </w:rPr>
        <w:t xml:space="preserve">采购包4：</w:t>
      </w:r>
      <w:r>
        <w:rPr>
          <w:rFonts w:hint="eastAsia" w:ascii="宋体" w:hAnsi="宋体" w:cs="宋体"/>
          <w:sz w:val="24"/>
        </w:rPr>
        <w:t xml:space="preserve">服务标准：1）软件子项运维具体指标为事件响应率100%，系统在线率不低于99%，单系统宕机故障恢复时间小于24小时（非软件因素导致的故障除外）；2）具有完备的运维记录与报告，每周定期发布一次运维周报，每月定期发布一次运维月报。</w:t>
      </w:r>
      <w:r>
        <w:rPr>
          <w:rFonts w:ascii="宋体" w:hAnsi="宋体" w:cs="宋体"/>
          <w:sz w:val="24"/>
        </w:rPr>
      </w:r>
      <w:r/>
    </w:p>
    <w:p>
      <w:pPr>
        <w:pStyle w:val="963"/>
        <w:ind w:firstLine="480"/>
        <w:spacing w:line="360" w:lineRule="auto"/>
        <w:rPr>
          <w:rFonts w:ascii="宋体" w:hAnsi="宋体" w:cs="宋体"/>
          <w:sz w:val="24"/>
        </w:rPr>
      </w:pPr>
      <w:r>
        <w:rPr>
          <w:rFonts w:hint="eastAsia" w:ascii="宋体" w:hAnsi="宋体" w:cs="宋体"/>
          <w:sz w:val="24"/>
        </w:rPr>
        <w:t xml:space="preserve">成果要求：1、中标运维服务商应在项目服务期内每月提交月度运维报告。2、中标运维服务商应在项目服务期满时将服务有关的技术文件、资料、运维报告等文档交付采购方，并提交项目年度整体运维服务报告。3、完成三级等保测评并提供报告。</w:t>
      </w:r>
      <w:r>
        <w:rPr>
          <w:rFonts w:ascii="宋体" w:hAnsi="宋体" w:cs="宋体"/>
          <w:sz w:val="24"/>
        </w:rPr>
      </w:r>
      <w:r/>
    </w:p>
    <w:p>
      <w:pPr>
        <w:pStyle w:val="963"/>
        <w:ind w:firstLine="562"/>
        <w:spacing w:line="360" w:lineRule="auto"/>
        <w:rPr>
          <w:rFonts w:ascii="Times New Roman" w:hAnsi="Times New Roman"/>
          <w:b/>
          <w:sz w:val="28"/>
          <w:szCs w:val="28"/>
        </w:rPr>
        <w:outlineLvl w:val="1"/>
      </w:pPr>
      <w:r>
        <w:rPr>
          <w:rFonts w:hint="eastAsia" w:ascii="Times New Roman" w:hAnsi="Times New Roman"/>
          <w:b/>
          <w:sz w:val="28"/>
          <w:szCs w:val="28"/>
        </w:rPr>
        <w:t xml:space="preserve">六、培训要求</w:t>
      </w:r>
      <w:r>
        <w:rPr>
          <w:rFonts w:ascii="Times New Roman" w:hAnsi="Times New Roman"/>
          <w:b/>
          <w:sz w:val="28"/>
          <w:szCs w:val="28"/>
        </w:rPr>
      </w:r>
      <w:r/>
    </w:p>
    <w:p>
      <w:pPr>
        <w:pStyle w:val="963"/>
        <w:ind w:firstLine="482"/>
        <w:spacing w:line="360" w:lineRule="auto"/>
        <w:rPr>
          <w:rFonts w:ascii="宋体" w:hAnsi="宋体"/>
          <w:sz w:val="24"/>
          <w:lang w:val="zh-CN"/>
        </w:rPr>
      </w:pPr>
      <w:r>
        <w:rPr>
          <w:rFonts w:hint="eastAsia" w:ascii="宋体" w:hAnsi="宋体"/>
          <w:b/>
          <w:sz w:val="24"/>
          <w:lang w:val="zh-CN"/>
        </w:rPr>
        <w:t xml:space="preserve">采购包1：</w:t>
      </w:r>
      <w:r>
        <w:rPr>
          <w:rFonts w:hint="eastAsia" w:ascii="宋体" w:hAnsi="宋体"/>
          <w:sz w:val="24"/>
          <w:lang w:val="zh-CN"/>
        </w:rPr>
        <w:t xml:space="preserve">满足采购方的运维培训需求。</w:t>
      </w:r>
      <w:r>
        <w:rPr>
          <w:rFonts w:hint="eastAsia" w:ascii="宋体" w:hAnsi="宋体" w:cs="仿宋"/>
          <w:sz w:val="24"/>
          <w:szCs w:val="24"/>
        </w:rPr>
        <w:t xml:space="preserve">提供大气环境监测及运维、地表水环境监测及运维相关培训（一年一次）。</w:t>
      </w:r>
      <w:r>
        <w:rPr>
          <w:rFonts w:ascii="宋体" w:hAnsi="宋体"/>
          <w:sz w:val="24"/>
          <w:lang w:val="zh-CN"/>
        </w:rPr>
      </w:r>
      <w:r/>
    </w:p>
    <w:p>
      <w:pPr>
        <w:pStyle w:val="963"/>
        <w:ind w:firstLine="482"/>
        <w:spacing w:line="360" w:lineRule="auto"/>
        <w:rPr>
          <w:rFonts w:ascii="Times New Roman" w:hAnsi="Times New Roman"/>
          <w:b/>
          <w:sz w:val="28"/>
          <w:szCs w:val="28"/>
        </w:rPr>
      </w:pPr>
      <w:r>
        <w:rPr>
          <w:rFonts w:hint="eastAsia" w:ascii="宋体" w:hAnsi="宋体"/>
          <w:b/>
          <w:sz w:val="24"/>
          <w:lang w:val="zh-CN"/>
        </w:rPr>
        <w:t xml:space="preserve">采购包2：</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）提供企业、设区市生态环境部门提供染源自动监控平台软件培训（一年一次）。</w:t>
      </w:r>
      <w:r>
        <w:rPr>
          <w:rFonts w:ascii="Times New Roman" w:hAnsi="Times New Roman"/>
          <w:b/>
          <w:sz w:val="28"/>
          <w:szCs w:val="28"/>
        </w:rPr>
      </w:r>
      <w:r/>
    </w:p>
    <w:p>
      <w:pPr>
        <w:pStyle w:val="963"/>
        <w:ind w:firstLine="480"/>
        <w:spacing w:line="360" w:lineRule="auto"/>
        <w:rPr>
          <w:rFonts w:ascii="宋体" w:hAnsi="宋体" w:cs="仿宋"/>
          <w:sz w:val="24"/>
          <w:szCs w:val="24"/>
          <w:lang w:val="zh-CN"/>
        </w:rPr>
      </w:pP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）培训授课人必须是本领域具备类似项目经验丰富的人员。</w:t>
      </w:r>
      <w:r>
        <w:rPr>
          <w:rFonts w:ascii="宋体" w:hAnsi="宋体" w:cs="仿宋"/>
          <w:sz w:val="24"/>
          <w:szCs w:val="24"/>
          <w:lang w:val="zh-CN"/>
        </w:rPr>
      </w:r>
      <w:r/>
    </w:p>
    <w:p>
      <w:pPr>
        <w:pStyle w:val="963"/>
        <w:ind w:firstLine="482"/>
        <w:spacing w:line="360" w:lineRule="auto"/>
        <w:rPr>
          <w:rFonts w:ascii="宋体" w:hAnsi="宋体" w:cs="仿宋"/>
          <w:sz w:val="24"/>
          <w:szCs w:val="24"/>
          <w:lang w:val="zh-CN"/>
        </w:rPr>
      </w:pPr>
      <w:r>
        <w:rPr>
          <w:rFonts w:hint="eastAsia" w:ascii="宋体" w:hAnsi="宋体" w:cs="仿宋"/>
          <w:b/>
          <w:sz w:val="24"/>
          <w:szCs w:val="24"/>
          <w:lang w:val="zh-CN"/>
        </w:rPr>
        <w:t xml:space="preserve">采购包3：</w:t>
      </w:r>
      <w:r>
        <w:rPr>
          <w:rFonts w:hint="eastAsia" w:ascii="宋体" w:hAnsi="宋体" w:cs="仿宋"/>
          <w:sz w:val="24"/>
          <w:szCs w:val="24"/>
          <w:lang w:val="zh-CN"/>
        </w:rPr>
        <w:t xml:space="preserve">（1）向本项目中所涉及的用户提供培训，保证用户能够进行视频云的运行管理、操作、日常维护与故障分析处理等工作。</w:t>
      </w:r>
      <w:r>
        <w:rPr>
          <w:rFonts w:ascii="宋体" w:hAnsi="宋体" w:cs="仿宋"/>
          <w:sz w:val="24"/>
          <w:szCs w:val="24"/>
          <w:lang w:val="zh-CN"/>
        </w:rPr>
      </w:r>
      <w:r/>
    </w:p>
    <w:p>
      <w:pPr>
        <w:pStyle w:val="963"/>
        <w:ind w:firstLine="480"/>
        <w:spacing w:line="360" w:lineRule="auto"/>
        <w:rPr>
          <w:rFonts w:ascii="宋体" w:hAnsi="宋体" w:cs="仿宋"/>
          <w:sz w:val="24"/>
          <w:szCs w:val="24"/>
          <w:lang w:val="zh-CN"/>
        </w:rPr>
      </w:pPr>
      <w:r>
        <w:rPr>
          <w:rFonts w:hint="eastAsia" w:ascii="宋体" w:hAnsi="宋体" w:cs="仿宋"/>
          <w:sz w:val="24"/>
          <w:szCs w:val="24"/>
          <w:lang w:val="zh-CN"/>
        </w:rPr>
        <w:t xml:space="preserve">（</w:t>
      </w:r>
      <w:r>
        <w:rPr>
          <w:rFonts w:ascii="宋体" w:hAnsi="宋体" w:cs="仿宋"/>
          <w:sz w:val="24"/>
          <w:szCs w:val="24"/>
          <w:lang w:val="zh-CN"/>
        </w:rPr>
        <w:t xml:space="preserve">2</w:t>
      </w:r>
      <w:r>
        <w:rPr>
          <w:rFonts w:hint="eastAsia" w:ascii="宋体" w:hAnsi="宋体" w:cs="仿宋"/>
          <w:sz w:val="24"/>
          <w:szCs w:val="24"/>
          <w:lang w:val="zh-CN"/>
        </w:rPr>
        <w:t xml:space="preserve">）培训授课人必须是本领域具备类似项目经验丰富的人员。</w:t>
      </w:r>
      <w:r>
        <w:rPr>
          <w:rFonts w:ascii="宋体" w:hAnsi="宋体" w:cs="仿宋"/>
          <w:sz w:val="24"/>
          <w:szCs w:val="24"/>
          <w:lang w:val="zh-CN"/>
        </w:rPr>
      </w:r>
      <w:r/>
    </w:p>
    <w:p>
      <w:pPr>
        <w:pStyle w:val="963"/>
        <w:ind w:firstLine="480"/>
        <w:spacing w:line="360" w:lineRule="auto"/>
        <w:rPr>
          <w:rFonts w:ascii="宋体" w:hAnsi="宋体" w:cs="宋体"/>
          <w:sz w:val="24"/>
        </w:rPr>
      </w:pPr>
      <w:r>
        <w:rPr>
          <w:rFonts w:hint="eastAsia" w:ascii="宋体" w:hAnsi="宋体" w:cs="仿宋"/>
          <w:sz w:val="24"/>
          <w:szCs w:val="24"/>
          <w:lang w:val="zh-CN"/>
        </w:rPr>
        <w:t xml:space="preserve">（</w:t>
      </w:r>
      <w:r>
        <w:rPr>
          <w:rFonts w:ascii="宋体" w:hAnsi="宋体" w:cs="仿宋"/>
          <w:sz w:val="24"/>
          <w:szCs w:val="24"/>
          <w:lang w:val="zh-CN"/>
        </w:rPr>
        <w:t xml:space="preserve">3</w:t>
      </w:r>
      <w:r>
        <w:rPr>
          <w:rFonts w:hint="eastAsia" w:ascii="宋体" w:hAnsi="宋体" w:cs="仿宋"/>
          <w:sz w:val="24"/>
          <w:szCs w:val="24"/>
          <w:lang w:val="zh-CN"/>
        </w:rPr>
        <w:t xml:space="preserve">）应提供培训方案、培训计划和培训资料，向接受培训人员提供技术资料、参考文献材料等。</w:t>
      </w:r>
      <w:r>
        <w:rPr>
          <w:rFonts w:ascii="宋体" w:hAnsi="宋体" w:cs="宋体"/>
          <w:sz w:val="24"/>
        </w:rPr>
      </w:r>
      <w:r/>
    </w:p>
    <w:p>
      <w:pPr>
        <w:pStyle w:val="963"/>
        <w:ind w:firstLine="482"/>
        <w:spacing w:line="360" w:lineRule="auto"/>
        <w:rPr>
          <w:rFonts w:ascii="宋体" w:hAnsi="宋体" w:cs="宋体"/>
          <w:sz w:val="24"/>
        </w:rPr>
      </w:pPr>
      <w:r>
        <w:rPr>
          <w:rFonts w:hint="eastAsia" w:ascii="宋体" w:hAnsi="宋体" w:cs="宋体"/>
          <w:b/>
          <w:sz w:val="24"/>
        </w:rPr>
        <w:t xml:space="preserve">采购包4：</w:t>
      </w:r>
      <w:r>
        <w:rPr>
          <w:rFonts w:hint="eastAsia" w:ascii="宋体" w:hAnsi="宋体" w:cs="宋体"/>
          <w:sz w:val="24"/>
        </w:rPr>
        <w:t xml:space="preserve">中标运维服务商应针对本项目的运维内容和使用对象编制具体培训方案，要求如下：</w:t>
      </w:r>
      <w:r>
        <w:rPr>
          <w:rFonts w:ascii="宋体" w:hAnsi="宋体" w:cs="宋体"/>
          <w:sz w:val="24"/>
        </w:rPr>
      </w:r>
      <w:r/>
    </w:p>
    <w:p>
      <w:pPr>
        <w:pStyle w:val="963"/>
        <w:ind w:firstLine="480"/>
        <w:spacing w:line="360" w:lineRule="auto"/>
        <w:rPr>
          <w:rFonts w:ascii="宋体" w:hAnsi="宋体" w:cs="宋体"/>
          <w:sz w:val="24"/>
        </w:rPr>
      </w:pPr>
      <w:r>
        <w:rPr>
          <w:rFonts w:hint="eastAsia" w:ascii="宋体" w:hAnsi="宋体" w:cs="宋体"/>
          <w:sz w:val="24"/>
        </w:rPr>
        <w:t xml:space="preserve">（1）交流或培训对象：连云港市生态环境局用户、各区县生态环境局用户、工业园区用户、企业用户等。</w:t>
      </w:r>
      <w:r>
        <w:rPr>
          <w:rFonts w:ascii="宋体" w:hAnsi="宋体" w:cs="宋体"/>
          <w:sz w:val="24"/>
        </w:rPr>
      </w:r>
      <w:r/>
    </w:p>
    <w:p>
      <w:pPr>
        <w:pStyle w:val="963"/>
        <w:ind w:firstLine="480"/>
        <w:spacing w:line="360" w:lineRule="auto"/>
        <w:rPr>
          <w:rFonts w:ascii="宋体" w:hAnsi="宋体" w:cs="宋体"/>
          <w:sz w:val="24"/>
        </w:rPr>
      </w:pPr>
      <w:r>
        <w:rPr>
          <w:rFonts w:hint="eastAsia" w:ascii="宋体" w:hAnsi="宋体" w:cs="宋体"/>
          <w:sz w:val="24"/>
        </w:rPr>
        <w:t xml:space="preserve">（2）交流或培训内容：交流或培训内容应包括软件使用操作方法，软件系统的技术架构、数据构成、业务逻辑等。除上述培训内容外，在系统运行期间若采购人有其它培训要求，根据实际情况协助采购人完成相关培训。</w:t>
      </w:r>
      <w:r>
        <w:rPr>
          <w:rFonts w:ascii="宋体" w:hAnsi="宋体" w:cs="宋体"/>
          <w:sz w:val="24"/>
        </w:rPr>
      </w:r>
      <w:r/>
    </w:p>
    <w:p>
      <w:pPr>
        <w:pStyle w:val="963"/>
        <w:ind w:firstLine="480"/>
        <w:spacing w:line="360" w:lineRule="auto"/>
        <w:rPr>
          <w:rFonts w:ascii="宋体" w:hAnsi="宋体" w:cs="宋体"/>
          <w:sz w:val="24"/>
        </w:rPr>
      </w:pPr>
      <w:r>
        <w:rPr>
          <w:rFonts w:hint="eastAsia" w:ascii="宋体" w:hAnsi="宋体" w:cs="宋体"/>
          <w:sz w:val="24"/>
        </w:rPr>
        <w:t xml:space="preserve">（3）交流或培训资料：提供操作使用手册、培训PPT、会议纪要等资料。</w:t>
      </w:r>
      <w:r>
        <w:rPr>
          <w:rFonts w:ascii="宋体" w:hAnsi="宋体" w:cs="宋体"/>
          <w:sz w:val="24"/>
        </w:rPr>
      </w:r>
      <w:r/>
    </w:p>
    <w:p>
      <w:pPr>
        <w:pStyle w:val="963"/>
        <w:ind w:firstLine="480"/>
        <w:spacing w:line="360" w:lineRule="auto"/>
        <w:rPr>
          <w:sz w:val="24"/>
        </w:rPr>
      </w:pPr>
      <w:r>
        <w:rPr>
          <w:rFonts w:hint="eastAsia" w:ascii="宋体" w:hAnsi="宋体" w:cs="宋体"/>
          <w:sz w:val="24"/>
        </w:rPr>
        <w:t xml:space="preserve">（4）培训方式：采用现场集中培训或远程会议培训相结合的方式。</w:t>
      </w:r>
      <w:r>
        <w:rPr>
          <w:rFonts w:hint="eastAsia"/>
          <w:sz w:val="24"/>
        </w:rPr>
        <w:t xml:space="preserve">培训范围、时间、次数、形式等。</w:t>
      </w:r>
      <w:r>
        <w:rPr>
          <w:sz w:val="24"/>
        </w:rPr>
      </w:r>
      <w:r/>
    </w:p>
    <w:p>
      <w:pPr>
        <w:pStyle w:val="963"/>
        <w:ind w:firstLine="562"/>
        <w:spacing w:line="360" w:lineRule="auto"/>
        <w:rPr>
          <w:rFonts w:ascii="Times New Roman" w:hAnsi="Times New Roman"/>
          <w:b/>
          <w:sz w:val="28"/>
          <w:szCs w:val="28"/>
        </w:rPr>
        <w:outlineLvl w:val="1"/>
      </w:pPr>
      <w:r>
        <w:rPr>
          <w:rFonts w:hint="eastAsia" w:ascii="Times New Roman" w:hAnsi="Times New Roman"/>
          <w:b/>
          <w:sz w:val="28"/>
          <w:szCs w:val="28"/>
        </w:rPr>
        <w:t xml:space="preserve">七、知识产权归属和处理方式</w:t>
      </w:r>
      <w:r>
        <w:rPr>
          <w:rFonts w:ascii="Times New Roman" w:hAnsi="Times New Roman"/>
          <w:b/>
          <w:sz w:val="28"/>
          <w:szCs w:val="28"/>
        </w:rPr>
      </w:r>
      <w:r/>
    </w:p>
    <w:p>
      <w:pPr>
        <w:pStyle w:val="963"/>
        <w:ind w:firstLine="480"/>
        <w:spacing w:line="360" w:lineRule="auto"/>
        <w:rPr>
          <w:sz w:val="24"/>
        </w:rPr>
      </w:pPr>
      <w:r>
        <w:rPr>
          <w:rFonts w:hint="eastAsia"/>
          <w:sz w:val="24"/>
        </w:rPr>
        <w:t xml:space="preserve">本项目根据采购方要求对维护软件升级优化的知识产权归属采购方。</w:t>
      </w:r>
      <w:r>
        <w:rPr>
          <w:sz w:val="24"/>
        </w:rPr>
      </w:r>
      <w:r/>
    </w:p>
    <w:p>
      <w:pPr>
        <w:pStyle w:val="963"/>
        <w:ind w:firstLine="562"/>
        <w:spacing w:line="360" w:lineRule="auto"/>
        <w:rPr>
          <w:rFonts w:ascii="Times New Roman" w:hAnsi="Times New Roman"/>
          <w:b/>
          <w:sz w:val="28"/>
          <w:szCs w:val="28"/>
        </w:rPr>
        <w:outlineLvl w:val="1"/>
      </w:pPr>
      <w:r>
        <w:rPr>
          <w:rFonts w:hint="eastAsia" w:ascii="Times New Roman" w:hAnsi="Times New Roman"/>
          <w:b/>
          <w:sz w:val="28"/>
          <w:szCs w:val="28"/>
        </w:rPr>
        <w:t xml:space="preserve">八、考核标准及考核办法</w:t>
      </w:r>
      <w:r>
        <w:rPr>
          <w:rFonts w:ascii="Times New Roman" w:hAnsi="Times New Roman"/>
          <w:b/>
          <w:sz w:val="28"/>
          <w:szCs w:val="28"/>
        </w:rPr>
      </w:r>
      <w:r/>
    </w:p>
    <w:p>
      <w:pPr>
        <w:pStyle w:val="963"/>
        <w:ind w:firstLine="562"/>
        <w:spacing w:line="360" w:lineRule="auto"/>
        <w:rPr>
          <w:rFonts w:ascii="Times New Roman" w:hAnsi="Times New Roman"/>
          <w:b/>
          <w:sz w:val="28"/>
          <w:szCs w:val="28"/>
        </w:rPr>
        <w:outlineLvl w:val="2"/>
      </w:pPr>
      <w:r>
        <w:rPr>
          <w:rFonts w:hint="eastAsia" w:ascii="Times New Roman" w:hAnsi="Times New Roman"/>
          <w:b/>
          <w:sz w:val="28"/>
          <w:szCs w:val="28"/>
        </w:rPr>
        <w:t xml:space="preserve">采购包1：</w:t>
      </w:r>
      <w:r>
        <w:rPr>
          <w:rFonts w:ascii="Times New Roman" w:hAnsi="Times New Roman"/>
          <w:b/>
          <w:sz w:val="28"/>
          <w:szCs w:val="28"/>
        </w:rPr>
      </w:r>
      <w:r/>
    </w:p>
    <w:p>
      <w:pPr>
        <w:pStyle w:val="963"/>
        <w:numPr>
          <w:ilvl w:val="0"/>
          <w:numId w:val="49"/>
        </w:numPr>
        <w:ind w:firstLine="482"/>
        <w:jc w:val="left"/>
        <w:spacing w:line="360" w:lineRule="auto"/>
        <w:widowControl/>
        <w:rPr>
          <w:rFonts w:ascii="宋体" w:hAnsi="宋体" w:cs="宋体"/>
          <w:b/>
          <w:bCs/>
          <w:sz w:val="24"/>
        </w:rPr>
        <w:outlineLvl w:val="3"/>
      </w:pPr>
      <w:r>
        <w:rPr>
          <w:rFonts w:hint="eastAsia" w:ascii="宋体" w:hAnsi="宋体" w:cs="宋体"/>
          <w:b/>
          <w:bCs/>
          <w:sz w:val="24"/>
        </w:rPr>
        <w:t xml:space="preserve">空气自动站考核标准及考核办法</w:t>
      </w:r>
      <w:r>
        <w:rPr>
          <w:rFonts w:ascii="宋体" w:hAnsi="宋体" w:cs="宋体"/>
          <w:b/>
          <w:bCs/>
          <w:sz w:val="24"/>
        </w:rPr>
      </w:r>
      <w:r/>
    </w:p>
    <w:p>
      <w:pPr>
        <w:pStyle w:val="963"/>
        <w:ind w:firstLine="482"/>
        <w:jc w:val="left"/>
        <w:keepLines/>
        <w:keepNext/>
        <w:spacing w:line="360" w:lineRule="auto"/>
        <w:tabs>
          <w:tab w:val="left" w:pos="210" w:leader="none"/>
        </w:tabs>
        <w:rPr>
          <w:rFonts w:ascii="宋体" w:hAnsi="宋体" w:cs="宋体"/>
          <w:b/>
          <w:color w:val="000000"/>
          <w:sz w:val="24"/>
        </w:rPr>
        <w:outlineLvl w:val="2"/>
      </w:pPr>
      <w:r>
        <w:rPr>
          <w:rFonts w:hint="eastAsia" w:ascii="宋体" w:hAnsi="宋体" w:cs="宋体"/>
          <w:b/>
          <w:color w:val="000000"/>
          <w:sz w:val="24"/>
        </w:rPr>
        <w:t xml:space="preserve">（1） 运维考核办法</w:t>
      </w:r>
      <w:r>
        <w:rPr>
          <w:rFonts w:ascii="宋体" w:hAnsi="宋体" w:cs="宋体"/>
          <w:b/>
          <w:color w:val="000000"/>
          <w:sz w:val="24"/>
        </w:rPr>
      </w:r>
      <w:r/>
    </w:p>
    <w:p>
      <w:pPr>
        <w:pStyle w:val="963"/>
        <w:ind w:firstLine="480"/>
        <w:spacing w:line="360" w:lineRule="auto"/>
        <w:rPr>
          <w:rFonts w:ascii="宋体" w:hAnsi="宋体" w:cs="宋体"/>
          <w:color w:val="000000"/>
          <w:sz w:val="24"/>
        </w:rPr>
      </w:pPr>
      <w:r>
        <w:rPr>
          <w:rFonts w:hint="eastAsia" w:ascii="宋体" w:hAnsi="宋体" w:cs="宋体"/>
          <w:color w:val="000000"/>
          <w:sz w:val="24"/>
        </w:rPr>
        <w:t xml:space="preserve">每季度由连云港市环境监测监控中心对运维中标单位绩效(职责履行情况)进行考核，填写考核表。考核采取百分制、单站单因子考核的方式进行，主要包括数据获取率、数据有效（合格）率(以下简称两率)、运行维护3部分内容，其中两率考核占50%，运行维护考核占50%。</w:t>
      </w:r>
      <w:r>
        <w:rPr>
          <w:rFonts w:ascii="宋体" w:hAnsi="宋体" w:cs="宋体"/>
          <w:color w:val="000000"/>
          <w:sz w:val="24"/>
        </w:rPr>
      </w:r>
      <w:r/>
    </w:p>
    <w:p>
      <w:pPr>
        <w:pStyle w:val="963"/>
        <w:ind w:firstLine="480"/>
        <w:spacing w:line="360" w:lineRule="auto"/>
        <w:rPr>
          <w:rFonts w:ascii="宋体" w:hAnsi="宋体" w:cs="宋体"/>
          <w:color w:val="000000"/>
          <w:sz w:val="24"/>
        </w:rPr>
      </w:pPr>
      <w:r>
        <w:rPr>
          <w:rFonts w:hint="eastAsia" w:ascii="宋体" w:hAnsi="宋体" w:cs="宋体"/>
          <w:color w:val="000000"/>
          <w:sz w:val="24"/>
        </w:rPr>
        <w:t xml:space="preserve">数据获取率指考核时段内监测因子实际获取的小时值监测数据量总和除以应获得小时值数据量总和。每日监测因子应获得小时值数据量均按24个计，考核时段天数按考核时段内日历天数计。计算应获得小时值数据量时，应扣除因不可抗力造成的停止监测的小时值数据。</w:t>
      </w:r>
      <w:r>
        <w:rPr>
          <w:rFonts w:ascii="宋体" w:hAnsi="宋体" w:cs="宋体"/>
          <w:color w:val="000000"/>
          <w:sz w:val="24"/>
        </w:rPr>
      </w:r>
      <w:r/>
    </w:p>
    <w:p>
      <w:pPr>
        <w:pStyle w:val="963"/>
        <w:ind w:firstLine="480"/>
        <w:spacing w:line="360" w:lineRule="auto"/>
        <w:rPr>
          <w:rFonts w:ascii="宋体" w:hAnsi="宋体" w:cs="宋体"/>
          <w:color w:val="000000"/>
          <w:sz w:val="24"/>
        </w:rPr>
      </w:pPr>
      <w:r>
        <w:rPr>
          <w:rFonts w:hint="eastAsia" w:ascii="宋体" w:hAnsi="宋体" w:cs="宋体"/>
          <w:color w:val="000000"/>
          <w:sz w:val="24"/>
        </w:rPr>
        <w:t xml:space="preserve">数据质控合格率指考核时段内监测因子实际获取的质控合格的小时值监测数据量总和除以应获得小时值数据量总和。</w:t>
      </w:r>
      <w:r>
        <w:rPr>
          <w:rFonts w:ascii="宋体" w:hAnsi="宋体" w:cs="宋体"/>
          <w:color w:val="000000"/>
          <w:sz w:val="24"/>
        </w:rPr>
      </w:r>
      <w:r/>
    </w:p>
    <w:p>
      <w:pPr>
        <w:pStyle w:val="963"/>
        <w:ind w:firstLine="480"/>
        <w:spacing w:line="360" w:lineRule="auto"/>
        <w:rPr>
          <w:rFonts w:ascii="宋体" w:hAnsi="宋体" w:cs="宋体"/>
          <w:color w:val="000000"/>
          <w:sz w:val="24"/>
        </w:rPr>
      </w:pPr>
      <w:r>
        <w:rPr>
          <w:rFonts w:hint="eastAsia" w:ascii="宋体" w:hAnsi="宋体" w:cs="宋体"/>
          <w:color w:val="000000"/>
          <w:sz w:val="24"/>
        </w:rPr>
        <w:t xml:space="preserve">（一）数据有效性</w:t>
      </w:r>
      <w:r>
        <w:rPr>
          <w:rFonts w:ascii="宋体" w:hAnsi="宋体" w:cs="宋体"/>
          <w:color w:val="000000"/>
          <w:sz w:val="24"/>
        </w:rPr>
      </w:r>
      <w:r/>
    </w:p>
    <w:p>
      <w:pPr>
        <w:pStyle w:val="963"/>
        <w:ind w:firstLine="480"/>
        <w:spacing w:line="360" w:lineRule="auto"/>
        <w:rPr>
          <w:rFonts w:ascii="宋体" w:hAnsi="宋体" w:cs="宋体"/>
          <w:color w:val="000000"/>
          <w:sz w:val="24"/>
        </w:rPr>
      </w:pPr>
      <w:r>
        <w:rPr>
          <w:rFonts w:hint="eastAsia" w:ascii="宋体" w:hAnsi="宋体" w:cs="宋体"/>
          <w:color w:val="000000"/>
          <w:sz w:val="24"/>
        </w:rPr>
        <w:t xml:space="preserve">考核时段内监测因子有效数据量应满足《环境空气质量标准》（GB 3095-2012）中规定的污染物浓度数据有效性的最低要求，否则考核总分为0分。</w:t>
      </w:r>
      <w:r>
        <w:rPr>
          <w:rFonts w:ascii="宋体" w:hAnsi="宋体" w:cs="宋体"/>
          <w:color w:val="000000"/>
          <w:sz w:val="24"/>
        </w:rPr>
      </w:r>
      <w:r/>
    </w:p>
    <w:p>
      <w:pPr>
        <w:pStyle w:val="963"/>
        <w:ind w:firstLine="480"/>
        <w:spacing w:line="360" w:lineRule="auto"/>
        <w:rPr>
          <w:rFonts w:ascii="宋体" w:hAnsi="宋体" w:cs="宋体"/>
          <w:color w:val="000000"/>
          <w:sz w:val="24"/>
        </w:rPr>
      </w:pPr>
      <w:r>
        <w:rPr>
          <w:rFonts w:hint="eastAsia" w:ascii="宋体" w:hAnsi="宋体" w:cs="宋体"/>
          <w:color w:val="000000"/>
          <w:sz w:val="24"/>
        </w:rPr>
        <w:t xml:space="preserve">（二）两率及运行维护</w:t>
      </w:r>
      <w:r>
        <w:rPr>
          <w:rFonts w:ascii="宋体" w:hAnsi="宋体" w:cs="宋体"/>
          <w:color w:val="000000"/>
          <w:sz w:val="24"/>
        </w:rPr>
      </w:r>
      <w:r/>
    </w:p>
    <w:p>
      <w:pPr>
        <w:pStyle w:val="963"/>
        <w:ind w:firstLine="480"/>
        <w:spacing w:line="360" w:lineRule="auto"/>
        <w:rPr>
          <w:rFonts w:ascii="宋体" w:hAnsi="宋体" w:cs="宋体"/>
          <w:color w:val="000000"/>
          <w:sz w:val="24"/>
        </w:rPr>
      </w:pPr>
      <w:r>
        <w:rPr>
          <w:rFonts w:hint="eastAsia" w:ascii="宋体" w:hAnsi="宋体" w:cs="宋体"/>
          <w:color w:val="000000"/>
          <w:sz w:val="24"/>
        </w:rPr>
        <w:t xml:space="preserve">单站单因子数据获取率必须高于90%（含），数据有效率必须高于85%，否则考核总分以0分计算。</w:t>
      </w:r>
      <w:r>
        <w:rPr>
          <w:rFonts w:ascii="宋体" w:hAnsi="宋体" w:cs="宋体"/>
          <w:color w:val="000000"/>
          <w:sz w:val="24"/>
        </w:rPr>
      </w:r>
      <w:r/>
    </w:p>
    <w:p>
      <w:pPr>
        <w:pStyle w:val="963"/>
        <w:ind w:firstLine="480"/>
        <w:spacing w:line="360" w:lineRule="auto"/>
        <w:rPr>
          <w:rFonts w:ascii="宋体" w:hAnsi="宋体" w:cs="宋体"/>
          <w:color w:val="000000"/>
          <w:sz w:val="24"/>
        </w:rPr>
      </w:pPr>
      <w:r>
        <w:rPr>
          <w:rFonts w:hint="eastAsia" w:ascii="宋体" w:hAnsi="宋体" w:cs="宋体"/>
          <w:color w:val="000000"/>
          <w:sz w:val="24"/>
        </w:rPr>
        <w:t xml:space="preserve">（1）两率部分(50分)</w:t>
      </w:r>
      <w:r>
        <w:rPr>
          <w:rFonts w:ascii="宋体" w:hAnsi="宋体" w:cs="宋体"/>
          <w:color w:val="000000"/>
          <w:sz w:val="24"/>
        </w:rPr>
      </w:r>
      <w:r/>
    </w:p>
    <w:p>
      <w:pPr>
        <w:pStyle w:val="963"/>
        <w:ind w:firstLine="480"/>
        <w:spacing w:line="360" w:lineRule="auto"/>
        <w:rPr>
          <w:rFonts w:ascii="宋体" w:hAnsi="宋体" w:cs="宋体"/>
          <w:color w:val="000000"/>
          <w:sz w:val="24"/>
        </w:rPr>
      </w:pPr>
      <w:r>
        <w:rPr>
          <w:rFonts w:hint="eastAsia" w:ascii="宋体" w:hAnsi="宋体" w:cs="宋体"/>
          <w:color w:val="000000"/>
          <w:sz w:val="24"/>
        </w:rPr>
        <w:t xml:space="preserve">监测因子有效率高于90%(含)的，两率得分=50；</w:t>
      </w:r>
      <w:r>
        <w:rPr>
          <w:rFonts w:ascii="宋体" w:hAnsi="宋体" w:cs="宋体"/>
          <w:color w:val="000000"/>
          <w:sz w:val="24"/>
        </w:rPr>
      </w:r>
      <w:r/>
    </w:p>
    <w:p>
      <w:pPr>
        <w:pStyle w:val="963"/>
        <w:ind w:firstLine="480"/>
        <w:spacing w:line="360" w:lineRule="auto"/>
        <w:rPr>
          <w:rFonts w:ascii="宋体" w:hAnsi="宋体" w:cs="宋体"/>
          <w:color w:val="000000"/>
          <w:sz w:val="24"/>
        </w:rPr>
      </w:pPr>
      <w:r>
        <w:rPr>
          <w:rFonts w:hint="eastAsia" w:ascii="宋体" w:hAnsi="宋体" w:cs="宋体"/>
          <w:color w:val="000000"/>
          <w:sz w:val="24"/>
        </w:rPr>
        <w:t xml:space="preserve">监测因子有效率在80%(含)-90%的，两率得分=为50×数据有效率；</w:t>
      </w:r>
      <w:r>
        <w:rPr>
          <w:rFonts w:ascii="宋体" w:hAnsi="宋体" w:cs="宋体"/>
          <w:color w:val="000000"/>
          <w:sz w:val="24"/>
        </w:rPr>
      </w:r>
      <w:r/>
    </w:p>
    <w:p>
      <w:pPr>
        <w:pStyle w:val="963"/>
        <w:ind w:firstLine="480"/>
        <w:spacing w:line="360" w:lineRule="auto"/>
        <w:rPr>
          <w:rFonts w:ascii="宋体" w:hAnsi="宋体" w:cs="宋体"/>
          <w:color w:val="000000"/>
          <w:sz w:val="24"/>
        </w:rPr>
      </w:pPr>
      <w:r>
        <w:rPr>
          <w:rFonts w:hint="eastAsia" w:ascii="宋体" w:hAnsi="宋体" w:cs="宋体"/>
          <w:color w:val="000000"/>
          <w:sz w:val="24"/>
        </w:rPr>
        <w:t xml:space="preserve">监测因子有效率低于80%的，两率部分不得分。</w:t>
      </w:r>
      <w:r>
        <w:rPr>
          <w:rFonts w:ascii="宋体" w:hAnsi="宋体" w:cs="宋体"/>
          <w:color w:val="000000"/>
          <w:sz w:val="24"/>
        </w:rPr>
      </w:r>
      <w:r/>
    </w:p>
    <w:p>
      <w:pPr>
        <w:pStyle w:val="963"/>
        <w:ind w:firstLine="480"/>
        <w:spacing w:line="360" w:lineRule="auto"/>
        <w:rPr>
          <w:rFonts w:ascii="宋体" w:hAnsi="宋体" w:cs="宋体"/>
          <w:color w:val="000000"/>
          <w:sz w:val="24"/>
        </w:rPr>
      </w:pPr>
      <w:r>
        <w:rPr>
          <w:rFonts w:hint="eastAsia" w:ascii="宋体" w:hAnsi="宋体" w:cs="宋体"/>
          <w:color w:val="000000"/>
          <w:sz w:val="24"/>
        </w:rPr>
        <w:t xml:space="preserve">（2）运行维护部分(50分)</w:t>
      </w:r>
      <w:r>
        <w:rPr>
          <w:rFonts w:ascii="宋体" w:hAnsi="宋体" w:cs="宋体"/>
          <w:color w:val="000000"/>
          <w:sz w:val="24"/>
        </w:rPr>
      </w:r>
      <w:r/>
    </w:p>
    <w:p>
      <w:pPr>
        <w:pStyle w:val="963"/>
        <w:ind w:firstLine="480"/>
        <w:spacing w:line="360" w:lineRule="auto"/>
        <w:rPr>
          <w:rFonts w:ascii="宋体" w:hAnsi="宋体" w:cs="宋体"/>
          <w:color w:val="000000"/>
          <w:sz w:val="24"/>
        </w:rPr>
      </w:pPr>
      <w:r>
        <w:rPr>
          <w:rFonts w:hint="eastAsia" w:ascii="宋体" w:hAnsi="宋体" w:cs="宋体"/>
          <w:color w:val="000000"/>
          <w:sz w:val="24"/>
        </w:rPr>
        <w:t xml:space="preserve">运行维护部分每季度由连云港市环境监测监控中心组织核查或者抽查，核查内容主要包括日常运维操作、质量保证与控制、档案和管理3部分，具体细则参考下表：</w:t>
      </w:r>
      <w:r>
        <w:rPr>
          <w:rFonts w:ascii="宋体" w:hAnsi="宋体" w:cs="宋体"/>
          <w:color w:val="000000"/>
          <w:sz w:val="24"/>
        </w:rPr>
      </w:r>
      <w:r/>
    </w:p>
    <w:p>
      <w:pPr>
        <w:pStyle w:val="963"/>
        <w:ind w:firstLine="480"/>
        <w:jc w:val="center"/>
        <w:spacing w:line="360" w:lineRule="auto"/>
        <w:rPr>
          <w:rFonts w:ascii="宋体" w:hAnsi="宋体" w:cs="宋体"/>
          <w:b/>
          <w:bCs/>
          <w:sz w:val="24"/>
        </w:rPr>
      </w:pPr>
      <w:r>
        <w:rPr>
          <w:rFonts w:hint="eastAsia" w:ascii="宋体" w:hAnsi="宋体" w:cs="宋体"/>
          <w:b/>
          <w:bCs/>
          <w:sz w:val="24"/>
        </w:rPr>
        <w:t xml:space="preserve">空气自动站运行维护考核明细表</w:t>
      </w:r>
      <w:r>
        <w:rPr>
          <w:rFonts w:ascii="宋体" w:hAnsi="宋体" w:cs="宋体"/>
          <w:b/>
          <w:bCs/>
          <w:sz w:val="24"/>
        </w:rPr>
      </w:r>
      <w:r/>
    </w:p>
    <w:tbl>
      <w:tblPr>
        <w:tblW w:w="862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735"/>
        <w:gridCol w:w="5149"/>
        <w:gridCol w:w="2007"/>
      </w:tblGrid>
      <w:tr>
        <w:trPr>
          <w:trHeight w:val="566"/>
        </w:trPr>
        <w:tc>
          <w:tcPr>
            <w:tcW w:w="731" w:type="dxa"/>
            <w:vAlign w:val="center"/>
            <w:textDirection w:val="lrTb"/>
            <w:noWrap w:val="false"/>
          </w:tcPr>
          <w:p>
            <w:pPr>
              <w:pStyle w:val="963"/>
              <w:jc w:val="center"/>
              <w:spacing w:line="360" w:lineRule="auto"/>
              <w:rPr>
                <w:rFonts w:ascii="宋体" w:hAnsi="宋体" w:cs="宋体"/>
                <w:sz w:val="24"/>
              </w:rPr>
            </w:pPr>
            <w:r>
              <w:rPr>
                <w:rFonts w:hint="eastAsia" w:ascii="宋体" w:hAnsi="宋体" w:cs="宋体"/>
                <w:sz w:val="24"/>
              </w:rPr>
              <w:t xml:space="preserve">项目</w:t>
            </w:r>
            <w:r>
              <w:rPr>
                <w:rFonts w:ascii="宋体" w:hAnsi="宋体" w:cs="宋体"/>
                <w:sz w:val="24"/>
              </w:rPr>
            </w:r>
            <w:r/>
          </w:p>
        </w:tc>
        <w:tc>
          <w:tcPr>
            <w:tcW w:w="735" w:type="dxa"/>
            <w:vAlign w:val="center"/>
            <w:textDirection w:val="lrTb"/>
            <w:noWrap w:val="false"/>
          </w:tcPr>
          <w:p>
            <w:pPr>
              <w:pStyle w:val="963"/>
              <w:jc w:val="center"/>
              <w:spacing w:line="360" w:lineRule="auto"/>
              <w:rPr>
                <w:rFonts w:ascii="宋体" w:hAnsi="宋体" w:cs="宋体"/>
                <w:sz w:val="24"/>
              </w:rPr>
            </w:pPr>
            <w:r>
              <w:rPr>
                <w:rFonts w:hint="eastAsia" w:ascii="宋体" w:hAnsi="宋体" w:cs="宋体"/>
                <w:sz w:val="24"/>
              </w:rPr>
              <w:t xml:space="preserve">明细</w:t>
            </w:r>
            <w:r>
              <w:rPr>
                <w:rFonts w:ascii="宋体" w:hAnsi="宋体" w:cs="宋体"/>
                <w:sz w:val="24"/>
              </w:rPr>
            </w:r>
            <w:r/>
          </w:p>
        </w:tc>
        <w:tc>
          <w:tcPr>
            <w:tcW w:w="5149" w:type="dxa"/>
            <w:vAlign w:val="center"/>
            <w:textDirection w:val="lrTb"/>
            <w:noWrap w:val="false"/>
          </w:tcPr>
          <w:p>
            <w:pPr>
              <w:pStyle w:val="963"/>
              <w:jc w:val="center"/>
              <w:spacing w:line="360" w:lineRule="auto"/>
              <w:rPr>
                <w:rFonts w:ascii="宋体" w:hAnsi="宋体" w:cs="宋体"/>
                <w:sz w:val="24"/>
              </w:rPr>
            </w:pPr>
            <w:r>
              <w:rPr>
                <w:rFonts w:hint="eastAsia" w:ascii="宋体" w:hAnsi="宋体" w:cs="宋体"/>
                <w:sz w:val="24"/>
              </w:rPr>
              <w:t xml:space="preserve">检查要点</w:t>
            </w:r>
            <w:r>
              <w:rPr>
                <w:rFonts w:ascii="宋体" w:hAnsi="宋体" w:cs="宋体"/>
                <w:sz w:val="24"/>
              </w:rPr>
            </w:r>
            <w:r/>
          </w:p>
        </w:tc>
        <w:tc>
          <w:tcPr>
            <w:tcW w:w="2007" w:type="dxa"/>
            <w:vAlign w:val="center"/>
            <w:textDirection w:val="lrTb"/>
            <w:noWrap w:val="false"/>
          </w:tcPr>
          <w:p>
            <w:pPr>
              <w:pStyle w:val="963"/>
              <w:jc w:val="center"/>
              <w:spacing w:line="360" w:lineRule="auto"/>
              <w:rPr>
                <w:rFonts w:ascii="宋体" w:hAnsi="宋体" w:cs="宋体"/>
                <w:sz w:val="24"/>
              </w:rPr>
            </w:pPr>
            <w:r>
              <w:rPr>
                <w:rFonts w:hint="eastAsia" w:ascii="宋体" w:hAnsi="宋体" w:cs="宋体"/>
                <w:sz w:val="24"/>
              </w:rPr>
              <w:t xml:space="preserve">备注</w:t>
            </w:r>
            <w:r>
              <w:rPr>
                <w:rFonts w:ascii="宋体" w:hAnsi="宋体" w:cs="宋体"/>
                <w:sz w:val="24"/>
              </w:rPr>
            </w:r>
            <w:r/>
          </w:p>
        </w:tc>
      </w:tr>
      <w:tr>
        <w:trPr>
          <w:cantSplit/>
          <w:trHeight w:val="720"/>
        </w:trPr>
        <w:tc>
          <w:tcPr>
            <w:tcW w:w="731" w:type="dxa"/>
            <w:vAlign w:val="center"/>
            <w:vMerge w:val="restart"/>
            <w:textDirection w:val="lrTb"/>
            <w:noWrap w:val="false"/>
          </w:tcPr>
          <w:p>
            <w:pPr>
              <w:pStyle w:val="963"/>
              <w:jc w:val="center"/>
              <w:spacing w:line="360" w:lineRule="auto"/>
              <w:rPr>
                <w:rFonts w:ascii="宋体" w:hAnsi="宋体" w:cs="宋体"/>
                <w:sz w:val="24"/>
              </w:rPr>
            </w:pPr>
            <w:r>
              <w:rPr>
                <w:rFonts w:hint="eastAsia" w:ascii="宋体" w:hAnsi="宋体" w:cs="宋体"/>
                <w:sz w:val="24"/>
              </w:rPr>
              <w:t xml:space="preserve">日常运维操作</w:t>
            </w:r>
            <w:r>
              <w:rPr>
                <w:rFonts w:ascii="宋体" w:hAnsi="宋体" w:cs="宋体"/>
                <w:sz w:val="24"/>
              </w:rPr>
            </w:r>
            <w:r/>
          </w:p>
        </w:tc>
        <w:tc>
          <w:tcPr>
            <w:tcW w:w="735" w:type="dxa"/>
            <w:vAlign w:val="center"/>
            <w:textDirection w:val="lrTb"/>
            <w:noWrap w:val="false"/>
          </w:tcPr>
          <w:p>
            <w:pPr>
              <w:pStyle w:val="963"/>
              <w:jc w:val="center"/>
              <w:spacing w:line="360" w:lineRule="auto"/>
              <w:rPr>
                <w:rFonts w:ascii="宋体" w:hAnsi="宋体" w:cs="宋体"/>
                <w:sz w:val="24"/>
              </w:rPr>
            </w:pPr>
            <w:r>
              <w:rPr>
                <w:rFonts w:hint="eastAsia" w:ascii="宋体" w:hAnsi="宋体" w:cs="宋体"/>
                <w:sz w:val="24"/>
              </w:rPr>
              <w:t xml:space="preserve">站房环境保障情况</w:t>
            </w:r>
            <w:r>
              <w:rPr>
                <w:rFonts w:ascii="宋体" w:hAnsi="宋体" w:cs="宋体"/>
                <w:sz w:val="24"/>
              </w:rPr>
            </w:r>
            <w:r/>
          </w:p>
        </w:tc>
        <w:tc>
          <w:tcPr>
            <w:tcW w:w="5149" w:type="dxa"/>
            <w:vAlign w:val="center"/>
            <w:textDirection w:val="lrTb"/>
            <w:noWrap w:val="false"/>
          </w:tcPr>
          <w:p>
            <w:pPr>
              <w:pStyle w:val="963"/>
              <w:spacing w:line="360" w:lineRule="auto"/>
              <w:rPr>
                <w:rFonts w:ascii="宋体" w:hAnsi="宋体" w:cs="宋体"/>
                <w:sz w:val="24"/>
              </w:rPr>
            </w:pPr>
            <w:r>
              <w:rPr>
                <w:rFonts w:hint="eastAsia" w:ascii="宋体" w:hAnsi="宋体" w:cs="宋体"/>
                <w:sz w:val="24"/>
              </w:rPr>
              <w:t xml:space="preserve">站房环境是否清洁，有无漏水现象，是否符合监测要求,站房温湿度是否正常，空调、照明等是否正常</w:t>
            </w:r>
            <w:r>
              <w:rPr>
                <w:rFonts w:ascii="宋体" w:hAnsi="宋体" w:cs="宋体"/>
                <w:sz w:val="24"/>
              </w:rPr>
            </w:r>
            <w:r/>
          </w:p>
        </w:tc>
        <w:tc>
          <w:tcPr>
            <w:tcW w:w="2007" w:type="dxa"/>
            <w:vAlign w:val="center"/>
            <w:vMerge w:val="restart"/>
            <w:textDirection w:val="lrTb"/>
            <w:noWrap w:val="false"/>
          </w:tcPr>
          <w:p>
            <w:pPr>
              <w:pStyle w:val="963"/>
              <w:numPr>
                <w:ilvl w:val="0"/>
                <w:numId w:val="50"/>
              </w:numPr>
              <w:spacing w:line="360" w:lineRule="auto"/>
              <w:rPr>
                <w:rFonts w:ascii="宋体" w:hAnsi="宋体" w:cs="宋体"/>
                <w:sz w:val="24"/>
              </w:rPr>
            </w:pPr>
            <w:r>
              <w:rPr>
                <w:rFonts w:hint="eastAsia" w:ascii="宋体" w:hAnsi="宋体" w:cs="宋体"/>
                <w:sz w:val="24"/>
              </w:rPr>
              <w:t xml:space="preserve">项目开始后，运维人员确保3个月内取得上岗证（省级及以上），3个月以后未取得上岗证的人员参与本项目运维工作，本站点检查当季度扣5分；</w:t>
            </w:r>
            <w:r>
              <w:rPr>
                <w:rFonts w:ascii="宋体" w:hAnsi="宋体" w:cs="宋体"/>
                <w:sz w:val="24"/>
              </w:rPr>
            </w:r>
            <w:r/>
          </w:p>
          <w:p>
            <w:pPr>
              <w:pStyle w:val="963"/>
              <w:numPr>
                <w:ilvl w:val="0"/>
                <w:numId w:val="50"/>
              </w:numPr>
              <w:spacing w:line="360" w:lineRule="auto"/>
              <w:rPr>
                <w:rFonts w:ascii="宋体" w:hAnsi="宋体" w:cs="宋体"/>
                <w:sz w:val="24"/>
              </w:rPr>
            </w:pPr>
            <w:r>
              <w:rPr>
                <w:rFonts w:hint="eastAsia" w:ascii="宋体" w:hAnsi="宋体" w:cs="宋体"/>
                <w:sz w:val="24"/>
              </w:rPr>
              <w:t xml:space="preserve">根据实际情况扣0.5～1分，第二季度出现上季度同一故障的加倍扣分；</w:t>
            </w:r>
            <w:r>
              <w:rPr>
                <w:rFonts w:ascii="宋体" w:hAnsi="宋体" w:cs="宋体"/>
                <w:sz w:val="24"/>
              </w:rPr>
            </w:r>
            <w:r/>
          </w:p>
          <w:p>
            <w:pPr>
              <w:pStyle w:val="963"/>
              <w:numPr>
                <w:ilvl w:val="0"/>
                <w:numId w:val="50"/>
              </w:numPr>
              <w:spacing w:line="360" w:lineRule="auto"/>
            </w:pPr>
            <w:r>
              <w:rPr>
                <w:rFonts w:hint="eastAsia" w:ascii="宋体" w:hAnsi="宋体" w:cs="宋体"/>
                <w:sz w:val="24"/>
              </w:rPr>
              <w:t xml:space="preserve">出现以下情况者，一经发现当月每次(项)扣5分。主要包括使用过期标气或二级标气；进口颗粒物分析仪器使用国产滤带；气态污染物使用非聚四氟乙烯材质滤膜等。</w:t>
            </w:r>
            <w:r/>
          </w:p>
          <w:p>
            <w:pPr>
              <w:pStyle w:val="963"/>
              <w:numPr>
                <w:ilvl w:val="0"/>
                <w:numId w:val="50"/>
              </w:numPr>
              <w:spacing w:line="360" w:lineRule="auto"/>
            </w:pPr>
            <w:r>
              <w:rPr>
                <w:rFonts w:hint="eastAsia"/>
                <w:color w:val="000000"/>
                <w:sz w:val="24"/>
                <w:szCs w:val="21"/>
              </w:rPr>
              <w:t xml:space="preserve">若仪器故障应及时响应，超过48小时没修好的应更换备机，不能按规定更换备机的扣5分。</w:t>
            </w:r>
            <w:r/>
          </w:p>
        </w:tc>
      </w:tr>
      <w:tr>
        <w:trPr>
          <w:cantSplit/>
          <w:trHeight w:val="566"/>
        </w:trPr>
        <w:tc>
          <w:tcPr>
            <w:tcW w:w="731"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c>
          <w:tcPr>
            <w:tcW w:w="735" w:type="dxa"/>
            <w:vAlign w:val="center"/>
            <w:vMerge w:val="restart"/>
            <w:textDirection w:val="lrTb"/>
            <w:noWrap w:val="false"/>
          </w:tcPr>
          <w:p>
            <w:pPr>
              <w:pStyle w:val="963"/>
              <w:jc w:val="center"/>
              <w:spacing w:line="360" w:lineRule="auto"/>
              <w:rPr>
                <w:rFonts w:ascii="宋体" w:hAnsi="宋体" w:cs="宋体"/>
                <w:sz w:val="24"/>
              </w:rPr>
            </w:pPr>
            <w:r>
              <w:rPr>
                <w:rFonts w:hint="eastAsia" w:ascii="宋体" w:hAnsi="宋体" w:cs="宋体"/>
                <w:sz w:val="24"/>
              </w:rPr>
              <w:t xml:space="preserve">采样系统维护效果</w:t>
            </w:r>
            <w:r>
              <w:rPr>
                <w:rFonts w:ascii="宋体" w:hAnsi="宋体" w:cs="宋体"/>
                <w:sz w:val="24"/>
              </w:rPr>
            </w:r>
            <w:r/>
          </w:p>
        </w:tc>
        <w:tc>
          <w:tcPr>
            <w:tcW w:w="5149" w:type="dxa"/>
            <w:vAlign w:val="center"/>
            <w:textDirection w:val="lrTb"/>
            <w:noWrap w:val="false"/>
          </w:tcPr>
          <w:p>
            <w:pPr>
              <w:pStyle w:val="963"/>
              <w:spacing w:line="360" w:lineRule="auto"/>
              <w:rPr>
                <w:rFonts w:ascii="宋体" w:hAnsi="宋体" w:cs="宋体"/>
                <w:sz w:val="24"/>
              </w:rPr>
            </w:pPr>
            <w:r>
              <w:rPr>
                <w:rFonts w:hint="eastAsia" w:ascii="宋体" w:hAnsi="宋体" w:cs="宋体"/>
                <w:sz w:val="24"/>
              </w:rPr>
              <w:t xml:space="preserve">采样总管和采样支管材质是否满足《规范》要求</w:t>
            </w:r>
            <w:r>
              <w:rPr>
                <w:rFonts w:ascii="宋体" w:hAnsi="宋体" w:cs="宋体"/>
                <w:sz w:val="24"/>
              </w:rPr>
            </w:r>
            <w:r/>
          </w:p>
        </w:tc>
        <w:tc>
          <w:tcPr>
            <w:tcW w:w="2007"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r>
      <w:tr>
        <w:trPr>
          <w:cantSplit/>
          <w:trHeight w:val="566"/>
        </w:trPr>
        <w:tc>
          <w:tcPr>
            <w:tcW w:w="731"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pStyle w:val="963"/>
              <w:spacing w:line="360" w:lineRule="auto"/>
              <w:rPr>
                <w:rFonts w:ascii="宋体" w:hAnsi="宋体" w:cs="宋体"/>
                <w:sz w:val="24"/>
              </w:rPr>
            </w:pPr>
            <w:r>
              <w:rPr>
                <w:rFonts w:hint="eastAsia" w:ascii="宋体" w:hAnsi="宋体" w:cs="宋体"/>
                <w:sz w:val="24"/>
              </w:rPr>
              <w:t xml:space="preserve">采样系统清洁程度：采样头、采样管道是否清洁，有无积灰、积水或障碍物，采样风机是否正常工作</w:t>
            </w:r>
            <w:r>
              <w:rPr>
                <w:rFonts w:ascii="宋体" w:hAnsi="宋体" w:cs="宋体"/>
                <w:sz w:val="24"/>
              </w:rPr>
            </w:r>
            <w:r/>
          </w:p>
        </w:tc>
        <w:tc>
          <w:tcPr>
            <w:tcW w:w="2007"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r>
      <w:tr>
        <w:trPr>
          <w:cantSplit/>
          <w:trHeight w:val="566"/>
        </w:trPr>
        <w:tc>
          <w:tcPr>
            <w:tcW w:w="731"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pStyle w:val="963"/>
              <w:spacing w:line="360" w:lineRule="auto"/>
              <w:rPr>
                <w:rFonts w:ascii="宋体" w:hAnsi="宋体" w:cs="宋体"/>
                <w:sz w:val="24"/>
              </w:rPr>
            </w:pPr>
            <w:r>
              <w:rPr>
                <w:rFonts w:hint="eastAsia" w:ascii="宋体" w:hAnsi="宋体" w:cs="宋体"/>
                <w:sz w:val="24"/>
              </w:rPr>
              <w:t xml:space="preserve">气态污染物采样支管是否插入采样总管的中心，监测仪器与支管接头连接的管线长度是否小于3m</w:t>
            </w:r>
            <w:r>
              <w:rPr>
                <w:rFonts w:ascii="宋体" w:hAnsi="宋体" w:cs="宋体"/>
                <w:sz w:val="24"/>
              </w:rPr>
            </w:r>
            <w:r/>
          </w:p>
        </w:tc>
        <w:tc>
          <w:tcPr>
            <w:tcW w:w="2007"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r>
      <w:tr>
        <w:trPr>
          <w:cantSplit/>
          <w:trHeight w:val="566"/>
        </w:trPr>
        <w:tc>
          <w:tcPr>
            <w:tcW w:w="731"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pStyle w:val="963"/>
              <w:spacing w:line="360" w:lineRule="auto"/>
              <w:rPr>
                <w:rFonts w:ascii="宋体" w:hAnsi="宋体" w:cs="宋体"/>
                <w:sz w:val="24"/>
              </w:rPr>
            </w:pPr>
            <w:r>
              <w:rPr>
                <w:rFonts w:hint="eastAsia" w:ascii="宋体" w:hAnsi="宋体" w:cs="宋体"/>
                <w:sz w:val="24"/>
              </w:rPr>
              <w:t xml:space="preserve">采样管路联接是否规范，</w:t>
            </w:r>
            <w:r>
              <w:rPr>
                <w:rFonts w:ascii="宋体" w:hAnsi="宋体" w:cs="宋体"/>
                <w:sz w:val="24"/>
              </w:rPr>
            </w:r>
            <w:r/>
          </w:p>
        </w:tc>
        <w:tc>
          <w:tcPr>
            <w:tcW w:w="2007"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r>
      <w:tr>
        <w:trPr>
          <w:cantSplit/>
          <w:trHeight w:val="566"/>
        </w:trPr>
        <w:tc>
          <w:tcPr>
            <w:tcW w:w="731"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pStyle w:val="963"/>
              <w:spacing w:line="360" w:lineRule="auto"/>
              <w:rPr>
                <w:rFonts w:ascii="宋体" w:hAnsi="宋体" w:cs="宋体"/>
                <w:sz w:val="24"/>
              </w:rPr>
            </w:pPr>
            <w:r>
              <w:rPr>
                <w:rFonts w:hint="eastAsia" w:ascii="宋体" w:hAnsi="宋体" w:cs="宋体"/>
                <w:sz w:val="24"/>
              </w:rPr>
              <w:t xml:space="preserve">采样总管是否有加热装置，加热功能是否正常</w:t>
            </w:r>
            <w:r>
              <w:rPr>
                <w:rFonts w:ascii="宋体" w:hAnsi="宋体" w:cs="宋体"/>
                <w:sz w:val="24"/>
              </w:rPr>
            </w:r>
            <w:r/>
          </w:p>
        </w:tc>
        <w:tc>
          <w:tcPr>
            <w:tcW w:w="2007"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r>
      <w:tr>
        <w:trPr>
          <w:cantSplit/>
          <w:trHeight w:val="823"/>
        </w:trPr>
        <w:tc>
          <w:tcPr>
            <w:tcW w:w="731"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c>
          <w:tcPr>
            <w:tcW w:w="735" w:type="dxa"/>
            <w:vAlign w:val="center"/>
            <w:vMerge w:val="restart"/>
            <w:textDirection w:val="lrTb"/>
            <w:noWrap w:val="false"/>
          </w:tcPr>
          <w:p>
            <w:pPr>
              <w:pStyle w:val="963"/>
              <w:jc w:val="center"/>
              <w:spacing w:line="360" w:lineRule="auto"/>
              <w:rPr>
                <w:rFonts w:ascii="宋体" w:hAnsi="宋体" w:cs="宋体"/>
                <w:sz w:val="24"/>
              </w:rPr>
            </w:pPr>
            <w:r>
              <w:rPr>
                <w:rFonts w:hint="eastAsia" w:ascii="宋体" w:hAnsi="宋体" w:cs="宋体"/>
                <w:sz w:val="24"/>
              </w:rPr>
              <w:t xml:space="preserve">仪器日常维护效果</w:t>
            </w:r>
            <w:r>
              <w:rPr>
                <w:rFonts w:ascii="宋体" w:hAnsi="宋体" w:cs="宋体"/>
                <w:sz w:val="24"/>
              </w:rPr>
            </w:r>
            <w:r/>
          </w:p>
        </w:tc>
        <w:tc>
          <w:tcPr>
            <w:tcW w:w="5149" w:type="dxa"/>
            <w:vAlign w:val="center"/>
            <w:textDirection w:val="lrTb"/>
            <w:noWrap w:val="false"/>
          </w:tcPr>
          <w:p>
            <w:pPr>
              <w:pStyle w:val="963"/>
              <w:spacing w:line="360" w:lineRule="auto"/>
              <w:rPr>
                <w:rFonts w:ascii="宋体" w:hAnsi="宋体" w:cs="宋体"/>
                <w:sz w:val="24"/>
              </w:rPr>
            </w:pPr>
            <w:r>
              <w:rPr>
                <w:rFonts w:hint="eastAsia" w:ascii="宋体" w:hAnsi="宋体" w:cs="宋体"/>
                <w:sz w:val="24"/>
              </w:rPr>
              <w:t xml:space="preserve">仪器工作状态是否正常，是否存在报警信息</w:t>
            </w:r>
            <w:r>
              <w:rPr>
                <w:rFonts w:ascii="宋体" w:hAnsi="宋体" w:cs="宋体"/>
                <w:sz w:val="24"/>
              </w:rPr>
            </w:r>
            <w:r/>
          </w:p>
        </w:tc>
        <w:tc>
          <w:tcPr>
            <w:tcW w:w="2007"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r>
      <w:tr>
        <w:trPr>
          <w:cantSplit/>
          <w:trHeight w:val="566"/>
        </w:trPr>
        <w:tc>
          <w:tcPr>
            <w:tcW w:w="731"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pStyle w:val="963"/>
              <w:spacing w:line="360" w:lineRule="auto"/>
              <w:rPr>
                <w:rFonts w:ascii="宋体" w:hAnsi="宋体" w:cs="宋体"/>
                <w:sz w:val="24"/>
              </w:rPr>
            </w:pPr>
            <w:r>
              <w:rPr>
                <w:rFonts w:hint="eastAsia" w:ascii="宋体" w:hAnsi="宋体" w:cs="宋体"/>
                <w:sz w:val="24"/>
              </w:rPr>
              <w:t xml:space="preserve">仪器过滤膜是否及时更换，散热风扇是否及时清洗</w:t>
            </w:r>
            <w:r>
              <w:rPr>
                <w:rFonts w:ascii="宋体" w:hAnsi="宋体" w:cs="宋体"/>
                <w:sz w:val="24"/>
              </w:rPr>
            </w:r>
            <w:r/>
          </w:p>
        </w:tc>
        <w:tc>
          <w:tcPr>
            <w:tcW w:w="2007"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r>
      <w:tr>
        <w:trPr>
          <w:cantSplit/>
          <w:trHeight w:val="394"/>
        </w:trPr>
        <w:tc>
          <w:tcPr>
            <w:tcW w:w="731"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pStyle w:val="963"/>
              <w:spacing w:line="360" w:lineRule="auto"/>
              <w:rPr>
                <w:rFonts w:ascii="宋体" w:hAnsi="宋体" w:cs="宋体"/>
                <w:sz w:val="24"/>
              </w:rPr>
            </w:pPr>
            <w:r>
              <w:rPr>
                <w:rFonts w:hint="eastAsia" w:ascii="宋体" w:hAnsi="宋体" w:cs="宋体"/>
                <w:sz w:val="24"/>
              </w:rPr>
              <w:t xml:space="preserve">颗粒物采样管加热装置是否工作正常</w:t>
            </w:r>
            <w:r>
              <w:rPr>
                <w:rFonts w:ascii="宋体" w:hAnsi="宋体" w:cs="宋体"/>
                <w:sz w:val="24"/>
              </w:rPr>
            </w:r>
            <w:r/>
          </w:p>
        </w:tc>
        <w:tc>
          <w:tcPr>
            <w:tcW w:w="2007"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r>
      <w:tr>
        <w:trPr>
          <w:cantSplit/>
          <w:trHeight w:val="414"/>
        </w:trPr>
        <w:tc>
          <w:tcPr>
            <w:tcW w:w="731"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pStyle w:val="963"/>
              <w:spacing w:line="360" w:lineRule="auto"/>
              <w:rPr>
                <w:rFonts w:ascii="宋体" w:hAnsi="宋体" w:cs="宋体"/>
                <w:sz w:val="24"/>
              </w:rPr>
            </w:pPr>
            <w:r>
              <w:rPr>
                <w:rFonts w:hint="eastAsia" w:ascii="宋体" w:hAnsi="宋体" w:cs="宋体"/>
                <w:sz w:val="24"/>
              </w:rPr>
              <w:t xml:space="preserve">零气发生器相关耗材是否及时更换</w:t>
            </w:r>
            <w:r>
              <w:rPr>
                <w:rFonts w:ascii="宋体" w:hAnsi="宋体" w:cs="宋体"/>
                <w:sz w:val="24"/>
              </w:rPr>
            </w:r>
            <w:r/>
          </w:p>
        </w:tc>
        <w:tc>
          <w:tcPr>
            <w:tcW w:w="2007"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r>
      <w:tr>
        <w:trPr>
          <w:cantSplit/>
          <w:trHeight w:val="420"/>
        </w:trPr>
        <w:tc>
          <w:tcPr>
            <w:tcW w:w="731"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pStyle w:val="963"/>
              <w:spacing w:line="360" w:lineRule="auto"/>
              <w:rPr>
                <w:rFonts w:ascii="宋体" w:hAnsi="宋体" w:cs="宋体"/>
                <w:sz w:val="24"/>
              </w:rPr>
            </w:pPr>
            <w:r>
              <w:rPr>
                <w:rFonts w:hint="eastAsia" w:ascii="宋体" w:hAnsi="宋体" w:cs="宋体"/>
                <w:sz w:val="24"/>
              </w:rPr>
              <w:t xml:space="preserve">采样泵相关耗材是否及时更换</w:t>
            </w:r>
            <w:r>
              <w:rPr>
                <w:rFonts w:ascii="宋体" w:hAnsi="宋体" w:cs="宋体"/>
                <w:sz w:val="24"/>
              </w:rPr>
            </w:r>
            <w:r/>
          </w:p>
        </w:tc>
        <w:tc>
          <w:tcPr>
            <w:tcW w:w="2007"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r>
      <w:tr>
        <w:trPr>
          <w:cantSplit/>
          <w:trHeight w:val="413"/>
        </w:trPr>
        <w:tc>
          <w:tcPr>
            <w:tcW w:w="731"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pStyle w:val="963"/>
              <w:spacing w:line="360" w:lineRule="auto"/>
              <w:rPr>
                <w:rFonts w:ascii="宋体" w:hAnsi="宋体" w:cs="宋体"/>
                <w:sz w:val="24"/>
              </w:rPr>
            </w:pPr>
            <w:r>
              <w:rPr>
                <w:rFonts w:hint="eastAsia" w:ascii="宋体" w:hAnsi="宋体" w:cs="宋体"/>
                <w:sz w:val="24"/>
              </w:rPr>
              <w:t xml:space="preserve">采样纸带或滤膜是否及时更换</w:t>
            </w:r>
            <w:r>
              <w:rPr>
                <w:rFonts w:ascii="宋体" w:hAnsi="宋体" w:cs="宋体"/>
                <w:sz w:val="24"/>
              </w:rPr>
            </w:r>
            <w:r/>
          </w:p>
        </w:tc>
        <w:tc>
          <w:tcPr>
            <w:tcW w:w="2007"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r>
      <w:tr>
        <w:trPr>
          <w:cantSplit/>
          <w:trHeight w:val="418"/>
        </w:trPr>
        <w:tc>
          <w:tcPr>
            <w:tcW w:w="731" w:type="dxa"/>
            <w:vAlign w:val="center"/>
            <w:vMerge w:val="restart"/>
            <w:textDirection w:val="lrTb"/>
            <w:noWrap w:val="false"/>
          </w:tcPr>
          <w:p>
            <w:pPr>
              <w:pStyle w:val="963"/>
              <w:jc w:val="center"/>
              <w:spacing w:line="360" w:lineRule="auto"/>
              <w:rPr>
                <w:rFonts w:ascii="宋体" w:hAnsi="宋体" w:cs="宋体"/>
                <w:sz w:val="24"/>
              </w:rPr>
            </w:pPr>
            <w:r>
              <w:rPr>
                <w:rFonts w:hint="eastAsia" w:ascii="宋体" w:hAnsi="宋体" w:cs="宋体"/>
                <w:sz w:val="24"/>
              </w:rPr>
              <w:t xml:space="preserve">质量保证与质量控制</w:t>
            </w:r>
            <w:r>
              <w:rPr>
                <w:rFonts w:ascii="宋体" w:hAnsi="宋体" w:cs="宋体"/>
                <w:sz w:val="24"/>
              </w:rPr>
            </w:r>
            <w:r/>
          </w:p>
        </w:tc>
        <w:tc>
          <w:tcPr>
            <w:tcW w:w="735" w:type="dxa"/>
            <w:vAlign w:val="center"/>
            <w:vMerge w:val="restart"/>
            <w:textDirection w:val="lrTb"/>
            <w:noWrap w:val="false"/>
          </w:tcPr>
          <w:p>
            <w:pPr>
              <w:pStyle w:val="963"/>
              <w:jc w:val="center"/>
              <w:spacing w:line="360" w:lineRule="auto"/>
              <w:rPr>
                <w:rFonts w:ascii="宋体" w:hAnsi="宋体" w:cs="宋体"/>
                <w:sz w:val="24"/>
              </w:rPr>
            </w:pPr>
            <w:r>
              <w:rPr>
                <w:rFonts w:hint="eastAsia" w:ascii="宋体" w:hAnsi="宋体" w:cs="宋体"/>
                <w:sz w:val="24"/>
              </w:rPr>
              <w:t xml:space="preserve">仪器运维状态核查</w:t>
            </w:r>
            <w:r>
              <w:rPr>
                <w:rFonts w:ascii="宋体" w:hAnsi="宋体" w:cs="宋体"/>
                <w:sz w:val="24"/>
              </w:rPr>
            </w:r>
            <w:r/>
          </w:p>
        </w:tc>
        <w:tc>
          <w:tcPr>
            <w:tcW w:w="5149" w:type="dxa"/>
            <w:vAlign w:val="center"/>
            <w:textDirection w:val="lrTb"/>
            <w:noWrap w:val="false"/>
          </w:tcPr>
          <w:p>
            <w:pPr>
              <w:pStyle w:val="963"/>
              <w:spacing w:line="360" w:lineRule="auto"/>
              <w:rPr>
                <w:rFonts w:ascii="宋体" w:hAnsi="宋体" w:cs="宋体"/>
                <w:sz w:val="24"/>
              </w:rPr>
            </w:pPr>
            <w:r>
              <w:rPr>
                <w:rFonts w:hint="eastAsia" w:ascii="宋体" w:hAnsi="宋体" w:cs="宋体"/>
                <w:sz w:val="24"/>
              </w:rPr>
              <w:t xml:space="preserve">标气压力低于1.5Mpa，但仍能正常使用；</w:t>
            </w:r>
            <w:r>
              <w:rPr>
                <w:rFonts w:ascii="宋体" w:hAnsi="宋体" w:cs="宋体"/>
                <w:sz w:val="24"/>
              </w:rPr>
            </w:r>
            <w:r/>
          </w:p>
        </w:tc>
        <w:tc>
          <w:tcPr>
            <w:tcW w:w="2007" w:type="dxa"/>
            <w:vAlign w:val="center"/>
            <w:vMerge w:val="restart"/>
            <w:textDirection w:val="lrTb"/>
            <w:noWrap w:val="false"/>
          </w:tcPr>
          <w:p>
            <w:pPr>
              <w:pStyle w:val="963"/>
              <w:spacing w:line="360" w:lineRule="auto"/>
              <w:rPr>
                <w:rFonts w:ascii="宋体" w:hAnsi="宋体" w:cs="宋体"/>
                <w:sz w:val="24"/>
              </w:rPr>
            </w:pPr>
            <w:r>
              <w:rPr>
                <w:rFonts w:hint="eastAsia" w:ascii="宋体" w:hAnsi="宋体" w:cs="宋体"/>
                <w:sz w:val="24"/>
              </w:rPr>
              <w:t xml:space="preserve">根据质控单位QA/QC质控核查情况打分，出现此类现场的，根据影响数据质</w:t>
            </w:r>
            <w:r>
              <w:rPr>
                <w:rFonts w:ascii="宋体" w:hAnsi="宋体" w:cs="宋体"/>
                <w:sz w:val="24"/>
              </w:rPr>
            </w:r>
            <w:r/>
          </w:p>
          <w:p>
            <w:pPr>
              <w:pStyle w:val="963"/>
              <w:spacing w:line="360" w:lineRule="auto"/>
              <w:rPr>
                <w:rFonts w:ascii="宋体" w:hAnsi="宋体" w:cs="宋体"/>
                <w:sz w:val="24"/>
              </w:rPr>
            </w:pPr>
            <w:r>
              <w:rPr>
                <w:rFonts w:hint="eastAsia" w:ascii="宋体" w:hAnsi="宋体" w:cs="宋体"/>
                <w:sz w:val="24"/>
              </w:rPr>
              <w:t xml:space="preserve">量的严重程度扣分，每项0.5～1分。</w:t>
            </w:r>
            <w:r>
              <w:rPr>
                <w:rFonts w:ascii="宋体" w:hAnsi="宋体" w:cs="宋体"/>
                <w:sz w:val="24"/>
              </w:rPr>
            </w:r>
            <w:r/>
          </w:p>
          <w:p>
            <w:pPr>
              <w:pStyle w:val="963"/>
              <w:spacing w:line="360" w:lineRule="auto"/>
              <w:rPr>
                <w:rFonts w:ascii="宋体" w:hAnsi="宋体" w:cs="宋体"/>
                <w:sz w:val="24"/>
              </w:rPr>
            </w:pPr>
            <w:r>
              <w:rPr>
                <w:rFonts w:hint="eastAsia" w:ascii="宋体" w:hAnsi="宋体" w:cs="宋体"/>
                <w:color w:val="000000"/>
                <w:sz w:val="24"/>
              </w:rPr>
              <w:t xml:space="preserve">1、</w:t>
            </w:r>
            <w:r>
              <w:rPr>
                <w:rFonts w:hint="eastAsia" w:ascii="宋体" w:hAnsi="宋体" w:cs="宋体"/>
                <w:sz w:val="24"/>
              </w:rPr>
              <w:t xml:space="preserve">根据实际情况扣0.5～1分；</w:t>
            </w:r>
            <w:r>
              <w:rPr>
                <w:rFonts w:ascii="宋体" w:hAnsi="宋体" w:cs="宋体"/>
                <w:sz w:val="24"/>
              </w:rPr>
            </w:r>
            <w:r/>
          </w:p>
          <w:p>
            <w:pPr>
              <w:pStyle w:val="963"/>
              <w:spacing w:line="360" w:lineRule="auto"/>
              <w:rPr>
                <w:rFonts w:ascii="宋体" w:hAnsi="宋体" w:cs="宋体"/>
                <w:sz w:val="24"/>
              </w:rPr>
            </w:pPr>
            <w:r>
              <w:rPr>
                <w:rFonts w:hint="eastAsia" w:ascii="宋体" w:hAnsi="宋体" w:cs="宋体"/>
                <w:sz w:val="24"/>
              </w:rPr>
              <w:t xml:space="preserve">2、第二季度出现上季度同一故障的加倍扣分。</w:t>
            </w:r>
            <w:r>
              <w:rPr>
                <w:rFonts w:ascii="宋体" w:hAnsi="宋体" w:cs="宋体"/>
                <w:sz w:val="24"/>
              </w:rPr>
            </w:r>
            <w:r/>
          </w:p>
        </w:tc>
      </w:tr>
      <w:tr>
        <w:trPr>
          <w:cantSplit/>
          <w:trHeight w:val="410"/>
        </w:trPr>
        <w:tc>
          <w:tcPr>
            <w:tcW w:w="731"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pStyle w:val="963"/>
              <w:spacing w:line="360" w:lineRule="auto"/>
              <w:rPr>
                <w:rFonts w:ascii="宋体" w:hAnsi="宋体" w:cs="宋体"/>
                <w:sz w:val="24"/>
              </w:rPr>
            </w:pPr>
            <w:r>
              <w:rPr>
                <w:rFonts w:hint="eastAsia" w:ascii="宋体" w:hAnsi="宋体" w:cs="宋体"/>
                <w:sz w:val="24"/>
              </w:rPr>
              <w:t xml:space="preserve">气态污染物分析仪内部性能参数超过标准要求，如机体内部温度，反应室温度、压力等；</w:t>
            </w:r>
            <w:r>
              <w:rPr>
                <w:rFonts w:ascii="宋体" w:hAnsi="宋体" w:cs="宋体"/>
                <w:sz w:val="24"/>
              </w:rPr>
            </w:r>
            <w:r/>
          </w:p>
        </w:tc>
        <w:tc>
          <w:tcPr>
            <w:tcW w:w="2007"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r>
      <w:tr>
        <w:trPr>
          <w:cantSplit/>
          <w:trHeight w:val="566"/>
        </w:trPr>
        <w:tc>
          <w:tcPr>
            <w:tcW w:w="731"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pStyle w:val="963"/>
              <w:spacing w:line="360" w:lineRule="auto"/>
              <w:rPr>
                <w:rFonts w:ascii="宋体" w:hAnsi="宋体" w:cs="宋体"/>
                <w:sz w:val="24"/>
              </w:rPr>
            </w:pPr>
            <w:r>
              <w:rPr>
                <w:rFonts w:hint="eastAsia" w:ascii="宋体" w:hAnsi="宋体" w:cs="宋体"/>
                <w:sz w:val="24"/>
              </w:rPr>
              <w:t xml:space="preserve">颗粒物分析仪密封圈缺失，温度、压力偏差，气态污染物分析仪散热风扇故障</w:t>
            </w:r>
            <w:r>
              <w:rPr>
                <w:rFonts w:ascii="宋体" w:hAnsi="宋体" w:cs="宋体"/>
                <w:sz w:val="24"/>
              </w:rPr>
            </w:r>
            <w:r/>
          </w:p>
        </w:tc>
        <w:tc>
          <w:tcPr>
            <w:tcW w:w="2007"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r>
      <w:tr>
        <w:trPr>
          <w:cantSplit/>
          <w:trHeight w:val="366"/>
        </w:trPr>
        <w:tc>
          <w:tcPr>
            <w:tcW w:w="731"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pStyle w:val="963"/>
              <w:spacing w:line="360" w:lineRule="auto"/>
              <w:rPr>
                <w:rFonts w:ascii="宋体" w:hAnsi="宋体" w:cs="宋体"/>
                <w:sz w:val="24"/>
              </w:rPr>
            </w:pPr>
            <w:r>
              <w:rPr>
                <w:rFonts w:hint="eastAsia" w:ascii="宋体" w:hAnsi="宋体" w:cs="宋体"/>
                <w:sz w:val="24"/>
              </w:rPr>
              <w:t xml:space="preserve">零气和校准仪性能参数超过偏差允许范围</w:t>
            </w:r>
            <w:r>
              <w:rPr>
                <w:rFonts w:ascii="宋体" w:hAnsi="宋体" w:cs="宋体"/>
                <w:sz w:val="24"/>
              </w:rPr>
            </w:r>
            <w:r/>
          </w:p>
        </w:tc>
        <w:tc>
          <w:tcPr>
            <w:tcW w:w="2007"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r>
      <w:tr>
        <w:trPr>
          <w:cantSplit/>
          <w:trHeight w:val="566"/>
        </w:trPr>
        <w:tc>
          <w:tcPr>
            <w:tcW w:w="731"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pStyle w:val="963"/>
              <w:spacing w:line="360" w:lineRule="auto"/>
              <w:rPr>
                <w:rFonts w:ascii="宋体" w:hAnsi="宋体" w:cs="宋体"/>
                <w:sz w:val="24"/>
              </w:rPr>
            </w:pPr>
            <w:r>
              <w:rPr>
                <w:rFonts w:hint="eastAsia" w:ascii="宋体" w:hAnsi="宋体" w:cs="宋体"/>
                <w:sz w:val="24"/>
              </w:rPr>
              <w:t xml:space="preserve">气态污染物分析仪斜率、截距超过标准要求（仅限于API设备）</w:t>
            </w:r>
            <w:r>
              <w:rPr>
                <w:rFonts w:ascii="宋体" w:hAnsi="宋体" w:cs="宋体"/>
                <w:sz w:val="24"/>
              </w:rPr>
            </w:r>
            <w:r/>
          </w:p>
        </w:tc>
        <w:tc>
          <w:tcPr>
            <w:tcW w:w="2007"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r>
      <w:tr>
        <w:trPr>
          <w:cantSplit/>
          <w:trHeight w:val="566"/>
        </w:trPr>
        <w:tc>
          <w:tcPr>
            <w:tcW w:w="731"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pStyle w:val="963"/>
              <w:spacing w:line="360" w:lineRule="auto"/>
              <w:rPr>
                <w:rFonts w:ascii="宋体" w:hAnsi="宋体" w:cs="宋体"/>
                <w:sz w:val="24"/>
              </w:rPr>
            </w:pPr>
            <w:r>
              <w:rPr>
                <w:rFonts w:hint="eastAsia" w:ascii="宋体" w:hAnsi="宋体" w:cs="宋体"/>
                <w:sz w:val="24"/>
              </w:rPr>
              <w:t xml:space="preserve">气态污染物或颗粒物分析仪采样流量或标况流量偏差</w:t>
            </w:r>
            <w:r>
              <w:rPr>
                <w:rFonts w:ascii="宋体" w:hAnsi="宋体" w:cs="宋体"/>
                <w:sz w:val="24"/>
              </w:rPr>
            </w:r>
            <w:r/>
          </w:p>
        </w:tc>
        <w:tc>
          <w:tcPr>
            <w:tcW w:w="2007"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r>
      <w:tr>
        <w:trPr>
          <w:cantSplit/>
          <w:trHeight w:val="566"/>
        </w:trPr>
        <w:tc>
          <w:tcPr>
            <w:tcW w:w="731"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pStyle w:val="963"/>
              <w:spacing w:line="360" w:lineRule="auto"/>
              <w:rPr>
                <w:rFonts w:ascii="宋体" w:hAnsi="宋体" w:cs="宋体"/>
                <w:sz w:val="24"/>
              </w:rPr>
            </w:pPr>
            <w:r>
              <w:rPr>
                <w:rFonts w:hint="eastAsia" w:ascii="宋体" w:hAnsi="宋体" w:cs="宋体"/>
                <w:sz w:val="24"/>
              </w:rPr>
              <w:t xml:space="preserve">气态污染物分析仪零点、20%（或其他点）全幅测试未通过或T90响应时间未通过</w:t>
            </w:r>
            <w:r>
              <w:rPr>
                <w:rFonts w:ascii="宋体" w:hAnsi="宋体" w:cs="宋体"/>
                <w:sz w:val="24"/>
              </w:rPr>
            </w:r>
            <w:r/>
          </w:p>
        </w:tc>
        <w:tc>
          <w:tcPr>
            <w:tcW w:w="2007"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r>
      <w:tr>
        <w:trPr>
          <w:cantSplit/>
          <w:trHeight w:val="271"/>
        </w:trPr>
        <w:tc>
          <w:tcPr>
            <w:tcW w:w="731"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pStyle w:val="963"/>
              <w:spacing w:line="360" w:lineRule="auto"/>
              <w:rPr>
                <w:rFonts w:ascii="宋体" w:hAnsi="宋体" w:cs="宋体"/>
                <w:sz w:val="24"/>
              </w:rPr>
            </w:pPr>
            <w:r>
              <w:rPr>
                <w:rFonts w:hint="eastAsia" w:ascii="宋体" w:hAnsi="宋体" w:cs="宋体"/>
                <w:sz w:val="24"/>
              </w:rPr>
              <w:t xml:space="preserve">颗粒物分析仪采样斑点有残缺或穿孔现象</w:t>
            </w:r>
            <w:r>
              <w:rPr>
                <w:rFonts w:ascii="宋体" w:hAnsi="宋体" w:cs="宋体"/>
                <w:sz w:val="24"/>
              </w:rPr>
            </w:r>
            <w:r/>
          </w:p>
        </w:tc>
        <w:tc>
          <w:tcPr>
            <w:tcW w:w="2007"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r>
      <w:tr>
        <w:trPr>
          <w:cantSplit/>
          <w:trHeight w:val="446"/>
        </w:trPr>
        <w:tc>
          <w:tcPr>
            <w:tcW w:w="731"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pStyle w:val="963"/>
              <w:spacing w:line="360" w:lineRule="auto"/>
              <w:rPr>
                <w:rFonts w:ascii="宋体" w:hAnsi="宋体" w:cs="宋体"/>
                <w:sz w:val="24"/>
              </w:rPr>
            </w:pPr>
            <w:r>
              <w:rPr>
                <w:rFonts w:hint="eastAsia" w:ascii="宋体" w:hAnsi="宋体" w:cs="宋体"/>
                <w:sz w:val="24"/>
              </w:rPr>
              <w:t xml:space="preserve">颗粒物分析仪采样斑点试漏测试未通过</w:t>
            </w:r>
            <w:r>
              <w:rPr>
                <w:rFonts w:ascii="宋体" w:hAnsi="宋体" w:cs="宋体"/>
                <w:sz w:val="24"/>
              </w:rPr>
            </w:r>
            <w:r/>
          </w:p>
        </w:tc>
        <w:tc>
          <w:tcPr>
            <w:tcW w:w="2007"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r>
      <w:tr>
        <w:trPr>
          <w:cantSplit/>
          <w:trHeight w:val="446"/>
        </w:trPr>
        <w:tc>
          <w:tcPr>
            <w:tcW w:w="731" w:type="dxa"/>
            <w:vAlign w:val="center"/>
            <w:vMerge w:val="restart"/>
            <w:textDirection w:val="lrTb"/>
            <w:noWrap w:val="false"/>
          </w:tcPr>
          <w:p>
            <w:pPr>
              <w:pStyle w:val="963"/>
              <w:jc w:val="center"/>
              <w:spacing w:line="360" w:lineRule="auto"/>
              <w:rPr>
                <w:rFonts w:ascii="宋体" w:hAnsi="宋体" w:cs="宋体"/>
                <w:sz w:val="24"/>
              </w:rPr>
            </w:pPr>
            <w:r>
              <w:rPr>
                <w:rFonts w:hint="eastAsia" w:ascii="宋体" w:hAnsi="宋体" w:cs="宋体"/>
                <w:sz w:val="24"/>
              </w:rPr>
              <w:t xml:space="preserve">档案和管理</w:t>
            </w:r>
            <w:r>
              <w:rPr>
                <w:rFonts w:ascii="宋体" w:hAnsi="宋体" w:cs="宋体"/>
                <w:sz w:val="24"/>
              </w:rPr>
            </w:r>
            <w:r/>
          </w:p>
        </w:tc>
        <w:tc>
          <w:tcPr>
            <w:tcW w:w="735" w:type="dxa"/>
            <w:vAlign w:val="center"/>
            <w:vMerge w:val="restart"/>
            <w:textDirection w:val="lrTb"/>
            <w:noWrap w:val="false"/>
          </w:tcPr>
          <w:p>
            <w:pPr>
              <w:pStyle w:val="963"/>
              <w:jc w:val="center"/>
              <w:spacing w:line="360" w:lineRule="auto"/>
              <w:rPr>
                <w:rFonts w:ascii="宋体" w:hAnsi="宋体" w:cs="宋体"/>
                <w:sz w:val="24"/>
              </w:rPr>
            </w:pPr>
            <w:r>
              <w:rPr>
                <w:rFonts w:hint="eastAsia" w:ascii="宋体" w:hAnsi="宋体" w:cs="宋体"/>
                <w:sz w:val="24"/>
              </w:rPr>
              <w:t xml:space="preserve">记录及故障响应时间等核查</w:t>
            </w:r>
            <w:r>
              <w:rPr>
                <w:rFonts w:ascii="宋体" w:hAnsi="宋体" w:cs="宋体"/>
                <w:sz w:val="24"/>
              </w:rPr>
            </w:r>
            <w:r/>
          </w:p>
        </w:tc>
        <w:tc>
          <w:tcPr>
            <w:tcW w:w="5149" w:type="dxa"/>
            <w:vAlign w:val="center"/>
            <w:textDirection w:val="lrTb"/>
            <w:noWrap w:val="false"/>
          </w:tcPr>
          <w:p>
            <w:pPr>
              <w:pStyle w:val="963"/>
              <w:spacing w:line="360" w:lineRule="auto"/>
              <w:rPr>
                <w:rFonts w:ascii="宋体" w:hAnsi="宋体" w:cs="宋体"/>
                <w:sz w:val="24"/>
              </w:rPr>
            </w:pPr>
            <w:r>
              <w:rPr>
                <w:rFonts w:hint="eastAsia" w:ascii="宋体" w:hAnsi="宋体" w:cs="宋体"/>
                <w:sz w:val="24"/>
              </w:rPr>
              <w:t xml:space="preserve">驻场人员每日、周、月应提交的值班记录；驻场人员未经批准，出现迟到、早退、缺岗等现象。 </w:t>
            </w:r>
            <w:r>
              <w:rPr>
                <w:rFonts w:ascii="宋体" w:hAnsi="宋体" w:cs="宋体"/>
                <w:sz w:val="24"/>
              </w:rPr>
            </w:r>
            <w:r/>
          </w:p>
        </w:tc>
        <w:tc>
          <w:tcPr>
            <w:tcW w:w="2007" w:type="dxa"/>
            <w:vAlign w:val="center"/>
            <w:textDirection w:val="lrTb"/>
            <w:noWrap w:val="false"/>
          </w:tcPr>
          <w:p>
            <w:pPr>
              <w:pStyle w:val="963"/>
              <w:spacing w:line="360" w:lineRule="auto"/>
              <w:rPr>
                <w:rFonts w:ascii="宋体" w:hAnsi="宋体" w:cs="宋体"/>
                <w:sz w:val="24"/>
              </w:rPr>
            </w:pPr>
            <w:r>
              <w:rPr>
                <w:rFonts w:hint="eastAsia" w:ascii="宋体" w:hAnsi="宋体" w:cs="宋体"/>
                <w:sz w:val="24"/>
              </w:rPr>
              <w:t xml:space="preserve">缺失每次(项)扣0.5分</w:t>
            </w:r>
            <w:r>
              <w:rPr>
                <w:rFonts w:ascii="宋体" w:hAnsi="宋体" w:cs="宋体"/>
                <w:sz w:val="24"/>
              </w:rPr>
            </w:r>
            <w:r/>
          </w:p>
        </w:tc>
      </w:tr>
      <w:tr>
        <w:trPr>
          <w:cantSplit/>
          <w:trHeight w:val="446"/>
        </w:trPr>
        <w:tc>
          <w:tcPr>
            <w:tcW w:w="731"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pStyle w:val="963"/>
              <w:spacing w:line="360" w:lineRule="auto"/>
              <w:rPr>
                <w:rFonts w:ascii="宋体" w:hAnsi="宋体" w:cs="宋体"/>
                <w:sz w:val="24"/>
              </w:rPr>
            </w:pPr>
            <w:r>
              <w:rPr>
                <w:rFonts w:hint="eastAsia" w:ascii="宋体" w:hAnsi="宋体" w:cs="宋体"/>
                <w:sz w:val="24"/>
              </w:rPr>
              <w:t xml:space="preserve">现场运维每周例行巡检记录，包括标气使用状况记录、用电记录、仪器运行参数记录等</w:t>
            </w:r>
            <w:r>
              <w:rPr>
                <w:rFonts w:ascii="宋体" w:hAnsi="宋体" w:cs="宋体"/>
                <w:sz w:val="24"/>
              </w:rPr>
            </w:r>
            <w:r/>
          </w:p>
        </w:tc>
        <w:tc>
          <w:tcPr>
            <w:tcW w:w="2007" w:type="dxa"/>
            <w:vAlign w:val="center"/>
            <w:textDirection w:val="lrTb"/>
            <w:noWrap w:val="false"/>
          </w:tcPr>
          <w:p>
            <w:pPr>
              <w:pStyle w:val="963"/>
              <w:jc w:val="left"/>
              <w:spacing w:line="360" w:lineRule="auto"/>
              <w:widowControl/>
              <w:rPr>
                <w:rFonts w:ascii="宋体" w:hAnsi="宋体" w:cs="宋体"/>
                <w:sz w:val="24"/>
              </w:rPr>
            </w:pPr>
            <w:r>
              <w:rPr>
                <w:rFonts w:hint="eastAsia" w:ascii="宋体" w:hAnsi="宋体" w:cs="宋体"/>
                <w:sz w:val="24"/>
              </w:rPr>
              <w:t xml:space="preserve">缺失每次(项)扣0.5分</w:t>
            </w:r>
            <w:r>
              <w:rPr>
                <w:rFonts w:ascii="宋体" w:hAnsi="宋体" w:cs="宋体"/>
                <w:sz w:val="24"/>
              </w:rPr>
            </w:r>
            <w:r/>
          </w:p>
        </w:tc>
      </w:tr>
      <w:tr>
        <w:trPr>
          <w:cantSplit/>
          <w:trHeight w:val="446"/>
        </w:trPr>
        <w:tc>
          <w:tcPr>
            <w:tcW w:w="731"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pStyle w:val="963"/>
              <w:spacing w:line="360" w:lineRule="auto"/>
              <w:rPr>
                <w:rFonts w:ascii="宋体" w:hAnsi="宋体" w:cs="宋体"/>
                <w:sz w:val="24"/>
              </w:rPr>
            </w:pPr>
            <w:r>
              <w:rPr>
                <w:rFonts w:hint="eastAsia" w:ascii="宋体" w:hAnsi="宋体" w:cs="宋体"/>
                <w:sz w:val="24"/>
              </w:rPr>
              <w:t xml:space="preserve">每周现场进行手工校零校标检查和校准，并填写相关记录</w:t>
            </w:r>
            <w:r>
              <w:rPr>
                <w:rFonts w:ascii="宋体" w:hAnsi="宋体" w:cs="宋体"/>
                <w:sz w:val="24"/>
              </w:rPr>
            </w:r>
            <w:r/>
          </w:p>
        </w:tc>
        <w:tc>
          <w:tcPr>
            <w:tcW w:w="2007" w:type="dxa"/>
            <w:vAlign w:val="center"/>
            <w:textDirection w:val="lrTb"/>
            <w:noWrap w:val="false"/>
          </w:tcPr>
          <w:p>
            <w:pPr>
              <w:pStyle w:val="963"/>
              <w:jc w:val="left"/>
              <w:spacing w:line="360" w:lineRule="auto"/>
              <w:widowControl/>
              <w:rPr>
                <w:rFonts w:ascii="宋体" w:hAnsi="宋体" w:cs="宋体"/>
                <w:sz w:val="24"/>
              </w:rPr>
            </w:pPr>
            <w:r>
              <w:rPr>
                <w:rFonts w:hint="eastAsia" w:ascii="宋体" w:hAnsi="宋体" w:cs="宋体"/>
                <w:sz w:val="24"/>
              </w:rPr>
              <w:t xml:space="preserve">缺失每参数当月扣2分</w:t>
            </w:r>
            <w:r>
              <w:rPr>
                <w:rFonts w:ascii="宋体" w:hAnsi="宋体" w:cs="宋体"/>
                <w:sz w:val="24"/>
              </w:rPr>
            </w:r>
            <w:r/>
          </w:p>
        </w:tc>
      </w:tr>
      <w:tr>
        <w:trPr>
          <w:cantSplit/>
          <w:trHeight w:val="446"/>
        </w:trPr>
        <w:tc>
          <w:tcPr>
            <w:tcW w:w="731"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pStyle w:val="963"/>
              <w:spacing w:line="360" w:lineRule="auto"/>
              <w:rPr>
                <w:rFonts w:ascii="宋体" w:hAnsi="宋体" w:cs="宋体"/>
                <w:sz w:val="24"/>
              </w:rPr>
            </w:pPr>
            <w:r>
              <w:rPr>
                <w:rFonts w:hint="eastAsia" w:ascii="宋体" w:hAnsi="宋体" w:cs="宋体"/>
                <w:sz w:val="24"/>
              </w:rPr>
              <w:t xml:space="preserve">每月至少检查一次气态污染物、颗粒物监测仪流量并填写相关记录</w:t>
            </w:r>
            <w:r>
              <w:rPr>
                <w:rFonts w:ascii="宋体" w:hAnsi="宋体" w:cs="宋体"/>
                <w:sz w:val="24"/>
              </w:rPr>
            </w:r>
            <w:r/>
          </w:p>
        </w:tc>
        <w:tc>
          <w:tcPr>
            <w:tcW w:w="2007" w:type="dxa"/>
            <w:vAlign w:val="center"/>
            <w:textDirection w:val="lrTb"/>
            <w:noWrap w:val="false"/>
          </w:tcPr>
          <w:p>
            <w:pPr>
              <w:pStyle w:val="963"/>
              <w:jc w:val="left"/>
              <w:spacing w:line="360" w:lineRule="auto"/>
              <w:widowControl/>
              <w:rPr>
                <w:rFonts w:ascii="宋体" w:hAnsi="宋体" w:cs="宋体"/>
                <w:sz w:val="24"/>
              </w:rPr>
            </w:pPr>
            <w:r>
              <w:rPr>
                <w:rFonts w:hint="eastAsia" w:ascii="宋体" w:hAnsi="宋体" w:cs="宋体"/>
                <w:sz w:val="24"/>
              </w:rPr>
              <w:t xml:space="preserve">缺失每参数当季度每月扣2分</w:t>
            </w:r>
            <w:r>
              <w:rPr>
                <w:rFonts w:ascii="宋体" w:hAnsi="宋体" w:cs="宋体"/>
                <w:sz w:val="24"/>
              </w:rPr>
            </w:r>
            <w:r/>
          </w:p>
        </w:tc>
      </w:tr>
      <w:tr>
        <w:trPr>
          <w:cantSplit/>
          <w:trHeight w:val="446"/>
        </w:trPr>
        <w:tc>
          <w:tcPr>
            <w:tcW w:w="731"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pStyle w:val="963"/>
              <w:spacing w:line="360" w:lineRule="auto"/>
              <w:rPr>
                <w:rFonts w:ascii="宋体" w:hAnsi="宋体" w:cs="宋体"/>
                <w:sz w:val="24"/>
              </w:rPr>
            </w:pPr>
            <w:r>
              <w:rPr>
                <w:rFonts w:hint="eastAsia" w:ascii="宋体" w:hAnsi="宋体" w:cs="宋体"/>
                <w:sz w:val="24"/>
              </w:rPr>
              <w:t xml:space="preserve">每季度进行气态污染物多点线性检查、精密度检查；颗粒物监测仪膜片检查和试漏检查并填写相关记录</w:t>
            </w:r>
            <w:r>
              <w:rPr>
                <w:rFonts w:ascii="宋体" w:hAnsi="宋体" w:cs="宋体"/>
                <w:sz w:val="24"/>
              </w:rPr>
            </w:r>
            <w:r/>
          </w:p>
        </w:tc>
        <w:tc>
          <w:tcPr>
            <w:tcW w:w="2007" w:type="dxa"/>
            <w:vAlign w:val="center"/>
            <w:textDirection w:val="lrTb"/>
            <w:noWrap w:val="false"/>
          </w:tcPr>
          <w:p>
            <w:pPr>
              <w:pStyle w:val="963"/>
              <w:jc w:val="left"/>
              <w:spacing w:line="360" w:lineRule="auto"/>
              <w:widowControl/>
              <w:rPr>
                <w:rFonts w:ascii="宋体" w:hAnsi="宋体" w:cs="宋体"/>
                <w:sz w:val="24"/>
              </w:rPr>
            </w:pPr>
            <w:r>
              <w:rPr>
                <w:rFonts w:hint="eastAsia" w:ascii="宋体" w:hAnsi="宋体" w:cs="宋体"/>
                <w:sz w:val="24"/>
              </w:rPr>
              <w:t xml:space="preserve">缺失每参数当季度每月扣3分</w:t>
            </w:r>
            <w:r>
              <w:rPr>
                <w:rFonts w:ascii="宋体" w:hAnsi="宋体" w:cs="宋体"/>
                <w:sz w:val="24"/>
              </w:rPr>
            </w:r>
            <w:r/>
          </w:p>
        </w:tc>
      </w:tr>
      <w:tr>
        <w:trPr>
          <w:cantSplit/>
          <w:trHeight w:val="446"/>
        </w:trPr>
        <w:tc>
          <w:tcPr>
            <w:tcW w:w="731"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pStyle w:val="963"/>
              <w:spacing w:line="360" w:lineRule="auto"/>
              <w:rPr>
                <w:rFonts w:ascii="宋体" w:hAnsi="宋体" w:cs="宋体"/>
                <w:sz w:val="24"/>
              </w:rPr>
            </w:pPr>
            <w:r>
              <w:rPr>
                <w:rFonts w:hint="eastAsia" w:ascii="宋体" w:hAnsi="宋体" w:cs="宋体"/>
                <w:sz w:val="24"/>
              </w:rPr>
              <w:t xml:space="preserve">每半年对NOx设备钼炉转换率和精密度进行检查并填写相关记录，</w:t>
            </w:r>
            <w:r>
              <w:rPr>
                <w:rFonts w:ascii="宋体" w:hAnsi="宋体" w:cs="宋体"/>
                <w:sz w:val="24"/>
              </w:rPr>
            </w:r>
            <w:r/>
          </w:p>
        </w:tc>
        <w:tc>
          <w:tcPr>
            <w:tcW w:w="2007" w:type="dxa"/>
            <w:vAlign w:val="center"/>
            <w:textDirection w:val="lrTb"/>
            <w:noWrap w:val="false"/>
          </w:tcPr>
          <w:p>
            <w:pPr>
              <w:pStyle w:val="963"/>
              <w:jc w:val="left"/>
              <w:spacing w:line="360" w:lineRule="auto"/>
              <w:widowControl/>
              <w:rPr>
                <w:rFonts w:ascii="宋体" w:hAnsi="宋体" w:cs="宋体"/>
                <w:sz w:val="24"/>
              </w:rPr>
            </w:pPr>
            <w:r>
              <w:rPr>
                <w:rFonts w:hint="eastAsia" w:ascii="宋体" w:hAnsi="宋体" w:cs="宋体"/>
                <w:sz w:val="24"/>
              </w:rPr>
              <w:t xml:space="preserve">缺失当季度每月扣3分</w:t>
            </w:r>
            <w:r>
              <w:rPr>
                <w:rFonts w:ascii="宋体" w:hAnsi="宋体" w:cs="宋体"/>
                <w:sz w:val="24"/>
              </w:rPr>
            </w:r>
            <w:r/>
          </w:p>
        </w:tc>
      </w:tr>
      <w:tr>
        <w:trPr>
          <w:cantSplit/>
          <w:trHeight w:val="446"/>
        </w:trPr>
        <w:tc>
          <w:tcPr>
            <w:tcW w:w="731"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pStyle w:val="963"/>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pStyle w:val="963"/>
              <w:spacing w:line="360" w:lineRule="auto"/>
              <w:rPr>
                <w:rFonts w:ascii="宋体" w:hAnsi="宋体" w:cs="宋体"/>
                <w:sz w:val="24"/>
              </w:rPr>
            </w:pPr>
            <w:r>
              <w:rPr>
                <w:rFonts w:hint="eastAsia" w:ascii="宋体" w:hAnsi="宋体" w:cs="宋体"/>
                <w:sz w:val="24"/>
              </w:rPr>
              <w:t xml:space="preserve">当站点每日8时～22时出现故障，应在1小时之内响应，4小时内到达现场解决</w:t>
            </w:r>
            <w:r>
              <w:rPr>
                <w:rFonts w:ascii="宋体" w:hAnsi="宋体" w:cs="宋体"/>
                <w:sz w:val="24"/>
              </w:rPr>
            </w:r>
            <w:r/>
          </w:p>
        </w:tc>
        <w:tc>
          <w:tcPr>
            <w:tcW w:w="2007" w:type="dxa"/>
            <w:vAlign w:val="center"/>
            <w:textDirection w:val="lrTb"/>
            <w:noWrap w:val="false"/>
          </w:tcPr>
          <w:p>
            <w:pPr>
              <w:pStyle w:val="963"/>
              <w:jc w:val="left"/>
              <w:spacing w:line="360" w:lineRule="auto"/>
              <w:widowControl/>
              <w:rPr>
                <w:rFonts w:ascii="宋体" w:hAnsi="宋体" w:cs="宋体"/>
                <w:sz w:val="24"/>
              </w:rPr>
            </w:pPr>
            <w:r>
              <w:rPr>
                <w:rFonts w:hint="eastAsia" w:ascii="宋体" w:hAnsi="宋体" w:cs="宋体"/>
                <w:sz w:val="24"/>
              </w:rPr>
              <w:t xml:space="preserve">未做到的每次扣3分</w:t>
            </w:r>
            <w:r>
              <w:rPr>
                <w:rFonts w:ascii="宋体" w:hAnsi="宋体" w:cs="宋体"/>
                <w:sz w:val="24"/>
              </w:rPr>
            </w:r>
            <w:r/>
          </w:p>
        </w:tc>
      </w:tr>
    </w:tbl>
    <w:p>
      <w:pPr>
        <w:pStyle w:val="963"/>
        <w:ind w:firstLine="482"/>
        <w:jc w:val="left"/>
        <w:keepLines/>
        <w:keepNext/>
        <w:spacing w:line="360" w:lineRule="auto"/>
        <w:tabs>
          <w:tab w:val="left" w:pos="210" w:leader="none"/>
        </w:tabs>
        <w:rPr>
          <w:rFonts w:ascii="宋体" w:hAnsi="宋体" w:cs="宋体"/>
          <w:b/>
          <w:color w:val="000000"/>
          <w:sz w:val="24"/>
        </w:rPr>
        <w:outlineLvl w:val="2"/>
      </w:pPr>
      <w:r>
        <w:rPr>
          <w:rFonts w:hint="eastAsia" w:ascii="宋体" w:hAnsi="宋体" w:cs="宋体"/>
          <w:b/>
          <w:color w:val="000000"/>
          <w:sz w:val="24"/>
        </w:rPr>
        <w:t xml:space="preserve">（2）运维费核算方法</w:t>
      </w:r>
      <w:r>
        <w:rPr>
          <w:rFonts w:ascii="宋体" w:hAnsi="宋体" w:cs="宋体"/>
          <w:b/>
          <w:color w:val="000000"/>
          <w:sz w:val="24"/>
        </w:rPr>
      </w:r>
      <w:r/>
    </w:p>
    <w:p>
      <w:pPr>
        <w:pStyle w:val="963"/>
        <w:ind w:firstLine="480"/>
        <w:spacing w:line="360" w:lineRule="auto"/>
        <w:rPr>
          <w:rFonts w:ascii="宋体" w:hAnsi="宋体" w:cs="宋体"/>
          <w:color w:val="000000"/>
          <w:sz w:val="24"/>
        </w:rPr>
      </w:pPr>
      <w:r>
        <w:rPr>
          <w:rFonts w:hint="eastAsia" w:ascii="宋体" w:hAnsi="宋体" w:cs="宋体"/>
          <w:color w:val="000000"/>
          <w:sz w:val="24"/>
        </w:rPr>
        <w:t xml:space="preserve">绩效考核总分低于80的，不予拨付运维费；绩效考核总分90（含）分以上的，拨付全额运维费；绩效考核总分在80（含）-90分的，运维费=实际考核得分/100*全额运维费。</w:t>
      </w:r>
      <w:r>
        <w:rPr>
          <w:rFonts w:ascii="宋体" w:hAnsi="宋体" w:cs="宋体"/>
          <w:color w:val="000000"/>
          <w:sz w:val="24"/>
        </w:rPr>
      </w:r>
      <w:r/>
    </w:p>
    <w:p>
      <w:pPr>
        <w:pStyle w:val="963"/>
        <w:ind w:firstLine="480"/>
        <w:spacing w:line="360" w:lineRule="auto"/>
        <w:rPr>
          <w:rFonts w:ascii="宋体" w:hAnsi="宋体" w:cs="宋体"/>
          <w:color w:val="000000"/>
          <w:sz w:val="24"/>
        </w:rPr>
      </w:pPr>
      <w:r>
        <w:rPr>
          <w:rFonts w:hint="eastAsia" w:ascii="宋体" w:hAnsi="宋体" w:cs="宋体"/>
          <w:color w:val="000000"/>
          <w:sz w:val="24"/>
        </w:rPr>
        <w:t xml:space="preserve">运维单位在考核中出现10%站点未达到数据有效性要求的，给予警告，履约保证金不予退还；连续2次考核出现10%站点未达到或者单次考核15%以上站点未达到数据有效性要求的，终止运维合同，履约保证金不予退还。同一站点连续两个月未达到数据有效性要求的，扣除该站点半年的运维费；连续3个月未达到数据有效性要求的，扣除该站点全年的运维费；连续4个月未达到数据有效性要求的，终止运维合同，履约保证金不予退还。</w:t>
      </w:r>
      <w:r>
        <w:rPr>
          <w:rFonts w:ascii="宋体" w:hAnsi="宋体" w:cs="宋体"/>
          <w:color w:val="000000"/>
          <w:sz w:val="24"/>
        </w:rPr>
      </w:r>
      <w:r/>
    </w:p>
    <w:p>
      <w:pPr>
        <w:pStyle w:val="963"/>
        <w:numPr>
          <w:ilvl w:val="0"/>
          <w:numId w:val="49"/>
        </w:numPr>
        <w:ind w:firstLine="482"/>
        <w:jc w:val="left"/>
        <w:spacing w:line="360" w:lineRule="auto"/>
        <w:widowControl/>
        <w:rPr>
          <w:rFonts w:ascii="宋体" w:hAnsi="宋体" w:cs="宋体"/>
          <w:b/>
          <w:bCs/>
          <w:sz w:val="24"/>
        </w:rPr>
        <w:outlineLvl w:val="2"/>
      </w:pPr>
      <w:r>
        <w:rPr>
          <w:rFonts w:hint="eastAsia" w:ascii="宋体" w:hAnsi="宋体" w:cs="宋体"/>
          <w:b/>
          <w:bCs/>
          <w:sz w:val="24"/>
        </w:rPr>
        <w:t xml:space="preserve">VOCs站点运维考核办法</w:t>
      </w:r>
      <w:r>
        <w:rPr>
          <w:rFonts w:ascii="宋体" w:hAnsi="宋体" w:cs="宋体"/>
          <w:b/>
          <w:bCs/>
          <w:sz w:val="24"/>
        </w:rPr>
      </w:r>
      <w:r/>
    </w:p>
    <w:p>
      <w:pPr>
        <w:pStyle w:val="963"/>
        <w:numPr>
          <w:ilvl w:val="0"/>
          <w:numId w:val="51"/>
        </w:numPr>
        <w:ind w:firstLine="480"/>
        <w:spacing w:line="360" w:lineRule="auto"/>
        <w:rPr>
          <w:rFonts w:ascii="宋体" w:hAnsi="宋体" w:cs="宋体"/>
          <w:sz w:val="24"/>
        </w:rPr>
      </w:pPr>
      <w:r>
        <w:rPr>
          <w:rFonts w:hint="eastAsia" w:ascii="宋体" w:hAnsi="宋体" w:cs="宋体"/>
          <w:sz w:val="24"/>
        </w:rPr>
        <w:t xml:space="preserve">数据有效获取率考核：单套设备的月有效数据获取率不低于70%，如未达到，每低1%扣5分。</w:t>
      </w:r>
      <w:r>
        <w:rPr>
          <w:rFonts w:ascii="宋体" w:hAnsi="宋体" w:cs="宋体"/>
          <w:sz w:val="24"/>
        </w:rPr>
      </w:r>
      <w:r/>
    </w:p>
    <w:p>
      <w:pPr>
        <w:pStyle w:val="963"/>
        <w:numPr>
          <w:ilvl w:val="0"/>
          <w:numId w:val="51"/>
        </w:numPr>
        <w:ind w:firstLine="480"/>
        <w:spacing w:line="360" w:lineRule="auto"/>
        <w:rPr>
          <w:rFonts w:ascii="宋体" w:hAnsi="宋体" w:cs="宋体"/>
          <w:sz w:val="24"/>
        </w:rPr>
      </w:pPr>
      <w:r>
        <w:rPr>
          <w:rFonts w:hint="eastAsia" w:ascii="宋体" w:hAnsi="宋体" w:cs="宋体"/>
          <w:sz w:val="24"/>
        </w:rPr>
        <w:t xml:space="preserve">数据质控合格率考核：单套设备的月数据质控合格率不低于90%，如未达到，每低1%扣5分。</w:t>
      </w:r>
      <w:r>
        <w:rPr>
          <w:rFonts w:ascii="宋体" w:hAnsi="宋体" w:cs="宋体"/>
          <w:sz w:val="24"/>
        </w:rPr>
      </w:r>
      <w:r/>
    </w:p>
    <w:p>
      <w:pPr>
        <w:pStyle w:val="963"/>
        <w:numPr>
          <w:ilvl w:val="0"/>
          <w:numId w:val="51"/>
        </w:numPr>
        <w:ind w:firstLine="480"/>
        <w:spacing w:line="360" w:lineRule="auto"/>
        <w:rPr>
          <w:rFonts w:ascii="宋体" w:hAnsi="宋体" w:cs="宋体"/>
          <w:sz w:val="24"/>
        </w:rPr>
      </w:pPr>
      <w:r>
        <w:rPr>
          <w:rFonts w:hint="eastAsia" w:ascii="宋体" w:hAnsi="宋体" w:cs="宋体"/>
          <w:sz w:val="24"/>
        </w:rPr>
        <w:t xml:space="preserve">运维任务完成率考核：每月按时填写、整理和提交各类运维原始记录，如未按时完成，每次扣2分；按约定时间要求提交所有配件、耗材，交接清单和日常使用记录备查，如未按时完成，每次扣2分。</w:t>
      </w:r>
      <w:r>
        <w:rPr>
          <w:rFonts w:ascii="宋体" w:hAnsi="宋体" w:cs="宋体"/>
          <w:sz w:val="24"/>
        </w:rPr>
      </w:r>
      <w:r/>
    </w:p>
    <w:p>
      <w:pPr>
        <w:pStyle w:val="963"/>
        <w:ind w:firstLine="482"/>
        <w:jc w:val="center"/>
        <w:rPr>
          <w:rFonts w:ascii="宋体" w:hAnsi="宋体" w:cs="宋体"/>
          <w:b/>
          <w:bCs/>
          <w:sz w:val="24"/>
          <w:lang w:val="de-DE"/>
        </w:rPr>
      </w:pPr>
      <w:r>
        <w:rPr>
          <w:rFonts w:hint="eastAsia" w:ascii="宋体" w:hAnsi="宋体" w:cs="宋体"/>
          <w:b/>
          <w:bCs/>
          <w:sz w:val="24"/>
          <w:lang w:val="de-DE"/>
        </w:rPr>
        <w:t xml:space="preserve">环境空气VOC</w:t>
      </w:r>
      <w:r>
        <w:rPr>
          <w:rFonts w:hint="eastAsia" w:ascii="宋体" w:hAnsi="宋体" w:cs="宋体"/>
          <w:b/>
          <w:bCs/>
          <w:sz w:val="24"/>
        </w:rPr>
        <w:t xml:space="preserve">s</w:t>
      </w:r>
      <w:r>
        <w:rPr>
          <w:rFonts w:hint="eastAsia" w:ascii="宋体" w:hAnsi="宋体" w:cs="宋体"/>
          <w:b/>
          <w:bCs/>
          <w:sz w:val="24"/>
          <w:lang w:val="de-DE"/>
        </w:rPr>
        <w:t xml:space="preserve">自动监测运维服务</w:t>
      </w:r>
      <w:r>
        <w:rPr>
          <w:rFonts w:hint="eastAsia" w:ascii="宋体" w:hAnsi="宋体" w:cs="宋体"/>
          <w:b/>
          <w:bCs/>
          <w:sz w:val="24"/>
        </w:rPr>
        <w:t xml:space="preserve">考核结果表</w:t>
      </w:r>
      <w:r>
        <w:rPr>
          <w:rFonts w:ascii="宋体" w:hAnsi="宋体" w:cs="宋体"/>
          <w:b/>
          <w:bCs/>
          <w:sz w:val="24"/>
          <w:lang w:val="de-DE"/>
        </w:rPr>
      </w:r>
      <w:r/>
    </w:p>
    <w:tbl>
      <w:tblPr>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1379"/>
        <w:gridCol w:w="3667"/>
        <w:gridCol w:w="1039"/>
        <w:gridCol w:w="1734"/>
      </w:tblGrid>
      <w:tr>
        <w:trPr>
          <w:trHeight w:val="567"/>
        </w:trPr>
        <w:tc>
          <w:tcPr>
            <w:tcW w:w="700" w:type="dxa"/>
            <w:vAlign w:val="center"/>
            <w:textDirection w:val="lrTb"/>
            <w:noWrap w:val="false"/>
          </w:tcPr>
          <w:p>
            <w:pPr>
              <w:pStyle w:val="963"/>
              <w:widowControl/>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1379" w:type="dxa"/>
            <w:vAlign w:val="center"/>
            <w:textDirection w:val="lrTb"/>
            <w:noWrap w:val="false"/>
          </w:tcPr>
          <w:p>
            <w:pPr>
              <w:pStyle w:val="963"/>
              <w:jc w:val="center"/>
              <w:widowControl/>
              <w:rPr>
                <w:rFonts w:ascii="宋体" w:hAnsi="宋体" w:cs="宋体"/>
                <w:sz w:val="24"/>
              </w:rPr>
            </w:pPr>
            <w:r>
              <w:rPr>
                <w:rFonts w:hint="eastAsia" w:ascii="宋体" w:hAnsi="宋体" w:cs="宋体"/>
                <w:sz w:val="24"/>
              </w:rPr>
              <w:t xml:space="preserve">考核指标</w:t>
            </w:r>
            <w:r>
              <w:rPr>
                <w:rFonts w:ascii="宋体" w:hAnsi="宋体" w:cs="宋体"/>
                <w:sz w:val="24"/>
              </w:rPr>
            </w:r>
            <w:r/>
          </w:p>
        </w:tc>
        <w:tc>
          <w:tcPr>
            <w:tcW w:w="3667" w:type="dxa"/>
            <w:vAlign w:val="center"/>
            <w:textDirection w:val="lrTb"/>
            <w:noWrap w:val="false"/>
          </w:tcPr>
          <w:p>
            <w:pPr>
              <w:pStyle w:val="963"/>
              <w:jc w:val="center"/>
              <w:widowControl/>
              <w:rPr>
                <w:rFonts w:ascii="宋体" w:hAnsi="宋体" w:cs="宋体"/>
                <w:sz w:val="24"/>
              </w:rPr>
            </w:pPr>
            <w:r>
              <w:rPr>
                <w:rFonts w:hint="eastAsia" w:ascii="宋体" w:hAnsi="宋体" w:cs="宋体"/>
                <w:sz w:val="24"/>
              </w:rPr>
              <w:t xml:space="preserve">考核标准</w:t>
            </w:r>
            <w:r>
              <w:rPr>
                <w:rFonts w:ascii="宋体" w:hAnsi="宋体" w:cs="宋体"/>
                <w:sz w:val="24"/>
              </w:rPr>
            </w:r>
            <w:r/>
          </w:p>
        </w:tc>
        <w:tc>
          <w:tcPr>
            <w:tcW w:w="1039" w:type="dxa"/>
            <w:vAlign w:val="center"/>
            <w:textDirection w:val="lrTb"/>
            <w:noWrap w:val="false"/>
          </w:tcPr>
          <w:p>
            <w:pPr>
              <w:pStyle w:val="963"/>
              <w:jc w:val="center"/>
              <w:widowControl/>
              <w:rPr>
                <w:rFonts w:ascii="宋体" w:hAnsi="宋体" w:cs="宋体"/>
                <w:sz w:val="24"/>
              </w:rPr>
            </w:pPr>
            <w:r>
              <w:rPr>
                <w:rFonts w:hint="eastAsia" w:ascii="宋体" w:hAnsi="宋体" w:cs="宋体"/>
                <w:sz w:val="24"/>
              </w:rPr>
              <w:t xml:space="preserve">扣分</w:t>
            </w:r>
            <w:r>
              <w:rPr>
                <w:rFonts w:ascii="宋体" w:hAnsi="宋体" w:cs="宋体"/>
                <w:sz w:val="24"/>
              </w:rPr>
            </w:r>
            <w:r/>
          </w:p>
        </w:tc>
        <w:tc>
          <w:tcPr>
            <w:tcW w:w="1734" w:type="dxa"/>
            <w:vAlign w:val="center"/>
            <w:textDirection w:val="lrTb"/>
            <w:noWrap w:val="false"/>
          </w:tcPr>
          <w:p>
            <w:pPr>
              <w:pStyle w:val="963"/>
              <w:jc w:val="center"/>
              <w:widowControl/>
              <w:rPr>
                <w:rFonts w:ascii="宋体" w:hAnsi="宋体" w:cs="宋体"/>
                <w:sz w:val="24"/>
              </w:rPr>
            </w:pPr>
            <w:r>
              <w:rPr>
                <w:rFonts w:hint="eastAsia" w:ascii="宋体" w:hAnsi="宋体" w:cs="宋体"/>
                <w:sz w:val="24"/>
              </w:rPr>
              <w:t xml:space="preserve">备注</w:t>
            </w:r>
            <w:r>
              <w:rPr>
                <w:rFonts w:ascii="宋体" w:hAnsi="宋体" w:cs="宋体"/>
                <w:sz w:val="24"/>
              </w:rPr>
            </w:r>
            <w:r/>
          </w:p>
        </w:tc>
      </w:tr>
      <w:tr>
        <w:trPr>
          <w:trHeight w:val="567"/>
        </w:trPr>
        <w:tc>
          <w:tcPr>
            <w:tcW w:w="700" w:type="dxa"/>
            <w:vAlign w:val="center"/>
            <w:textDirection w:val="lrTb"/>
            <w:noWrap w:val="false"/>
          </w:tcPr>
          <w:p>
            <w:pPr>
              <w:pStyle w:val="963"/>
              <w:jc w:val="center"/>
              <w:widowControl/>
              <w:rPr>
                <w:rFonts w:ascii="宋体" w:hAnsi="宋体" w:cs="宋体"/>
                <w:sz w:val="24"/>
              </w:rPr>
            </w:pPr>
            <w:r>
              <w:rPr>
                <w:rFonts w:hint="eastAsia" w:ascii="宋体" w:hAnsi="宋体" w:cs="宋体"/>
                <w:sz w:val="24"/>
              </w:rPr>
              <w:t xml:space="preserve">1</w:t>
            </w:r>
            <w:r>
              <w:rPr>
                <w:rFonts w:ascii="宋体" w:hAnsi="宋体" w:cs="宋体"/>
                <w:sz w:val="24"/>
              </w:rPr>
            </w:r>
            <w:r/>
          </w:p>
        </w:tc>
        <w:tc>
          <w:tcPr>
            <w:tcW w:w="1379" w:type="dxa"/>
            <w:vAlign w:val="center"/>
            <w:textDirection w:val="lrTb"/>
            <w:noWrap w:val="false"/>
          </w:tcPr>
          <w:p>
            <w:pPr>
              <w:pStyle w:val="963"/>
              <w:widowControl/>
              <w:rPr>
                <w:rFonts w:ascii="宋体" w:hAnsi="宋体" w:cs="宋体"/>
                <w:sz w:val="24"/>
              </w:rPr>
            </w:pPr>
            <w:r>
              <w:rPr>
                <w:rFonts w:hint="eastAsia" w:ascii="宋体" w:hAnsi="宋体" w:cs="宋体"/>
                <w:sz w:val="24"/>
              </w:rPr>
              <w:t xml:space="preserve">数据有效获取率</w:t>
            </w:r>
            <w:r>
              <w:rPr>
                <w:rFonts w:ascii="宋体" w:hAnsi="宋体" w:cs="宋体"/>
                <w:sz w:val="24"/>
              </w:rPr>
            </w:r>
            <w:r/>
          </w:p>
        </w:tc>
        <w:tc>
          <w:tcPr>
            <w:tcW w:w="3667" w:type="dxa"/>
            <w:vAlign w:val="center"/>
            <w:textDirection w:val="lrTb"/>
            <w:noWrap w:val="false"/>
          </w:tcPr>
          <w:p>
            <w:pPr>
              <w:pStyle w:val="963"/>
              <w:widowControl/>
              <w:rPr>
                <w:rFonts w:ascii="宋体" w:hAnsi="宋体" w:cs="宋体"/>
                <w:sz w:val="24"/>
              </w:rPr>
            </w:pPr>
            <w:r>
              <w:rPr>
                <w:rFonts w:hint="eastAsia" w:ascii="宋体" w:hAnsi="宋体" w:cs="宋体"/>
                <w:sz w:val="24"/>
              </w:rPr>
              <w:t xml:space="preserve">单套设备的月有效数据获取率不低于70%，如未达到，每低1%扣5分</w:t>
            </w:r>
            <w:r>
              <w:rPr>
                <w:rFonts w:ascii="宋体" w:hAnsi="宋体" w:cs="宋体"/>
                <w:sz w:val="24"/>
              </w:rPr>
            </w:r>
            <w:r/>
          </w:p>
        </w:tc>
        <w:tc>
          <w:tcPr>
            <w:tcW w:w="1039" w:type="dxa"/>
            <w:vAlign w:val="center"/>
            <w:textDirection w:val="lrTb"/>
            <w:noWrap w:val="false"/>
          </w:tcPr>
          <w:p>
            <w:pPr>
              <w:pStyle w:val="963"/>
              <w:jc w:val="center"/>
              <w:widowControl/>
              <w:rPr>
                <w:rFonts w:ascii="宋体" w:hAnsi="宋体" w:cs="宋体"/>
                <w:sz w:val="24"/>
              </w:rPr>
            </w:pPr>
            <w:r>
              <w:rPr>
                <w:rFonts w:ascii="宋体" w:hAnsi="宋体" w:cs="宋体"/>
                <w:sz w:val="24"/>
              </w:rPr>
            </w:r>
            <w:r/>
          </w:p>
        </w:tc>
        <w:tc>
          <w:tcPr>
            <w:tcW w:w="1734" w:type="dxa"/>
            <w:vAlign w:val="center"/>
            <w:textDirection w:val="lrTb"/>
            <w:noWrap w:val="false"/>
          </w:tcPr>
          <w:p>
            <w:pPr>
              <w:pStyle w:val="963"/>
              <w:jc w:val="center"/>
              <w:widowControl/>
              <w:rPr>
                <w:rFonts w:ascii="宋体" w:hAnsi="宋体" w:cs="宋体"/>
                <w:sz w:val="24"/>
              </w:rPr>
            </w:pPr>
            <w:r>
              <w:rPr>
                <w:rFonts w:hint="eastAsia" w:ascii="宋体" w:hAnsi="宋体" w:cs="宋体"/>
                <w:sz w:val="24"/>
              </w:rPr>
              <w:t xml:space="preserve">-</w:t>
            </w:r>
            <w:r>
              <w:rPr>
                <w:rFonts w:ascii="宋体" w:hAnsi="宋体" w:cs="宋体"/>
                <w:sz w:val="24"/>
              </w:rPr>
            </w:r>
            <w:r/>
          </w:p>
        </w:tc>
      </w:tr>
      <w:tr>
        <w:trPr>
          <w:trHeight w:val="567"/>
        </w:trPr>
        <w:tc>
          <w:tcPr>
            <w:tcW w:w="700" w:type="dxa"/>
            <w:vAlign w:val="center"/>
            <w:textDirection w:val="lrTb"/>
            <w:noWrap w:val="false"/>
          </w:tcPr>
          <w:p>
            <w:pPr>
              <w:pStyle w:val="963"/>
              <w:jc w:val="center"/>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W w:w="1379" w:type="dxa"/>
            <w:vAlign w:val="center"/>
            <w:textDirection w:val="lrTb"/>
            <w:noWrap w:val="false"/>
          </w:tcPr>
          <w:p>
            <w:pPr>
              <w:pStyle w:val="963"/>
              <w:widowControl/>
              <w:rPr>
                <w:rFonts w:ascii="宋体" w:hAnsi="宋体" w:cs="宋体"/>
                <w:sz w:val="24"/>
              </w:rPr>
            </w:pPr>
            <w:r>
              <w:rPr>
                <w:rFonts w:hint="eastAsia" w:ascii="宋体" w:hAnsi="宋体" w:cs="宋体"/>
                <w:sz w:val="24"/>
              </w:rPr>
              <w:t xml:space="preserve">数据质控合格率</w:t>
            </w:r>
            <w:r>
              <w:rPr>
                <w:rFonts w:ascii="宋体" w:hAnsi="宋体" w:cs="宋体"/>
                <w:sz w:val="24"/>
              </w:rPr>
            </w:r>
            <w:r/>
          </w:p>
        </w:tc>
        <w:tc>
          <w:tcPr>
            <w:tcW w:w="3667" w:type="dxa"/>
            <w:vAlign w:val="center"/>
            <w:textDirection w:val="lrTb"/>
            <w:noWrap w:val="false"/>
          </w:tcPr>
          <w:p>
            <w:pPr>
              <w:pStyle w:val="963"/>
              <w:widowControl/>
              <w:rPr>
                <w:rFonts w:ascii="宋体" w:hAnsi="宋体" w:cs="宋体"/>
                <w:sz w:val="24"/>
              </w:rPr>
            </w:pPr>
            <w:r>
              <w:rPr>
                <w:rFonts w:hint="eastAsia" w:ascii="宋体" w:hAnsi="宋体" w:cs="宋体"/>
                <w:sz w:val="24"/>
              </w:rPr>
              <w:t xml:space="preserve">单套设备的月数据质控合格率不低于90%，如未达到，每低1%扣5分</w:t>
            </w:r>
            <w:r>
              <w:rPr>
                <w:rFonts w:ascii="宋体" w:hAnsi="宋体" w:cs="宋体"/>
                <w:sz w:val="24"/>
              </w:rPr>
            </w:r>
            <w:r/>
          </w:p>
        </w:tc>
        <w:tc>
          <w:tcPr>
            <w:tcW w:w="1039" w:type="dxa"/>
            <w:vAlign w:val="center"/>
            <w:textDirection w:val="lrTb"/>
            <w:noWrap w:val="false"/>
          </w:tcPr>
          <w:p>
            <w:pPr>
              <w:pStyle w:val="963"/>
              <w:jc w:val="center"/>
              <w:widowControl/>
              <w:rPr>
                <w:rFonts w:ascii="宋体" w:hAnsi="宋体" w:cs="宋体"/>
                <w:sz w:val="24"/>
              </w:rPr>
            </w:pPr>
            <w:r>
              <w:rPr>
                <w:rFonts w:ascii="宋体" w:hAnsi="宋体" w:cs="宋体"/>
                <w:sz w:val="24"/>
              </w:rPr>
            </w:r>
            <w:r/>
          </w:p>
        </w:tc>
        <w:tc>
          <w:tcPr>
            <w:tcW w:w="1734" w:type="dxa"/>
            <w:vAlign w:val="center"/>
            <w:textDirection w:val="lrTb"/>
            <w:noWrap w:val="false"/>
          </w:tcPr>
          <w:p>
            <w:pPr>
              <w:pStyle w:val="963"/>
              <w:jc w:val="center"/>
              <w:widowControl/>
              <w:rPr>
                <w:rFonts w:ascii="宋体" w:hAnsi="宋体" w:cs="宋体"/>
                <w:sz w:val="24"/>
              </w:rPr>
            </w:pPr>
            <w:r>
              <w:rPr>
                <w:rFonts w:hint="eastAsia" w:ascii="宋体" w:hAnsi="宋体" w:cs="宋体"/>
                <w:sz w:val="24"/>
              </w:rPr>
              <w:t xml:space="preserve">-</w:t>
            </w:r>
            <w:r>
              <w:rPr>
                <w:rFonts w:ascii="宋体" w:hAnsi="宋体" w:cs="宋体"/>
                <w:sz w:val="24"/>
              </w:rPr>
            </w:r>
            <w:r/>
          </w:p>
        </w:tc>
      </w:tr>
      <w:tr>
        <w:trPr>
          <w:trHeight w:val="567"/>
        </w:trPr>
        <w:tc>
          <w:tcPr>
            <w:tcW w:w="700" w:type="dxa"/>
            <w:vAlign w:val="center"/>
            <w:textDirection w:val="lrTb"/>
            <w:noWrap w:val="false"/>
          </w:tcPr>
          <w:p>
            <w:pPr>
              <w:pStyle w:val="963"/>
              <w:jc w:val="center"/>
              <w:widowControl/>
              <w:rPr>
                <w:rFonts w:ascii="宋体" w:hAnsi="宋体" w:cs="宋体"/>
                <w:sz w:val="24"/>
              </w:rPr>
            </w:pPr>
            <w:r>
              <w:rPr>
                <w:rFonts w:hint="eastAsia" w:ascii="宋体" w:hAnsi="宋体" w:cs="宋体"/>
                <w:sz w:val="24"/>
              </w:rPr>
              <w:t xml:space="preserve">3</w:t>
            </w:r>
            <w:r>
              <w:rPr>
                <w:rFonts w:ascii="宋体" w:hAnsi="宋体" w:cs="宋体"/>
                <w:sz w:val="24"/>
              </w:rPr>
            </w:r>
            <w:r/>
          </w:p>
        </w:tc>
        <w:tc>
          <w:tcPr>
            <w:tcW w:w="1379" w:type="dxa"/>
            <w:vAlign w:val="center"/>
            <w:textDirection w:val="lrTb"/>
            <w:noWrap w:val="false"/>
          </w:tcPr>
          <w:p>
            <w:pPr>
              <w:pStyle w:val="963"/>
              <w:widowControl/>
              <w:rPr>
                <w:rFonts w:ascii="宋体" w:hAnsi="宋体" w:cs="宋体"/>
                <w:sz w:val="24"/>
              </w:rPr>
            </w:pPr>
            <w:r>
              <w:rPr>
                <w:rFonts w:hint="eastAsia" w:ascii="宋体" w:hAnsi="宋体" w:cs="宋体"/>
                <w:sz w:val="24"/>
              </w:rPr>
              <w:t xml:space="preserve">运维任务完成率</w:t>
            </w:r>
            <w:r>
              <w:rPr>
                <w:rFonts w:ascii="宋体" w:hAnsi="宋体" w:cs="宋体"/>
                <w:sz w:val="24"/>
              </w:rPr>
            </w:r>
            <w:r/>
          </w:p>
        </w:tc>
        <w:tc>
          <w:tcPr>
            <w:tcW w:w="3667" w:type="dxa"/>
            <w:vAlign w:val="center"/>
            <w:textDirection w:val="lrTb"/>
            <w:noWrap w:val="false"/>
          </w:tcPr>
          <w:p>
            <w:pPr>
              <w:pStyle w:val="963"/>
              <w:widowControl/>
              <w:rPr>
                <w:rFonts w:ascii="宋体" w:hAnsi="宋体" w:cs="宋体"/>
                <w:sz w:val="24"/>
              </w:rPr>
            </w:pPr>
            <w:r>
              <w:rPr>
                <w:rFonts w:hint="eastAsia" w:ascii="宋体" w:hAnsi="宋体" w:cs="宋体"/>
                <w:sz w:val="24"/>
              </w:rPr>
              <w:t xml:space="preserve">每月按时填写、整理和提交各类运维原始记录，如未按时完成，每次扣2分</w:t>
            </w:r>
            <w:r>
              <w:rPr>
                <w:rFonts w:ascii="宋体" w:hAnsi="宋体" w:cs="宋体"/>
                <w:sz w:val="24"/>
              </w:rPr>
            </w:r>
            <w:r/>
          </w:p>
          <w:p>
            <w:pPr>
              <w:pStyle w:val="963"/>
              <w:widowControl/>
              <w:rPr>
                <w:rFonts w:ascii="宋体" w:hAnsi="宋体" w:cs="宋体"/>
                <w:sz w:val="24"/>
              </w:rPr>
            </w:pPr>
            <w:r>
              <w:rPr>
                <w:rFonts w:hint="eastAsia" w:ascii="宋体" w:hAnsi="宋体" w:cs="宋体"/>
                <w:sz w:val="24"/>
              </w:rPr>
              <w:t xml:space="preserve">按约定时间要求提交所有配件、耗材，交接清单和日常使用记录备查，如未按时完成，每次扣2分</w:t>
            </w:r>
            <w:r>
              <w:rPr>
                <w:rFonts w:ascii="宋体" w:hAnsi="宋体" w:cs="宋体"/>
                <w:sz w:val="24"/>
              </w:rPr>
            </w:r>
            <w:r/>
          </w:p>
        </w:tc>
        <w:tc>
          <w:tcPr>
            <w:tcW w:w="1039" w:type="dxa"/>
            <w:vAlign w:val="center"/>
            <w:textDirection w:val="lrTb"/>
            <w:noWrap w:val="false"/>
          </w:tcPr>
          <w:p>
            <w:pPr>
              <w:pStyle w:val="963"/>
              <w:jc w:val="center"/>
              <w:widowControl/>
              <w:rPr>
                <w:rFonts w:ascii="宋体" w:hAnsi="宋体" w:cs="宋体"/>
                <w:sz w:val="24"/>
              </w:rPr>
            </w:pPr>
            <w:r>
              <w:rPr>
                <w:rFonts w:ascii="宋体" w:hAnsi="宋体" w:cs="宋体"/>
                <w:sz w:val="24"/>
              </w:rPr>
            </w:r>
            <w:r/>
          </w:p>
        </w:tc>
        <w:tc>
          <w:tcPr>
            <w:tcW w:w="1734" w:type="dxa"/>
            <w:vAlign w:val="center"/>
            <w:textDirection w:val="lrTb"/>
            <w:noWrap w:val="false"/>
          </w:tcPr>
          <w:p>
            <w:pPr>
              <w:pStyle w:val="963"/>
              <w:jc w:val="center"/>
              <w:widowControl/>
              <w:rPr>
                <w:rFonts w:ascii="宋体" w:hAnsi="宋体" w:cs="宋体"/>
                <w:sz w:val="24"/>
              </w:rPr>
            </w:pPr>
            <w:r>
              <w:rPr>
                <w:rFonts w:ascii="宋体" w:hAnsi="宋体" w:cs="宋体"/>
                <w:sz w:val="24"/>
              </w:rPr>
            </w:r>
            <w:r/>
          </w:p>
        </w:tc>
      </w:tr>
      <w:tr>
        <w:trPr>
          <w:trHeight w:val="567"/>
        </w:trPr>
        <w:tc>
          <w:tcPr>
            <w:tcW w:w="700" w:type="dxa"/>
            <w:vAlign w:val="center"/>
            <w:textDirection w:val="lrTb"/>
            <w:noWrap w:val="false"/>
          </w:tcPr>
          <w:p>
            <w:pPr>
              <w:pStyle w:val="963"/>
              <w:jc w:val="center"/>
              <w:widowControl/>
              <w:rPr>
                <w:rFonts w:ascii="宋体" w:hAnsi="宋体" w:cs="宋体"/>
                <w:sz w:val="24"/>
              </w:rPr>
            </w:pPr>
            <w:r>
              <w:rPr>
                <w:rFonts w:hint="eastAsia" w:ascii="宋体" w:hAnsi="宋体" w:cs="宋体"/>
                <w:sz w:val="24"/>
              </w:rPr>
              <w:t xml:space="preserve">4</w:t>
            </w:r>
            <w:r>
              <w:rPr>
                <w:rFonts w:ascii="宋体" w:hAnsi="宋体" w:cs="宋体"/>
                <w:sz w:val="24"/>
              </w:rPr>
            </w:r>
            <w:r/>
          </w:p>
        </w:tc>
        <w:tc>
          <w:tcPr>
            <w:tcW w:w="1379" w:type="dxa"/>
            <w:vAlign w:val="center"/>
            <w:textDirection w:val="lrTb"/>
            <w:noWrap w:val="false"/>
          </w:tcPr>
          <w:p>
            <w:pPr>
              <w:pStyle w:val="963"/>
              <w:widowControl/>
              <w:rPr>
                <w:rFonts w:ascii="宋体" w:hAnsi="宋体" w:cs="宋体"/>
                <w:sz w:val="24"/>
              </w:rPr>
            </w:pPr>
            <w:r>
              <w:rPr>
                <w:rFonts w:hint="eastAsia" w:ascii="宋体" w:hAnsi="宋体" w:cs="宋体"/>
                <w:sz w:val="24"/>
              </w:rPr>
              <w:t xml:space="preserve">报告提交情况</w:t>
            </w:r>
            <w:r>
              <w:rPr>
                <w:rFonts w:ascii="宋体" w:hAnsi="宋体" w:cs="宋体"/>
                <w:sz w:val="24"/>
              </w:rPr>
            </w:r>
            <w:r/>
          </w:p>
        </w:tc>
        <w:tc>
          <w:tcPr>
            <w:tcW w:w="3667" w:type="dxa"/>
            <w:vAlign w:val="center"/>
            <w:textDirection w:val="lrTb"/>
            <w:noWrap w:val="false"/>
          </w:tcPr>
          <w:p>
            <w:pPr>
              <w:pStyle w:val="963"/>
              <w:widowControl/>
              <w:rPr>
                <w:rFonts w:ascii="宋体" w:hAnsi="宋体" w:cs="宋体"/>
                <w:sz w:val="24"/>
              </w:rPr>
            </w:pPr>
            <w:r>
              <w:rPr>
                <w:rFonts w:hint="eastAsia" w:ascii="宋体" w:hAnsi="宋体" w:cs="宋体"/>
                <w:sz w:val="24"/>
              </w:rPr>
              <w:t xml:space="preserve">每月提供满足要求的VOCs组分分析报告至少1份，如未完成，每次扣3分</w:t>
            </w:r>
            <w:r>
              <w:rPr>
                <w:rFonts w:ascii="宋体" w:hAnsi="宋体" w:cs="宋体"/>
                <w:sz w:val="24"/>
              </w:rPr>
            </w:r>
            <w:r/>
          </w:p>
        </w:tc>
        <w:tc>
          <w:tcPr>
            <w:tcW w:w="1039" w:type="dxa"/>
            <w:vAlign w:val="center"/>
            <w:textDirection w:val="lrTb"/>
            <w:noWrap w:val="false"/>
          </w:tcPr>
          <w:p>
            <w:pPr>
              <w:pStyle w:val="963"/>
              <w:jc w:val="center"/>
              <w:widowControl/>
              <w:rPr>
                <w:rFonts w:ascii="宋体" w:hAnsi="宋体" w:cs="宋体"/>
                <w:sz w:val="24"/>
              </w:rPr>
            </w:pPr>
            <w:r>
              <w:rPr>
                <w:rFonts w:ascii="宋体" w:hAnsi="宋体" w:cs="宋体"/>
                <w:sz w:val="24"/>
              </w:rPr>
            </w:r>
            <w:r/>
          </w:p>
        </w:tc>
        <w:tc>
          <w:tcPr>
            <w:tcW w:w="1734" w:type="dxa"/>
            <w:vAlign w:val="center"/>
            <w:textDirection w:val="lrTb"/>
            <w:noWrap w:val="false"/>
          </w:tcPr>
          <w:p>
            <w:pPr>
              <w:pStyle w:val="963"/>
              <w:jc w:val="center"/>
              <w:widowControl/>
              <w:rPr>
                <w:rFonts w:ascii="宋体" w:hAnsi="宋体" w:cs="宋体"/>
                <w:sz w:val="24"/>
              </w:rPr>
            </w:pPr>
            <w:r>
              <w:rPr>
                <w:rFonts w:ascii="宋体" w:hAnsi="宋体" w:cs="宋体"/>
                <w:sz w:val="24"/>
              </w:rPr>
            </w:r>
            <w:r/>
          </w:p>
        </w:tc>
      </w:tr>
      <w:tr>
        <w:trPr>
          <w:trHeight w:val="567"/>
        </w:trPr>
        <w:tc>
          <w:tcPr>
            <w:tcW w:w="700" w:type="dxa"/>
            <w:vAlign w:val="center"/>
            <w:textDirection w:val="lrTb"/>
            <w:noWrap w:val="false"/>
          </w:tcPr>
          <w:p>
            <w:pPr>
              <w:pStyle w:val="963"/>
              <w:jc w:val="center"/>
              <w:widowControl/>
              <w:rPr>
                <w:rFonts w:ascii="宋体" w:hAnsi="宋体" w:cs="宋体"/>
                <w:sz w:val="24"/>
              </w:rPr>
            </w:pPr>
            <w:r>
              <w:rPr>
                <w:rFonts w:hint="eastAsia" w:ascii="宋体" w:hAnsi="宋体" w:cs="宋体"/>
                <w:sz w:val="24"/>
              </w:rPr>
              <w:t xml:space="preserve">5</w:t>
            </w:r>
            <w:r>
              <w:rPr>
                <w:rFonts w:ascii="宋体" w:hAnsi="宋体" w:cs="宋体"/>
                <w:sz w:val="24"/>
              </w:rPr>
            </w:r>
            <w:r/>
          </w:p>
        </w:tc>
        <w:tc>
          <w:tcPr>
            <w:tcW w:w="1379" w:type="dxa"/>
            <w:vAlign w:val="center"/>
            <w:textDirection w:val="lrTb"/>
            <w:noWrap w:val="false"/>
          </w:tcPr>
          <w:p>
            <w:pPr>
              <w:pStyle w:val="963"/>
              <w:widowControl/>
              <w:rPr>
                <w:rFonts w:ascii="宋体" w:hAnsi="宋体" w:cs="宋体"/>
                <w:sz w:val="24"/>
              </w:rPr>
            </w:pPr>
            <w:r>
              <w:rPr>
                <w:rFonts w:hint="eastAsia" w:ascii="宋体" w:hAnsi="宋体" w:cs="宋体"/>
                <w:sz w:val="24"/>
              </w:rPr>
              <w:t xml:space="preserve">服务响应时间</w:t>
            </w:r>
            <w:r>
              <w:rPr>
                <w:rFonts w:ascii="宋体" w:hAnsi="宋体" w:cs="宋体"/>
                <w:sz w:val="24"/>
              </w:rPr>
            </w:r>
            <w:r/>
          </w:p>
        </w:tc>
        <w:tc>
          <w:tcPr>
            <w:tcW w:w="3667" w:type="dxa"/>
            <w:vAlign w:val="center"/>
            <w:textDirection w:val="lrTb"/>
            <w:noWrap w:val="false"/>
          </w:tcPr>
          <w:p>
            <w:pPr>
              <w:pStyle w:val="963"/>
              <w:widowControl/>
              <w:rPr>
                <w:rFonts w:ascii="宋体" w:hAnsi="宋体" w:cs="宋体"/>
                <w:sz w:val="24"/>
              </w:rPr>
            </w:pPr>
            <w:r>
              <w:rPr>
                <w:rFonts w:hint="eastAsia" w:ascii="宋体" w:hAnsi="宋体" w:cs="宋体"/>
                <w:sz w:val="24"/>
              </w:rPr>
              <w:t xml:space="preserve">每月服务时间及应急处理满足采购文件和响应文件要求，如不满足，每次扣2分</w:t>
            </w:r>
            <w:r>
              <w:rPr>
                <w:rFonts w:ascii="宋体" w:hAnsi="宋体" w:cs="宋体"/>
                <w:sz w:val="24"/>
              </w:rPr>
            </w:r>
            <w:r/>
          </w:p>
        </w:tc>
        <w:tc>
          <w:tcPr>
            <w:tcW w:w="1039" w:type="dxa"/>
            <w:vAlign w:val="center"/>
            <w:textDirection w:val="lrTb"/>
            <w:noWrap w:val="false"/>
          </w:tcPr>
          <w:p>
            <w:pPr>
              <w:pStyle w:val="963"/>
              <w:jc w:val="center"/>
              <w:widowControl/>
              <w:rPr>
                <w:rFonts w:ascii="宋体" w:hAnsi="宋体" w:cs="宋体"/>
                <w:sz w:val="24"/>
              </w:rPr>
            </w:pPr>
            <w:r>
              <w:rPr>
                <w:rFonts w:ascii="宋体" w:hAnsi="宋体" w:cs="宋体"/>
                <w:sz w:val="24"/>
              </w:rPr>
            </w:r>
            <w:r/>
          </w:p>
        </w:tc>
        <w:tc>
          <w:tcPr>
            <w:tcW w:w="1734" w:type="dxa"/>
            <w:vAlign w:val="center"/>
            <w:textDirection w:val="lrTb"/>
            <w:noWrap w:val="false"/>
          </w:tcPr>
          <w:p>
            <w:pPr>
              <w:pStyle w:val="963"/>
              <w:jc w:val="center"/>
              <w:widowControl/>
              <w:rPr>
                <w:rFonts w:ascii="宋体" w:hAnsi="宋体" w:cs="宋体"/>
                <w:sz w:val="24"/>
              </w:rPr>
            </w:pPr>
            <w:r>
              <w:rPr>
                <w:rFonts w:ascii="宋体" w:hAnsi="宋体" w:cs="宋体"/>
                <w:sz w:val="24"/>
              </w:rPr>
            </w:r>
            <w:r/>
          </w:p>
        </w:tc>
      </w:tr>
      <w:tr>
        <w:trPr>
          <w:trHeight w:val="567"/>
        </w:trPr>
        <w:tc>
          <w:tcPr>
            <w:tcW w:w="700" w:type="dxa"/>
            <w:vAlign w:val="center"/>
            <w:textDirection w:val="lrTb"/>
            <w:noWrap w:val="false"/>
          </w:tcPr>
          <w:p>
            <w:pPr>
              <w:pStyle w:val="963"/>
              <w:jc w:val="center"/>
              <w:widowControl/>
              <w:rPr>
                <w:rFonts w:ascii="宋体" w:hAnsi="宋体" w:cs="宋体"/>
                <w:sz w:val="24"/>
              </w:rPr>
            </w:pPr>
            <w:r>
              <w:rPr>
                <w:rFonts w:hint="eastAsia" w:ascii="宋体" w:hAnsi="宋体" w:cs="宋体"/>
                <w:sz w:val="24"/>
              </w:rPr>
              <w:t xml:space="preserve">6</w:t>
            </w:r>
            <w:r>
              <w:rPr>
                <w:rFonts w:ascii="宋体" w:hAnsi="宋体" w:cs="宋体"/>
                <w:sz w:val="24"/>
              </w:rPr>
            </w:r>
            <w:r/>
          </w:p>
        </w:tc>
        <w:tc>
          <w:tcPr>
            <w:tcW w:w="1379" w:type="dxa"/>
            <w:vAlign w:val="center"/>
            <w:textDirection w:val="lrTb"/>
            <w:noWrap w:val="false"/>
          </w:tcPr>
          <w:p>
            <w:pPr>
              <w:pStyle w:val="963"/>
              <w:widowControl/>
              <w:rPr>
                <w:rFonts w:ascii="宋体" w:hAnsi="宋体" w:cs="宋体"/>
                <w:sz w:val="24"/>
              </w:rPr>
            </w:pPr>
            <w:r>
              <w:rPr>
                <w:rFonts w:hint="eastAsia" w:ascii="宋体" w:hAnsi="宋体" w:cs="宋体"/>
                <w:sz w:val="24"/>
              </w:rPr>
              <w:t xml:space="preserve">服务人员</w:t>
            </w:r>
            <w:r>
              <w:rPr>
                <w:rFonts w:ascii="宋体" w:hAnsi="宋体" w:cs="宋体"/>
                <w:sz w:val="24"/>
              </w:rPr>
            </w:r>
            <w:r/>
          </w:p>
        </w:tc>
        <w:tc>
          <w:tcPr>
            <w:tcW w:w="3667" w:type="dxa"/>
            <w:vAlign w:val="center"/>
            <w:textDirection w:val="lrTb"/>
            <w:noWrap w:val="false"/>
          </w:tcPr>
          <w:p>
            <w:pPr>
              <w:pStyle w:val="963"/>
              <w:widowControl/>
              <w:rPr>
                <w:rFonts w:ascii="宋体" w:hAnsi="宋体" w:cs="宋体"/>
                <w:sz w:val="24"/>
              </w:rPr>
            </w:pPr>
            <w:r>
              <w:rPr>
                <w:rFonts w:hint="eastAsia" w:ascii="宋体" w:hAnsi="宋体" w:cs="宋体"/>
                <w:sz w:val="24"/>
              </w:rPr>
              <w:t xml:space="preserve">每月安排符合响应文件要求的人员，若不满足，每次扣2分</w:t>
            </w:r>
            <w:r>
              <w:rPr>
                <w:rFonts w:ascii="宋体" w:hAnsi="宋体" w:cs="宋体"/>
                <w:sz w:val="24"/>
              </w:rPr>
            </w:r>
            <w:r/>
          </w:p>
        </w:tc>
        <w:tc>
          <w:tcPr>
            <w:tcW w:w="1039" w:type="dxa"/>
            <w:vAlign w:val="center"/>
            <w:textDirection w:val="lrTb"/>
            <w:noWrap w:val="false"/>
          </w:tcPr>
          <w:p>
            <w:pPr>
              <w:pStyle w:val="963"/>
              <w:jc w:val="center"/>
              <w:widowControl/>
              <w:rPr>
                <w:rFonts w:ascii="宋体" w:hAnsi="宋体" w:cs="宋体"/>
                <w:sz w:val="24"/>
              </w:rPr>
            </w:pPr>
            <w:r>
              <w:rPr>
                <w:rFonts w:ascii="宋体" w:hAnsi="宋体" w:cs="宋体"/>
                <w:sz w:val="24"/>
              </w:rPr>
            </w:r>
            <w:r/>
          </w:p>
        </w:tc>
        <w:tc>
          <w:tcPr>
            <w:tcW w:w="1734" w:type="dxa"/>
            <w:vAlign w:val="center"/>
            <w:textDirection w:val="lrTb"/>
            <w:noWrap w:val="false"/>
          </w:tcPr>
          <w:p>
            <w:pPr>
              <w:pStyle w:val="963"/>
              <w:jc w:val="center"/>
              <w:widowControl/>
              <w:rPr>
                <w:rFonts w:ascii="宋体" w:hAnsi="宋体" w:cs="宋体"/>
                <w:sz w:val="24"/>
              </w:rPr>
            </w:pPr>
            <w:r>
              <w:rPr>
                <w:rFonts w:ascii="宋体" w:hAnsi="宋体" w:cs="宋体"/>
                <w:sz w:val="24"/>
              </w:rPr>
            </w:r>
            <w:r/>
          </w:p>
        </w:tc>
      </w:tr>
      <w:tr>
        <w:trPr>
          <w:trHeight w:val="567"/>
        </w:trPr>
        <w:tc>
          <w:tcPr>
            <w:tcW w:w="700" w:type="dxa"/>
            <w:vAlign w:val="center"/>
            <w:textDirection w:val="lrTb"/>
            <w:noWrap w:val="false"/>
          </w:tcPr>
          <w:p>
            <w:pPr>
              <w:pStyle w:val="963"/>
              <w:jc w:val="center"/>
              <w:widowControl/>
              <w:rPr>
                <w:rFonts w:ascii="宋体" w:hAnsi="宋体" w:cs="宋体"/>
                <w:sz w:val="24"/>
              </w:rPr>
            </w:pPr>
            <w:r>
              <w:rPr>
                <w:rFonts w:hint="eastAsia" w:ascii="宋体" w:hAnsi="宋体" w:cs="宋体"/>
                <w:sz w:val="24"/>
              </w:rPr>
              <w:t xml:space="preserve">7</w:t>
            </w:r>
            <w:r>
              <w:rPr>
                <w:rFonts w:ascii="宋体" w:hAnsi="宋体" w:cs="宋体"/>
                <w:sz w:val="24"/>
              </w:rPr>
            </w:r>
            <w:r/>
          </w:p>
        </w:tc>
        <w:tc>
          <w:tcPr>
            <w:tcW w:w="1379" w:type="dxa"/>
            <w:vAlign w:val="center"/>
            <w:textDirection w:val="lrTb"/>
            <w:noWrap w:val="false"/>
          </w:tcPr>
          <w:p>
            <w:pPr>
              <w:pStyle w:val="963"/>
              <w:widowControl/>
              <w:rPr>
                <w:rFonts w:ascii="宋体" w:hAnsi="宋体" w:cs="宋体"/>
                <w:sz w:val="24"/>
              </w:rPr>
            </w:pPr>
            <w:r>
              <w:rPr>
                <w:rFonts w:hint="eastAsia" w:ascii="宋体" w:hAnsi="宋体" w:cs="宋体"/>
                <w:sz w:val="24"/>
              </w:rPr>
              <w:t xml:space="preserve">其他</w:t>
            </w:r>
            <w:r>
              <w:rPr>
                <w:rFonts w:ascii="宋体" w:hAnsi="宋体" w:cs="宋体"/>
                <w:sz w:val="24"/>
              </w:rPr>
            </w:r>
            <w:r/>
          </w:p>
        </w:tc>
        <w:tc>
          <w:tcPr>
            <w:tcW w:w="3667" w:type="dxa"/>
            <w:vAlign w:val="center"/>
            <w:textDirection w:val="lrTb"/>
            <w:noWrap w:val="false"/>
          </w:tcPr>
          <w:p>
            <w:pPr>
              <w:pStyle w:val="963"/>
              <w:widowControl/>
              <w:rPr>
                <w:rFonts w:ascii="宋体" w:hAnsi="宋体" w:cs="宋体"/>
                <w:sz w:val="24"/>
              </w:rPr>
            </w:pPr>
            <w:r>
              <w:rPr>
                <w:rFonts w:hint="eastAsia" w:ascii="宋体" w:hAnsi="宋体" w:cs="宋体"/>
                <w:sz w:val="24"/>
              </w:rPr>
              <w:t xml:space="preserve">运维服务期间，如被江苏省生态环境厅通报批评，每一次扣5分</w:t>
            </w:r>
            <w:r>
              <w:rPr>
                <w:rFonts w:ascii="宋体" w:hAnsi="宋体" w:cs="宋体"/>
                <w:sz w:val="24"/>
              </w:rPr>
            </w:r>
            <w:r/>
          </w:p>
        </w:tc>
        <w:tc>
          <w:tcPr>
            <w:tcW w:w="1039" w:type="dxa"/>
            <w:vAlign w:val="center"/>
            <w:textDirection w:val="lrTb"/>
            <w:noWrap w:val="false"/>
          </w:tcPr>
          <w:p>
            <w:pPr>
              <w:pStyle w:val="963"/>
              <w:jc w:val="center"/>
              <w:widowControl/>
              <w:rPr>
                <w:rFonts w:ascii="宋体" w:hAnsi="宋体" w:cs="宋体"/>
                <w:sz w:val="24"/>
              </w:rPr>
            </w:pPr>
            <w:r>
              <w:rPr>
                <w:rFonts w:ascii="宋体" w:hAnsi="宋体" w:cs="宋体"/>
                <w:sz w:val="24"/>
              </w:rPr>
            </w:r>
            <w:r/>
          </w:p>
        </w:tc>
        <w:tc>
          <w:tcPr>
            <w:tcW w:w="1734" w:type="dxa"/>
            <w:vAlign w:val="center"/>
            <w:textDirection w:val="lrTb"/>
            <w:noWrap w:val="false"/>
          </w:tcPr>
          <w:p>
            <w:pPr>
              <w:pStyle w:val="963"/>
              <w:jc w:val="center"/>
              <w:widowControl/>
              <w:rPr>
                <w:rFonts w:ascii="宋体" w:hAnsi="宋体" w:cs="宋体"/>
                <w:sz w:val="24"/>
              </w:rPr>
            </w:pPr>
            <w:r>
              <w:rPr>
                <w:rFonts w:ascii="宋体" w:hAnsi="宋体" w:cs="宋体"/>
                <w:sz w:val="24"/>
              </w:rPr>
            </w:r>
            <w:r/>
          </w:p>
        </w:tc>
      </w:tr>
    </w:tbl>
    <w:p>
      <w:pPr>
        <w:pStyle w:val="963"/>
        <w:contextualSpacing/>
        <w:ind w:right="45" w:firstLine="480"/>
        <w:spacing w:line="360" w:lineRule="auto"/>
        <w:tabs>
          <w:tab w:val="left" w:pos="2280" w:leader="none"/>
        </w:tabs>
        <w:rPr>
          <w:rFonts w:ascii="宋体" w:hAnsi="宋体" w:cs="宋体"/>
          <w:sz w:val="24"/>
        </w:rPr>
      </w:pPr>
      <w:r>
        <w:rPr>
          <w:rFonts w:hint="eastAsia" w:ascii="宋体" w:hAnsi="宋体" w:cs="宋体"/>
          <w:sz w:val="24"/>
        </w:rPr>
        <w:t xml:space="preserve">注：</w:t>
      </w:r>
      <w:r>
        <w:rPr>
          <w:rFonts w:ascii="宋体" w:hAnsi="宋体" w:cs="宋体"/>
          <w:sz w:val="24"/>
        </w:rPr>
      </w:r>
      <w:r/>
    </w:p>
    <w:p>
      <w:pPr>
        <w:pStyle w:val="963"/>
        <w:ind w:left="420"/>
        <w:spacing w:line="360" w:lineRule="auto"/>
        <w:widowControl/>
        <w:rPr>
          <w:rFonts w:ascii="宋体" w:hAnsi="宋体" w:cs="宋体"/>
          <w:sz w:val="24"/>
        </w:rPr>
      </w:pPr>
      <w:r>
        <w:rPr>
          <w:rFonts w:hint="eastAsia" w:ascii="宋体" w:hAnsi="宋体" w:cs="宋体"/>
          <w:sz w:val="24"/>
        </w:rPr>
        <w:t xml:space="preserve">（1）满分为100分；</w:t>
      </w:r>
      <w:r>
        <w:rPr>
          <w:rFonts w:ascii="宋体" w:hAnsi="宋体" w:cs="宋体"/>
          <w:sz w:val="24"/>
        </w:rPr>
      </w:r>
      <w:r/>
    </w:p>
    <w:p>
      <w:pPr>
        <w:pStyle w:val="963"/>
        <w:ind w:firstLine="480"/>
        <w:spacing w:line="360" w:lineRule="auto"/>
        <w:rPr>
          <w:rFonts w:ascii="宋体" w:hAnsi="宋体" w:cs="宋体"/>
          <w:color w:val="000000"/>
          <w:sz w:val="24"/>
        </w:rPr>
      </w:pPr>
      <w:r>
        <w:rPr>
          <w:rFonts w:hint="eastAsia" w:ascii="宋体" w:hAnsi="宋体" w:cs="宋体"/>
          <w:color w:val="000000"/>
          <w:sz w:val="24"/>
        </w:rPr>
        <w:t xml:space="preserve">（2）数据有效获取率统计方法：数据有效获取率（%）=有效数据获取小时数÷应获取数据小时数×100%（有效数据获取小时数是指满足质控要求的数据获取小时数；应获取数据小时数是指从年度或月度总小时数扣除仪器必要维护和不可抗拒力因素导致的数据缺失后所剩余小时数。每月必要维护时间以实际小时数计，不可抗拒力因素包括停电、外部质控检查、年度性能指标测试、站房内部环境不达标以及其他经本单位确认可以纳入不可抗拒力因素的事项。</w:t>
      </w:r>
      <w:r>
        <w:rPr>
          <w:rFonts w:ascii="宋体" w:hAnsi="宋体" w:cs="宋体"/>
          <w:color w:val="000000"/>
          <w:sz w:val="24"/>
        </w:rPr>
      </w:r>
      <w:r/>
    </w:p>
    <w:p>
      <w:pPr>
        <w:pStyle w:val="963"/>
        <w:numPr>
          <w:ilvl w:val="0"/>
          <w:numId w:val="49"/>
        </w:numPr>
        <w:ind w:firstLine="482"/>
        <w:jc w:val="left"/>
        <w:spacing w:line="360" w:lineRule="auto"/>
        <w:widowControl/>
        <w:rPr>
          <w:rFonts w:ascii="宋体" w:hAnsi="宋体" w:cs="宋体"/>
          <w:b/>
          <w:bCs/>
          <w:sz w:val="24"/>
        </w:rPr>
        <w:outlineLvl w:val="2"/>
      </w:pPr>
      <w:r>
        <w:rPr>
          <w:rFonts w:hint="eastAsia" w:ascii="宋体" w:hAnsi="宋体" w:cs="宋体"/>
          <w:b/>
          <w:bCs/>
          <w:color w:val="000000"/>
          <w:sz w:val="24"/>
        </w:rPr>
        <w:t xml:space="preserve">走航监测考核办法</w:t>
      </w:r>
      <w:r>
        <w:rPr>
          <w:rFonts w:ascii="宋体" w:hAnsi="宋体" w:cs="宋体"/>
          <w:b/>
          <w:bCs/>
          <w:sz w:val="24"/>
        </w:rPr>
      </w:r>
      <w:r/>
    </w:p>
    <w:tbl>
      <w:tblPr>
        <w:tblW w:w="876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8"/>
        <w:gridCol w:w="1329"/>
        <w:gridCol w:w="4071"/>
        <w:gridCol w:w="1179"/>
        <w:gridCol w:w="1349"/>
      </w:tblGrid>
      <w:tr>
        <w:trPr>
          <w:trHeight w:val="566"/>
          <w:tblHeader/>
        </w:trPr>
        <w:tc>
          <w:tcPr>
            <w:tcBorders>
              <w:top w:val="single" w:color="000000" w:sz="4" w:space="0"/>
            </w:tcBorders>
            <w:tcW w:w="838" w:type="dxa"/>
            <w:vAlign w:val="center"/>
            <w:textDirection w:val="lrTb"/>
            <w:noWrap w:val="false"/>
          </w:tcPr>
          <w:p>
            <w:pPr>
              <w:pStyle w:val="963"/>
              <w:jc w:val="center"/>
              <w:rPr>
                <w:rFonts w:ascii="宋体" w:hAnsi="宋体" w:cs="宋体"/>
                <w:sz w:val="24"/>
              </w:rPr>
            </w:pPr>
            <w:r>
              <w:rPr>
                <w:rFonts w:hint="eastAsia" w:ascii="宋体" w:hAnsi="宋体" w:cs="宋体"/>
                <w:sz w:val="24"/>
              </w:rPr>
              <w:t xml:space="preserve">项目</w:t>
            </w:r>
            <w:r>
              <w:rPr>
                <w:rFonts w:ascii="宋体" w:hAnsi="宋体" w:cs="宋体"/>
                <w:sz w:val="24"/>
              </w:rPr>
            </w:r>
            <w:r/>
          </w:p>
        </w:tc>
        <w:tc>
          <w:tcPr>
            <w:tcBorders>
              <w:top w:val="single" w:color="000000" w:sz="4" w:space="0"/>
            </w:tcBorders>
            <w:tcW w:w="1329" w:type="dxa"/>
            <w:vAlign w:val="center"/>
            <w:textDirection w:val="lrTb"/>
            <w:noWrap w:val="false"/>
          </w:tcPr>
          <w:p>
            <w:pPr>
              <w:pStyle w:val="963"/>
              <w:jc w:val="center"/>
              <w:rPr>
                <w:rFonts w:ascii="宋体" w:hAnsi="宋体" w:cs="宋体"/>
                <w:sz w:val="24"/>
              </w:rPr>
            </w:pPr>
            <w:r>
              <w:rPr>
                <w:rFonts w:hint="eastAsia" w:ascii="宋体" w:hAnsi="宋体" w:cs="宋体"/>
                <w:sz w:val="24"/>
              </w:rPr>
              <w:t xml:space="preserve">明细</w:t>
            </w:r>
            <w:r>
              <w:rPr>
                <w:rFonts w:ascii="宋体" w:hAnsi="宋体" w:cs="宋体"/>
                <w:sz w:val="24"/>
              </w:rPr>
            </w:r>
            <w:r/>
          </w:p>
        </w:tc>
        <w:tc>
          <w:tcPr>
            <w:tcBorders>
              <w:top w:val="single" w:color="000000" w:sz="4" w:space="0"/>
            </w:tcBorders>
            <w:tcW w:w="4071" w:type="dxa"/>
            <w:vAlign w:val="center"/>
            <w:textDirection w:val="lrTb"/>
            <w:noWrap w:val="false"/>
          </w:tcPr>
          <w:p>
            <w:pPr>
              <w:pStyle w:val="963"/>
              <w:jc w:val="center"/>
              <w:rPr>
                <w:rFonts w:ascii="宋体" w:hAnsi="宋体" w:cs="宋体"/>
                <w:sz w:val="24"/>
              </w:rPr>
            </w:pPr>
            <w:r>
              <w:rPr>
                <w:rFonts w:hint="eastAsia" w:ascii="宋体" w:hAnsi="宋体" w:cs="宋体"/>
                <w:sz w:val="24"/>
              </w:rPr>
              <w:t xml:space="preserve">检查要点</w:t>
            </w:r>
            <w:r>
              <w:rPr>
                <w:rFonts w:ascii="宋体" w:hAnsi="宋体" w:cs="宋体"/>
                <w:sz w:val="24"/>
              </w:rPr>
            </w:r>
            <w:r/>
          </w:p>
        </w:tc>
        <w:tc>
          <w:tcPr>
            <w:tcBorders>
              <w:top w:val="single" w:color="000000" w:sz="4" w:space="0"/>
            </w:tcBorders>
            <w:tcW w:w="1179" w:type="dxa"/>
            <w:vAlign w:val="center"/>
            <w:textDirection w:val="lrTb"/>
            <w:noWrap w:val="false"/>
          </w:tcPr>
          <w:p>
            <w:pPr>
              <w:pStyle w:val="963"/>
              <w:jc w:val="center"/>
              <w:rPr>
                <w:rFonts w:ascii="宋体" w:hAnsi="宋体" w:cs="宋体"/>
                <w:sz w:val="24"/>
              </w:rPr>
            </w:pPr>
            <w:r>
              <w:rPr>
                <w:rFonts w:hint="eastAsia" w:ascii="宋体" w:hAnsi="宋体" w:cs="宋体"/>
                <w:sz w:val="24"/>
              </w:rPr>
              <w:t xml:space="preserve">违约金（元）/次</w:t>
            </w:r>
            <w:r>
              <w:rPr>
                <w:rFonts w:ascii="宋体" w:hAnsi="宋体" w:cs="宋体"/>
                <w:sz w:val="24"/>
              </w:rPr>
            </w:r>
            <w:r/>
          </w:p>
        </w:tc>
        <w:tc>
          <w:tcPr>
            <w:tcBorders>
              <w:top w:val="single" w:color="000000" w:sz="4" w:space="0"/>
            </w:tcBorders>
            <w:tcW w:w="1349" w:type="dxa"/>
            <w:vAlign w:val="center"/>
            <w:textDirection w:val="lrTb"/>
            <w:noWrap w:val="false"/>
          </w:tcPr>
          <w:p>
            <w:pPr>
              <w:pStyle w:val="963"/>
              <w:jc w:val="center"/>
              <w:rPr>
                <w:rFonts w:ascii="宋体" w:hAnsi="宋体" w:cs="宋体"/>
                <w:sz w:val="24"/>
              </w:rPr>
            </w:pPr>
            <w:r>
              <w:rPr>
                <w:rFonts w:hint="eastAsia" w:ascii="宋体" w:hAnsi="宋体" w:cs="宋体"/>
                <w:sz w:val="24"/>
              </w:rPr>
              <w:t xml:space="preserve">说明</w:t>
            </w:r>
            <w:r>
              <w:rPr>
                <w:rFonts w:ascii="宋体" w:hAnsi="宋体" w:cs="宋体"/>
                <w:sz w:val="24"/>
              </w:rPr>
            </w:r>
            <w:r/>
          </w:p>
        </w:tc>
      </w:tr>
      <w:tr>
        <w:trPr>
          <w:cantSplit/>
          <w:trHeight w:val="938"/>
        </w:trPr>
        <w:tc>
          <w:tcPr>
            <w:tcW w:w="838" w:type="dxa"/>
            <w:vAlign w:val="center"/>
            <w:vMerge w:val="restart"/>
            <w:textDirection w:val="lrTb"/>
            <w:noWrap w:val="false"/>
          </w:tcPr>
          <w:p>
            <w:pPr>
              <w:pStyle w:val="963"/>
              <w:jc w:val="center"/>
              <w:rPr>
                <w:rFonts w:ascii="宋体" w:hAnsi="宋体" w:cs="宋体"/>
                <w:sz w:val="24"/>
              </w:rPr>
            </w:pPr>
            <w:r>
              <w:rPr>
                <w:rFonts w:hint="eastAsia" w:ascii="宋体" w:hAnsi="宋体" w:cs="宋体"/>
                <w:sz w:val="24"/>
              </w:rPr>
              <w:t xml:space="preserve">日常运维操作</w:t>
            </w:r>
            <w:r>
              <w:rPr>
                <w:rFonts w:ascii="宋体" w:hAnsi="宋体" w:cs="宋体"/>
                <w:sz w:val="24"/>
              </w:rPr>
            </w:r>
            <w:r/>
          </w:p>
        </w:tc>
        <w:tc>
          <w:tcPr>
            <w:tcW w:w="1329" w:type="dxa"/>
            <w:vAlign w:val="center"/>
            <w:vMerge w:val="restart"/>
            <w:textDirection w:val="lrTb"/>
            <w:noWrap w:val="false"/>
          </w:tcPr>
          <w:p>
            <w:pPr>
              <w:pStyle w:val="963"/>
              <w:jc w:val="center"/>
              <w:rPr>
                <w:rFonts w:ascii="宋体" w:hAnsi="宋体" w:cs="宋体"/>
                <w:sz w:val="24"/>
              </w:rPr>
            </w:pPr>
            <w:r>
              <w:rPr>
                <w:rFonts w:hint="eastAsia" w:ascii="宋体" w:hAnsi="宋体" w:cs="宋体"/>
                <w:sz w:val="24"/>
              </w:rPr>
              <w:t xml:space="preserve">任务单响应情况</w:t>
            </w:r>
            <w:r>
              <w:rPr>
                <w:rFonts w:ascii="宋体" w:hAnsi="宋体" w:cs="宋体"/>
                <w:sz w:val="24"/>
              </w:rPr>
            </w:r>
            <w:r/>
          </w:p>
        </w:tc>
        <w:tc>
          <w:tcPr>
            <w:tcBorders>
              <w:bottom w:val="single" w:color="000000" w:sz="4" w:space="0"/>
            </w:tcBorders>
            <w:tcW w:w="4071" w:type="dxa"/>
            <w:vAlign w:val="center"/>
            <w:textDirection w:val="lrTb"/>
            <w:noWrap w:val="false"/>
          </w:tcPr>
          <w:p>
            <w:pPr>
              <w:pStyle w:val="963"/>
              <w:jc w:val="center"/>
              <w:rPr>
                <w:rFonts w:ascii="宋体" w:hAnsi="宋体" w:cs="宋体"/>
                <w:sz w:val="24"/>
              </w:rPr>
            </w:pPr>
            <w:r>
              <w:rPr>
                <w:rFonts w:hint="eastAsia" w:ascii="宋体" w:hAnsi="宋体" w:cs="宋体"/>
                <w:sz w:val="24"/>
              </w:rPr>
              <w:t xml:space="preserve">乙方接到甲方出勤通知后，1小时内未响应，6小时内未到达现场；</w:t>
            </w:r>
            <w:r>
              <w:rPr>
                <w:rFonts w:ascii="宋体" w:hAnsi="宋体" w:cs="宋体"/>
                <w:sz w:val="24"/>
              </w:rPr>
            </w:r>
            <w:r/>
          </w:p>
        </w:tc>
        <w:tc>
          <w:tcPr>
            <w:tcBorders>
              <w:bottom w:val="single" w:color="000000" w:sz="4" w:space="0"/>
            </w:tcBorders>
            <w:tcW w:w="1179" w:type="dxa"/>
            <w:vAlign w:val="center"/>
            <w:textDirection w:val="lrTb"/>
            <w:noWrap w:val="false"/>
          </w:tcPr>
          <w:p>
            <w:pPr>
              <w:pStyle w:val="963"/>
              <w:jc w:val="center"/>
              <w:rPr>
                <w:rFonts w:ascii="宋体" w:hAnsi="宋体" w:cs="宋体"/>
                <w:sz w:val="24"/>
              </w:rPr>
            </w:pPr>
            <w:r>
              <w:rPr>
                <w:rFonts w:hint="eastAsia" w:ascii="宋体" w:hAnsi="宋体" w:cs="宋体"/>
                <w:sz w:val="24"/>
              </w:rPr>
              <w:t xml:space="preserve">1000</w:t>
            </w:r>
            <w:r>
              <w:rPr>
                <w:rFonts w:ascii="宋体" w:hAnsi="宋体" w:cs="宋体"/>
                <w:sz w:val="24"/>
              </w:rPr>
            </w:r>
            <w:r/>
          </w:p>
        </w:tc>
        <w:tc>
          <w:tcPr>
            <w:tcW w:w="1349" w:type="dxa"/>
            <w:vAlign w:val="center"/>
            <w:vMerge w:val="restart"/>
            <w:textDirection w:val="lrTb"/>
            <w:noWrap w:val="false"/>
          </w:tcPr>
          <w:p>
            <w:pPr>
              <w:pStyle w:val="963"/>
              <w:jc w:val="center"/>
              <w:rPr>
                <w:rFonts w:ascii="宋体" w:hAnsi="宋体" w:cs="宋体"/>
                <w:sz w:val="24"/>
              </w:rPr>
            </w:pPr>
            <w:r>
              <w:rPr>
                <w:rFonts w:hint="eastAsia" w:ascii="宋体" w:hAnsi="宋体" w:cs="宋体"/>
                <w:sz w:val="24"/>
              </w:rPr>
              <w:t xml:space="preserve">甲方将不定期对走航车辆进行抽查，针对不符合要求项以累积的原则进行扣款，每季度统计汇总一次；若多次发现相同问题，则赔付的违约金翻倍。</w:t>
            </w:r>
            <w:r>
              <w:rPr>
                <w:rFonts w:ascii="宋体" w:hAnsi="宋体" w:cs="宋体"/>
                <w:sz w:val="24"/>
              </w:rPr>
            </w:r>
            <w:r/>
          </w:p>
          <w:p>
            <w:pPr>
              <w:pStyle w:val="963"/>
              <w:jc w:val="center"/>
              <w:rPr>
                <w:rFonts w:ascii="宋体" w:hAnsi="宋体" w:cs="宋体"/>
                <w:sz w:val="24"/>
              </w:rPr>
            </w:pPr>
            <w:r>
              <w:rPr>
                <w:rFonts w:ascii="宋体" w:hAnsi="宋体" w:cs="宋体"/>
                <w:sz w:val="24"/>
              </w:rPr>
            </w:r>
            <w:r/>
          </w:p>
        </w:tc>
      </w:tr>
      <w:tr>
        <w:trPr>
          <w:cantSplit/>
          <w:trHeight w:val="566"/>
        </w:trPr>
        <w:tc>
          <w:tcPr>
            <w:tcW w:w="838" w:type="dxa"/>
            <w:vAlign w:val="center"/>
            <w:vMerge w:val="continue"/>
            <w:textDirection w:val="lrTb"/>
            <w:noWrap w:val="false"/>
          </w:tcPr>
          <w:p>
            <w:pPr>
              <w:pStyle w:val="963"/>
              <w:jc w:val="center"/>
              <w:rPr>
                <w:rFonts w:ascii="宋体" w:hAnsi="宋体" w:cs="宋体"/>
                <w:sz w:val="24"/>
              </w:rPr>
            </w:pPr>
            <w:r>
              <w:rPr>
                <w:rFonts w:ascii="宋体" w:hAnsi="宋体" w:cs="宋体"/>
                <w:sz w:val="24"/>
              </w:rPr>
            </w:r>
            <w:r/>
          </w:p>
        </w:tc>
        <w:tc>
          <w:tcPr>
            <w:tcW w:w="1329" w:type="dxa"/>
            <w:vAlign w:val="center"/>
            <w:vMerge w:val="continue"/>
            <w:textDirection w:val="lrTb"/>
            <w:noWrap w:val="false"/>
          </w:tcPr>
          <w:p>
            <w:pPr>
              <w:pStyle w:val="963"/>
              <w:jc w:val="center"/>
              <w:rPr>
                <w:rFonts w:ascii="宋体" w:hAnsi="宋体" w:cs="宋体"/>
                <w:sz w:val="24"/>
              </w:rPr>
            </w:pPr>
            <w:r>
              <w:rPr>
                <w:rFonts w:ascii="宋体" w:hAnsi="宋体" w:cs="宋体"/>
                <w:sz w:val="24"/>
              </w:rPr>
            </w:r>
            <w:r/>
          </w:p>
        </w:tc>
        <w:tc>
          <w:tcPr>
            <w:tcBorders>
              <w:bottom w:val="single" w:color="000000" w:sz="4" w:space="0"/>
            </w:tcBorders>
            <w:tcW w:w="4071" w:type="dxa"/>
            <w:vAlign w:val="center"/>
            <w:textDirection w:val="lrTb"/>
            <w:noWrap w:val="false"/>
          </w:tcPr>
          <w:p>
            <w:pPr>
              <w:pStyle w:val="963"/>
              <w:jc w:val="center"/>
              <w:rPr>
                <w:rFonts w:ascii="宋体" w:hAnsi="宋体" w:cs="宋体"/>
                <w:sz w:val="24"/>
              </w:rPr>
            </w:pPr>
            <w:r>
              <w:rPr>
                <w:rFonts w:hint="eastAsia" w:ascii="宋体" w:hAnsi="宋体" w:cs="宋体"/>
                <w:sz w:val="24"/>
              </w:rPr>
              <w:t xml:space="preserve">未按照走航要求完成走航任务</w:t>
            </w:r>
            <w:r>
              <w:rPr>
                <w:rFonts w:ascii="宋体" w:hAnsi="宋体" w:cs="宋体"/>
                <w:sz w:val="24"/>
              </w:rPr>
            </w:r>
            <w:r/>
          </w:p>
        </w:tc>
        <w:tc>
          <w:tcPr>
            <w:tcBorders>
              <w:bottom w:val="single" w:color="000000" w:sz="4" w:space="0"/>
            </w:tcBorders>
            <w:tcW w:w="1179" w:type="dxa"/>
            <w:vAlign w:val="center"/>
            <w:textDirection w:val="lrTb"/>
            <w:noWrap w:val="false"/>
          </w:tcPr>
          <w:p>
            <w:pPr>
              <w:pStyle w:val="963"/>
              <w:jc w:val="center"/>
              <w:rPr>
                <w:rFonts w:ascii="宋体" w:hAnsi="宋体" w:cs="宋体"/>
                <w:sz w:val="24"/>
              </w:rPr>
            </w:pPr>
            <w:r>
              <w:rPr>
                <w:rFonts w:hint="eastAsia" w:ascii="宋体" w:hAnsi="宋体" w:cs="宋体"/>
                <w:sz w:val="24"/>
              </w:rPr>
              <w:t xml:space="preserve">3000</w:t>
            </w:r>
            <w:r>
              <w:rPr>
                <w:rFonts w:ascii="宋体" w:hAnsi="宋体" w:cs="宋体"/>
                <w:sz w:val="24"/>
              </w:rPr>
            </w:r>
            <w:r/>
          </w:p>
        </w:tc>
        <w:tc>
          <w:tcPr>
            <w:tcW w:w="1349" w:type="dxa"/>
            <w:vAlign w:val="center"/>
            <w:vMerge w:val="continue"/>
            <w:textDirection w:val="lrTb"/>
            <w:noWrap w:val="false"/>
          </w:tcPr>
          <w:p>
            <w:pPr>
              <w:pStyle w:val="963"/>
              <w:jc w:val="center"/>
              <w:rPr>
                <w:rFonts w:ascii="宋体" w:hAnsi="宋体" w:cs="宋体"/>
                <w:sz w:val="24"/>
              </w:rPr>
            </w:pPr>
            <w:r>
              <w:rPr>
                <w:rFonts w:ascii="宋体" w:hAnsi="宋体" w:cs="宋体"/>
                <w:sz w:val="24"/>
              </w:rPr>
            </w:r>
            <w:r/>
          </w:p>
        </w:tc>
      </w:tr>
      <w:tr>
        <w:trPr>
          <w:cantSplit/>
          <w:trHeight w:val="566"/>
        </w:trPr>
        <w:tc>
          <w:tcPr>
            <w:tcW w:w="838" w:type="dxa"/>
            <w:vAlign w:val="center"/>
            <w:vMerge w:val="continue"/>
            <w:textDirection w:val="lrTb"/>
            <w:noWrap w:val="false"/>
          </w:tcPr>
          <w:p>
            <w:pPr>
              <w:pStyle w:val="963"/>
              <w:jc w:val="center"/>
              <w:rPr>
                <w:rFonts w:ascii="宋体" w:hAnsi="宋体" w:cs="宋体"/>
                <w:sz w:val="24"/>
              </w:rPr>
            </w:pPr>
            <w:r>
              <w:rPr>
                <w:rFonts w:ascii="宋体" w:hAnsi="宋体" w:cs="宋体"/>
                <w:sz w:val="24"/>
              </w:rPr>
            </w:r>
            <w:r/>
          </w:p>
        </w:tc>
        <w:tc>
          <w:tcPr>
            <w:tcW w:w="1329" w:type="dxa"/>
            <w:vAlign w:val="center"/>
            <w:vMerge w:val="continue"/>
            <w:textDirection w:val="lrTb"/>
            <w:noWrap w:val="false"/>
          </w:tcPr>
          <w:p>
            <w:pPr>
              <w:pStyle w:val="963"/>
              <w:jc w:val="center"/>
              <w:rPr>
                <w:rFonts w:ascii="宋体" w:hAnsi="宋体" w:cs="宋体"/>
                <w:sz w:val="24"/>
              </w:rPr>
            </w:pPr>
            <w:r>
              <w:rPr>
                <w:rFonts w:ascii="宋体" w:hAnsi="宋体" w:cs="宋体"/>
                <w:sz w:val="24"/>
              </w:rPr>
            </w:r>
            <w:r/>
          </w:p>
        </w:tc>
        <w:tc>
          <w:tcPr>
            <w:tcBorders>
              <w:bottom w:val="single" w:color="000000" w:sz="4" w:space="0"/>
            </w:tcBorders>
            <w:tcW w:w="4071" w:type="dxa"/>
            <w:vAlign w:val="center"/>
            <w:textDirection w:val="lrTb"/>
            <w:noWrap w:val="false"/>
          </w:tcPr>
          <w:p>
            <w:pPr>
              <w:pStyle w:val="963"/>
              <w:jc w:val="center"/>
              <w:rPr>
                <w:rFonts w:ascii="宋体" w:hAnsi="宋体" w:cs="宋体"/>
                <w:sz w:val="24"/>
              </w:rPr>
            </w:pPr>
            <w:r>
              <w:rPr>
                <w:rFonts w:hint="eastAsia" w:ascii="宋体" w:hAnsi="宋体" w:cs="宋体"/>
                <w:sz w:val="24"/>
              </w:rPr>
              <w:t xml:space="preserve">未及时提交走航报告</w:t>
            </w:r>
            <w:r>
              <w:rPr>
                <w:rFonts w:ascii="宋体" w:hAnsi="宋体" w:cs="宋体"/>
                <w:sz w:val="24"/>
              </w:rPr>
            </w:r>
            <w:r/>
          </w:p>
        </w:tc>
        <w:tc>
          <w:tcPr>
            <w:tcBorders>
              <w:bottom w:val="single" w:color="000000" w:sz="4" w:space="0"/>
            </w:tcBorders>
            <w:tcW w:w="1179" w:type="dxa"/>
            <w:vAlign w:val="center"/>
            <w:textDirection w:val="lrTb"/>
            <w:noWrap w:val="false"/>
          </w:tcPr>
          <w:p>
            <w:pPr>
              <w:pStyle w:val="963"/>
              <w:jc w:val="center"/>
              <w:rPr>
                <w:rFonts w:ascii="宋体" w:hAnsi="宋体" w:cs="宋体"/>
                <w:sz w:val="24"/>
              </w:rPr>
            </w:pPr>
            <w:r>
              <w:rPr>
                <w:rFonts w:hint="eastAsia" w:ascii="宋体" w:hAnsi="宋体" w:cs="宋体"/>
                <w:sz w:val="24"/>
              </w:rPr>
              <w:t xml:space="preserve">1000</w:t>
            </w:r>
            <w:r>
              <w:rPr>
                <w:rFonts w:ascii="宋体" w:hAnsi="宋体" w:cs="宋体"/>
                <w:sz w:val="24"/>
              </w:rPr>
            </w:r>
            <w:r/>
          </w:p>
        </w:tc>
        <w:tc>
          <w:tcPr>
            <w:tcW w:w="1349" w:type="dxa"/>
            <w:vAlign w:val="center"/>
            <w:vMerge w:val="continue"/>
            <w:textDirection w:val="lrTb"/>
            <w:noWrap w:val="false"/>
          </w:tcPr>
          <w:p>
            <w:pPr>
              <w:pStyle w:val="963"/>
              <w:jc w:val="center"/>
              <w:rPr>
                <w:rFonts w:ascii="宋体" w:hAnsi="宋体" w:cs="宋体"/>
                <w:sz w:val="24"/>
              </w:rPr>
            </w:pPr>
            <w:r>
              <w:rPr>
                <w:rFonts w:ascii="宋体" w:hAnsi="宋体" w:cs="宋体"/>
                <w:sz w:val="24"/>
              </w:rPr>
            </w:r>
            <w:r/>
          </w:p>
        </w:tc>
      </w:tr>
      <w:tr>
        <w:trPr>
          <w:cantSplit/>
          <w:trHeight w:val="682"/>
        </w:trPr>
        <w:tc>
          <w:tcPr>
            <w:tcW w:w="838" w:type="dxa"/>
            <w:vAlign w:val="center"/>
            <w:vMerge w:val="continue"/>
            <w:textDirection w:val="lrTb"/>
            <w:noWrap w:val="false"/>
          </w:tcPr>
          <w:p>
            <w:pPr>
              <w:pStyle w:val="963"/>
              <w:jc w:val="center"/>
              <w:rPr>
                <w:rFonts w:ascii="宋体" w:hAnsi="宋体" w:cs="宋体"/>
                <w:sz w:val="24"/>
              </w:rPr>
            </w:pPr>
            <w:r>
              <w:rPr>
                <w:rFonts w:ascii="宋体" w:hAnsi="宋体" w:cs="宋体"/>
                <w:sz w:val="24"/>
              </w:rPr>
            </w:r>
            <w:r/>
          </w:p>
        </w:tc>
        <w:tc>
          <w:tcPr>
            <w:tcW w:w="1329" w:type="dxa"/>
            <w:vAlign w:val="center"/>
            <w:textDirection w:val="lrTb"/>
            <w:noWrap w:val="false"/>
          </w:tcPr>
          <w:p>
            <w:pPr>
              <w:pStyle w:val="963"/>
              <w:jc w:val="center"/>
              <w:rPr>
                <w:rFonts w:ascii="宋体" w:hAnsi="宋体" w:cs="宋体"/>
                <w:sz w:val="24"/>
              </w:rPr>
            </w:pPr>
            <w:r>
              <w:rPr>
                <w:rFonts w:hint="eastAsia" w:ascii="宋体" w:hAnsi="宋体" w:cs="宋体"/>
                <w:sz w:val="24"/>
              </w:rPr>
              <w:t xml:space="preserve">卫生状况</w:t>
            </w:r>
            <w:r>
              <w:rPr>
                <w:rFonts w:ascii="宋体" w:hAnsi="宋体" w:cs="宋体"/>
                <w:sz w:val="24"/>
              </w:rPr>
            </w:r>
            <w:r/>
          </w:p>
        </w:tc>
        <w:tc>
          <w:tcPr>
            <w:tcW w:w="4071" w:type="dxa"/>
            <w:vAlign w:val="center"/>
            <w:textDirection w:val="lrTb"/>
            <w:noWrap w:val="false"/>
          </w:tcPr>
          <w:p>
            <w:pPr>
              <w:pStyle w:val="963"/>
              <w:jc w:val="center"/>
              <w:rPr>
                <w:rFonts w:ascii="宋体" w:hAnsi="宋体" w:cs="宋体"/>
                <w:sz w:val="24"/>
              </w:rPr>
            </w:pPr>
            <w:r>
              <w:rPr>
                <w:rFonts w:hint="eastAsia" w:ascii="宋体" w:hAnsi="宋体" w:cs="宋体"/>
                <w:sz w:val="24"/>
              </w:rPr>
              <w:t xml:space="preserve">车辆内部卫生脏乱差</w:t>
            </w:r>
            <w:r>
              <w:rPr>
                <w:rFonts w:ascii="宋体" w:hAnsi="宋体" w:cs="宋体"/>
                <w:sz w:val="24"/>
              </w:rPr>
            </w:r>
            <w:r/>
          </w:p>
        </w:tc>
        <w:tc>
          <w:tcPr>
            <w:tcBorders>
              <w:bottom w:val="single" w:color="000000" w:sz="4" w:space="0"/>
            </w:tcBorders>
            <w:tcW w:w="1179" w:type="dxa"/>
            <w:vAlign w:val="center"/>
            <w:textDirection w:val="lrTb"/>
            <w:noWrap w:val="false"/>
          </w:tcPr>
          <w:p>
            <w:pPr>
              <w:pStyle w:val="963"/>
              <w:jc w:val="center"/>
              <w:rPr>
                <w:rFonts w:ascii="宋体" w:hAnsi="宋体" w:cs="宋体"/>
                <w:sz w:val="24"/>
              </w:rPr>
            </w:pPr>
            <w:r>
              <w:rPr>
                <w:rFonts w:hint="eastAsia" w:ascii="宋体" w:hAnsi="宋体" w:cs="宋体"/>
                <w:sz w:val="24"/>
              </w:rPr>
              <w:t xml:space="preserve">1000</w:t>
            </w:r>
            <w:r>
              <w:rPr>
                <w:rFonts w:ascii="宋体" w:hAnsi="宋体" w:cs="宋体"/>
                <w:sz w:val="24"/>
              </w:rPr>
            </w:r>
            <w:r/>
          </w:p>
        </w:tc>
        <w:tc>
          <w:tcPr>
            <w:tcW w:w="1349" w:type="dxa"/>
            <w:vAlign w:val="center"/>
            <w:vMerge w:val="continue"/>
            <w:textDirection w:val="lrTb"/>
            <w:noWrap w:val="false"/>
          </w:tcPr>
          <w:p>
            <w:pPr>
              <w:pStyle w:val="963"/>
              <w:jc w:val="center"/>
              <w:rPr>
                <w:rFonts w:ascii="宋体" w:hAnsi="宋体" w:cs="宋体"/>
                <w:sz w:val="24"/>
              </w:rPr>
            </w:pPr>
            <w:r>
              <w:rPr>
                <w:rFonts w:ascii="宋体" w:hAnsi="宋体" w:cs="宋体"/>
                <w:sz w:val="24"/>
              </w:rPr>
            </w:r>
            <w:r/>
          </w:p>
        </w:tc>
      </w:tr>
      <w:tr>
        <w:trPr>
          <w:cantSplit/>
          <w:trHeight w:val="473"/>
        </w:trPr>
        <w:tc>
          <w:tcPr>
            <w:tcW w:w="838" w:type="dxa"/>
            <w:vAlign w:val="center"/>
            <w:vMerge w:val="continue"/>
            <w:textDirection w:val="lrTb"/>
            <w:noWrap w:val="false"/>
          </w:tcPr>
          <w:p>
            <w:pPr>
              <w:pStyle w:val="963"/>
              <w:jc w:val="center"/>
              <w:rPr>
                <w:rFonts w:ascii="宋体" w:hAnsi="宋体" w:cs="宋体"/>
                <w:sz w:val="24"/>
              </w:rPr>
            </w:pPr>
            <w:r>
              <w:rPr>
                <w:rFonts w:ascii="宋体" w:hAnsi="宋体" w:cs="宋体"/>
                <w:sz w:val="24"/>
              </w:rPr>
            </w:r>
            <w:r/>
          </w:p>
        </w:tc>
        <w:tc>
          <w:tcPr>
            <w:tcW w:w="1329" w:type="dxa"/>
            <w:vAlign w:val="center"/>
            <w:vMerge w:val="restart"/>
            <w:textDirection w:val="lrTb"/>
            <w:noWrap w:val="false"/>
          </w:tcPr>
          <w:p>
            <w:pPr>
              <w:pStyle w:val="963"/>
              <w:jc w:val="center"/>
              <w:rPr>
                <w:rFonts w:ascii="宋体" w:hAnsi="宋体" w:cs="宋体"/>
                <w:sz w:val="24"/>
              </w:rPr>
            </w:pPr>
            <w:r>
              <w:rPr>
                <w:rFonts w:hint="eastAsia" w:ascii="宋体" w:hAnsi="宋体" w:cs="宋体"/>
                <w:sz w:val="24"/>
              </w:rPr>
              <w:t xml:space="preserve">走航设备保障</w:t>
            </w:r>
            <w:r>
              <w:rPr>
                <w:rFonts w:ascii="宋体" w:hAnsi="宋体" w:cs="宋体"/>
                <w:sz w:val="24"/>
              </w:rPr>
            </w:r>
            <w:r/>
          </w:p>
        </w:tc>
        <w:tc>
          <w:tcPr>
            <w:tcBorders>
              <w:bottom w:val="single" w:color="000000" w:sz="4" w:space="0"/>
            </w:tcBorders>
            <w:tcW w:w="4071" w:type="dxa"/>
            <w:vAlign w:val="center"/>
            <w:textDirection w:val="lrTb"/>
            <w:noWrap w:val="false"/>
          </w:tcPr>
          <w:p>
            <w:pPr>
              <w:pStyle w:val="963"/>
              <w:jc w:val="center"/>
              <w:rPr>
                <w:rFonts w:ascii="宋体" w:hAnsi="宋体" w:cs="宋体"/>
                <w:sz w:val="24"/>
              </w:rPr>
            </w:pPr>
            <w:r>
              <w:rPr>
                <w:rFonts w:hint="eastAsia" w:ascii="宋体" w:hAnsi="宋体" w:cs="宋体"/>
                <w:sz w:val="24"/>
              </w:rPr>
              <w:t xml:space="preserve">仪器故障未能在48小时内解决</w:t>
            </w:r>
            <w:r>
              <w:rPr>
                <w:rFonts w:ascii="宋体" w:hAnsi="宋体" w:cs="宋体"/>
                <w:sz w:val="24"/>
              </w:rPr>
            </w:r>
            <w:r/>
          </w:p>
        </w:tc>
        <w:tc>
          <w:tcPr>
            <w:tcBorders>
              <w:bottom w:val="single" w:color="000000" w:sz="4" w:space="0"/>
            </w:tcBorders>
            <w:tcW w:w="1179" w:type="dxa"/>
            <w:vAlign w:val="center"/>
            <w:textDirection w:val="lrTb"/>
            <w:noWrap w:val="false"/>
          </w:tcPr>
          <w:p>
            <w:pPr>
              <w:pStyle w:val="963"/>
              <w:jc w:val="center"/>
              <w:rPr>
                <w:rFonts w:ascii="宋体" w:hAnsi="宋体" w:cs="宋体"/>
                <w:sz w:val="24"/>
              </w:rPr>
            </w:pPr>
            <w:r>
              <w:rPr>
                <w:rFonts w:hint="eastAsia" w:ascii="宋体" w:hAnsi="宋体" w:cs="宋体"/>
                <w:sz w:val="24"/>
              </w:rPr>
              <w:t xml:space="preserve">1000</w:t>
            </w:r>
            <w:r>
              <w:rPr>
                <w:rFonts w:ascii="宋体" w:hAnsi="宋体" w:cs="宋体"/>
                <w:sz w:val="24"/>
              </w:rPr>
            </w:r>
            <w:r/>
          </w:p>
        </w:tc>
        <w:tc>
          <w:tcPr>
            <w:tcW w:w="1349" w:type="dxa"/>
            <w:vAlign w:val="center"/>
            <w:vMerge w:val="continue"/>
            <w:textDirection w:val="lrTb"/>
            <w:noWrap w:val="false"/>
          </w:tcPr>
          <w:p>
            <w:pPr>
              <w:pStyle w:val="963"/>
              <w:jc w:val="center"/>
              <w:rPr>
                <w:rFonts w:ascii="宋体" w:hAnsi="宋体" w:cs="宋体"/>
                <w:sz w:val="24"/>
              </w:rPr>
            </w:pPr>
            <w:r>
              <w:rPr>
                <w:rFonts w:ascii="宋体" w:hAnsi="宋体" w:cs="宋体"/>
                <w:sz w:val="24"/>
              </w:rPr>
            </w:r>
            <w:r/>
          </w:p>
        </w:tc>
      </w:tr>
      <w:tr>
        <w:trPr>
          <w:cantSplit/>
          <w:trHeight w:val="420"/>
        </w:trPr>
        <w:tc>
          <w:tcPr>
            <w:tcW w:w="838" w:type="dxa"/>
            <w:vAlign w:val="center"/>
            <w:vMerge w:val="continue"/>
            <w:textDirection w:val="lrTb"/>
            <w:noWrap w:val="false"/>
          </w:tcPr>
          <w:p>
            <w:pPr>
              <w:pStyle w:val="963"/>
              <w:jc w:val="center"/>
              <w:rPr>
                <w:rFonts w:ascii="宋体" w:hAnsi="宋体" w:cs="宋体"/>
                <w:sz w:val="24"/>
              </w:rPr>
            </w:pPr>
            <w:r>
              <w:rPr>
                <w:rFonts w:ascii="宋体" w:hAnsi="宋体" w:cs="宋体"/>
                <w:sz w:val="24"/>
              </w:rPr>
            </w:r>
            <w:r/>
          </w:p>
        </w:tc>
        <w:tc>
          <w:tcPr>
            <w:tcW w:w="1329" w:type="dxa"/>
            <w:vAlign w:val="center"/>
            <w:vMerge w:val="continue"/>
            <w:textDirection w:val="lrTb"/>
            <w:noWrap w:val="false"/>
          </w:tcPr>
          <w:p>
            <w:pPr>
              <w:pStyle w:val="963"/>
              <w:jc w:val="center"/>
              <w:rPr>
                <w:rFonts w:ascii="宋体" w:hAnsi="宋体" w:cs="宋体"/>
                <w:sz w:val="24"/>
              </w:rPr>
            </w:pPr>
            <w:r>
              <w:rPr>
                <w:rFonts w:ascii="宋体" w:hAnsi="宋体" w:cs="宋体"/>
                <w:sz w:val="24"/>
              </w:rPr>
            </w:r>
            <w:r/>
          </w:p>
        </w:tc>
        <w:tc>
          <w:tcPr>
            <w:tcBorders>
              <w:bottom w:val="single" w:color="000000" w:sz="4" w:space="0"/>
            </w:tcBorders>
            <w:tcW w:w="4071" w:type="dxa"/>
            <w:vAlign w:val="center"/>
            <w:textDirection w:val="lrTb"/>
            <w:noWrap w:val="false"/>
          </w:tcPr>
          <w:p>
            <w:pPr>
              <w:pStyle w:val="963"/>
              <w:jc w:val="center"/>
              <w:rPr>
                <w:rFonts w:ascii="宋体" w:hAnsi="宋体" w:cs="宋体"/>
                <w:sz w:val="24"/>
              </w:rPr>
            </w:pPr>
            <w:r>
              <w:rPr>
                <w:rFonts w:hint="eastAsia" w:ascii="宋体" w:hAnsi="宋体" w:cs="宋体"/>
                <w:sz w:val="24"/>
              </w:rPr>
              <w:t xml:space="preserve">相关耗材未及时更换</w:t>
            </w:r>
            <w:r>
              <w:rPr>
                <w:rFonts w:ascii="宋体" w:hAnsi="宋体" w:cs="宋体"/>
                <w:sz w:val="24"/>
              </w:rPr>
            </w:r>
            <w:r/>
          </w:p>
        </w:tc>
        <w:tc>
          <w:tcPr>
            <w:tcBorders>
              <w:bottom w:val="single" w:color="000000" w:sz="4" w:space="0"/>
            </w:tcBorders>
            <w:tcW w:w="1179" w:type="dxa"/>
            <w:vAlign w:val="center"/>
            <w:textDirection w:val="lrTb"/>
            <w:noWrap w:val="false"/>
          </w:tcPr>
          <w:p>
            <w:pPr>
              <w:pStyle w:val="963"/>
              <w:jc w:val="center"/>
              <w:rPr>
                <w:rFonts w:ascii="宋体" w:hAnsi="宋体" w:cs="宋体"/>
                <w:sz w:val="24"/>
              </w:rPr>
            </w:pPr>
            <w:r>
              <w:rPr>
                <w:rFonts w:hint="eastAsia" w:ascii="宋体" w:hAnsi="宋体" w:cs="宋体"/>
                <w:sz w:val="24"/>
              </w:rPr>
              <w:t xml:space="preserve">1000</w:t>
            </w:r>
            <w:r>
              <w:rPr>
                <w:rFonts w:ascii="宋体" w:hAnsi="宋体" w:cs="宋体"/>
                <w:sz w:val="24"/>
              </w:rPr>
            </w:r>
            <w:r/>
          </w:p>
        </w:tc>
        <w:tc>
          <w:tcPr>
            <w:tcW w:w="1349" w:type="dxa"/>
            <w:vAlign w:val="center"/>
            <w:vMerge w:val="continue"/>
            <w:textDirection w:val="lrTb"/>
            <w:noWrap w:val="false"/>
          </w:tcPr>
          <w:p>
            <w:pPr>
              <w:pStyle w:val="963"/>
              <w:jc w:val="center"/>
              <w:rPr>
                <w:rFonts w:ascii="宋体" w:hAnsi="宋体" w:cs="宋体"/>
                <w:sz w:val="24"/>
              </w:rPr>
            </w:pPr>
            <w:r>
              <w:rPr>
                <w:rFonts w:ascii="宋体" w:hAnsi="宋体" w:cs="宋体"/>
                <w:sz w:val="24"/>
              </w:rPr>
            </w:r>
            <w:r/>
          </w:p>
        </w:tc>
      </w:tr>
      <w:tr>
        <w:trPr>
          <w:cantSplit/>
          <w:trHeight w:val="420"/>
        </w:trPr>
        <w:tc>
          <w:tcPr>
            <w:tcW w:w="838" w:type="dxa"/>
            <w:vAlign w:val="center"/>
            <w:vMerge w:val="continue"/>
            <w:textDirection w:val="lrTb"/>
            <w:noWrap w:val="false"/>
          </w:tcPr>
          <w:p>
            <w:pPr>
              <w:pStyle w:val="963"/>
              <w:jc w:val="center"/>
              <w:rPr>
                <w:rFonts w:ascii="宋体" w:hAnsi="宋体" w:cs="宋体"/>
                <w:sz w:val="24"/>
              </w:rPr>
            </w:pPr>
            <w:r>
              <w:rPr>
                <w:rFonts w:ascii="宋体" w:hAnsi="宋体" w:cs="宋体"/>
                <w:sz w:val="24"/>
              </w:rPr>
            </w:r>
            <w:r/>
          </w:p>
        </w:tc>
        <w:tc>
          <w:tcPr>
            <w:tcW w:w="1329" w:type="dxa"/>
            <w:vAlign w:val="center"/>
            <w:vMerge w:val="continue"/>
            <w:textDirection w:val="lrTb"/>
            <w:noWrap w:val="false"/>
          </w:tcPr>
          <w:p>
            <w:pPr>
              <w:pStyle w:val="963"/>
              <w:jc w:val="center"/>
              <w:rPr>
                <w:rFonts w:ascii="宋体" w:hAnsi="宋体" w:cs="宋体"/>
                <w:sz w:val="24"/>
              </w:rPr>
            </w:pPr>
            <w:r>
              <w:rPr>
                <w:rFonts w:ascii="宋体" w:hAnsi="宋体" w:cs="宋体"/>
                <w:sz w:val="24"/>
              </w:rPr>
            </w:r>
            <w:r/>
          </w:p>
        </w:tc>
        <w:tc>
          <w:tcPr>
            <w:tcBorders>
              <w:bottom w:val="single" w:color="000000" w:sz="4" w:space="0"/>
            </w:tcBorders>
            <w:tcW w:w="4071" w:type="dxa"/>
            <w:vAlign w:val="center"/>
            <w:textDirection w:val="lrTb"/>
            <w:noWrap w:val="false"/>
          </w:tcPr>
          <w:p>
            <w:pPr>
              <w:pStyle w:val="963"/>
              <w:jc w:val="center"/>
              <w:rPr>
                <w:rFonts w:ascii="宋体" w:hAnsi="宋体" w:cs="宋体"/>
                <w:sz w:val="24"/>
              </w:rPr>
            </w:pPr>
            <w:r>
              <w:rPr>
                <w:rFonts w:hint="eastAsia" w:ascii="宋体" w:hAnsi="宋体" w:cs="宋体"/>
                <w:sz w:val="24"/>
              </w:rPr>
              <w:t xml:space="preserve">故障响应不及时</w:t>
            </w:r>
            <w:r>
              <w:rPr>
                <w:rFonts w:ascii="宋体" w:hAnsi="宋体" w:cs="宋体"/>
                <w:sz w:val="24"/>
              </w:rPr>
            </w:r>
            <w:r/>
          </w:p>
        </w:tc>
        <w:tc>
          <w:tcPr>
            <w:tcBorders>
              <w:bottom w:val="single" w:color="000000" w:sz="4" w:space="0"/>
            </w:tcBorders>
            <w:tcW w:w="1179" w:type="dxa"/>
            <w:vAlign w:val="center"/>
            <w:textDirection w:val="lrTb"/>
            <w:noWrap w:val="false"/>
          </w:tcPr>
          <w:p>
            <w:pPr>
              <w:pStyle w:val="963"/>
              <w:jc w:val="center"/>
              <w:rPr>
                <w:rFonts w:ascii="宋体" w:hAnsi="宋体" w:cs="宋体"/>
                <w:sz w:val="24"/>
              </w:rPr>
            </w:pPr>
            <w:r>
              <w:rPr>
                <w:rFonts w:hint="eastAsia" w:ascii="宋体" w:hAnsi="宋体" w:cs="宋体"/>
                <w:sz w:val="24"/>
              </w:rPr>
              <w:t xml:space="preserve">1000</w:t>
            </w:r>
            <w:r>
              <w:rPr>
                <w:rFonts w:ascii="宋体" w:hAnsi="宋体" w:cs="宋体"/>
                <w:sz w:val="24"/>
              </w:rPr>
            </w:r>
            <w:r/>
          </w:p>
        </w:tc>
        <w:tc>
          <w:tcPr>
            <w:tcW w:w="1349" w:type="dxa"/>
            <w:vAlign w:val="center"/>
            <w:vMerge w:val="continue"/>
            <w:textDirection w:val="lrTb"/>
            <w:noWrap w:val="false"/>
          </w:tcPr>
          <w:p>
            <w:pPr>
              <w:pStyle w:val="963"/>
              <w:jc w:val="center"/>
              <w:rPr>
                <w:rFonts w:ascii="宋体" w:hAnsi="宋体" w:cs="宋体"/>
                <w:sz w:val="24"/>
              </w:rPr>
            </w:pPr>
            <w:r>
              <w:rPr>
                <w:rFonts w:ascii="宋体" w:hAnsi="宋体" w:cs="宋体"/>
                <w:sz w:val="24"/>
              </w:rPr>
            </w:r>
            <w:r/>
          </w:p>
        </w:tc>
      </w:tr>
      <w:tr>
        <w:trPr>
          <w:cantSplit/>
          <w:trHeight w:val="420"/>
        </w:trPr>
        <w:tc>
          <w:tcPr>
            <w:tcW w:w="838" w:type="dxa"/>
            <w:vAlign w:val="center"/>
            <w:vMerge w:val="continue"/>
            <w:textDirection w:val="lrTb"/>
            <w:noWrap w:val="false"/>
          </w:tcPr>
          <w:p>
            <w:pPr>
              <w:pStyle w:val="963"/>
              <w:jc w:val="center"/>
              <w:rPr>
                <w:rFonts w:ascii="宋体" w:hAnsi="宋体" w:cs="宋体"/>
                <w:sz w:val="24"/>
              </w:rPr>
            </w:pPr>
            <w:r>
              <w:rPr>
                <w:rFonts w:ascii="宋体" w:hAnsi="宋体" w:cs="宋体"/>
                <w:sz w:val="24"/>
              </w:rPr>
            </w:r>
            <w:r/>
          </w:p>
        </w:tc>
        <w:tc>
          <w:tcPr>
            <w:tcW w:w="1329" w:type="dxa"/>
            <w:vAlign w:val="center"/>
            <w:textDirection w:val="lrTb"/>
            <w:noWrap w:val="false"/>
          </w:tcPr>
          <w:p>
            <w:pPr>
              <w:pStyle w:val="963"/>
              <w:jc w:val="center"/>
              <w:rPr>
                <w:rFonts w:ascii="宋体" w:hAnsi="宋体" w:cs="宋体"/>
                <w:sz w:val="24"/>
              </w:rPr>
            </w:pPr>
            <w:r>
              <w:rPr>
                <w:rFonts w:hint="eastAsia" w:ascii="宋体" w:hAnsi="宋体" w:cs="宋体"/>
                <w:sz w:val="24"/>
              </w:rPr>
              <w:t xml:space="preserve">车辆保障</w:t>
            </w:r>
            <w:r>
              <w:rPr>
                <w:rFonts w:ascii="宋体" w:hAnsi="宋体" w:cs="宋体"/>
                <w:sz w:val="24"/>
              </w:rPr>
            </w:r>
            <w:r/>
          </w:p>
        </w:tc>
        <w:tc>
          <w:tcPr>
            <w:tcBorders>
              <w:bottom w:val="single" w:color="000000" w:sz="4" w:space="0"/>
            </w:tcBorders>
            <w:tcW w:w="4071" w:type="dxa"/>
            <w:vAlign w:val="center"/>
            <w:textDirection w:val="lrTb"/>
            <w:noWrap w:val="false"/>
          </w:tcPr>
          <w:p>
            <w:pPr>
              <w:pStyle w:val="963"/>
              <w:jc w:val="center"/>
              <w:rPr>
                <w:rFonts w:ascii="宋体" w:hAnsi="宋体" w:cs="宋体"/>
                <w:sz w:val="24"/>
              </w:rPr>
            </w:pPr>
            <w:r>
              <w:rPr>
                <w:rFonts w:hint="eastAsia" w:ascii="宋体" w:hAnsi="宋体" w:cs="宋体"/>
                <w:sz w:val="24"/>
              </w:rPr>
              <w:t xml:space="preserve">发生交通事故且被认定为乙方全责</w:t>
            </w:r>
            <w:r>
              <w:rPr>
                <w:rFonts w:ascii="宋体" w:hAnsi="宋体" w:cs="宋体"/>
                <w:sz w:val="24"/>
              </w:rPr>
            </w:r>
            <w:r/>
          </w:p>
        </w:tc>
        <w:tc>
          <w:tcPr>
            <w:tcBorders>
              <w:bottom w:val="single" w:color="000000" w:sz="4" w:space="0"/>
            </w:tcBorders>
            <w:tcW w:w="1179" w:type="dxa"/>
            <w:vAlign w:val="center"/>
            <w:textDirection w:val="lrTb"/>
            <w:noWrap w:val="false"/>
          </w:tcPr>
          <w:p>
            <w:pPr>
              <w:pStyle w:val="963"/>
              <w:jc w:val="center"/>
              <w:rPr>
                <w:rFonts w:ascii="宋体" w:hAnsi="宋体" w:cs="宋体"/>
                <w:sz w:val="24"/>
              </w:rPr>
            </w:pPr>
            <w:r>
              <w:rPr>
                <w:rFonts w:hint="eastAsia" w:ascii="宋体" w:hAnsi="宋体" w:cs="宋体"/>
                <w:sz w:val="24"/>
              </w:rPr>
              <w:t xml:space="preserve">2000</w:t>
            </w:r>
            <w:r>
              <w:rPr>
                <w:rFonts w:ascii="宋体" w:hAnsi="宋体" w:cs="宋体"/>
                <w:sz w:val="24"/>
              </w:rPr>
            </w:r>
            <w:r/>
          </w:p>
        </w:tc>
        <w:tc>
          <w:tcPr>
            <w:tcW w:w="1349" w:type="dxa"/>
            <w:vAlign w:val="center"/>
            <w:vMerge w:val="continue"/>
            <w:textDirection w:val="lrTb"/>
            <w:noWrap w:val="false"/>
          </w:tcPr>
          <w:p>
            <w:pPr>
              <w:pStyle w:val="963"/>
              <w:jc w:val="center"/>
              <w:rPr>
                <w:rFonts w:ascii="宋体" w:hAnsi="宋体" w:cs="宋体"/>
                <w:sz w:val="24"/>
              </w:rPr>
            </w:pPr>
            <w:r>
              <w:rPr>
                <w:rFonts w:ascii="宋体" w:hAnsi="宋体" w:cs="宋体"/>
                <w:sz w:val="24"/>
              </w:rPr>
            </w:r>
            <w:r/>
          </w:p>
        </w:tc>
      </w:tr>
      <w:tr>
        <w:trPr>
          <w:cantSplit/>
          <w:trHeight w:val="566"/>
        </w:trPr>
        <w:tc>
          <w:tcPr>
            <w:tcW w:w="838" w:type="dxa"/>
            <w:vAlign w:val="center"/>
            <w:vMerge w:val="restart"/>
            <w:textDirection w:val="lrTb"/>
            <w:noWrap w:val="false"/>
          </w:tcPr>
          <w:p>
            <w:pPr>
              <w:pStyle w:val="963"/>
              <w:jc w:val="center"/>
              <w:rPr>
                <w:rFonts w:ascii="宋体" w:hAnsi="宋体" w:cs="宋体"/>
                <w:sz w:val="24"/>
              </w:rPr>
            </w:pPr>
            <w:r>
              <w:rPr>
                <w:rFonts w:hint="eastAsia" w:ascii="宋体" w:hAnsi="宋体" w:cs="宋体"/>
                <w:sz w:val="24"/>
              </w:rPr>
              <w:t xml:space="preserve">质量保障与档案管理</w:t>
            </w:r>
            <w:r>
              <w:rPr>
                <w:rFonts w:ascii="宋体" w:hAnsi="宋体" w:cs="宋体"/>
                <w:sz w:val="24"/>
              </w:rPr>
            </w:r>
            <w:r/>
          </w:p>
        </w:tc>
        <w:tc>
          <w:tcPr>
            <w:tcW w:w="1329" w:type="dxa"/>
            <w:vAlign w:val="center"/>
            <w:textDirection w:val="lrTb"/>
            <w:noWrap w:val="false"/>
          </w:tcPr>
          <w:p>
            <w:pPr>
              <w:pStyle w:val="963"/>
              <w:jc w:val="center"/>
              <w:rPr>
                <w:rFonts w:ascii="宋体" w:hAnsi="宋体" w:cs="宋体"/>
                <w:sz w:val="24"/>
              </w:rPr>
            </w:pPr>
            <w:r>
              <w:rPr>
                <w:rFonts w:hint="eastAsia" w:ascii="宋体" w:hAnsi="宋体" w:cs="宋体"/>
                <w:sz w:val="24"/>
              </w:rPr>
              <w:t xml:space="preserve">仪器质控核查</w:t>
            </w:r>
            <w:r>
              <w:rPr>
                <w:rFonts w:ascii="宋体" w:hAnsi="宋体" w:cs="宋体"/>
                <w:sz w:val="24"/>
              </w:rPr>
            </w:r>
            <w:r/>
          </w:p>
        </w:tc>
        <w:tc>
          <w:tcPr>
            <w:tcW w:w="4071" w:type="dxa"/>
            <w:vAlign w:val="center"/>
            <w:textDirection w:val="lrTb"/>
            <w:noWrap w:val="false"/>
          </w:tcPr>
          <w:p>
            <w:pPr>
              <w:pStyle w:val="963"/>
              <w:jc w:val="center"/>
              <w:rPr>
                <w:rFonts w:ascii="宋体" w:hAnsi="宋体" w:cs="宋体"/>
                <w:sz w:val="24"/>
              </w:rPr>
            </w:pPr>
            <w:r>
              <w:rPr>
                <w:rFonts w:hint="eastAsia" w:ascii="宋体" w:hAnsi="宋体" w:cs="宋体"/>
                <w:sz w:val="24"/>
              </w:rPr>
              <w:t xml:space="preserve">未按照要求完成周质控、月质控等工作</w:t>
            </w:r>
            <w:r>
              <w:rPr>
                <w:rFonts w:ascii="宋体" w:hAnsi="宋体" w:cs="宋体"/>
                <w:sz w:val="24"/>
              </w:rPr>
            </w:r>
            <w:r/>
          </w:p>
        </w:tc>
        <w:tc>
          <w:tcPr>
            <w:tcW w:w="1179" w:type="dxa"/>
            <w:vAlign w:val="center"/>
            <w:textDirection w:val="lrTb"/>
            <w:noWrap w:val="false"/>
          </w:tcPr>
          <w:p>
            <w:pPr>
              <w:pStyle w:val="963"/>
              <w:jc w:val="center"/>
              <w:rPr>
                <w:rFonts w:ascii="宋体" w:hAnsi="宋体" w:cs="宋体"/>
                <w:sz w:val="24"/>
              </w:rPr>
            </w:pPr>
            <w:r>
              <w:rPr>
                <w:rFonts w:hint="eastAsia" w:ascii="宋体" w:hAnsi="宋体" w:cs="宋体"/>
                <w:sz w:val="24"/>
              </w:rPr>
              <w:t xml:space="preserve">3000</w:t>
            </w:r>
            <w:r>
              <w:rPr>
                <w:rFonts w:ascii="宋体" w:hAnsi="宋体" w:cs="宋体"/>
                <w:sz w:val="24"/>
              </w:rPr>
            </w:r>
            <w:r/>
          </w:p>
        </w:tc>
        <w:tc>
          <w:tcPr>
            <w:tcW w:w="1349" w:type="dxa"/>
            <w:vAlign w:val="center"/>
            <w:vMerge w:val="continue"/>
            <w:textDirection w:val="lrTb"/>
            <w:noWrap w:val="false"/>
          </w:tcPr>
          <w:p>
            <w:pPr>
              <w:pStyle w:val="963"/>
              <w:jc w:val="center"/>
              <w:rPr>
                <w:rFonts w:ascii="宋体" w:hAnsi="宋体" w:cs="宋体"/>
                <w:sz w:val="24"/>
              </w:rPr>
            </w:pPr>
            <w:r>
              <w:rPr>
                <w:rFonts w:ascii="宋体" w:hAnsi="宋体" w:cs="宋体"/>
                <w:sz w:val="24"/>
              </w:rPr>
            </w:r>
            <w:r/>
          </w:p>
        </w:tc>
      </w:tr>
      <w:tr>
        <w:trPr>
          <w:cantSplit/>
          <w:trHeight w:val="446"/>
        </w:trPr>
        <w:tc>
          <w:tcPr>
            <w:tcW w:w="838" w:type="dxa"/>
            <w:vAlign w:val="center"/>
            <w:vMerge w:val="continue"/>
            <w:textDirection w:val="lrTb"/>
            <w:noWrap w:val="false"/>
          </w:tcPr>
          <w:p>
            <w:pPr>
              <w:pStyle w:val="963"/>
              <w:jc w:val="center"/>
              <w:rPr>
                <w:rFonts w:ascii="宋体" w:hAnsi="宋体" w:cs="宋体"/>
                <w:sz w:val="24"/>
              </w:rPr>
            </w:pPr>
            <w:r>
              <w:rPr>
                <w:rFonts w:ascii="宋体" w:hAnsi="宋体" w:cs="宋体"/>
                <w:sz w:val="24"/>
              </w:rPr>
            </w:r>
            <w:r/>
          </w:p>
        </w:tc>
        <w:tc>
          <w:tcPr>
            <w:tcW w:w="1329" w:type="dxa"/>
            <w:vAlign w:val="center"/>
            <w:textDirection w:val="lrTb"/>
            <w:noWrap w:val="false"/>
          </w:tcPr>
          <w:p>
            <w:pPr>
              <w:pStyle w:val="963"/>
              <w:jc w:val="center"/>
              <w:rPr>
                <w:rFonts w:ascii="宋体" w:hAnsi="宋体" w:cs="宋体"/>
                <w:sz w:val="24"/>
              </w:rPr>
            </w:pPr>
            <w:r>
              <w:rPr>
                <w:rFonts w:hint="eastAsia" w:ascii="宋体" w:hAnsi="宋体" w:cs="宋体"/>
                <w:sz w:val="24"/>
              </w:rPr>
              <w:t xml:space="preserve">日常质控记录</w:t>
            </w:r>
            <w:r>
              <w:rPr>
                <w:rFonts w:ascii="宋体" w:hAnsi="宋体" w:cs="宋体"/>
                <w:sz w:val="24"/>
              </w:rPr>
            </w:r>
            <w:r/>
          </w:p>
        </w:tc>
        <w:tc>
          <w:tcPr>
            <w:tcW w:w="4071" w:type="dxa"/>
            <w:vAlign w:val="center"/>
            <w:textDirection w:val="lrTb"/>
            <w:noWrap w:val="false"/>
          </w:tcPr>
          <w:p>
            <w:pPr>
              <w:pStyle w:val="963"/>
              <w:jc w:val="center"/>
              <w:rPr>
                <w:rFonts w:ascii="宋体" w:hAnsi="宋体" w:cs="宋体"/>
                <w:sz w:val="24"/>
              </w:rPr>
            </w:pPr>
            <w:r>
              <w:rPr>
                <w:rFonts w:hint="eastAsia" w:ascii="宋体" w:hAnsi="宋体" w:cs="宋体"/>
                <w:sz w:val="24"/>
              </w:rPr>
              <w:t xml:space="preserve">日常质控表格填写不完整、不规范（包括参数检查、清洁维护、易耗品更换、设备单点、多点校准等）</w:t>
            </w:r>
            <w:r>
              <w:rPr>
                <w:rFonts w:ascii="宋体" w:hAnsi="宋体" w:cs="宋体"/>
                <w:sz w:val="24"/>
              </w:rPr>
            </w:r>
            <w:r/>
          </w:p>
        </w:tc>
        <w:tc>
          <w:tcPr>
            <w:tcW w:w="1179" w:type="dxa"/>
            <w:vAlign w:val="center"/>
            <w:textDirection w:val="lrTb"/>
            <w:noWrap w:val="false"/>
          </w:tcPr>
          <w:p>
            <w:pPr>
              <w:pStyle w:val="963"/>
              <w:jc w:val="center"/>
              <w:rPr>
                <w:rFonts w:ascii="宋体" w:hAnsi="宋体" w:cs="宋体"/>
                <w:sz w:val="24"/>
              </w:rPr>
            </w:pPr>
            <w:r>
              <w:rPr>
                <w:rFonts w:hint="eastAsia" w:ascii="宋体" w:hAnsi="宋体" w:cs="宋体"/>
                <w:sz w:val="24"/>
              </w:rPr>
              <w:t xml:space="preserve">1000</w:t>
            </w:r>
            <w:r>
              <w:rPr>
                <w:rFonts w:ascii="宋体" w:hAnsi="宋体" w:cs="宋体"/>
                <w:sz w:val="24"/>
              </w:rPr>
            </w:r>
            <w:r/>
          </w:p>
        </w:tc>
        <w:tc>
          <w:tcPr>
            <w:tcW w:w="1349" w:type="dxa"/>
            <w:vAlign w:val="center"/>
            <w:vMerge w:val="continue"/>
            <w:textDirection w:val="lrTb"/>
            <w:noWrap w:val="false"/>
          </w:tcPr>
          <w:p>
            <w:pPr>
              <w:pStyle w:val="963"/>
              <w:jc w:val="center"/>
              <w:rPr>
                <w:rFonts w:ascii="宋体" w:hAnsi="宋体" w:cs="宋体"/>
                <w:sz w:val="24"/>
              </w:rPr>
            </w:pPr>
            <w:r>
              <w:rPr>
                <w:rFonts w:ascii="宋体" w:hAnsi="宋体" w:cs="宋体"/>
                <w:sz w:val="24"/>
              </w:rPr>
            </w:r>
            <w:r/>
          </w:p>
        </w:tc>
      </w:tr>
      <w:tr>
        <w:trPr>
          <w:cantSplit/>
          <w:trHeight w:val="446"/>
        </w:trPr>
        <w:tc>
          <w:tcPr>
            <w:tcW w:w="838" w:type="dxa"/>
            <w:vAlign w:val="center"/>
            <w:vMerge w:val="continue"/>
            <w:textDirection w:val="lrTb"/>
            <w:noWrap w:val="false"/>
          </w:tcPr>
          <w:p>
            <w:pPr>
              <w:pStyle w:val="963"/>
              <w:jc w:val="center"/>
              <w:rPr>
                <w:rFonts w:ascii="宋体" w:hAnsi="宋体" w:cs="宋体"/>
                <w:sz w:val="24"/>
              </w:rPr>
            </w:pPr>
            <w:r>
              <w:rPr>
                <w:rFonts w:ascii="宋体" w:hAnsi="宋体" w:cs="宋体"/>
                <w:sz w:val="24"/>
              </w:rPr>
            </w:r>
            <w:r/>
          </w:p>
        </w:tc>
        <w:tc>
          <w:tcPr>
            <w:tcW w:w="1329" w:type="dxa"/>
            <w:vAlign w:val="center"/>
            <w:textDirection w:val="lrTb"/>
            <w:noWrap w:val="false"/>
          </w:tcPr>
          <w:p>
            <w:pPr>
              <w:pStyle w:val="963"/>
              <w:jc w:val="center"/>
              <w:rPr>
                <w:rFonts w:ascii="宋体" w:hAnsi="宋体" w:cs="宋体"/>
                <w:sz w:val="24"/>
              </w:rPr>
            </w:pPr>
            <w:r>
              <w:rPr>
                <w:rFonts w:hint="eastAsia" w:ascii="宋体" w:hAnsi="宋体" w:cs="宋体"/>
                <w:sz w:val="24"/>
              </w:rPr>
              <w:t xml:space="preserve">走航台账</w:t>
            </w:r>
            <w:r>
              <w:rPr>
                <w:rFonts w:ascii="宋体" w:hAnsi="宋体" w:cs="宋体"/>
                <w:sz w:val="24"/>
              </w:rPr>
            </w:r>
            <w:r/>
          </w:p>
        </w:tc>
        <w:tc>
          <w:tcPr>
            <w:tcW w:w="4071" w:type="dxa"/>
            <w:vAlign w:val="center"/>
            <w:textDirection w:val="lrTb"/>
            <w:noWrap w:val="false"/>
          </w:tcPr>
          <w:p>
            <w:pPr>
              <w:pStyle w:val="963"/>
              <w:jc w:val="center"/>
              <w:rPr>
                <w:rFonts w:ascii="宋体" w:hAnsi="宋体" w:cs="宋体"/>
                <w:sz w:val="24"/>
              </w:rPr>
            </w:pPr>
            <w:r>
              <w:rPr>
                <w:rFonts w:hint="eastAsia" w:ascii="宋体" w:hAnsi="宋体" w:cs="宋体"/>
                <w:sz w:val="24"/>
              </w:rPr>
              <w:t xml:space="preserve">未建立完整的运维方案、工作流程、设备台账、日常运行记录、报告等文件资料</w:t>
            </w:r>
            <w:r>
              <w:rPr>
                <w:rFonts w:ascii="宋体" w:hAnsi="宋体" w:cs="宋体"/>
                <w:sz w:val="24"/>
              </w:rPr>
            </w:r>
            <w:r/>
          </w:p>
        </w:tc>
        <w:tc>
          <w:tcPr>
            <w:tcW w:w="1179" w:type="dxa"/>
            <w:vAlign w:val="center"/>
            <w:textDirection w:val="lrTb"/>
            <w:noWrap w:val="false"/>
          </w:tcPr>
          <w:p>
            <w:pPr>
              <w:pStyle w:val="963"/>
              <w:jc w:val="center"/>
              <w:rPr>
                <w:rFonts w:ascii="宋体" w:hAnsi="宋体" w:cs="宋体"/>
                <w:sz w:val="24"/>
              </w:rPr>
            </w:pPr>
            <w:r>
              <w:rPr>
                <w:rFonts w:hint="eastAsia" w:ascii="宋体" w:hAnsi="宋体" w:cs="宋体"/>
                <w:sz w:val="24"/>
              </w:rPr>
              <w:t xml:space="preserve">1000</w:t>
            </w:r>
            <w:r>
              <w:rPr>
                <w:rFonts w:ascii="宋体" w:hAnsi="宋体" w:cs="宋体"/>
                <w:sz w:val="24"/>
              </w:rPr>
            </w:r>
            <w:r/>
          </w:p>
        </w:tc>
        <w:tc>
          <w:tcPr>
            <w:tcW w:w="1349" w:type="dxa"/>
            <w:vAlign w:val="center"/>
            <w:vMerge w:val="continue"/>
            <w:textDirection w:val="lrTb"/>
            <w:noWrap w:val="false"/>
          </w:tcPr>
          <w:p>
            <w:pPr>
              <w:pStyle w:val="963"/>
              <w:jc w:val="center"/>
              <w:rPr>
                <w:rFonts w:ascii="宋体" w:hAnsi="宋体" w:cs="宋体"/>
                <w:sz w:val="24"/>
              </w:rPr>
            </w:pPr>
            <w:r>
              <w:rPr>
                <w:rFonts w:ascii="宋体" w:hAnsi="宋体" w:cs="宋体"/>
                <w:sz w:val="24"/>
              </w:rPr>
            </w:r>
            <w:r/>
          </w:p>
        </w:tc>
      </w:tr>
      <w:tr>
        <w:trPr>
          <w:cantSplit/>
          <w:trHeight w:val="810"/>
        </w:trPr>
        <w:tc>
          <w:tcPr>
            <w:tcW w:w="838" w:type="dxa"/>
            <w:vAlign w:val="center"/>
            <w:vMerge w:val="restart"/>
            <w:textDirection w:val="lrTb"/>
            <w:noWrap w:val="false"/>
          </w:tcPr>
          <w:p>
            <w:pPr>
              <w:pStyle w:val="963"/>
              <w:jc w:val="center"/>
              <w:rPr>
                <w:rFonts w:ascii="宋体" w:hAnsi="宋体" w:cs="宋体"/>
                <w:sz w:val="24"/>
              </w:rPr>
            </w:pPr>
            <w:r>
              <w:rPr>
                <w:rFonts w:hint="eastAsia" w:ascii="宋体" w:hAnsi="宋体" w:cs="宋体"/>
                <w:sz w:val="24"/>
              </w:rPr>
              <w:t xml:space="preserve">数据真实有效性</w:t>
            </w:r>
            <w:r>
              <w:rPr>
                <w:rFonts w:ascii="宋体" w:hAnsi="宋体" w:cs="宋体"/>
                <w:sz w:val="24"/>
              </w:rPr>
            </w:r>
            <w:r/>
          </w:p>
        </w:tc>
        <w:tc>
          <w:tcPr>
            <w:tcW w:w="1329" w:type="dxa"/>
            <w:vAlign w:val="center"/>
            <w:textDirection w:val="lrTb"/>
            <w:noWrap w:val="false"/>
          </w:tcPr>
          <w:p>
            <w:pPr>
              <w:pStyle w:val="963"/>
              <w:jc w:val="center"/>
              <w:rPr>
                <w:rFonts w:ascii="宋体" w:hAnsi="宋体" w:cs="宋体"/>
                <w:sz w:val="24"/>
              </w:rPr>
            </w:pPr>
            <w:r>
              <w:rPr>
                <w:rFonts w:hint="eastAsia" w:ascii="宋体" w:hAnsi="宋体" w:cs="宋体"/>
                <w:sz w:val="24"/>
              </w:rPr>
              <w:t xml:space="preserve">数据</w:t>
            </w:r>
            <w:r>
              <w:rPr>
                <w:rFonts w:ascii="宋体" w:hAnsi="宋体" w:cs="宋体"/>
                <w:sz w:val="24"/>
              </w:rPr>
            </w:r>
            <w:r/>
          </w:p>
          <w:p>
            <w:pPr>
              <w:pStyle w:val="963"/>
              <w:jc w:val="center"/>
              <w:rPr>
                <w:rFonts w:ascii="宋体" w:hAnsi="宋体" w:cs="宋体"/>
                <w:sz w:val="24"/>
              </w:rPr>
            </w:pPr>
            <w:r>
              <w:rPr>
                <w:rFonts w:hint="eastAsia" w:ascii="宋体" w:hAnsi="宋体" w:cs="宋体"/>
                <w:sz w:val="24"/>
              </w:rPr>
              <w:t xml:space="preserve">备份</w:t>
            </w:r>
            <w:r>
              <w:rPr>
                <w:rFonts w:ascii="宋体" w:hAnsi="宋体" w:cs="宋体"/>
                <w:sz w:val="24"/>
              </w:rPr>
            </w:r>
            <w:r/>
          </w:p>
        </w:tc>
        <w:tc>
          <w:tcPr>
            <w:tcW w:w="4071" w:type="dxa"/>
            <w:vAlign w:val="center"/>
            <w:textDirection w:val="lrTb"/>
            <w:noWrap w:val="false"/>
          </w:tcPr>
          <w:p>
            <w:pPr>
              <w:pStyle w:val="963"/>
              <w:jc w:val="center"/>
              <w:rPr>
                <w:rFonts w:ascii="宋体" w:hAnsi="宋体" w:cs="宋体"/>
                <w:sz w:val="24"/>
              </w:rPr>
            </w:pPr>
            <w:r>
              <w:rPr>
                <w:rFonts w:hint="eastAsia" w:ascii="宋体" w:hAnsi="宋体" w:cs="宋体"/>
                <w:sz w:val="24"/>
              </w:rPr>
              <w:t xml:space="preserve">未按要求及时备份提交走航监测数据</w:t>
            </w:r>
            <w:r>
              <w:rPr>
                <w:rFonts w:ascii="宋体" w:hAnsi="宋体" w:cs="宋体"/>
                <w:sz w:val="24"/>
              </w:rPr>
            </w:r>
            <w:r/>
          </w:p>
        </w:tc>
        <w:tc>
          <w:tcPr>
            <w:tcW w:w="1179" w:type="dxa"/>
            <w:vAlign w:val="center"/>
            <w:textDirection w:val="lrTb"/>
            <w:noWrap w:val="false"/>
          </w:tcPr>
          <w:p>
            <w:pPr>
              <w:pStyle w:val="963"/>
              <w:jc w:val="center"/>
              <w:rPr>
                <w:rFonts w:ascii="宋体" w:hAnsi="宋体" w:cs="宋体"/>
                <w:sz w:val="24"/>
              </w:rPr>
            </w:pPr>
            <w:r>
              <w:rPr>
                <w:rFonts w:hint="eastAsia" w:ascii="宋体" w:hAnsi="宋体" w:cs="宋体"/>
                <w:sz w:val="24"/>
              </w:rPr>
              <w:t xml:space="preserve">1000</w:t>
            </w:r>
            <w:r>
              <w:rPr>
                <w:rFonts w:ascii="宋体" w:hAnsi="宋体" w:cs="宋体"/>
                <w:sz w:val="24"/>
              </w:rPr>
            </w:r>
            <w:r/>
          </w:p>
        </w:tc>
        <w:tc>
          <w:tcPr>
            <w:tcW w:w="1349" w:type="dxa"/>
            <w:vAlign w:val="center"/>
            <w:vMerge w:val="continue"/>
            <w:textDirection w:val="lrTb"/>
            <w:noWrap w:val="false"/>
          </w:tcPr>
          <w:p>
            <w:pPr>
              <w:pStyle w:val="963"/>
              <w:jc w:val="center"/>
              <w:rPr>
                <w:rFonts w:ascii="宋体" w:hAnsi="宋体" w:cs="宋体"/>
                <w:sz w:val="24"/>
              </w:rPr>
            </w:pPr>
            <w:r>
              <w:rPr>
                <w:rFonts w:ascii="宋体" w:hAnsi="宋体" w:cs="宋体"/>
                <w:sz w:val="24"/>
              </w:rPr>
            </w:r>
            <w:r/>
          </w:p>
        </w:tc>
      </w:tr>
      <w:tr>
        <w:trPr>
          <w:cantSplit/>
          <w:trHeight w:val="810"/>
        </w:trPr>
        <w:tc>
          <w:tcPr>
            <w:tcW w:w="838" w:type="dxa"/>
            <w:vAlign w:val="center"/>
            <w:vMerge w:val="continue"/>
            <w:textDirection w:val="lrTb"/>
            <w:noWrap w:val="false"/>
          </w:tcPr>
          <w:p>
            <w:pPr>
              <w:pStyle w:val="963"/>
              <w:jc w:val="center"/>
              <w:rPr>
                <w:rFonts w:ascii="宋体" w:hAnsi="宋体" w:cs="宋体"/>
                <w:sz w:val="24"/>
              </w:rPr>
            </w:pPr>
            <w:r>
              <w:rPr>
                <w:rFonts w:ascii="宋体" w:hAnsi="宋体" w:cs="宋体"/>
                <w:sz w:val="24"/>
              </w:rPr>
            </w:r>
            <w:r/>
          </w:p>
        </w:tc>
        <w:tc>
          <w:tcPr>
            <w:tcW w:w="1329" w:type="dxa"/>
            <w:vAlign w:val="center"/>
            <w:textDirection w:val="lrTb"/>
            <w:noWrap w:val="false"/>
          </w:tcPr>
          <w:p>
            <w:pPr>
              <w:pStyle w:val="963"/>
              <w:jc w:val="center"/>
              <w:rPr>
                <w:rFonts w:ascii="宋体" w:hAnsi="宋体" w:cs="宋体"/>
                <w:sz w:val="24"/>
              </w:rPr>
            </w:pPr>
            <w:r>
              <w:rPr>
                <w:rFonts w:hint="eastAsia" w:ascii="宋体" w:hAnsi="宋体" w:cs="宋体"/>
                <w:sz w:val="24"/>
              </w:rPr>
              <w:t xml:space="preserve">真实有效性</w:t>
            </w:r>
            <w:r>
              <w:rPr>
                <w:rFonts w:ascii="宋体" w:hAnsi="宋体" w:cs="宋体"/>
                <w:sz w:val="24"/>
              </w:rPr>
            </w:r>
            <w:r/>
          </w:p>
        </w:tc>
        <w:tc>
          <w:tcPr>
            <w:tcW w:w="4071" w:type="dxa"/>
            <w:vAlign w:val="center"/>
            <w:textDirection w:val="lrTb"/>
            <w:noWrap w:val="false"/>
          </w:tcPr>
          <w:p>
            <w:pPr>
              <w:pStyle w:val="963"/>
              <w:jc w:val="center"/>
              <w:rPr>
                <w:rFonts w:ascii="宋体" w:hAnsi="宋体" w:cs="宋体"/>
                <w:sz w:val="24"/>
              </w:rPr>
            </w:pPr>
            <w:r>
              <w:rPr>
                <w:rFonts w:hint="eastAsia" w:ascii="宋体" w:hAnsi="宋体" w:cs="宋体"/>
                <w:sz w:val="24"/>
              </w:rPr>
              <w:t xml:space="preserve">走航报告数据与仪器内部数据库数据不一致</w:t>
            </w:r>
            <w:r>
              <w:rPr>
                <w:rFonts w:ascii="宋体" w:hAnsi="宋体" w:cs="宋体"/>
                <w:sz w:val="24"/>
              </w:rPr>
            </w:r>
            <w:r/>
          </w:p>
        </w:tc>
        <w:tc>
          <w:tcPr>
            <w:tcW w:w="1179" w:type="dxa"/>
            <w:vAlign w:val="center"/>
            <w:textDirection w:val="lrTb"/>
            <w:noWrap w:val="false"/>
          </w:tcPr>
          <w:p>
            <w:pPr>
              <w:pStyle w:val="963"/>
              <w:jc w:val="center"/>
              <w:rPr>
                <w:rFonts w:ascii="宋体" w:hAnsi="宋体" w:cs="宋体"/>
                <w:sz w:val="24"/>
              </w:rPr>
            </w:pPr>
            <w:r>
              <w:rPr>
                <w:rFonts w:hint="eastAsia" w:ascii="宋体" w:hAnsi="宋体" w:cs="宋体"/>
                <w:sz w:val="24"/>
              </w:rPr>
              <w:t xml:space="preserve">3000</w:t>
            </w:r>
            <w:r>
              <w:rPr>
                <w:rFonts w:ascii="宋体" w:hAnsi="宋体" w:cs="宋体"/>
                <w:sz w:val="24"/>
              </w:rPr>
            </w:r>
            <w:r/>
          </w:p>
        </w:tc>
        <w:tc>
          <w:tcPr>
            <w:tcW w:w="1349" w:type="dxa"/>
            <w:vAlign w:val="center"/>
            <w:vMerge w:val="continue"/>
            <w:textDirection w:val="lrTb"/>
            <w:noWrap w:val="false"/>
          </w:tcPr>
          <w:p>
            <w:pPr>
              <w:pStyle w:val="963"/>
              <w:jc w:val="center"/>
              <w:rPr>
                <w:rFonts w:ascii="宋体" w:hAnsi="宋体" w:cs="宋体"/>
                <w:sz w:val="24"/>
              </w:rPr>
            </w:pPr>
            <w:r>
              <w:rPr>
                <w:rFonts w:ascii="宋体" w:hAnsi="宋体" w:cs="宋体"/>
                <w:sz w:val="24"/>
              </w:rPr>
            </w:r>
            <w:r/>
          </w:p>
        </w:tc>
      </w:tr>
      <w:tr>
        <w:trPr>
          <w:cantSplit/>
          <w:trHeight w:val="446"/>
        </w:trPr>
        <w:tc>
          <w:tcPr>
            <w:tcW w:w="838" w:type="dxa"/>
            <w:vAlign w:val="center"/>
            <w:textDirection w:val="lrTb"/>
            <w:noWrap w:val="false"/>
          </w:tcPr>
          <w:p>
            <w:pPr>
              <w:pStyle w:val="963"/>
              <w:jc w:val="center"/>
              <w:rPr>
                <w:rFonts w:ascii="宋体" w:hAnsi="宋体" w:cs="宋体"/>
                <w:sz w:val="24"/>
              </w:rPr>
            </w:pPr>
            <w:r>
              <w:rPr>
                <w:rFonts w:hint="eastAsia" w:ascii="宋体" w:hAnsi="宋体" w:cs="宋体"/>
                <w:sz w:val="24"/>
              </w:rPr>
              <w:t xml:space="preserve">走航报告权威性</w:t>
            </w:r>
            <w:r>
              <w:rPr>
                <w:rFonts w:ascii="宋体" w:hAnsi="宋体" w:cs="宋体"/>
                <w:sz w:val="24"/>
              </w:rPr>
            </w:r>
            <w:r/>
          </w:p>
        </w:tc>
        <w:tc>
          <w:tcPr>
            <w:gridSpan w:val="2"/>
            <w:tcW w:w="5400" w:type="dxa"/>
            <w:vAlign w:val="center"/>
            <w:textDirection w:val="lrTb"/>
            <w:noWrap w:val="false"/>
          </w:tcPr>
          <w:p>
            <w:pPr>
              <w:pStyle w:val="963"/>
              <w:jc w:val="center"/>
              <w:rPr>
                <w:rFonts w:ascii="宋体" w:hAnsi="宋体" w:cs="宋体"/>
                <w:sz w:val="24"/>
              </w:rPr>
            </w:pPr>
            <w:r>
              <w:rPr>
                <w:rFonts w:hint="eastAsia" w:ascii="宋体" w:hAnsi="宋体" w:cs="宋体"/>
                <w:sz w:val="24"/>
              </w:rPr>
              <w:t xml:space="preserve">其他单位或个人对走航报告的真实性、有效性进行质疑，并确定数据结果存在较大偏差（如物种定性错误，浓度偏差50%以上）</w:t>
            </w:r>
            <w:r>
              <w:rPr>
                <w:rFonts w:ascii="宋体" w:hAnsi="宋体" w:cs="宋体"/>
                <w:sz w:val="24"/>
              </w:rPr>
            </w:r>
            <w:r/>
          </w:p>
        </w:tc>
        <w:tc>
          <w:tcPr>
            <w:tcW w:w="1179" w:type="dxa"/>
            <w:vAlign w:val="center"/>
            <w:textDirection w:val="lrTb"/>
            <w:noWrap w:val="false"/>
          </w:tcPr>
          <w:p>
            <w:pPr>
              <w:pStyle w:val="963"/>
              <w:jc w:val="center"/>
              <w:rPr>
                <w:rFonts w:ascii="宋体" w:hAnsi="宋体" w:cs="宋体"/>
                <w:sz w:val="24"/>
              </w:rPr>
            </w:pPr>
            <w:r>
              <w:rPr>
                <w:rFonts w:hint="eastAsia" w:ascii="宋体" w:hAnsi="宋体" w:cs="宋体"/>
                <w:sz w:val="24"/>
              </w:rPr>
              <w:t xml:space="preserve">5000</w:t>
            </w:r>
            <w:r>
              <w:rPr>
                <w:rFonts w:ascii="宋体" w:hAnsi="宋体" w:cs="宋体"/>
                <w:sz w:val="24"/>
              </w:rPr>
            </w:r>
            <w:r/>
          </w:p>
        </w:tc>
        <w:tc>
          <w:tcPr>
            <w:tcW w:w="1349" w:type="dxa"/>
            <w:vAlign w:val="center"/>
            <w:vMerge w:val="continue"/>
            <w:textDirection w:val="lrTb"/>
            <w:noWrap w:val="false"/>
          </w:tcPr>
          <w:p>
            <w:pPr>
              <w:pStyle w:val="963"/>
              <w:jc w:val="center"/>
              <w:rPr>
                <w:rFonts w:ascii="宋体" w:hAnsi="宋体" w:cs="宋体"/>
                <w:sz w:val="24"/>
              </w:rPr>
            </w:pPr>
            <w:r>
              <w:rPr>
                <w:rFonts w:ascii="宋体" w:hAnsi="宋体" w:cs="宋体"/>
                <w:sz w:val="24"/>
              </w:rPr>
            </w:r>
            <w:r/>
          </w:p>
        </w:tc>
      </w:tr>
      <w:tr>
        <w:trPr>
          <w:trHeight w:val="446"/>
        </w:trPr>
        <w:tc>
          <w:tcPr>
            <w:tcW w:w="838" w:type="dxa"/>
            <w:vAlign w:val="center"/>
            <w:textDirection w:val="lrTb"/>
            <w:noWrap w:val="false"/>
          </w:tcPr>
          <w:p>
            <w:pPr>
              <w:pStyle w:val="963"/>
              <w:jc w:val="center"/>
              <w:rPr>
                <w:rFonts w:ascii="宋体" w:hAnsi="宋体" w:cs="宋体"/>
                <w:sz w:val="24"/>
              </w:rPr>
            </w:pPr>
            <w:r>
              <w:rPr>
                <w:rFonts w:hint="eastAsia" w:ascii="宋体" w:hAnsi="宋体" w:cs="宋体"/>
                <w:sz w:val="24"/>
              </w:rPr>
              <w:t xml:space="preserve">人员技术培训</w:t>
            </w:r>
            <w:r>
              <w:rPr>
                <w:rFonts w:ascii="宋体" w:hAnsi="宋体" w:cs="宋体"/>
                <w:sz w:val="24"/>
              </w:rPr>
            </w:r>
            <w:r/>
          </w:p>
        </w:tc>
        <w:tc>
          <w:tcPr>
            <w:gridSpan w:val="2"/>
            <w:tcW w:w="5400" w:type="dxa"/>
            <w:vAlign w:val="center"/>
            <w:textDirection w:val="lrTb"/>
            <w:noWrap w:val="false"/>
          </w:tcPr>
          <w:p>
            <w:pPr>
              <w:pStyle w:val="963"/>
              <w:jc w:val="center"/>
              <w:rPr>
                <w:rFonts w:ascii="宋体" w:hAnsi="宋体" w:cs="宋体"/>
                <w:sz w:val="24"/>
              </w:rPr>
            </w:pPr>
            <w:r>
              <w:rPr>
                <w:rFonts w:hint="eastAsia" w:ascii="宋体" w:hAnsi="宋体" w:cs="宋体"/>
                <w:sz w:val="24"/>
              </w:rPr>
              <w:t xml:space="preserve">定期对走航工程师进行培训，一年至少组织开展2次技术人员大气专业知识培训，每少1次扣除5000元运维费。</w:t>
            </w:r>
            <w:r>
              <w:rPr>
                <w:rFonts w:ascii="宋体" w:hAnsi="宋体" w:cs="宋体"/>
                <w:sz w:val="24"/>
              </w:rPr>
            </w:r>
            <w:r/>
          </w:p>
        </w:tc>
        <w:tc>
          <w:tcPr>
            <w:tcW w:w="1179" w:type="dxa"/>
            <w:vAlign w:val="center"/>
            <w:textDirection w:val="lrTb"/>
            <w:noWrap w:val="false"/>
          </w:tcPr>
          <w:p>
            <w:pPr>
              <w:pStyle w:val="963"/>
              <w:jc w:val="center"/>
              <w:rPr>
                <w:rFonts w:ascii="宋体" w:hAnsi="宋体" w:cs="宋体"/>
                <w:sz w:val="24"/>
              </w:rPr>
            </w:pPr>
            <w:r>
              <w:rPr>
                <w:rFonts w:hint="eastAsia" w:ascii="宋体" w:hAnsi="宋体" w:cs="宋体"/>
                <w:sz w:val="24"/>
              </w:rPr>
              <w:t xml:space="preserve">2000</w:t>
            </w:r>
            <w:r>
              <w:rPr>
                <w:rFonts w:ascii="宋体" w:hAnsi="宋体" w:cs="宋体"/>
                <w:sz w:val="24"/>
              </w:rPr>
            </w:r>
            <w:r/>
          </w:p>
        </w:tc>
        <w:tc>
          <w:tcPr>
            <w:tcW w:w="1349" w:type="dxa"/>
            <w:vAlign w:val="center"/>
            <w:textDirection w:val="lrTb"/>
            <w:noWrap w:val="false"/>
          </w:tcPr>
          <w:p>
            <w:pPr>
              <w:pStyle w:val="963"/>
              <w:jc w:val="center"/>
              <w:rPr>
                <w:rFonts w:ascii="宋体" w:hAnsi="宋体" w:cs="宋体"/>
                <w:sz w:val="24"/>
              </w:rPr>
            </w:pPr>
            <w:r>
              <w:rPr>
                <w:rFonts w:hint="eastAsia" w:ascii="宋体" w:hAnsi="宋体" w:cs="宋体"/>
                <w:sz w:val="24"/>
              </w:rPr>
              <w:t xml:space="preserve">/</w:t>
            </w:r>
            <w:r>
              <w:rPr>
                <w:rFonts w:ascii="宋体" w:hAnsi="宋体" w:cs="宋体"/>
                <w:sz w:val="24"/>
              </w:rPr>
            </w:r>
            <w:r/>
          </w:p>
        </w:tc>
      </w:tr>
    </w:tbl>
    <w:p>
      <w:pPr>
        <w:pStyle w:val="963"/>
        <w:numPr>
          <w:ilvl w:val="0"/>
          <w:numId w:val="49"/>
        </w:numPr>
        <w:ind w:firstLine="482"/>
        <w:jc w:val="left"/>
        <w:spacing w:line="360" w:lineRule="auto"/>
        <w:widowControl/>
        <w:rPr>
          <w:rFonts w:ascii="宋体" w:hAnsi="宋体" w:cs="宋体"/>
          <w:b/>
          <w:bCs/>
          <w:sz w:val="24"/>
        </w:rPr>
        <w:outlineLvl w:val="2"/>
      </w:pPr>
      <w:r>
        <w:rPr>
          <w:rFonts w:hint="eastAsia" w:ascii="宋体" w:hAnsi="宋体" w:cs="宋体"/>
          <w:b/>
          <w:bCs/>
          <w:sz w:val="24"/>
        </w:rPr>
        <w:t xml:space="preserve">水质自动站考核标准及考核办法</w:t>
      </w:r>
      <w:r>
        <w:rPr>
          <w:rFonts w:ascii="宋体" w:hAnsi="宋体" w:cs="宋体"/>
          <w:b/>
          <w:bCs/>
          <w:sz w:val="24"/>
        </w:rPr>
      </w:r>
      <w:r/>
    </w:p>
    <w:p>
      <w:pPr>
        <w:pStyle w:val="963"/>
        <w:ind w:firstLine="480"/>
        <w:spacing w:line="360" w:lineRule="auto"/>
        <w:widowControl/>
        <w:rPr>
          <w:rFonts w:ascii="宋体" w:hAnsi="宋体" w:cs="宋体"/>
          <w:sz w:val="24"/>
        </w:rPr>
      </w:pPr>
      <w:r>
        <w:rPr>
          <w:rFonts w:hint="eastAsia" w:ascii="宋体" w:hAnsi="宋体" w:cs="宋体"/>
          <w:sz w:val="24"/>
        </w:rPr>
        <w:t xml:space="preserve">招标文件中未明确的质控管理要求，按照江苏省已制定的相关规范性文件执行，若出台新的管理办法或技术规范时，按新要求执行。</w:t>
      </w:r>
      <w:r>
        <w:rPr>
          <w:rFonts w:ascii="宋体" w:hAnsi="宋体" w:cs="宋体"/>
          <w:sz w:val="24"/>
        </w:rPr>
      </w:r>
      <w:r/>
    </w:p>
    <w:p>
      <w:pPr>
        <w:pStyle w:val="963"/>
        <w:numPr>
          <w:ilvl w:val="0"/>
          <w:numId w:val="52"/>
        </w:numPr>
        <w:ind w:left="0" w:firstLine="480"/>
        <w:spacing w:line="360" w:lineRule="auto"/>
        <w:widowControl/>
        <w:rPr>
          <w:rFonts w:ascii="宋体" w:hAnsi="宋体" w:cs="宋体"/>
          <w:sz w:val="24"/>
        </w:rPr>
      </w:pPr>
      <w:r>
        <w:rPr>
          <w:rFonts w:hint="eastAsia" w:ascii="宋体" w:hAnsi="宋体" w:cs="宋体"/>
          <w:sz w:val="24"/>
        </w:rPr>
        <w:t xml:space="preserve"> 水质自动站运行指标付款要求：</w:t>
      </w:r>
      <w:r>
        <w:rPr>
          <w:rFonts w:ascii="宋体" w:hAnsi="宋体" w:cs="宋体"/>
          <w:sz w:val="24"/>
        </w:rPr>
      </w:r>
      <w:r/>
    </w:p>
    <w:p>
      <w:pPr>
        <w:pStyle w:val="963"/>
        <w:ind w:firstLine="480"/>
        <w:spacing w:line="360" w:lineRule="auto"/>
        <w:widowControl/>
        <w:rPr>
          <w:rFonts w:ascii="宋体" w:hAnsi="宋体" w:cs="宋体"/>
          <w:sz w:val="24"/>
        </w:rPr>
      </w:pPr>
      <w:r>
        <w:rPr>
          <w:rFonts w:hint="eastAsia" w:ascii="宋体" w:hAnsi="宋体" w:cs="宋体"/>
          <w:sz w:val="24"/>
        </w:rPr>
        <w:t xml:space="preserve">采购人根据仪器的实际有效运行率按月核算运维款项，具体如下：</w:t>
      </w:r>
      <w:r>
        <w:rPr>
          <w:rFonts w:ascii="宋体" w:hAnsi="宋体" w:cs="宋体"/>
          <w:sz w:val="24"/>
        </w:rPr>
      </w:r>
      <w:r/>
    </w:p>
    <w:p>
      <w:pPr>
        <w:pStyle w:val="963"/>
        <w:numPr>
          <w:ilvl w:val="0"/>
          <w:numId w:val="53"/>
        </w:numPr>
        <w:ind w:firstLine="480"/>
        <w:spacing w:line="360" w:lineRule="auto"/>
        <w:widowControl/>
        <w:rPr>
          <w:rFonts w:ascii="宋体" w:hAnsi="宋体" w:cs="宋体"/>
          <w:sz w:val="24"/>
        </w:rPr>
      </w:pPr>
      <w:r>
        <w:rPr>
          <w:rFonts w:hint="eastAsia" w:ascii="宋体" w:hAnsi="宋体" w:cs="宋体"/>
          <w:sz w:val="24"/>
        </w:rPr>
        <w:t xml:space="preserve">单个站点月有效运行率≥85%拨付该参数全部运维款。</w:t>
      </w:r>
      <w:r>
        <w:rPr>
          <w:rFonts w:ascii="宋体" w:hAnsi="宋体" w:cs="宋体"/>
          <w:sz w:val="24"/>
        </w:rPr>
      </w:r>
      <w:r/>
    </w:p>
    <w:p>
      <w:pPr>
        <w:pStyle w:val="963"/>
        <w:numPr>
          <w:ilvl w:val="0"/>
          <w:numId w:val="53"/>
        </w:numPr>
        <w:ind w:firstLine="480"/>
        <w:spacing w:line="360" w:lineRule="auto"/>
        <w:widowControl/>
        <w:rPr>
          <w:rFonts w:ascii="宋体" w:hAnsi="宋体" w:cs="宋体"/>
          <w:sz w:val="24"/>
        </w:rPr>
      </w:pPr>
      <w:r>
        <w:rPr>
          <w:rFonts w:hint="eastAsia" w:ascii="宋体" w:hAnsi="宋体" w:cs="宋体"/>
          <w:sz w:val="24"/>
        </w:rPr>
        <w:t xml:space="preserve">单个站点月有效运行率&lt;85%，但≥70%时，该参数当月实付运维款=有效运行率*该参数运维款。</w:t>
      </w:r>
      <w:r>
        <w:rPr>
          <w:rFonts w:ascii="宋体" w:hAnsi="宋体" w:cs="宋体"/>
          <w:sz w:val="24"/>
        </w:rPr>
      </w:r>
      <w:r/>
    </w:p>
    <w:p>
      <w:pPr>
        <w:pStyle w:val="963"/>
        <w:numPr>
          <w:ilvl w:val="0"/>
          <w:numId w:val="53"/>
        </w:numPr>
        <w:ind w:firstLine="480"/>
        <w:spacing w:line="360" w:lineRule="auto"/>
        <w:widowControl/>
        <w:rPr>
          <w:rFonts w:ascii="宋体" w:hAnsi="宋体" w:cs="宋体"/>
          <w:sz w:val="24"/>
        </w:rPr>
      </w:pPr>
      <w:r>
        <w:rPr>
          <w:rFonts w:hint="eastAsia" w:ascii="宋体" w:hAnsi="宋体" w:cs="宋体"/>
          <w:sz w:val="24"/>
        </w:rPr>
        <w:t xml:space="preserve">单个站点月有效运行率&lt;70%时，扣除该参数当月全部运维款。因停水停电或其他不可抗拒因素引起的故障导致有效运行率低于70%的，按仪器实际有效运行率拨付运维款，该参数当月实付运维款=有效运行率*该参数运维款。</w:t>
      </w:r>
      <w:r>
        <w:rPr>
          <w:rFonts w:ascii="宋体" w:hAnsi="宋体" w:cs="宋体"/>
          <w:sz w:val="24"/>
        </w:rPr>
      </w:r>
      <w:r/>
    </w:p>
    <w:p>
      <w:pPr>
        <w:pStyle w:val="963"/>
        <w:numPr>
          <w:ilvl w:val="0"/>
          <w:numId w:val="53"/>
        </w:numPr>
        <w:ind w:firstLine="480"/>
        <w:spacing w:line="360" w:lineRule="auto"/>
        <w:widowControl/>
        <w:rPr>
          <w:rFonts w:ascii="宋体" w:hAnsi="宋体" w:cs="宋体"/>
          <w:sz w:val="24"/>
        </w:rPr>
      </w:pPr>
      <w:r>
        <w:rPr>
          <w:rFonts w:hint="eastAsia" w:ascii="宋体" w:hAnsi="宋体" w:cs="宋体"/>
          <w:sz w:val="24"/>
        </w:rPr>
        <w:t xml:space="preserve">站点整体有效运行率&lt;70%，或pH、溶解氧、氨氮、总磷、高锰酸盐指数、总氮6个重要参数（生态补偿站点还有流速）中有3个参数有效运行率低于70%时，或2个重要参数连续2个月有效运行率低于70%时，扣除该站点全部运维款。因停水停电或其他不可抗拒因素引起的故障导致站点整体有效运行率低于70%的，按仪器实际有效运行率拨付运维款。该参数当月实付运维款=有效运行率*该参数运维款。</w:t>
      </w:r>
      <w:r>
        <w:rPr>
          <w:rFonts w:ascii="宋体" w:hAnsi="宋体" w:cs="宋体"/>
          <w:sz w:val="24"/>
        </w:rPr>
      </w:r>
      <w:r/>
    </w:p>
    <w:p>
      <w:pPr>
        <w:pStyle w:val="963"/>
        <w:numPr>
          <w:ilvl w:val="0"/>
          <w:numId w:val="53"/>
        </w:numPr>
        <w:ind w:firstLine="480"/>
        <w:spacing w:line="360" w:lineRule="auto"/>
        <w:widowControl/>
        <w:rPr>
          <w:rFonts w:ascii="宋体" w:hAnsi="宋体" w:cs="宋体"/>
          <w:color w:val="000000"/>
          <w:sz w:val="24"/>
        </w:rPr>
      </w:pPr>
      <w:r>
        <w:rPr>
          <w:rFonts w:hint="eastAsia" w:ascii="宋体" w:hAnsi="宋体" w:cs="宋体"/>
          <w:sz w:val="24"/>
        </w:rPr>
        <w:t xml:space="preserve">当站点因河道整治等原因无法采水停运时，应尽量采用清水维持仪器的运行，相关质控考核工作仍按原有规定执行，运维款根据仪器有效运行率考核结果的85%核发。</w:t>
      </w:r>
      <w:r>
        <w:rPr>
          <w:rFonts w:ascii="宋体" w:hAnsi="宋体" w:cs="宋体"/>
          <w:color w:val="000000"/>
          <w:sz w:val="24"/>
        </w:rPr>
      </w:r>
      <w:r/>
    </w:p>
    <w:p>
      <w:pPr>
        <w:pStyle w:val="963"/>
        <w:ind w:firstLine="480"/>
        <w:spacing w:line="360" w:lineRule="auto"/>
        <w:widowControl/>
        <w:rPr>
          <w:rFonts w:ascii="宋体" w:hAnsi="宋体" w:cs="宋体"/>
          <w:sz w:val="24"/>
        </w:rPr>
      </w:pPr>
      <w:r>
        <w:rPr>
          <w:rFonts w:hint="eastAsia" w:ascii="宋体" w:hAnsi="宋体" w:cs="宋体"/>
          <w:sz w:val="24"/>
        </w:rPr>
        <w:t xml:space="preserve">有效运行率的计算方法参照《江苏省环境水质（地表水）自动监测预警系统运行管理办法（试行）》中有关规定执行，其中：</w:t>
      </w:r>
      <w:r>
        <w:rPr>
          <w:rFonts w:ascii="宋体" w:hAnsi="宋体" w:cs="宋体"/>
          <w:sz w:val="24"/>
        </w:rPr>
      </w:r>
      <w:r/>
    </w:p>
    <w:p>
      <w:pPr>
        <w:pStyle w:val="963"/>
        <w:ind w:firstLine="482"/>
        <w:spacing w:line="360" w:lineRule="auto"/>
        <w:widowControl/>
        <w:rPr>
          <w:rFonts w:ascii="宋体" w:hAnsi="宋体" w:cs="宋体"/>
          <w:b/>
          <w:sz w:val="24"/>
        </w:rPr>
      </w:pPr>
      <w:r>
        <w:rPr>
          <w:rFonts w:hint="eastAsia" w:ascii="宋体" w:hAnsi="宋体" w:cs="宋体"/>
          <w:b/>
          <w:sz w:val="24"/>
        </w:rPr>
        <w:t xml:space="preserve">仪器有效运行率=</w:t>
      </w:r>
      <w:r>
        <w:rPr>
          <w:rFonts w:ascii="宋体" w:hAnsi="宋体" w:cs="宋体"/>
          <w:sz w:val="24"/>
        </w:rPr>
        <mc:AlternateContent>
          <mc:Choice Requires="wpg">
            <w:drawing>
              <wp:inline xmlns:wp="http://schemas.openxmlformats.org/drawingml/2006/wordprocessingDrawing" distT="0" distB="0" distL="0" distR="0">
                <wp:extent cx="1637690" cy="349903"/>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637690" cy="3499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9.0pt;height:27.6pt;mso-wrap-distance-left:0.0pt;mso-wrap-distance-top:0.0pt;mso-wrap-distance-right:0.0pt;mso-wrap-distance-bottom:0.0pt;" stroked="f">
                <v:path textboxrect="0,0,0,0"/>
                <v:imagedata r:id="rId11" o:title=""/>
              </v:shape>
            </w:pict>
          </mc:Fallback>
        </mc:AlternateContent>
      </w:r>
      <w:r>
        <w:rPr>
          <w:rFonts w:ascii="宋体" w:hAnsi="宋体" w:cs="宋体"/>
          <w:b/>
          <w:sz w:val="24"/>
        </w:rPr>
      </w:r>
      <w:r/>
    </w:p>
    <w:p>
      <w:pPr>
        <w:pStyle w:val="963"/>
        <w:ind w:firstLine="482"/>
        <w:spacing w:line="360" w:lineRule="auto"/>
        <w:widowControl/>
        <w:rPr>
          <w:rFonts w:ascii="宋体" w:hAnsi="宋体" w:cs="宋体"/>
          <w:b/>
          <w:sz w:val="24"/>
        </w:rPr>
      </w:pPr>
      <w:r>
        <w:rPr>
          <w:rFonts w:hint="eastAsia" w:ascii="宋体" w:hAnsi="宋体" w:cs="宋体"/>
          <w:b/>
          <w:sz w:val="24"/>
        </w:rPr>
        <w:t xml:space="preserve">站点有效运行率=</w:t>
      </w:r>
      <w:r>
        <w:rPr>
          <w:rFonts w:ascii="宋体" w:hAnsi="宋体" w:cs="宋体"/>
          <w:sz w:val="24"/>
        </w:rPr>
        <mc:AlternateContent>
          <mc:Choice Requires="wpg">
            <w:drawing>
              <wp:inline xmlns:wp="http://schemas.openxmlformats.org/drawingml/2006/wordprocessingDrawing" distT="0" distB="0" distL="0" distR="0">
                <wp:extent cx="2456332" cy="349903"/>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2456332" cy="3499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93.4pt;height:27.6pt;mso-wrap-distance-left:0.0pt;mso-wrap-distance-top:0.0pt;mso-wrap-distance-right:0.0pt;mso-wrap-distance-bottom:0.0pt;" stroked="f">
                <v:path textboxrect="0,0,0,0"/>
                <v:imagedata r:id="rId12" o:title=""/>
              </v:shape>
            </w:pict>
          </mc:Fallback>
        </mc:AlternateContent>
      </w:r>
      <w:r>
        <w:rPr>
          <w:rFonts w:ascii="宋体" w:hAnsi="宋体" w:cs="宋体"/>
          <w:b/>
          <w:sz w:val="24"/>
        </w:rPr>
      </w:r>
      <w:r/>
    </w:p>
    <w:p>
      <w:pPr>
        <w:pStyle w:val="963"/>
        <w:ind w:firstLine="480"/>
        <w:spacing w:line="360" w:lineRule="auto"/>
        <w:widowControl/>
        <w:rPr>
          <w:rFonts w:ascii="宋体" w:hAnsi="宋体" w:cs="宋体"/>
          <w:sz w:val="24"/>
        </w:rPr>
      </w:pPr>
      <w:r>
        <w:rPr>
          <w:rFonts w:hint="eastAsia" w:ascii="宋体" w:hAnsi="宋体" w:cs="宋体"/>
          <w:sz w:val="24"/>
        </w:rPr>
        <w:t xml:space="preserve">实际采用数据应扣除因质量考核不合格删除的数据，但不剔除因性能测试、质量考核等原因标记的数据。</w:t>
      </w:r>
      <w:r>
        <w:rPr>
          <w:rFonts w:ascii="宋体" w:hAnsi="宋体" w:cs="宋体"/>
          <w:sz w:val="24"/>
        </w:rPr>
      </w:r>
      <w:r/>
    </w:p>
    <w:p>
      <w:pPr>
        <w:pStyle w:val="963"/>
        <w:numPr>
          <w:ilvl w:val="0"/>
          <w:numId w:val="52"/>
        </w:numPr>
        <w:ind w:left="0" w:firstLine="480"/>
        <w:spacing w:line="360" w:lineRule="auto"/>
        <w:widowControl/>
        <w:rPr>
          <w:rFonts w:ascii="宋体" w:hAnsi="宋体" w:cs="宋体"/>
          <w:sz w:val="24"/>
        </w:rPr>
      </w:pPr>
      <w:r>
        <w:rPr>
          <w:rFonts w:hint="eastAsia" w:ascii="宋体" w:hAnsi="宋体" w:cs="宋体"/>
          <w:sz w:val="24"/>
        </w:rPr>
        <w:t xml:space="preserve"> 数据质量要求：</w:t>
      </w:r>
      <w:r>
        <w:rPr>
          <w:rFonts w:ascii="宋体" w:hAnsi="宋体" w:cs="宋体"/>
          <w:sz w:val="24"/>
        </w:rPr>
      </w:r>
      <w:r/>
    </w:p>
    <w:p>
      <w:pPr>
        <w:pStyle w:val="963"/>
        <w:numPr>
          <w:ilvl w:val="0"/>
          <w:numId w:val="54"/>
        </w:numPr>
        <w:ind w:firstLine="480"/>
        <w:spacing w:line="360" w:lineRule="auto"/>
        <w:widowControl/>
        <w:rPr>
          <w:rFonts w:ascii="宋体" w:hAnsi="宋体" w:cs="宋体"/>
          <w:sz w:val="24"/>
        </w:rPr>
      </w:pPr>
      <w:r>
        <w:rPr>
          <w:rFonts w:hint="eastAsia" w:ascii="宋体" w:hAnsi="宋体" w:cs="宋体"/>
          <w:sz w:val="24"/>
        </w:rPr>
        <w:t xml:space="preserve">水质自动站要求中标人参照《江苏省环境水质（地表水）自动监测预警系统运行管理办法（试行）》和《江苏省水质自动监测质量管理暂</w:t>
      </w:r>
      <w:r>
        <w:rPr>
          <w:rFonts w:hint="eastAsia" w:ascii="宋体" w:hAnsi="宋体" w:cs="宋体"/>
          <w:sz w:val="24"/>
        </w:rPr>
        <w:t xml:space="preserve">行规定》等规定要求，定期开展标液核查、质控考核、水样比对和系统核查等质控工作（浮标站根据实际情况开展运维质控）。其中氨氮、高锰酸盐指数、总磷和总氮至少每周进行一次质控工作（可以为仪器自校、手工校准、水样比对、标液核查或盲样考核，但至少每月有一次为业主或质控单位组织开展的）；pH、溶解氧、电导率、浊度、水温每月至少进行一次水样比对；水站系统（以氨氮为代表）至少每月进行一次系统核查。结果（包括图片等佐证材料）应及时报业主方，结果未报、频次未达标或未附佐证材料视为未考核，同时扣除该参数当月（或该季度）全部运维款。</w:t>
      </w:r>
      <w:r>
        <w:rPr>
          <w:rFonts w:ascii="宋体" w:hAnsi="宋体" w:cs="宋体"/>
          <w:sz w:val="24"/>
        </w:rPr>
      </w:r>
      <w:r/>
    </w:p>
    <w:p>
      <w:pPr>
        <w:pStyle w:val="963"/>
        <w:numPr>
          <w:ilvl w:val="0"/>
          <w:numId w:val="54"/>
        </w:numPr>
        <w:ind w:firstLine="480"/>
        <w:spacing w:line="360" w:lineRule="auto"/>
        <w:widowControl/>
        <w:rPr>
          <w:rFonts w:ascii="宋体" w:hAnsi="宋体" w:cs="宋体"/>
          <w:sz w:val="24"/>
        </w:rPr>
      </w:pPr>
      <w:r>
        <w:rPr>
          <w:rFonts w:hint="eastAsia" w:ascii="宋体" w:hAnsi="宋体" w:cs="宋体"/>
          <w:sz w:val="24"/>
        </w:rPr>
        <w:t xml:space="preserve">要求中标人及时对校准、质控和水质异常等的数据做出标识，并于每周一的12:00之前将上周原始数据（做出标识的）报托管站和业主方。</w:t>
      </w:r>
      <w:r>
        <w:rPr>
          <w:rFonts w:ascii="宋体" w:hAnsi="宋体" w:cs="宋体"/>
          <w:sz w:val="24"/>
        </w:rPr>
      </w:r>
      <w:r/>
    </w:p>
    <w:p>
      <w:pPr>
        <w:pStyle w:val="963"/>
        <w:numPr>
          <w:ilvl w:val="0"/>
          <w:numId w:val="54"/>
        </w:numPr>
        <w:ind w:firstLine="480"/>
        <w:spacing w:line="360" w:lineRule="auto"/>
        <w:widowControl/>
        <w:rPr>
          <w:rFonts w:ascii="宋体" w:hAnsi="宋体" w:cs="宋体"/>
          <w:sz w:val="24"/>
        </w:rPr>
      </w:pPr>
      <w:r>
        <w:rPr>
          <w:rFonts w:hint="eastAsia" w:ascii="宋体" w:hAnsi="宋体" w:cs="宋体"/>
          <w:sz w:val="24"/>
        </w:rPr>
        <w:t xml:space="preserve">质控考核测试不合格时，中标方应立即查找原因，并在考核结束的48小时内完成补测。补测仍不合格仪器（或系统）视为故障，需按规范替换备机或开展手工补测工作。质控考核不合格的数据直至下次测试合格前均按无效数据剔除。中标方未按要求提出补测的，相关数据将全部视作无效数据，并同时扣除该参数当月运维款。</w:t>
      </w:r>
      <w:r>
        <w:rPr>
          <w:rFonts w:ascii="宋体" w:hAnsi="宋体" w:cs="宋体"/>
          <w:sz w:val="24"/>
        </w:rPr>
      </w:r>
      <w:r/>
    </w:p>
    <w:p>
      <w:pPr>
        <w:pStyle w:val="963"/>
        <w:numPr>
          <w:ilvl w:val="0"/>
          <w:numId w:val="52"/>
        </w:numPr>
        <w:ind w:left="0" w:firstLine="480"/>
        <w:spacing w:line="360" w:lineRule="auto"/>
        <w:widowControl/>
        <w:rPr>
          <w:rFonts w:ascii="宋体" w:hAnsi="宋体" w:cs="宋体"/>
          <w:sz w:val="24"/>
        </w:rPr>
      </w:pPr>
      <w:r>
        <w:rPr>
          <w:rFonts w:hint="eastAsia" w:ascii="宋体" w:hAnsi="宋体" w:cs="宋体"/>
          <w:sz w:val="24"/>
        </w:rPr>
        <w:t xml:space="preserve"> 考核与惩罚办法</w:t>
      </w:r>
      <w:r>
        <w:rPr>
          <w:rFonts w:ascii="宋体" w:hAnsi="宋体" w:cs="宋体"/>
          <w:sz w:val="24"/>
        </w:rPr>
      </w:r>
      <w:r/>
    </w:p>
    <w:p>
      <w:pPr>
        <w:pStyle w:val="963"/>
        <w:numPr>
          <w:ilvl w:val="0"/>
          <w:numId w:val="55"/>
        </w:numPr>
        <w:ind w:firstLine="480"/>
        <w:spacing w:line="360" w:lineRule="auto"/>
        <w:widowControl/>
        <w:rPr>
          <w:rFonts w:ascii="宋体" w:hAnsi="宋体" w:cs="宋体"/>
          <w:sz w:val="24"/>
        </w:rPr>
      </w:pPr>
      <w:r>
        <w:rPr>
          <w:rFonts w:hint="eastAsia" w:ascii="宋体" w:hAnsi="宋体" w:cs="宋体"/>
          <w:sz w:val="24"/>
        </w:rPr>
        <w:t xml:space="preserve">考核方法</w:t>
      </w:r>
      <w:r>
        <w:rPr>
          <w:rFonts w:ascii="宋体" w:hAnsi="宋体" w:cs="宋体"/>
          <w:sz w:val="24"/>
        </w:rPr>
      </w:r>
      <w:r/>
    </w:p>
    <w:p>
      <w:pPr>
        <w:pStyle w:val="963"/>
        <w:ind w:firstLine="480"/>
        <w:spacing w:line="360" w:lineRule="auto"/>
        <w:widowControl/>
        <w:rPr>
          <w:rFonts w:ascii="宋体" w:hAnsi="宋体" w:cs="宋体"/>
          <w:sz w:val="24"/>
        </w:rPr>
      </w:pPr>
      <w:r>
        <w:rPr>
          <w:rFonts w:hint="eastAsia" w:ascii="宋体" w:hAnsi="宋体" w:cs="宋体"/>
          <w:sz w:val="24"/>
        </w:rPr>
        <w:t xml:space="preserve">除前述质量考核外，采购人（或委托有关托管站）每年度对中标方开展一次运行维护工作考核，以每个水质自动站为单位进行。逐站依据上述维护内容就每周、每月、每季的维护质量和相关指标相结合的方式进行评分，满分为100分，每次平均分小于80分为不合格；平均分大于80分（含）为合格。</w:t>
      </w:r>
      <w:r>
        <w:rPr>
          <w:rFonts w:ascii="宋体" w:hAnsi="宋体" w:cs="宋体"/>
          <w:sz w:val="24"/>
        </w:rPr>
      </w:r>
      <w:r/>
    </w:p>
    <w:p>
      <w:pPr>
        <w:pStyle w:val="963"/>
        <w:numPr>
          <w:ilvl w:val="0"/>
          <w:numId w:val="55"/>
        </w:numPr>
        <w:ind w:firstLine="480"/>
        <w:spacing w:line="360" w:lineRule="auto"/>
        <w:widowControl/>
        <w:rPr>
          <w:rFonts w:ascii="宋体" w:hAnsi="宋体" w:cs="宋体"/>
          <w:sz w:val="24"/>
        </w:rPr>
      </w:pPr>
      <w:r>
        <w:rPr>
          <w:rFonts w:hint="eastAsia" w:ascii="宋体" w:hAnsi="宋体" w:cs="宋体"/>
          <w:sz w:val="24"/>
        </w:rPr>
        <w:t xml:space="preserve">惩罚办法</w:t>
      </w:r>
      <w:r>
        <w:rPr>
          <w:rFonts w:ascii="宋体" w:hAnsi="宋体" w:cs="宋体"/>
          <w:sz w:val="24"/>
        </w:rPr>
      </w:r>
      <w:r/>
    </w:p>
    <w:p>
      <w:pPr>
        <w:pStyle w:val="963"/>
        <w:ind w:firstLine="480"/>
        <w:spacing w:line="360" w:lineRule="auto"/>
        <w:widowControl/>
        <w:rPr>
          <w:rFonts w:ascii="宋体" w:hAnsi="宋体" w:cs="宋体"/>
          <w:sz w:val="24"/>
        </w:rPr>
      </w:pPr>
      <w:r>
        <w:rPr>
          <w:rFonts w:hint="eastAsia" w:ascii="宋体" w:hAnsi="宋体" w:cs="宋体"/>
          <w:sz w:val="24"/>
        </w:rPr>
        <w:t xml:space="preserve">一旦发现虚假数据，业主方有权终止合同，并按已支付费用的双倍进行经济处罚。</w:t>
      </w:r>
      <w:r>
        <w:rPr>
          <w:rFonts w:ascii="宋体" w:hAnsi="宋体" w:cs="宋体"/>
          <w:sz w:val="24"/>
        </w:rPr>
      </w:r>
      <w:r/>
    </w:p>
    <w:p>
      <w:pPr>
        <w:pStyle w:val="963"/>
        <w:ind w:firstLine="480"/>
        <w:spacing w:line="360" w:lineRule="auto"/>
        <w:widowControl/>
        <w:rPr>
          <w:rFonts w:ascii="宋体" w:hAnsi="宋体" w:cs="宋体"/>
          <w:sz w:val="24"/>
        </w:rPr>
      </w:pPr>
      <w:r>
        <w:rPr>
          <w:rFonts w:hint="eastAsia" w:ascii="宋体" w:hAnsi="宋体" w:cs="宋体"/>
          <w:sz w:val="24"/>
        </w:rPr>
        <w:t xml:space="preserve">业主不定期对水站开展检查，按年度对每个站点单独考核，其中：</w:t>
      </w:r>
      <w:r>
        <w:rPr>
          <w:rFonts w:ascii="宋体" w:hAnsi="宋体" w:cs="宋体"/>
          <w:sz w:val="24"/>
        </w:rPr>
      </w:r>
      <w:r/>
    </w:p>
    <w:p>
      <w:pPr>
        <w:pStyle w:val="963"/>
        <w:numPr>
          <w:ilvl w:val="0"/>
          <w:numId w:val="56"/>
        </w:numPr>
        <w:ind w:left="0" w:firstLine="480"/>
        <w:spacing w:line="360" w:lineRule="auto"/>
        <w:widowControl/>
        <w:rPr>
          <w:rFonts w:ascii="宋体" w:hAnsi="宋体" w:cs="宋体"/>
          <w:sz w:val="24"/>
        </w:rPr>
      </w:pPr>
      <w:r>
        <w:rPr>
          <w:rFonts w:hint="eastAsia" w:ascii="宋体" w:hAnsi="宋体" w:cs="宋体"/>
          <w:sz w:val="24"/>
        </w:rPr>
        <w:t xml:space="preserve">单次考核结果在70分（含）以上，80分以下，为初级警告，扣除该站点年度运维首付款的10%，并责令整改；</w:t>
      </w:r>
      <w:r>
        <w:rPr>
          <w:rFonts w:ascii="宋体" w:hAnsi="宋体" w:cs="宋体"/>
          <w:sz w:val="24"/>
        </w:rPr>
      </w:r>
      <w:r/>
    </w:p>
    <w:p>
      <w:pPr>
        <w:pStyle w:val="963"/>
        <w:numPr>
          <w:ilvl w:val="0"/>
          <w:numId w:val="56"/>
        </w:numPr>
        <w:ind w:left="0" w:firstLine="480"/>
        <w:spacing w:line="360" w:lineRule="auto"/>
        <w:widowControl/>
        <w:rPr>
          <w:rFonts w:ascii="宋体" w:hAnsi="宋体" w:cs="宋体"/>
          <w:sz w:val="24"/>
        </w:rPr>
      </w:pPr>
      <w:r>
        <w:rPr>
          <w:rFonts w:hint="eastAsia" w:ascii="宋体" w:hAnsi="宋体" w:cs="宋体"/>
          <w:sz w:val="24"/>
        </w:rPr>
        <w:t xml:space="preserve">单次考核结果在60分（含）以上，70分以下，为二级警告，扣除该站点扣除该站点年度运维首付款的30%，并责令整改；</w:t>
      </w:r>
      <w:r>
        <w:rPr>
          <w:rFonts w:ascii="宋体" w:hAnsi="宋体" w:cs="宋体"/>
          <w:sz w:val="24"/>
        </w:rPr>
      </w:r>
      <w:r/>
    </w:p>
    <w:p>
      <w:pPr>
        <w:pStyle w:val="963"/>
        <w:numPr>
          <w:ilvl w:val="0"/>
          <w:numId w:val="56"/>
        </w:numPr>
        <w:ind w:left="0" w:firstLine="480"/>
        <w:spacing w:line="360" w:lineRule="auto"/>
        <w:widowControl/>
        <w:rPr>
          <w:rFonts w:ascii="宋体" w:hAnsi="宋体" w:cs="宋体"/>
          <w:sz w:val="24"/>
        </w:rPr>
      </w:pPr>
      <w:r>
        <w:rPr>
          <w:rFonts w:hint="eastAsia" w:ascii="宋体" w:hAnsi="宋体" w:cs="宋体"/>
          <w:sz w:val="24"/>
        </w:rPr>
        <w:t xml:space="preserve">考核结果平均分在60分以下，取消运维合同，并罚款合同额的两倍，并向全省通报；单站在60分以下，扣减该站当年全部运维款。</w:t>
      </w:r>
      <w:r>
        <w:rPr>
          <w:rFonts w:ascii="宋体" w:hAnsi="宋体" w:cs="宋体"/>
          <w:sz w:val="24"/>
        </w:rPr>
      </w:r>
      <w:r/>
    </w:p>
    <w:p>
      <w:pPr>
        <w:pStyle w:val="963"/>
        <w:numPr>
          <w:ilvl w:val="0"/>
          <w:numId w:val="57"/>
        </w:numPr>
        <w:ind w:firstLine="480"/>
        <w:spacing w:line="360" w:lineRule="auto"/>
        <w:widowControl/>
      </w:pPr>
      <w:r>
        <w:rPr>
          <w:rFonts w:hint="eastAsia" w:ascii="宋体" w:hAnsi="宋体" w:cs="宋体"/>
          <w:sz w:val="24"/>
        </w:rPr>
        <w:t xml:space="preserve">如果中标方运维人员或队伍发生重大变更，无法按质开展运维工作，或者发生重大责任事故的，业主有权提前取消运维合同。</w:t>
      </w:r>
      <w:r/>
    </w:p>
    <w:p>
      <w:pPr>
        <w:pStyle w:val="963"/>
        <w:numPr>
          <w:ilvl w:val="0"/>
          <w:numId w:val="55"/>
        </w:numPr>
        <w:ind w:firstLine="480"/>
        <w:spacing w:line="360" w:lineRule="auto"/>
        <w:widowControl/>
      </w:pPr>
      <w:r>
        <w:rPr>
          <w:rFonts w:hint="eastAsia" w:ascii="宋体" w:hAnsi="宋体" w:cs="宋体"/>
          <w:sz w:val="24"/>
        </w:rPr>
        <w:t xml:space="preserve">运维期间，运维单位运维站点因质控检查不达标出现被省厅或生态环境部通报批评的情况，</w:t>
      </w:r>
      <w:r>
        <w:rPr>
          <w:rFonts w:ascii="宋体" w:hAnsi="宋体" w:cs="宋体"/>
          <w:sz w:val="24"/>
        </w:rPr>
        <w:t xml:space="preserve">扣减相应站点当季度运维经费</w:t>
      </w:r>
      <w:r>
        <w:rPr>
          <w:rFonts w:hint="eastAsia" w:ascii="宋体" w:hAnsi="宋体" w:cs="宋体"/>
          <w:sz w:val="24"/>
        </w:rPr>
        <w:t xml:space="preserve">。</w:t>
      </w:r>
      <w:r/>
    </w:p>
    <w:p>
      <w:pPr>
        <w:pStyle w:val="963"/>
        <w:ind w:firstLine="723"/>
        <w:spacing w:line="360" w:lineRule="auto"/>
        <w:rPr>
          <w:rFonts w:ascii="宋体" w:hAnsi="宋体"/>
          <w:b/>
          <w:sz w:val="24"/>
        </w:rPr>
        <w:outlineLvl w:val="1"/>
      </w:pPr>
      <w:r>
        <w:rPr>
          <w:rFonts w:hint="eastAsia" w:ascii="宋体" w:hAnsi="宋体"/>
          <w:b/>
          <w:sz w:val="24"/>
        </w:rPr>
        <w:t xml:space="preserve">采购包2：</w:t>
      </w:r>
      <w:r>
        <w:rPr>
          <w:rFonts w:ascii="宋体" w:hAnsi="宋体"/>
          <w:b/>
          <w:sz w:val="24"/>
        </w:rPr>
      </w:r>
      <w:r/>
    </w:p>
    <w:p>
      <w:pPr>
        <w:pStyle w:val="963"/>
        <w:ind w:firstLine="720"/>
        <w:spacing w:line="360" w:lineRule="auto"/>
        <w:rPr>
          <w:rFonts w:ascii="宋体" w:hAnsi="宋体"/>
          <w:sz w:val="24"/>
        </w:rPr>
      </w:pPr>
      <w:r>
        <w:rPr>
          <w:rFonts w:hint="eastAsia" w:ascii="宋体" w:hAnsi="宋体"/>
          <w:sz w:val="24"/>
        </w:rPr>
        <w:t xml:space="preserve">如在维护期内出现下列问题，采购人将扣除相应合同款项。</w:t>
      </w:r>
      <w:r>
        <w:rPr>
          <w:rFonts w:ascii="宋体" w:hAnsi="宋体"/>
          <w:sz w:val="24"/>
        </w:rPr>
      </w:r>
      <w:r/>
    </w:p>
    <w:p>
      <w:pPr>
        <w:pStyle w:val="963"/>
        <w:ind w:firstLine="472"/>
        <w:spacing w:line="360" w:lineRule="auto"/>
        <w:rPr>
          <w:rFonts w:ascii="宋体" w:hAnsi="宋体" w:cs="仿宋"/>
          <w:b/>
          <w:bCs/>
          <w:sz w:val="24"/>
          <w:lang w:val="zh-CN"/>
        </w:rPr>
      </w:pPr>
      <w:r>
        <w:rPr>
          <w:rFonts w:hint="eastAsia" w:ascii="宋体" w:hAnsi="宋体" w:cs="仿宋"/>
          <w:b/>
          <w:bCs/>
          <w:sz w:val="24"/>
          <w:lang w:val="zh-CN"/>
        </w:rPr>
        <w:t xml:space="preserve">1.考核标准：</w:t>
      </w:r>
      <w:r>
        <w:rPr>
          <w:rFonts w:ascii="宋体" w:hAnsi="宋体" w:cs="仿宋"/>
          <w:b/>
          <w:bCs/>
          <w:sz w:val="24"/>
          <w:lang w:val="zh-CN"/>
        </w:rPr>
      </w:r>
      <w:r/>
    </w:p>
    <w:p>
      <w:pPr>
        <w:pStyle w:val="963"/>
        <w:ind w:firstLine="720"/>
        <w:spacing w:line="360" w:lineRule="auto"/>
        <w:rPr>
          <w:rFonts w:ascii="宋体" w:hAnsi="宋体"/>
          <w:sz w:val="24"/>
        </w:rPr>
      </w:pPr>
      <w:r>
        <w:rPr>
          <w:rFonts w:hint="eastAsia" w:ascii="宋体" w:hAnsi="宋体"/>
          <w:sz w:val="24"/>
        </w:rPr>
        <w:t xml:space="preserve">（1）因供应商原因导致数据交换传输不及时，影响我市传输有效率，导致监测数据月传输有效率达不到95%，每发现一次扣2分。</w:t>
      </w:r>
      <w:r>
        <w:rPr>
          <w:rFonts w:ascii="宋体" w:hAnsi="宋体"/>
          <w:sz w:val="24"/>
        </w:rPr>
      </w:r>
      <w:r/>
    </w:p>
    <w:p>
      <w:pPr>
        <w:pStyle w:val="963"/>
        <w:ind w:firstLine="720"/>
        <w:spacing w:line="360" w:lineRule="auto"/>
        <w:rPr>
          <w:rFonts w:ascii="宋体" w:hAnsi="宋体"/>
          <w:sz w:val="24"/>
        </w:rPr>
      </w:pPr>
      <w:r>
        <w:rPr>
          <w:rFonts w:hint="eastAsia" w:ascii="宋体" w:hAnsi="宋体"/>
          <w:sz w:val="24"/>
        </w:rPr>
        <w:t xml:space="preserve">（2）因供应商原因导致数据交换、传输异常，导致连云港市被上级单位通报、约谈的，每发生一次扣5分。</w:t>
      </w:r>
      <w:r>
        <w:rPr>
          <w:rFonts w:ascii="宋体" w:hAnsi="宋体"/>
          <w:sz w:val="24"/>
        </w:rPr>
      </w:r>
      <w:r/>
    </w:p>
    <w:p>
      <w:pPr>
        <w:pStyle w:val="963"/>
        <w:ind w:firstLine="720"/>
        <w:spacing w:line="360" w:lineRule="auto"/>
        <w:rPr>
          <w:rFonts w:ascii="宋体" w:hAnsi="宋体"/>
          <w:sz w:val="24"/>
        </w:rPr>
      </w:pPr>
      <w:r>
        <w:rPr>
          <w:rFonts w:hint="eastAsia" w:ascii="宋体" w:hAnsi="宋体"/>
          <w:sz w:val="24"/>
        </w:rPr>
        <w:t xml:space="preserve">（3）平台出现故障后，未在48小时内响应的，每发生一次扣2分。</w:t>
      </w:r>
      <w:r>
        <w:rPr>
          <w:rFonts w:ascii="宋体" w:hAnsi="宋体"/>
          <w:sz w:val="24"/>
        </w:rPr>
      </w:r>
      <w:r/>
    </w:p>
    <w:p>
      <w:pPr>
        <w:pStyle w:val="963"/>
        <w:ind w:firstLine="720"/>
        <w:spacing w:line="360" w:lineRule="auto"/>
        <w:rPr>
          <w:rFonts w:ascii="宋体" w:hAnsi="宋体"/>
          <w:sz w:val="24"/>
        </w:rPr>
      </w:pPr>
      <w:r>
        <w:rPr>
          <w:rFonts w:hint="eastAsia" w:ascii="宋体" w:hAnsi="宋体"/>
          <w:sz w:val="24"/>
        </w:rPr>
        <w:t xml:space="preserve">（4）污染源监测数据、分析报告等未按省生态环境厅、连云港市生态环境部门要求审核上传的，每发生一次扣2分。</w:t>
      </w:r>
      <w:r>
        <w:rPr>
          <w:rFonts w:ascii="宋体" w:hAnsi="宋体"/>
          <w:sz w:val="24"/>
        </w:rPr>
      </w:r>
      <w:r/>
    </w:p>
    <w:p>
      <w:pPr>
        <w:pStyle w:val="963"/>
        <w:ind w:firstLine="720"/>
        <w:spacing w:line="360" w:lineRule="auto"/>
        <w:rPr>
          <w:rFonts w:ascii="宋体" w:hAnsi="宋体"/>
          <w:sz w:val="24"/>
        </w:rPr>
      </w:pPr>
      <w:r>
        <w:rPr>
          <w:rFonts w:hint="eastAsia" w:ascii="宋体" w:hAnsi="宋体"/>
          <w:sz w:val="24"/>
        </w:rPr>
        <w:t xml:space="preserve">（5）被上级管理部门通报的问题未按要求及时处理完成的，每发生一次扣5分。</w:t>
      </w:r>
      <w:r>
        <w:rPr>
          <w:rFonts w:ascii="宋体" w:hAnsi="宋体"/>
          <w:sz w:val="24"/>
        </w:rPr>
      </w:r>
      <w:r/>
    </w:p>
    <w:p>
      <w:pPr>
        <w:pStyle w:val="963"/>
        <w:ind w:firstLine="472"/>
        <w:spacing w:line="360" w:lineRule="auto"/>
        <w:rPr>
          <w:rFonts w:ascii="宋体" w:hAnsi="宋体" w:cs="仿宋"/>
          <w:b/>
          <w:bCs/>
          <w:sz w:val="24"/>
          <w:lang w:val="zh-CN"/>
        </w:rPr>
      </w:pPr>
      <w:r>
        <w:rPr>
          <w:rFonts w:hint="eastAsia" w:ascii="宋体" w:hAnsi="宋体" w:cs="仿宋"/>
          <w:b/>
          <w:bCs/>
          <w:sz w:val="24"/>
          <w:lang w:val="zh-CN"/>
        </w:rPr>
        <w:t xml:space="preserve">2.考核办法：</w:t>
      </w:r>
      <w:r>
        <w:rPr>
          <w:rFonts w:ascii="宋体" w:hAnsi="宋体" w:cs="仿宋"/>
          <w:b/>
          <w:bCs/>
          <w:sz w:val="24"/>
          <w:lang w:val="zh-CN"/>
        </w:rPr>
      </w:r>
      <w:r/>
    </w:p>
    <w:p>
      <w:pPr>
        <w:pStyle w:val="963"/>
        <w:ind w:firstLine="720"/>
        <w:spacing w:line="360" w:lineRule="auto"/>
        <w:rPr>
          <w:rFonts w:ascii="宋体" w:hAnsi="宋体"/>
          <w:sz w:val="24"/>
        </w:rPr>
      </w:pPr>
      <w:r>
        <w:rPr>
          <w:rFonts w:hint="eastAsia" w:ascii="宋体" w:hAnsi="宋体"/>
          <w:sz w:val="24"/>
        </w:rPr>
        <w:t xml:space="preserve">合同期结束后由连云港市环境监测监控中心对运维中标单位绩效(职责履行情况)进行考核打分。</w:t>
      </w:r>
      <w:r>
        <w:rPr>
          <w:rFonts w:ascii="宋体" w:hAnsi="宋体"/>
          <w:sz w:val="24"/>
        </w:rPr>
      </w:r>
      <w:r/>
    </w:p>
    <w:p>
      <w:pPr>
        <w:pStyle w:val="963"/>
        <w:ind w:firstLine="720"/>
        <w:spacing w:line="360" w:lineRule="auto"/>
        <w:rPr>
          <w:rFonts w:ascii="宋体" w:hAnsi="宋体"/>
          <w:sz w:val="24"/>
        </w:rPr>
      </w:pPr>
      <w:r>
        <w:rPr>
          <w:rFonts w:hint="eastAsia" w:ascii="宋体" w:hAnsi="宋体"/>
          <w:sz w:val="24"/>
        </w:rPr>
        <w:t xml:space="preserve">绩效考核满分100分，总分低于80的，不予拨付剩余运维费；绩效考核总分90（含）分以上的，拨付全额运维费；绩效考核总分低于90分的，运维费=实际考核得分/100*全额运维费。</w:t>
      </w:r>
      <w:r>
        <w:rPr>
          <w:rFonts w:ascii="宋体" w:hAnsi="宋体"/>
          <w:sz w:val="24"/>
        </w:rPr>
      </w:r>
      <w:r/>
    </w:p>
    <w:p>
      <w:pPr>
        <w:pStyle w:val="963"/>
        <w:ind w:firstLine="482"/>
        <w:spacing w:line="360" w:lineRule="auto"/>
        <w:rPr>
          <w:rFonts w:ascii="宋体" w:hAnsi="宋体"/>
          <w:b/>
          <w:sz w:val="24"/>
        </w:rPr>
      </w:pPr>
      <w:r>
        <w:rPr>
          <w:rFonts w:ascii="宋体" w:hAnsi="宋体"/>
          <w:b/>
          <w:sz w:val="24"/>
        </w:rPr>
      </w:r>
      <w:r/>
    </w:p>
    <w:p>
      <w:pPr>
        <w:pStyle w:val="963"/>
        <w:ind w:firstLine="482"/>
        <w:spacing w:line="360" w:lineRule="auto"/>
        <w:rPr>
          <w:rFonts w:ascii="宋体" w:hAnsi="宋体"/>
          <w:b/>
          <w:sz w:val="24"/>
        </w:rPr>
        <w:outlineLvl w:val="1"/>
      </w:pPr>
      <w:r>
        <w:rPr>
          <w:rFonts w:hint="eastAsia" w:ascii="宋体" w:hAnsi="宋体"/>
          <w:b/>
          <w:sz w:val="24"/>
        </w:rPr>
        <w:t xml:space="preserve">采购包3：</w:t>
      </w:r>
      <w:r>
        <w:rPr>
          <w:rFonts w:ascii="宋体" w:hAnsi="宋体"/>
          <w:b/>
          <w:sz w:val="24"/>
        </w:rPr>
      </w:r>
      <w:r/>
    </w:p>
    <w:p>
      <w:pPr>
        <w:pStyle w:val="963"/>
        <w:ind w:firstLine="482"/>
        <w:spacing w:line="360" w:lineRule="auto"/>
        <w:rPr>
          <w:rFonts w:ascii="宋体" w:hAnsi="宋体"/>
          <w:b/>
          <w:sz w:val="24"/>
        </w:rPr>
      </w:pPr>
      <w:r>
        <w:rPr>
          <w:rFonts w:hint="eastAsia" w:ascii="宋体" w:hAnsi="宋体"/>
          <w:b/>
          <w:sz w:val="24"/>
        </w:rPr>
        <w:t xml:space="preserve">1.考核标准：</w:t>
      </w:r>
      <w:r>
        <w:rPr>
          <w:rFonts w:ascii="宋体" w:hAnsi="宋体"/>
          <w:b/>
          <w:sz w:val="24"/>
        </w:rPr>
      </w:r>
      <w:r/>
    </w:p>
    <w:p>
      <w:pPr>
        <w:pStyle w:val="963"/>
        <w:ind w:firstLine="480"/>
        <w:spacing w:line="360" w:lineRule="auto"/>
        <w:rPr>
          <w:rFonts w:ascii="宋体" w:hAnsi="宋体"/>
          <w:sz w:val="24"/>
          <w:szCs w:val="24"/>
        </w:rPr>
      </w:pPr>
      <w:r>
        <w:rPr>
          <w:rFonts w:hint="eastAsia" w:ascii="宋体" w:hAnsi="宋体"/>
          <w:sz w:val="24"/>
          <w:szCs w:val="24"/>
        </w:rPr>
        <w:t xml:space="preserve">将根据以下考核内容对供应商进行考核打分：</w:t>
      </w:r>
      <w:r>
        <w:rPr>
          <w:rFonts w:ascii="宋体" w:hAnsi="宋体"/>
          <w:sz w:val="24"/>
          <w:szCs w:val="24"/>
        </w:rPr>
      </w:r>
      <w:r/>
    </w:p>
    <w:p>
      <w:pPr>
        <w:pStyle w:val="963"/>
        <w:ind w:firstLine="480"/>
        <w:spacing w:line="360" w:lineRule="auto"/>
        <w:rPr>
          <w:rFonts w:ascii="宋体" w:hAnsi="宋体"/>
          <w:sz w:val="24"/>
          <w:szCs w:val="24"/>
        </w:rPr>
      </w:pPr>
      <w:r>
        <w:rPr>
          <w:rFonts w:hint="eastAsia" w:ascii="宋体" w:hAnsi="宋体"/>
          <w:sz w:val="24"/>
          <w:szCs w:val="24"/>
        </w:rPr>
        <w:t xml:space="preserve">（1）因供应商技术原因导致视频监控掉线的，</w:t>
      </w:r>
      <w:r>
        <w:rPr>
          <w:rFonts w:hint="eastAsia" w:ascii="宋体" w:hAnsi="宋体"/>
          <w:sz w:val="24"/>
        </w:rPr>
        <w:t xml:space="preserve">每发现一次扣2分。</w:t>
      </w:r>
      <w:r>
        <w:rPr>
          <w:rFonts w:ascii="宋体" w:hAnsi="宋体"/>
          <w:sz w:val="24"/>
          <w:szCs w:val="24"/>
        </w:rPr>
      </w:r>
      <w:r/>
    </w:p>
    <w:p>
      <w:pPr>
        <w:pStyle w:val="963"/>
        <w:ind w:firstLine="480"/>
        <w:spacing w:line="360" w:lineRule="auto"/>
        <w:rPr>
          <w:rFonts w:ascii="宋体" w:hAnsi="宋体"/>
          <w:sz w:val="24"/>
          <w:szCs w:val="24"/>
        </w:rPr>
      </w:pPr>
      <w:r>
        <w:rPr>
          <w:rFonts w:hint="eastAsia" w:ascii="宋体" w:hAnsi="宋体"/>
          <w:sz w:val="24"/>
          <w:szCs w:val="24"/>
        </w:rPr>
        <w:t xml:space="preserve">（2）因供应商人员技术水平或工作失误，导致平台长期（连续一周以上）存储故障的，</w:t>
      </w:r>
      <w:r>
        <w:rPr>
          <w:rFonts w:hint="eastAsia" w:ascii="宋体" w:hAnsi="宋体"/>
          <w:sz w:val="24"/>
        </w:rPr>
        <w:t xml:space="preserve">每发现一次扣</w:t>
      </w:r>
      <w:r>
        <w:rPr>
          <w:rFonts w:ascii="宋体" w:hAnsi="宋体"/>
          <w:sz w:val="24"/>
        </w:rPr>
        <w:t xml:space="preserve">5</w:t>
      </w:r>
      <w:r>
        <w:rPr>
          <w:rFonts w:hint="eastAsia" w:ascii="宋体" w:hAnsi="宋体"/>
          <w:sz w:val="24"/>
        </w:rPr>
        <w:t xml:space="preserve">分。</w:t>
      </w:r>
      <w:r>
        <w:rPr>
          <w:rFonts w:ascii="宋体" w:hAnsi="宋体"/>
          <w:sz w:val="24"/>
          <w:szCs w:val="24"/>
        </w:rPr>
      </w:r>
      <w:r/>
    </w:p>
    <w:p>
      <w:pPr>
        <w:pStyle w:val="963"/>
        <w:ind w:firstLine="480"/>
        <w:spacing w:line="360" w:lineRule="auto"/>
        <w:rPr>
          <w:rFonts w:ascii="宋体" w:hAnsi="宋体"/>
          <w:sz w:val="24"/>
          <w:szCs w:val="24"/>
        </w:rPr>
      </w:pPr>
      <w:r>
        <w:rPr>
          <w:rFonts w:hint="eastAsia" w:ascii="宋体" w:hAnsi="宋体"/>
          <w:sz w:val="24"/>
          <w:szCs w:val="24"/>
        </w:rPr>
        <w:t xml:space="preserve">（3）因供应商操作失误或存储不当导致视频云存储丢失的，每发现一次扣</w:t>
      </w:r>
      <w:r>
        <w:rPr>
          <w:rFonts w:ascii="宋体" w:hAnsi="宋体"/>
          <w:sz w:val="24"/>
          <w:szCs w:val="24"/>
        </w:rPr>
        <w:t xml:space="preserve">5</w:t>
      </w:r>
      <w:r>
        <w:rPr>
          <w:rFonts w:hint="eastAsia" w:ascii="宋体" w:hAnsi="宋体"/>
          <w:sz w:val="24"/>
          <w:szCs w:val="24"/>
        </w:rPr>
        <w:t xml:space="preserve">分。</w:t>
      </w:r>
      <w:r>
        <w:rPr>
          <w:rFonts w:ascii="宋体" w:hAnsi="宋体"/>
          <w:sz w:val="24"/>
          <w:szCs w:val="24"/>
        </w:rPr>
      </w:r>
      <w:r/>
    </w:p>
    <w:p>
      <w:pPr>
        <w:pStyle w:val="963"/>
        <w:ind w:firstLine="480"/>
        <w:spacing w:line="360" w:lineRule="auto"/>
        <w:rPr>
          <w:rFonts w:ascii="宋体" w:hAnsi="宋体"/>
          <w:sz w:val="24"/>
          <w:szCs w:val="24"/>
        </w:rPr>
      </w:pPr>
      <w:r>
        <w:rPr>
          <w:rFonts w:hint="eastAsia" w:ascii="宋体" w:hAnsi="宋体"/>
          <w:sz w:val="24"/>
          <w:szCs w:val="24"/>
        </w:rPr>
        <w:t xml:space="preserve">（4）对识别到的企业违规、违法操作行为，未能及时发布预警的，</w:t>
      </w:r>
      <w:bookmarkStart w:id="8" w:name="_Hlk123673649"/>
      <w:r>
        <w:rPr>
          <w:rFonts w:hint="eastAsia" w:ascii="宋体" w:hAnsi="宋体"/>
          <w:sz w:val="24"/>
          <w:szCs w:val="24"/>
        </w:rPr>
        <w:t xml:space="preserve">每发现一次扣</w:t>
      </w:r>
      <w:r>
        <w:rPr>
          <w:rFonts w:ascii="宋体" w:hAnsi="宋体"/>
          <w:sz w:val="24"/>
          <w:szCs w:val="24"/>
        </w:rPr>
        <w:t xml:space="preserve">5</w:t>
      </w:r>
      <w:r>
        <w:rPr>
          <w:rFonts w:hint="eastAsia" w:ascii="宋体" w:hAnsi="宋体"/>
          <w:sz w:val="24"/>
          <w:szCs w:val="24"/>
        </w:rPr>
        <w:t xml:space="preserve">分。</w:t>
      </w:r>
      <w:bookmarkEnd w:id="8"/>
      <w:r>
        <w:rPr>
          <w:rFonts w:ascii="宋体" w:hAnsi="宋体"/>
          <w:sz w:val="24"/>
          <w:szCs w:val="24"/>
        </w:rPr>
      </w:r>
      <w:r/>
    </w:p>
    <w:p>
      <w:pPr>
        <w:pStyle w:val="963"/>
        <w:ind w:firstLine="480"/>
        <w:spacing w:line="360" w:lineRule="auto"/>
        <w:rPr>
          <w:rFonts w:ascii="宋体" w:hAnsi="宋体"/>
          <w:sz w:val="24"/>
          <w:szCs w:val="24"/>
        </w:rPr>
      </w:pPr>
      <w:r>
        <w:rPr>
          <w:rFonts w:hint="eastAsia" w:ascii="宋体" w:hAnsi="宋体"/>
          <w:sz w:val="24"/>
          <w:szCs w:val="24"/>
        </w:rPr>
        <w:t xml:space="preserve">（5）对紧急服务需求响应不及时的，每发现一次扣</w:t>
      </w:r>
      <w:r>
        <w:rPr>
          <w:rFonts w:ascii="宋体" w:hAnsi="宋体"/>
          <w:sz w:val="24"/>
          <w:szCs w:val="24"/>
        </w:rPr>
        <w:t xml:space="preserve">3</w:t>
      </w:r>
      <w:r>
        <w:rPr>
          <w:rFonts w:hint="eastAsia" w:ascii="宋体" w:hAnsi="宋体"/>
          <w:sz w:val="24"/>
          <w:szCs w:val="24"/>
        </w:rPr>
        <w:t xml:space="preserve">分。</w:t>
      </w:r>
      <w:r>
        <w:rPr>
          <w:rFonts w:ascii="宋体" w:hAnsi="宋体"/>
          <w:sz w:val="24"/>
          <w:szCs w:val="24"/>
        </w:rPr>
      </w:r>
      <w:r/>
    </w:p>
    <w:p>
      <w:pPr>
        <w:pStyle w:val="963"/>
        <w:ind w:firstLine="482"/>
        <w:spacing w:line="360" w:lineRule="auto"/>
        <w:rPr>
          <w:rFonts w:ascii="宋体" w:hAnsi="宋体"/>
          <w:b/>
          <w:sz w:val="24"/>
          <w:szCs w:val="24"/>
        </w:rPr>
      </w:pPr>
      <w:r>
        <w:rPr>
          <w:rFonts w:hint="eastAsia" w:ascii="宋体" w:hAnsi="宋体"/>
          <w:b/>
          <w:sz w:val="24"/>
        </w:rPr>
        <w:t xml:space="preserve">2.考核办法：</w:t>
      </w:r>
      <w:r>
        <w:rPr>
          <w:rFonts w:ascii="宋体" w:hAnsi="宋体"/>
          <w:b/>
          <w:sz w:val="24"/>
          <w:szCs w:val="24"/>
        </w:rPr>
      </w:r>
      <w:r/>
    </w:p>
    <w:p>
      <w:pPr>
        <w:pStyle w:val="963"/>
        <w:ind w:firstLine="480"/>
        <w:spacing w:line="360" w:lineRule="auto"/>
        <w:rPr>
          <w:color w:val="000000"/>
          <w:sz w:val="24"/>
        </w:rPr>
      </w:pPr>
      <w:r>
        <w:rPr>
          <w:rFonts w:hint="eastAsia"/>
          <w:color w:val="000000"/>
          <w:sz w:val="24"/>
        </w:rPr>
        <w:t xml:space="preserve">由连云港市环境监测监控中心对运维中标单位绩效</w:t>
      </w:r>
      <w:r>
        <w:rPr>
          <w:color w:val="000000"/>
          <w:sz w:val="24"/>
        </w:rPr>
        <w:t xml:space="preserve">(</w:t>
      </w:r>
      <w:r>
        <w:rPr>
          <w:rFonts w:hint="eastAsia"/>
          <w:color w:val="000000"/>
          <w:sz w:val="24"/>
        </w:rPr>
        <w:t xml:space="preserve">职责履行情况</w:t>
      </w:r>
      <w:r>
        <w:rPr>
          <w:color w:val="000000"/>
          <w:sz w:val="24"/>
        </w:rPr>
        <w:t xml:space="preserve">)</w:t>
      </w:r>
      <w:r>
        <w:rPr>
          <w:rFonts w:hint="eastAsia"/>
          <w:color w:val="000000"/>
          <w:sz w:val="24"/>
        </w:rPr>
        <w:t xml:space="preserve">进行考核打分，每三个月进行一次考核。</w:t>
      </w:r>
      <w:r>
        <w:rPr>
          <w:color w:val="000000"/>
          <w:sz w:val="24"/>
        </w:rPr>
      </w:r>
      <w:r/>
    </w:p>
    <w:p>
      <w:pPr>
        <w:pStyle w:val="963"/>
        <w:ind w:firstLine="480"/>
        <w:spacing w:line="360" w:lineRule="auto"/>
        <w:rPr>
          <w:rFonts w:ascii="宋体" w:hAnsi="宋体"/>
          <w:sz w:val="24"/>
          <w:szCs w:val="24"/>
        </w:rPr>
      </w:pPr>
      <w:r>
        <w:rPr>
          <w:rFonts w:hint="eastAsia" w:ascii="宋体" w:hAnsi="宋体"/>
          <w:sz w:val="24"/>
        </w:rPr>
        <w:t xml:space="preserve">绩效考核满分100分，绩效考核总分90（含）分以上的，拨付全额运维费；绩效考核总分低于90分的，运维费=实际考核得分/100*全额运维费；总分低于80的，不予拨付该三个月的运维费。</w:t>
      </w:r>
      <w:r>
        <w:rPr>
          <w:rFonts w:ascii="宋体" w:hAnsi="宋体"/>
          <w:sz w:val="24"/>
          <w:szCs w:val="24"/>
        </w:rPr>
      </w:r>
      <w:r/>
    </w:p>
    <w:p>
      <w:pPr>
        <w:pStyle w:val="963"/>
        <w:ind w:firstLine="463"/>
        <w:jc w:val="left"/>
        <w:spacing w:line="360" w:lineRule="auto"/>
        <w:rPr>
          <w:rFonts w:ascii="宋体" w:hAnsi="宋体" w:cs="宋体"/>
          <w:b/>
          <w:sz w:val="24"/>
        </w:rPr>
        <w:outlineLvl w:val="1"/>
      </w:pPr>
      <w:r>
        <w:rPr>
          <w:rFonts w:hint="eastAsia" w:ascii="宋体" w:hAnsi="宋体" w:cs="宋体"/>
          <w:b/>
          <w:sz w:val="24"/>
        </w:rPr>
        <w:t xml:space="preserve">采购包4：</w:t>
      </w:r>
      <w:r>
        <w:rPr>
          <w:rFonts w:ascii="宋体" w:hAnsi="宋体" w:cs="宋体"/>
          <w:b/>
          <w:sz w:val="24"/>
        </w:rPr>
      </w:r>
      <w:r/>
    </w:p>
    <w:p>
      <w:pPr>
        <w:pStyle w:val="963"/>
        <w:ind w:firstLine="461"/>
        <w:jc w:val="left"/>
        <w:spacing w:line="360" w:lineRule="auto"/>
        <w:rPr>
          <w:rFonts w:ascii="宋体" w:hAnsi="宋体" w:cs="宋体"/>
          <w:sz w:val="24"/>
        </w:rPr>
      </w:pPr>
      <w:r>
        <w:rPr>
          <w:rFonts w:hint="eastAsia" w:ascii="宋体" w:hAnsi="宋体" w:cs="宋体"/>
          <w:sz w:val="24"/>
        </w:rPr>
        <w:t xml:space="preserve">软件子项运维服务考核将从日常运维、安全运维、现场管理、运维记录、合同履约五个方面进行考核，年度服务结束进行运维考核，考核标准如下：</w:t>
      </w:r>
      <w:r>
        <w:rPr>
          <w:rFonts w:ascii="宋体" w:hAnsi="宋体" w:cs="宋体"/>
          <w:sz w:val="24"/>
        </w:rPr>
      </w:r>
      <w:r/>
    </w:p>
    <w:p>
      <w:pPr>
        <w:pStyle w:val="963"/>
        <w:ind w:firstLine="461"/>
        <w:jc w:val="left"/>
        <w:rPr>
          <w:b/>
          <w:sz w:val="22"/>
        </w:rPr>
      </w:pPr>
      <w:r>
        <w:rPr>
          <w:rFonts w:hint="eastAsia" w:ascii="宋体" w:hAnsi="宋体" w:cs="宋体"/>
          <w:sz w:val="24"/>
        </w:rPr>
        <w:br w:type="page" w:clear="all"/>
      </w:r>
      <w:r>
        <w:rPr>
          <w:b/>
          <w:sz w:val="22"/>
        </w:rPr>
      </w:r>
      <w:r/>
    </w:p>
    <w:tbl>
      <w:tblPr>
        <w:tblW w:w="499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401"/>
        <w:gridCol w:w="1341"/>
        <w:gridCol w:w="5591"/>
      </w:tblGrid>
      <w:tr>
        <w:trPr>
          <w:trHeight w:val="283"/>
          <w:tblHeader/>
        </w:trPr>
        <w:tc>
          <w:tcPr>
            <w:shd w:val="clear" w:color="auto" w:fill="bebebe"/>
            <w:tcMar>
              <w:left w:w="15" w:type="dxa"/>
              <w:top w:w="15" w:type="dxa"/>
              <w:right w:w="15" w:type="dxa"/>
            </w:tcMar>
            <w:tcW w:w="1401" w:type="dxa"/>
            <w:vAlign w:val="center"/>
            <w:textDirection w:val="lrTb"/>
            <w:noWrap w:val="false"/>
          </w:tcPr>
          <w:p>
            <w:pPr>
              <w:pStyle w:val="963"/>
              <w:jc w:val="center"/>
              <w:spacing w:line="360" w:lineRule="auto"/>
              <w:widowControl/>
              <w:rPr>
                <w:rFonts w:ascii="宋体" w:hAnsi="宋体"/>
                <w:b/>
                <w:color w:val="000000"/>
                <w:sz w:val="24"/>
              </w:rPr>
            </w:pPr>
            <w:r>
              <w:rPr>
                <w:rFonts w:hint="eastAsia" w:ascii="宋体" w:hAnsi="宋体"/>
                <w:b/>
                <w:color w:val="000000"/>
                <w:sz w:val="24"/>
              </w:rPr>
              <w:t xml:space="preserve">考核类别</w:t>
            </w:r>
            <w:r>
              <w:rPr>
                <w:rFonts w:ascii="宋体" w:hAnsi="宋体"/>
                <w:b/>
                <w:color w:val="000000"/>
                <w:sz w:val="24"/>
              </w:rPr>
            </w:r>
            <w:r/>
          </w:p>
        </w:tc>
        <w:tc>
          <w:tcPr>
            <w:shd w:val="clear" w:color="auto" w:fill="bebebe"/>
            <w:tcMar>
              <w:left w:w="15" w:type="dxa"/>
              <w:top w:w="15" w:type="dxa"/>
              <w:right w:w="15" w:type="dxa"/>
            </w:tcMar>
            <w:tcW w:w="1341" w:type="dxa"/>
            <w:vAlign w:val="center"/>
            <w:textDirection w:val="lrTb"/>
            <w:noWrap w:val="false"/>
          </w:tcPr>
          <w:p>
            <w:pPr>
              <w:pStyle w:val="963"/>
              <w:jc w:val="center"/>
              <w:spacing w:line="360" w:lineRule="auto"/>
              <w:widowControl/>
              <w:rPr>
                <w:rFonts w:ascii="宋体" w:hAnsi="宋体"/>
                <w:b/>
                <w:color w:val="000000"/>
                <w:sz w:val="24"/>
              </w:rPr>
            </w:pPr>
            <w:r>
              <w:rPr>
                <w:rFonts w:hint="eastAsia" w:ascii="宋体" w:hAnsi="宋体"/>
                <w:b/>
                <w:color w:val="000000"/>
                <w:sz w:val="24"/>
              </w:rPr>
              <w:t xml:space="preserve">考核事项</w:t>
            </w:r>
            <w:r>
              <w:rPr>
                <w:rFonts w:ascii="宋体" w:hAnsi="宋体"/>
                <w:b/>
                <w:color w:val="000000"/>
                <w:sz w:val="24"/>
              </w:rPr>
            </w:r>
            <w:r/>
          </w:p>
        </w:tc>
        <w:tc>
          <w:tcPr>
            <w:shd w:val="clear" w:color="auto" w:fill="bebebe"/>
            <w:tcMar>
              <w:left w:w="15" w:type="dxa"/>
              <w:top w:w="15" w:type="dxa"/>
              <w:right w:w="15" w:type="dxa"/>
            </w:tcMar>
            <w:tcW w:w="5591" w:type="dxa"/>
            <w:vAlign w:val="center"/>
            <w:textDirection w:val="lrTb"/>
            <w:noWrap w:val="false"/>
          </w:tcPr>
          <w:p>
            <w:pPr>
              <w:pStyle w:val="963"/>
              <w:jc w:val="center"/>
              <w:spacing w:line="360" w:lineRule="auto"/>
              <w:widowControl/>
              <w:rPr>
                <w:rFonts w:ascii="宋体" w:hAnsi="宋体"/>
                <w:b/>
                <w:color w:val="000000"/>
                <w:sz w:val="24"/>
              </w:rPr>
            </w:pPr>
            <w:r>
              <w:rPr>
                <w:rFonts w:hint="eastAsia" w:ascii="宋体" w:hAnsi="宋体"/>
                <w:b/>
                <w:color w:val="000000"/>
                <w:sz w:val="24"/>
              </w:rPr>
              <w:t xml:space="preserve">考核内容及评分标准</w:t>
            </w:r>
            <w:r>
              <w:rPr>
                <w:rFonts w:ascii="宋体" w:hAnsi="宋体"/>
                <w:b/>
                <w:color w:val="000000"/>
                <w:sz w:val="24"/>
              </w:rPr>
            </w:r>
            <w:r/>
          </w:p>
        </w:tc>
      </w:tr>
      <w:tr>
        <w:trPr>
          <w:cantSplit/>
          <w:trHeight w:val="1872"/>
        </w:trPr>
        <w:tc>
          <w:tcPr>
            <w:tcMar>
              <w:left w:w="15" w:type="dxa"/>
              <w:top w:w="15" w:type="dxa"/>
              <w:right w:w="15" w:type="dxa"/>
            </w:tcMar>
            <w:tcW w:w="1401" w:type="dxa"/>
            <w:vAlign w:val="center"/>
            <w:vMerge w:val="restart"/>
            <w:textDirection w:val="lrTb"/>
            <w:noWrap w:val="false"/>
          </w:tcPr>
          <w:p>
            <w:pPr>
              <w:pStyle w:val="963"/>
              <w:jc w:val="center"/>
              <w:spacing w:line="360" w:lineRule="auto"/>
              <w:widowControl/>
              <w:rPr>
                <w:rFonts w:ascii="宋体" w:hAnsi="宋体"/>
                <w:color w:val="000000"/>
                <w:sz w:val="24"/>
              </w:rPr>
            </w:pPr>
            <w:r>
              <w:rPr>
                <w:rFonts w:hint="eastAsia" w:ascii="宋体" w:hAnsi="宋体"/>
                <w:color w:val="000000"/>
                <w:sz w:val="24"/>
              </w:rPr>
              <w:t xml:space="preserve">服务质量（60分）</w:t>
            </w:r>
            <w:r>
              <w:rPr>
                <w:rFonts w:ascii="宋体" w:hAnsi="宋体"/>
                <w:color w:val="000000"/>
                <w:sz w:val="24"/>
              </w:rPr>
            </w:r>
            <w:r/>
          </w:p>
        </w:tc>
        <w:tc>
          <w:tcPr>
            <w:tcMar>
              <w:left w:w="15" w:type="dxa"/>
              <w:top w:w="15" w:type="dxa"/>
              <w:right w:w="15" w:type="dxa"/>
            </w:tcMar>
            <w:tcW w:w="1341" w:type="dxa"/>
            <w:vAlign w:val="center"/>
            <w:textDirection w:val="lrTb"/>
            <w:noWrap w:val="false"/>
          </w:tcPr>
          <w:p>
            <w:pPr>
              <w:pStyle w:val="963"/>
              <w:jc w:val="center"/>
              <w:spacing w:line="360" w:lineRule="auto"/>
              <w:widowControl/>
              <w:rPr>
                <w:rFonts w:ascii="宋体" w:hAnsi="宋体"/>
                <w:color w:val="000000"/>
                <w:sz w:val="24"/>
              </w:rPr>
            </w:pPr>
            <w:r>
              <w:rPr>
                <w:rFonts w:hint="eastAsia" w:ascii="宋体" w:hAnsi="宋体"/>
                <w:color w:val="000000"/>
                <w:sz w:val="24"/>
              </w:rPr>
              <w:t xml:space="preserve">日常运维</w:t>
            </w:r>
            <w:r>
              <w:rPr>
                <w:rFonts w:ascii="宋体" w:hAnsi="宋体"/>
                <w:color w:val="000000"/>
                <w:sz w:val="24"/>
              </w:rPr>
            </w:r>
            <w:r/>
          </w:p>
          <w:p>
            <w:pPr>
              <w:pStyle w:val="963"/>
              <w:jc w:val="center"/>
              <w:spacing w:line="360" w:lineRule="auto"/>
              <w:widowControl/>
              <w:rPr>
                <w:rFonts w:ascii="宋体" w:hAnsi="宋体"/>
                <w:color w:val="000000"/>
                <w:sz w:val="24"/>
              </w:rPr>
            </w:pPr>
            <w:r>
              <w:rPr>
                <w:rFonts w:hint="eastAsia" w:ascii="宋体" w:hAnsi="宋体"/>
                <w:color w:val="000000"/>
                <w:sz w:val="24"/>
              </w:rPr>
              <w:t xml:space="preserve">（30分）</w:t>
            </w:r>
            <w:r>
              <w:rPr>
                <w:rFonts w:ascii="宋体" w:hAnsi="宋体"/>
                <w:color w:val="000000"/>
                <w:sz w:val="24"/>
              </w:rPr>
            </w:r>
            <w:r/>
          </w:p>
        </w:tc>
        <w:tc>
          <w:tcPr>
            <w:tcMar>
              <w:left w:w="15" w:type="dxa"/>
              <w:top w:w="15" w:type="dxa"/>
              <w:right w:w="15" w:type="dxa"/>
            </w:tcMar>
            <w:tcW w:w="5591" w:type="dxa"/>
            <w:vAlign w:val="center"/>
            <w:textDirection w:val="lrTb"/>
            <w:noWrap w:val="false"/>
          </w:tcPr>
          <w:p>
            <w:pPr>
              <w:pStyle w:val="963"/>
              <w:ind w:firstLine="461"/>
              <w:jc w:val="left"/>
              <w:spacing w:line="360" w:lineRule="auto"/>
              <w:rPr>
                <w:rFonts w:ascii="宋体" w:hAnsi="宋体"/>
                <w:color w:val="000000"/>
                <w:sz w:val="24"/>
              </w:rPr>
            </w:pPr>
            <w:r>
              <w:rPr>
                <w:rFonts w:hint="eastAsia" w:ascii="宋体" w:hAnsi="宋体"/>
                <w:color w:val="000000"/>
                <w:sz w:val="24"/>
              </w:rPr>
              <w:t xml:space="preserve">运维单位需要根据招标文件的运维要求与服务标准开展日常运维服务，并保障服务质量。每出现一次因运维服务单位责任导致系统无法访问、数据丢失、网络安全事件、人员擅自离岗或其他运维服务工作失误的情况，对用户造成不良影响，且在双方约定的时间内未解决的，每次扣1分。被市级以上部门通报，每次扣2分</w:t>
            </w:r>
            <w:r>
              <w:rPr>
                <w:rFonts w:hint="eastAsia" w:ascii="宋体" w:hAnsi="宋体"/>
                <w:sz w:val="24"/>
              </w:rPr>
              <w:t xml:space="preserve">。超出运维范围，协助服务对象处理并解决其他问题，每次可加1</w:t>
            </w:r>
            <w:r>
              <w:rPr>
                <w:rFonts w:ascii="宋体" w:hAnsi="宋体"/>
                <w:sz w:val="24"/>
              </w:rPr>
              <w:t xml:space="preserve">-2</w:t>
            </w:r>
            <w:r>
              <w:rPr>
                <w:rFonts w:hint="eastAsia" w:ascii="宋体" w:hAnsi="宋体"/>
                <w:sz w:val="24"/>
              </w:rPr>
              <w:t xml:space="preserve">分。</w:t>
            </w:r>
            <w:r>
              <w:rPr>
                <w:rFonts w:ascii="宋体" w:hAnsi="宋体"/>
                <w:color w:val="000000"/>
                <w:sz w:val="24"/>
              </w:rPr>
            </w:r>
            <w:r/>
          </w:p>
        </w:tc>
      </w:tr>
      <w:tr>
        <w:trPr>
          <w:cantSplit/>
          <w:trHeight w:val="1409"/>
        </w:trPr>
        <w:tc>
          <w:tcPr>
            <w:tcMar>
              <w:left w:w="15" w:type="dxa"/>
              <w:top w:w="15" w:type="dxa"/>
              <w:right w:w="15" w:type="dxa"/>
            </w:tcMar>
            <w:tcW w:w="1401" w:type="dxa"/>
            <w:vAlign w:val="center"/>
            <w:vMerge w:val="continue"/>
            <w:textDirection w:val="lrTb"/>
            <w:noWrap w:val="false"/>
          </w:tcPr>
          <w:p>
            <w:pPr>
              <w:pStyle w:val="963"/>
              <w:jc w:val="left"/>
              <w:spacing w:line="360" w:lineRule="auto"/>
              <w:rPr>
                <w:rFonts w:ascii="宋体" w:hAnsi="宋体"/>
                <w:color w:val="000000"/>
                <w:sz w:val="24"/>
              </w:rPr>
            </w:pPr>
            <w:r>
              <w:rPr>
                <w:rFonts w:ascii="宋体" w:hAnsi="宋体"/>
                <w:color w:val="000000"/>
                <w:sz w:val="24"/>
              </w:rPr>
            </w:r>
            <w:r/>
          </w:p>
        </w:tc>
        <w:tc>
          <w:tcPr>
            <w:tcMar>
              <w:left w:w="15" w:type="dxa"/>
              <w:top w:w="15" w:type="dxa"/>
              <w:right w:w="15" w:type="dxa"/>
            </w:tcMar>
            <w:tcW w:w="1341" w:type="dxa"/>
            <w:vAlign w:val="center"/>
            <w:textDirection w:val="lrTb"/>
            <w:noWrap w:val="false"/>
          </w:tcPr>
          <w:p>
            <w:pPr>
              <w:pStyle w:val="963"/>
              <w:jc w:val="center"/>
              <w:spacing w:line="360" w:lineRule="auto"/>
              <w:widowControl/>
              <w:rPr>
                <w:rFonts w:ascii="宋体" w:hAnsi="宋体"/>
                <w:color w:val="000000"/>
                <w:sz w:val="24"/>
              </w:rPr>
            </w:pPr>
            <w:r>
              <w:rPr>
                <w:rFonts w:hint="eastAsia" w:ascii="宋体" w:hAnsi="宋体"/>
                <w:color w:val="000000"/>
                <w:sz w:val="24"/>
              </w:rPr>
              <w:t xml:space="preserve">安全运维</w:t>
            </w:r>
            <w:r>
              <w:rPr>
                <w:rFonts w:ascii="宋体" w:hAnsi="宋体"/>
                <w:color w:val="000000"/>
                <w:sz w:val="24"/>
              </w:rPr>
            </w:r>
            <w:r/>
          </w:p>
          <w:p>
            <w:pPr>
              <w:pStyle w:val="963"/>
              <w:jc w:val="center"/>
              <w:spacing w:line="360" w:lineRule="auto"/>
              <w:widowControl/>
              <w:rPr>
                <w:rFonts w:ascii="宋体" w:hAnsi="宋体"/>
                <w:color w:val="000000"/>
                <w:sz w:val="24"/>
              </w:rPr>
            </w:pPr>
            <w:r>
              <w:rPr>
                <w:rFonts w:hint="eastAsia" w:ascii="宋体" w:hAnsi="宋体"/>
                <w:color w:val="000000"/>
                <w:sz w:val="24"/>
              </w:rPr>
              <w:t xml:space="preserve">（30分）</w:t>
            </w:r>
            <w:r>
              <w:rPr>
                <w:rFonts w:ascii="宋体" w:hAnsi="宋体"/>
                <w:color w:val="000000"/>
                <w:sz w:val="24"/>
              </w:rPr>
            </w:r>
            <w:r/>
          </w:p>
        </w:tc>
        <w:tc>
          <w:tcPr>
            <w:tcMar>
              <w:left w:w="15" w:type="dxa"/>
              <w:top w:w="15" w:type="dxa"/>
              <w:right w:w="15" w:type="dxa"/>
            </w:tcMar>
            <w:tcW w:w="5591" w:type="dxa"/>
            <w:vAlign w:val="center"/>
            <w:textDirection w:val="lrTb"/>
            <w:noWrap w:val="false"/>
          </w:tcPr>
          <w:p>
            <w:pPr>
              <w:pStyle w:val="963"/>
              <w:ind w:left="4" w:firstLine="480"/>
              <w:jc w:val="left"/>
              <w:spacing w:line="360" w:lineRule="auto"/>
              <w:widowControl/>
              <w:rPr>
                <w:rFonts w:ascii="宋体" w:hAnsi="宋体"/>
                <w:color w:val="000000"/>
                <w:sz w:val="24"/>
              </w:rPr>
            </w:pPr>
            <w:r>
              <w:rPr>
                <w:rFonts w:hint="eastAsia" w:ascii="宋体" w:hAnsi="宋体"/>
                <w:color w:val="000000"/>
                <w:sz w:val="24"/>
              </w:rPr>
              <w:t xml:space="preserve">因发生不可控因素导致的事故时，运维单位对数据库和业务系统通过备份恢复，系统恢复的整个时间超过双方约定的时间内未解决的，每次扣2分。</w:t>
            </w:r>
            <w:r>
              <w:rPr>
                <w:rFonts w:ascii="宋体" w:hAnsi="宋体"/>
                <w:color w:val="000000"/>
                <w:sz w:val="24"/>
              </w:rPr>
            </w:r>
            <w:r/>
          </w:p>
          <w:p>
            <w:pPr>
              <w:pStyle w:val="963"/>
              <w:ind w:firstLine="480"/>
              <w:jc w:val="left"/>
              <w:spacing w:line="360" w:lineRule="auto"/>
              <w:widowControl/>
              <w:rPr>
                <w:rFonts w:ascii="宋体" w:hAnsi="宋体"/>
                <w:color w:val="000000"/>
                <w:sz w:val="24"/>
              </w:rPr>
            </w:pPr>
            <w:r>
              <w:rPr>
                <w:rFonts w:hint="eastAsia" w:ascii="宋体" w:hAnsi="宋体"/>
                <w:color w:val="000000"/>
                <w:sz w:val="24"/>
              </w:rPr>
              <w:t xml:space="preserve">发生其他信息安全事故，因运维服务单位未在规定时间内完成修复造成严重不良后果的，每次扣3分。</w:t>
            </w:r>
            <w:r>
              <w:rPr>
                <w:rFonts w:ascii="宋体" w:hAnsi="宋体"/>
                <w:color w:val="000000"/>
                <w:sz w:val="24"/>
              </w:rPr>
            </w:r>
            <w:r/>
          </w:p>
        </w:tc>
      </w:tr>
      <w:tr>
        <w:trPr>
          <w:cantSplit/>
          <w:trHeight w:val="1069"/>
        </w:trPr>
        <w:tc>
          <w:tcPr>
            <w:tcMar>
              <w:left w:w="15" w:type="dxa"/>
              <w:top w:w="15" w:type="dxa"/>
              <w:right w:w="15" w:type="dxa"/>
            </w:tcMar>
            <w:tcW w:w="1401" w:type="dxa"/>
            <w:vAlign w:val="center"/>
            <w:vMerge w:val="restart"/>
            <w:textDirection w:val="lrTb"/>
            <w:noWrap w:val="false"/>
          </w:tcPr>
          <w:p>
            <w:pPr>
              <w:pStyle w:val="963"/>
              <w:jc w:val="center"/>
              <w:spacing w:line="360" w:lineRule="auto"/>
              <w:widowControl/>
              <w:rPr>
                <w:rFonts w:ascii="宋体" w:hAnsi="宋体"/>
                <w:color w:val="000000"/>
                <w:sz w:val="24"/>
              </w:rPr>
            </w:pPr>
            <w:r>
              <w:rPr>
                <w:rFonts w:hint="eastAsia" w:ascii="宋体" w:hAnsi="宋体"/>
                <w:color w:val="000000"/>
                <w:sz w:val="24"/>
              </w:rPr>
              <w:t xml:space="preserve">综合管理（40分）</w:t>
            </w:r>
            <w:r>
              <w:rPr>
                <w:rFonts w:ascii="宋体" w:hAnsi="宋体"/>
                <w:color w:val="000000"/>
                <w:sz w:val="24"/>
              </w:rPr>
            </w:r>
            <w:r/>
          </w:p>
        </w:tc>
        <w:tc>
          <w:tcPr>
            <w:tcMar>
              <w:left w:w="15" w:type="dxa"/>
              <w:top w:w="15" w:type="dxa"/>
              <w:right w:w="15" w:type="dxa"/>
            </w:tcMar>
            <w:tcW w:w="1341" w:type="dxa"/>
            <w:vAlign w:val="center"/>
            <w:textDirection w:val="lrTb"/>
            <w:noWrap w:val="false"/>
          </w:tcPr>
          <w:p>
            <w:pPr>
              <w:pStyle w:val="963"/>
              <w:jc w:val="center"/>
              <w:spacing w:line="360" w:lineRule="auto"/>
              <w:widowControl/>
              <w:rPr>
                <w:rFonts w:ascii="宋体" w:hAnsi="宋体"/>
                <w:color w:val="000000"/>
                <w:sz w:val="24"/>
              </w:rPr>
            </w:pPr>
            <w:r>
              <w:rPr>
                <w:rFonts w:hint="eastAsia" w:ascii="宋体" w:hAnsi="宋体"/>
                <w:color w:val="000000"/>
                <w:sz w:val="24"/>
              </w:rPr>
              <w:t xml:space="preserve">现场管理</w:t>
            </w:r>
            <w:r>
              <w:rPr>
                <w:rFonts w:ascii="宋体" w:hAnsi="宋体"/>
                <w:color w:val="000000"/>
                <w:sz w:val="24"/>
              </w:rPr>
            </w:r>
            <w:r/>
          </w:p>
          <w:p>
            <w:pPr>
              <w:pStyle w:val="963"/>
              <w:jc w:val="center"/>
              <w:spacing w:line="360" w:lineRule="auto"/>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10</w:t>
            </w:r>
            <w:r>
              <w:rPr>
                <w:rFonts w:hint="eastAsia" w:ascii="宋体" w:hAnsi="宋体"/>
                <w:color w:val="000000"/>
                <w:sz w:val="24"/>
              </w:rPr>
              <w:t xml:space="preserve">分）</w:t>
            </w:r>
            <w:r>
              <w:rPr>
                <w:rFonts w:ascii="宋体" w:hAnsi="宋体"/>
                <w:color w:val="000000"/>
                <w:sz w:val="24"/>
              </w:rPr>
            </w:r>
            <w:r/>
          </w:p>
        </w:tc>
        <w:tc>
          <w:tcPr>
            <w:tcMar>
              <w:left w:w="15" w:type="dxa"/>
              <w:top w:w="15" w:type="dxa"/>
              <w:right w:w="15" w:type="dxa"/>
            </w:tcMar>
            <w:tcW w:w="5591" w:type="dxa"/>
            <w:vAlign w:val="center"/>
            <w:textDirection w:val="lrTb"/>
            <w:noWrap w:val="false"/>
          </w:tcPr>
          <w:p>
            <w:pPr>
              <w:pStyle w:val="963"/>
              <w:ind w:firstLine="480"/>
              <w:jc w:val="left"/>
              <w:spacing w:line="360" w:lineRule="auto"/>
              <w:widowControl/>
              <w:rPr>
                <w:rFonts w:ascii="宋体" w:hAnsi="宋体"/>
                <w:color w:val="000000"/>
                <w:sz w:val="24"/>
              </w:rPr>
            </w:pPr>
            <w:r>
              <w:rPr>
                <w:rFonts w:hint="eastAsia" w:ascii="宋体" w:hAnsi="宋体"/>
                <w:color w:val="000000"/>
                <w:sz w:val="24"/>
              </w:rPr>
              <w:t xml:space="preserve">存放易燃易爆危险物的情况，发现一处扣2分。办公环境要保持干净整洁，在办公场所乱堆、吸烟、乱扔烟头烟灰累计发现5次扣1分。</w:t>
            </w:r>
            <w:r>
              <w:rPr>
                <w:rFonts w:ascii="宋体" w:hAnsi="宋体"/>
                <w:color w:val="000000"/>
                <w:sz w:val="24"/>
              </w:rPr>
            </w:r>
            <w:r/>
          </w:p>
        </w:tc>
      </w:tr>
      <w:tr>
        <w:trPr>
          <w:cantSplit/>
          <w:trHeight w:val="1200"/>
        </w:trPr>
        <w:tc>
          <w:tcPr>
            <w:tcMar>
              <w:left w:w="15" w:type="dxa"/>
              <w:top w:w="15" w:type="dxa"/>
              <w:right w:w="15" w:type="dxa"/>
            </w:tcMar>
            <w:tcW w:w="1401" w:type="dxa"/>
            <w:vAlign w:val="center"/>
            <w:vMerge w:val="continue"/>
            <w:textDirection w:val="lrTb"/>
            <w:noWrap w:val="false"/>
          </w:tcPr>
          <w:p>
            <w:pPr>
              <w:pStyle w:val="963"/>
              <w:jc w:val="left"/>
              <w:spacing w:line="360" w:lineRule="auto"/>
              <w:rPr>
                <w:rFonts w:ascii="宋体" w:hAnsi="宋体"/>
                <w:color w:val="000000"/>
                <w:sz w:val="24"/>
              </w:rPr>
            </w:pPr>
            <w:r>
              <w:rPr>
                <w:rFonts w:ascii="宋体" w:hAnsi="宋体"/>
                <w:color w:val="000000"/>
                <w:sz w:val="24"/>
              </w:rPr>
            </w:r>
            <w:r/>
          </w:p>
        </w:tc>
        <w:tc>
          <w:tcPr>
            <w:tcMar>
              <w:left w:w="15" w:type="dxa"/>
              <w:top w:w="15" w:type="dxa"/>
              <w:right w:w="15" w:type="dxa"/>
            </w:tcMar>
            <w:tcW w:w="1341" w:type="dxa"/>
            <w:vAlign w:val="center"/>
            <w:textDirection w:val="lrTb"/>
            <w:noWrap w:val="false"/>
          </w:tcPr>
          <w:p>
            <w:pPr>
              <w:pStyle w:val="963"/>
              <w:jc w:val="center"/>
              <w:spacing w:line="360" w:lineRule="auto"/>
              <w:widowControl/>
              <w:rPr>
                <w:rFonts w:ascii="宋体" w:hAnsi="宋体"/>
                <w:color w:val="000000"/>
                <w:sz w:val="24"/>
              </w:rPr>
            </w:pPr>
            <w:r>
              <w:rPr>
                <w:rFonts w:hint="eastAsia" w:ascii="宋体" w:hAnsi="宋体"/>
                <w:color w:val="000000"/>
                <w:sz w:val="24"/>
              </w:rPr>
              <w:t xml:space="preserve">运维记录</w:t>
            </w:r>
            <w:r>
              <w:rPr>
                <w:rFonts w:ascii="宋体" w:hAnsi="宋体"/>
                <w:color w:val="000000"/>
                <w:sz w:val="24"/>
              </w:rPr>
            </w:r>
            <w:r/>
          </w:p>
          <w:p>
            <w:pPr>
              <w:pStyle w:val="963"/>
              <w:jc w:val="center"/>
              <w:spacing w:line="360" w:lineRule="auto"/>
              <w:widowControl/>
              <w:rPr>
                <w:rFonts w:ascii="宋体" w:hAnsi="宋体"/>
                <w:color w:val="000000"/>
                <w:sz w:val="24"/>
              </w:rPr>
            </w:pPr>
            <w:r>
              <w:rPr>
                <w:rFonts w:hint="eastAsia" w:ascii="宋体" w:hAnsi="宋体"/>
                <w:color w:val="000000"/>
                <w:sz w:val="24"/>
              </w:rPr>
              <w:t xml:space="preserve">（5分）</w:t>
            </w:r>
            <w:r>
              <w:rPr>
                <w:rFonts w:ascii="宋体" w:hAnsi="宋体"/>
                <w:color w:val="000000"/>
                <w:sz w:val="24"/>
              </w:rPr>
            </w:r>
            <w:r/>
          </w:p>
        </w:tc>
        <w:tc>
          <w:tcPr>
            <w:tcMar>
              <w:left w:w="15" w:type="dxa"/>
              <w:top w:w="15" w:type="dxa"/>
              <w:right w:w="15" w:type="dxa"/>
            </w:tcMar>
            <w:tcW w:w="5591" w:type="dxa"/>
            <w:vAlign w:val="center"/>
            <w:textDirection w:val="lrTb"/>
            <w:noWrap w:val="false"/>
          </w:tcPr>
          <w:p>
            <w:pPr>
              <w:pStyle w:val="963"/>
              <w:ind w:firstLine="480"/>
              <w:jc w:val="left"/>
              <w:spacing w:line="360" w:lineRule="auto"/>
              <w:widowControl/>
              <w:rPr>
                <w:rFonts w:ascii="宋体" w:hAnsi="宋体"/>
                <w:color w:val="000000"/>
                <w:sz w:val="24"/>
              </w:rPr>
            </w:pPr>
            <w:r>
              <w:rPr>
                <w:rFonts w:hint="eastAsia" w:ascii="宋体" w:hAnsi="宋体"/>
                <w:color w:val="000000"/>
                <w:sz w:val="24"/>
              </w:rPr>
              <w:t xml:space="preserve">运维单位需要按照运维要求对运维服务情况记录。每月提交一次运维报告，运</w:t>
            </w:r>
            <w:r>
              <w:rPr>
                <w:rFonts w:ascii="宋体" w:hAnsi="宋体"/>
                <w:color w:val="000000"/>
                <w:sz w:val="24"/>
              </w:rPr>
              <w:t xml:space="preserve">维</w:t>
            </w:r>
            <w:r>
              <w:rPr>
                <w:rFonts w:hint="eastAsia" w:ascii="宋体" w:hAnsi="宋体"/>
                <w:color w:val="000000"/>
                <w:sz w:val="24"/>
              </w:rPr>
              <w:t xml:space="preserve">报告要全面详细的记录服务内容，包括人员配置、软件运行状态、巡检记录、故障处理情况等。缺少提交运维报告或报告不符合服务对象要求的，每次扣1分。</w:t>
            </w:r>
            <w:r>
              <w:rPr>
                <w:rFonts w:ascii="宋体" w:hAnsi="宋体"/>
                <w:color w:val="000000"/>
                <w:sz w:val="24"/>
              </w:rPr>
            </w:r>
            <w:r/>
          </w:p>
        </w:tc>
      </w:tr>
      <w:tr>
        <w:trPr>
          <w:cantSplit/>
          <w:trHeight w:val="720"/>
        </w:trPr>
        <w:tc>
          <w:tcPr>
            <w:tcMar>
              <w:left w:w="15" w:type="dxa"/>
              <w:top w:w="15" w:type="dxa"/>
              <w:right w:w="15" w:type="dxa"/>
            </w:tcMar>
            <w:tcW w:w="1401" w:type="dxa"/>
            <w:vAlign w:val="center"/>
            <w:vMerge w:val="continue"/>
            <w:textDirection w:val="lrTb"/>
            <w:noWrap w:val="false"/>
          </w:tcPr>
          <w:p>
            <w:pPr>
              <w:pStyle w:val="963"/>
              <w:jc w:val="left"/>
              <w:spacing w:line="360" w:lineRule="auto"/>
              <w:rPr>
                <w:rFonts w:ascii="宋体" w:hAnsi="宋体"/>
                <w:color w:val="000000"/>
                <w:sz w:val="24"/>
              </w:rPr>
            </w:pPr>
            <w:r>
              <w:rPr>
                <w:rFonts w:ascii="宋体" w:hAnsi="宋体"/>
                <w:color w:val="000000"/>
                <w:sz w:val="24"/>
              </w:rPr>
            </w:r>
            <w:r/>
          </w:p>
        </w:tc>
        <w:tc>
          <w:tcPr>
            <w:tcMar>
              <w:left w:w="15" w:type="dxa"/>
              <w:top w:w="15" w:type="dxa"/>
              <w:right w:w="15" w:type="dxa"/>
            </w:tcMar>
            <w:tcW w:w="1341" w:type="dxa"/>
            <w:vAlign w:val="center"/>
            <w:textDirection w:val="lrTb"/>
            <w:noWrap w:val="false"/>
          </w:tcPr>
          <w:p>
            <w:pPr>
              <w:pStyle w:val="963"/>
              <w:jc w:val="center"/>
              <w:spacing w:line="360" w:lineRule="auto"/>
              <w:widowControl/>
              <w:rPr>
                <w:rFonts w:ascii="宋体" w:hAnsi="宋体"/>
                <w:color w:val="000000"/>
                <w:sz w:val="24"/>
              </w:rPr>
            </w:pPr>
            <w:r>
              <w:rPr>
                <w:rFonts w:hint="eastAsia" w:ascii="宋体" w:hAnsi="宋体"/>
                <w:color w:val="000000"/>
                <w:sz w:val="24"/>
              </w:rPr>
              <w:t xml:space="preserve">合同履约</w:t>
            </w:r>
            <w:r>
              <w:rPr>
                <w:rFonts w:ascii="宋体" w:hAnsi="宋体"/>
                <w:color w:val="000000"/>
                <w:sz w:val="24"/>
              </w:rPr>
            </w:r>
            <w:r/>
          </w:p>
          <w:p>
            <w:pPr>
              <w:pStyle w:val="963"/>
              <w:jc w:val="center"/>
              <w:spacing w:line="360" w:lineRule="auto"/>
              <w:widowControl/>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25</w:t>
            </w:r>
            <w:r>
              <w:rPr>
                <w:rFonts w:hint="eastAsia" w:ascii="宋体" w:hAnsi="宋体"/>
                <w:color w:val="000000"/>
                <w:sz w:val="24"/>
              </w:rPr>
              <w:t xml:space="preserve">分）</w:t>
            </w:r>
            <w:r>
              <w:rPr>
                <w:rFonts w:ascii="宋体" w:hAnsi="宋体"/>
                <w:color w:val="000000"/>
                <w:sz w:val="24"/>
              </w:rPr>
            </w:r>
            <w:r/>
          </w:p>
        </w:tc>
        <w:tc>
          <w:tcPr>
            <w:tcMar>
              <w:left w:w="15" w:type="dxa"/>
              <w:top w:w="15" w:type="dxa"/>
              <w:right w:w="15" w:type="dxa"/>
            </w:tcMar>
            <w:tcW w:w="5591" w:type="dxa"/>
            <w:vAlign w:val="center"/>
            <w:textDirection w:val="lrTb"/>
            <w:noWrap w:val="false"/>
          </w:tcPr>
          <w:p>
            <w:pPr>
              <w:pStyle w:val="963"/>
              <w:ind w:firstLine="480"/>
              <w:jc w:val="left"/>
              <w:spacing w:line="360" w:lineRule="auto"/>
              <w:widowControl/>
              <w:rPr>
                <w:rFonts w:ascii="宋体" w:hAnsi="宋体"/>
                <w:color w:val="000000"/>
                <w:sz w:val="24"/>
              </w:rPr>
            </w:pPr>
            <w:r>
              <w:rPr>
                <w:rFonts w:hint="eastAsia" w:ascii="宋体" w:hAnsi="宋体"/>
                <w:color w:val="000000"/>
                <w:sz w:val="24"/>
              </w:rPr>
              <w:t xml:space="preserve">运维单位需要按照合同约定，完成服务对象提出的服务需求，并将服务工作完成情况及时反馈。如未完成或者无反馈的，每次扣1分。被市级以上部门通报每次扣2分。运维单位因自身原因导致无法正常履行合同约定的服务内容的，服务对象被通报，每次扣3分。</w:t>
            </w:r>
            <w:r>
              <w:rPr>
                <w:rFonts w:ascii="宋体" w:hAnsi="宋体"/>
                <w:color w:val="000000"/>
                <w:sz w:val="24"/>
              </w:rPr>
            </w:r>
            <w:r/>
          </w:p>
        </w:tc>
      </w:tr>
    </w:tbl>
    <w:p>
      <w:pPr>
        <w:pStyle w:val="979"/>
        <w:ind w:firstLine="442"/>
        <w:rPr>
          <w:b/>
          <w:sz w:val="22"/>
        </w:rPr>
      </w:pPr>
      <w:r>
        <w:rPr>
          <w:b/>
          <w:sz w:val="22"/>
        </w:rPr>
      </w:r>
      <w:r/>
    </w:p>
    <w:p>
      <w:pPr>
        <w:pStyle w:val="979"/>
        <w:ind w:firstLine="442"/>
        <w:rPr>
          <w:b/>
          <w:sz w:val="22"/>
        </w:rPr>
      </w:pPr>
      <w:r>
        <w:rPr>
          <w:b/>
          <w:sz w:val="22"/>
        </w:rPr>
      </w:r>
      <w:r/>
    </w:p>
    <w:p>
      <w:pPr>
        <w:pStyle w:val="963"/>
        <w:ind w:firstLine="461"/>
        <w:jc w:val="left"/>
        <w:spacing w:line="360" w:lineRule="auto"/>
        <w:rPr>
          <w:rFonts w:ascii="宋体" w:hAnsi="宋体" w:cs="宋体"/>
          <w:color w:val="000000"/>
          <w:sz w:val="24"/>
        </w:rPr>
      </w:pPr>
      <w:r>
        <w:rPr>
          <w:rFonts w:hint="eastAsia"/>
          <w:color w:val="000000"/>
          <w:sz w:val="24"/>
        </w:rPr>
        <w:t xml:space="preserve">运维核算方法：</w:t>
      </w:r>
      <w:r>
        <w:rPr>
          <w:rFonts w:hint="eastAsia" w:ascii="宋体" w:hAnsi="宋体" w:cs="宋体"/>
          <w:color w:val="000000"/>
          <w:sz w:val="24"/>
        </w:rPr>
        <w:t xml:space="preserve">本项目为服务期结束进行一次运维考核，考核基准分100分，根据考核得分核算该服务期运维费用。</w:t>
      </w:r>
      <w:r>
        <w:rPr>
          <w:rFonts w:ascii="宋体" w:hAnsi="宋体" w:cs="宋体"/>
          <w:color w:val="000000"/>
          <w:sz w:val="24"/>
        </w:rPr>
      </w:r>
      <w:r/>
    </w:p>
    <w:p>
      <w:pPr>
        <w:pStyle w:val="963"/>
        <w:ind w:firstLine="480"/>
        <w:spacing w:line="360" w:lineRule="auto"/>
        <w:rPr>
          <w:color w:val="000000"/>
          <w:sz w:val="24"/>
        </w:rPr>
      </w:pPr>
      <w:r>
        <w:rPr>
          <w:color w:val="000000"/>
          <w:sz w:val="24"/>
        </w:rPr>
      </w:r>
      <w:r/>
    </w:p>
    <w:tbl>
      <w:tblPr>
        <w:tblW w:w="4315" w:type="pct"/>
        <w:tblInd w:w="0" w:type="dxa"/>
        <w:tblLayout w:type="autofit"/>
        <w:tblCellMar>
          <w:left w:w="108" w:type="dxa"/>
          <w:top w:w="0" w:type="dxa"/>
          <w:right w:w="108" w:type="dxa"/>
          <w:bottom w:w="0" w:type="dxa"/>
        </w:tblCellMar>
        <w:tblLook w:val="04A0" w:firstRow="1" w:lastRow="0" w:firstColumn="1" w:lastColumn="0" w:noHBand="0" w:noVBand="1"/>
      </w:tblPr>
      <w:tblGrid>
        <w:gridCol w:w="3767"/>
        <w:gridCol w:w="3587"/>
      </w:tblGrid>
      <w:tr>
        <w:trPr>
          <w:trHeight w:val="381"/>
        </w:trPr>
        <w:tc>
          <w:tcPr>
            <w:tcBorders>
              <w:top w:val="single" w:color="000000" w:sz="4" w:space="0"/>
              <w:left w:val="single" w:color="000000" w:sz="4" w:space="0"/>
              <w:bottom w:val="single" w:color="000000" w:sz="4" w:space="0"/>
              <w:right w:val="single" w:color="000000" w:sz="4" w:space="0"/>
            </w:tcBorders>
            <w:tcW w:w="3767" w:type="dxa"/>
            <w:vAlign w:val="center"/>
            <w:textDirection w:val="lrTb"/>
            <w:noWrap w:val="false"/>
          </w:tcPr>
          <w:p>
            <w:pPr>
              <w:pStyle w:val="981"/>
              <w:jc w:val="left"/>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分值</w:t>
            </w:r>
            <w:r>
              <w:rPr>
                <w:rFonts w:ascii="宋体" w:hAnsi="宋体" w:eastAsia="宋体" w:cs="宋体"/>
                <w:b w:val="0"/>
                <w:bCs w:val="0"/>
                <w:color w:val="000000"/>
                <w:sz w:val="24"/>
                <w:szCs w:val="24"/>
              </w:rPr>
            </w:r>
            <w:r/>
          </w:p>
        </w:tc>
        <w:tc>
          <w:tcPr>
            <w:tcBorders>
              <w:top w:val="single" w:color="000000" w:sz="4" w:space="0"/>
              <w:left w:val="none" w:color="000000" w:sz="4" w:space="0"/>
              <w:bottom w:val="single" w:color="000000" w:sz="4" w:space="0"/>
              <w:right w:val="single" w:color="000000" w:sz="4" w:space="0"/>
            </w:tcBorders>
            <w:tcW w:w="3587" w:type="dxa"/>
            <w:vAlign w:val="center"/>
            <w:textDirection w:val="lrTb"/>
            <w:noWrap w:val="false"/>
          </w:tcPr>
          <w:p>
            <w:pPr>
              <w:pStyle w:val="981"/>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处罚款</w:t>
            </w:r>
            <w:r>
              <w:rPr>
                <w:rFonts w:ascii="宋体" w:hAnsi="宋体" w:eastAsia="宋体" w:cs="宋体"/>
                <w:b w:val="0"/>
                <w:bCs w:val="0"/>
                <w:color w:val="000000"/>
                <w:sz w:val="24"/>
                <w:szCs w:val="24"/>
              </w:rPr>
            </w:r>
            <w:r/>
          </w:p>
        </w:tc>
      </w:tr>
      <w:tr>
        <w:trPr>
          <w:trHeight w:val="343"/>
        </w:trPr>
        <w:tc>
          <w:tcPr>
            <w:tcBorders>
              <w:top w:val="none" w:color="000000" w:sz="4" w:space="0"/>
              <w:left w:val="single" w:color="000000" w:sz="4" w:space="0"/>
              <w:bottom w:val="single" w:color="000000" w:sz="4" w:space="0"/>
              <w:right w:val="single" w:color="000000" w:sz="4" w:space="0"/>
            </w:tcBorders>
            <w:tcW w:w="3767" w:type="dxa"/>
            <w:vAlign w:val="center"/>
            <w:textDirection w:val="lrTb"/>
            <w:noWrap w:val="false"/>
          </w:tcPr>
          <w:p>
            <w:pPr>
              <w:pStyle w:val="981"/>
              <w:jc w:val="left"/>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90-100</w:t>
            </w:r>
            <w:r>
              <w:rPr>
                <w:rFonts w:ascii="宋体" w:hAnsi="宋体" w:eastAsia="宋体" w:cs="宋体"/>
                <w:b w:val="0"/>
                <w:bCs w:val="0"/>
                <w:color w:val="000000"/>
                <w:sz w:val="24"/>
                <w:szCs w:val="24"/>
              </w:rPr>
            </w:r>
            <w:r/>
          </w:p>
        </w:tc>
        <w:tc>
          <w:tcPr>
            <w:tcBorders>
              <w:top w:val="none" w:color="000000" w:sz="4" w:space="0"/>
              <w:left w:val="none" w:color="000000" w:sz="4" w:space="0"/>
              <w:bottom w:val="single" w:color="000000" w:sz="4" w:space="0"/>
              <w:right w:val="single" w:color="000000" w:sz="4" w:space="0"/>
            </w:tcBorders>
            <w:tcW w:w="3587" w:type="dxa"/>
            <w:vAlign w:val="center"/>
            <w:textDirection w:val="lrTb"/>
            <w:noWrap w:val="false"/>
          </w:tcPr>
          <w:p>
            <w:pPr>
              <w:pStyle w:val="981"/>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不处罚</w:t>
            </w:r>
            <w:r>
              <w:rPr>
                <w:rFonts w:ascii="宋体" w:hAnsi="宋体" w:eastAsia="宋体" w:cs="宋体"/>
                <w:b w:val="0"/>
                <w:bCs w:val="0"/>
                <w:color w:val="000000"/>
                <w:sz w:val="24"/>
                <w:szCs w:val="24"/>
              </w:rPr>
            </w:r>
            <w:r/>
          </w:p>
        </w:tc>
      </w:tr>
      <w:tr>
        <w:trPr>
          <w:trHeight w:val="343"/>
        </w:trPr>
        <w:tc>
          <w:tcPr>
            <w:tcBorders>
              <w:top w:val="none" w:color="000000" w:sz="4" w:space="0"/>
              <w:left w:val="single" w:color="000000" w:sz="4" w:space="0"/>
              <w:bottom w:val="single" w:color="000000" w:sz="4" w:space="0"/>
              <w:right w:val="single" w:color="000000" w:sz="4" w:space="0"/>
            </w:tcBorders>
            <w:tcW w:w="3767" w:type="dxa"/>
            <w:vAlign w:val="center"/>
            <w:textDirection w:val="lrTb"/>
            <w:noWrap w:val="false"/>
          </w:tcPr>
          <w:p>
            <w:pPr>
              <w:pStyle w:val="981"/>
              <w:jc w:val="left"/>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70-89</w:t>
            </w:r>
            <w:r>
              <w:rPr>
                <w:rFonts w:ascii="宋体" w:hAnsi="宋体" w:eastAsia="宋体" w:cs="宋体"/>
                <w:b w:val="0"/>
                <w:bCs w:val="0"/>
                <w:color w:val="000000"/>
                <w:sz w:val="24"/>
                <w:szCs w:val="24"/>
              </w:rPr>
            </w:r>
            <w:r/>
          </w:p>
        </w:tc>
        <w:tc>
          <w:tcPr>
            <w:tcBorders>
              <w:top w:val="none" w:color="000000" w:sz="4" w:space="0"/>
              <w:left w:val="none" w:color="000000" w:sz="4" w:space="0"/>
              <w:bottom w:val="single" w:color="000000" w:sz="4" w:space="0"/>
              <w:right w:val="single" w:color="000000" w:sz="4" w:space="0"/>
            </w:tcBorders>
            <w:tcW w:w="3587" w:type="dxa"/>
            <w:vAlign w:val="center"/>
            <w:textDirection w:val="lrTb"/>
            <w:noWrap w:val="false"/>
          </w:tcPr>
          <w:p>
            <w:pPr>
              <w:pStyle w:val="981"/>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处罚合同金额3%</w:t>
            </w:r>
            <w:r>
              <w:rPr>
                <w:rFonts w:ascii="宋体" w:hAnsi="宋体" w:eastAsia="宋体" w:cs="宋体"/>
                <w:b w:val="0"/>
                <w:bCs w:val="0"/>
                <w:color w:val="000000"/>
                <w:sz w:val="24"/>
                <w:szCs w:val="24"/>
              </w:rPr>
            </w:r>
            <w:r/>
          </w:p>
        </w:tc>
      </w:tr>
      <w:tr>
        <w:trPr>
          <w:trHeight w:val="343"/>
        </w:trPr>
        <w:tc>
          <w:tcPr>
            <w:tcBorders>
              <w:top w:val="none" w:color="000000" w:sz="4" w:space="0"/>
              <w:left w:val="single" w:color="000000" w:sz="4" w:space="0"/>
              <w:bottom w:val="single" w:color="000000" w:sz="4" w:space="0"/>
              <w:right w:val="single" w:color="000000" w:sz="4" w:space="0"/>
            </w:tcBorders>
            <w:tcW w:w="3767" w:type="dxa"/>
            <w:vAlign w:val="center"/>
            <w:textDirection w:val="lrTb"/>
            <w:noWrap w:val="false"/>
          </w:tcPr>
          <w:p>
            <w:pPr>
              <w:pStyle w:val="981"/>
              <w:jc w:val="left"/>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60-69</w:t>
            </w:r>
            <w:r>
              <w:rPr>
                <w:rFonts w:ascii="宋体" w:hAnsi="宋体" w:eastAsia="宋体" w:cs="宋体"/>
                <w:b w:val="0"/>
                <w:bCs w:val="0"/>
                <w:color w:val="000000"/>
                <w:sz w:val="24"/>
                <w:szCs w:val="24"/>
              </w:rPr>
            </w:r>
            <w:r/>
          </w:p>
        </w:tc>
        <w:tc>
          <w:tcPr>
            <w:tcBorders>
              <w:top w:val="none" w:color="000000" w:sz="4" w:space="0"/>
              <w:left w:val="none" w:color="000000" w:sz="4" w:space="0"/>
              <w:bottom w:val="single" w:color="000000" w:sz="4" w:space="0"/>
              <w:right w:val="single" w:color="000000" w:sz="4" w:space="0"/>
            </w:tcBorders>
            <w:tcW w:w="3587" w:type="dxa"/>
            <w:vAlign w:val="center"/>
            <w:textDirection w:val="lrTb"/>
            <w:noWrap w:val="false"/>
          </w:tcPr>
          <w:p>
            <w:pPr>
              <w:pStyle w:val="981"/>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处罚合同金额5%</w:t>
            </w:r>
            <w:r>
              <w:rPr>
                <w:rFonts w:ascii="宋体" w:hAnsi="宋体" w:eastAsia="宋体" w:cs="宋体"/>
                <w:b w:val="0"/>
                <w:bCs w:val="0"/>
                <w:color w:val="000000"/>
                <w:sz w:val="24"/>
                <w:szCs w:val="24"/>
              </w:rPr>
            </w:r>
            <w:r/>
          </w:p>
        </w:tc>
      </w:tr>
      <w:tr>
        <w:trPr>
          <w:trHeight w:val="352"/>
        </w:trPr>
        <w:tc>
          <w:tcPr>
            <w:tcBorders>
              <w:top w:val="none" w:color="000000" w:sz="4" w:space="0"/>
              <w:left w:val="single" w:color="000000" w:sz="4" w:space="0"/>
              <w:bottom w:val="single" w:color="000000" w:sz="4" w:space="0"/>
              <w:right w:val="single" w:color="000000" w:sz="4" w:space="0"/>
            </w:tcBorders>
            <w:tcW w:w="3767" w:type="dxa"/>
            <w:vAlign w:val="center"/>
            <w:textDirection w:val="lrTb"/>
            <w:noWrap w:val="false"/>
          </w:tcPr>
          <w:p>
            <w:pPr>
              <w:pStyle w:val="981"/>
              <w:jc w:val="left"/>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60分以下</w:t>
            </w:r>
            <w:r>
              <w:rPr>
                <w:rFonts w:ascii="宋体" w:hAnsi="宋体" w:eastAsia="宋体" w:cs="宋体"/>
                <w:b w:val="0"/>
                <w:bCs w:val="0"/>
                <w:color w:val="000000"/>
                <w:sz w:val="24"/>
                <w:szCs w:val="24"/>
              </w:rPr>
            </w:r>
            <w:r/>
          </w:p>
        </w:tc>
        <w:tc>
          <w:tcPr>
            <w:tcBorders>
              <w:top w:val="none" w:color="000000" w:sz="4" w:space="0"/>
              <w:left w:val="none" w:color="000000" w:sz="4" w:space="0"/>
              <w:bottom w:val="single" w:color="000000" w:sz="4" w:space="0"/>
              <w:right w:val="single" w:color="000000" w:sz="4" w:space="0"/>
            </w:tcBorders>
            <w:tcW w:w="3587" w:type="dxa"/>
            <w:vAlign w:val="center"/>
            <w:textDirection w:val="lrTb"/>
            <w:noWrap w:val="false"/>
          </w:tcPr>
          <w:p>
            <w:pPr>
              <w:pStyle w:val="981"/>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处罚合同金额10% </w:t>
            </w:r>
            <w:r>
              <w:rPr>
                <w:rFonts w:ascii="宋体" w:hAnsi="宋体" w:eastAsia="宋体" w:cs="宋体"/>
                <w:b w:val="0"/>
                <w:bCs w:val="0"/>
                <w:color w:val="000000"/>
                <w:sz w:val="24"/>
                <w:szCs w:val="24"/>
              </w:rPr>
            </w:r>
            <w:r/>
          </w:p>
        </w:tc>
      </w:tr>
    </w:tbl>
    <w:p>
      <w:pPr>
        <w:pStyle w:val="963"/>
        <w:ind w:firstLine="482"/>
        <w:spacing w:line="360" w:lineRule="auto"/>
        <w:rPr>
          <w:rFonts w:ascii="黑体" w:hAnsi="黑体" w:eastAsia="黑体"/>
          <w:b/>
          <w:sz w:val="24"/>
        </w:rPr>
      </w:pPr>
      <w:r>
        <w:rPr>
          <w:rFonts w:ascii="黑体" w:hAnsi="黑体" w:eastAsia="黑体"/>
          <w:b/>
          <w:sz w:val="24"/>
        </w:rPr>
      </w:r>
      <w:r/>
    </w:p>
    <w:p>
      <w:pPr>
        <w:pStyle w:val="963"/>
        <w:ind w:firstLine="562"/>
        <w:spacing w:line="360" w:lineRule="auto"/>
        <w:rPr>
          <w:rFonts w:ascii="Times New Roman" w:hAnsi="Times New Roman"/>
          <w:b/>
          <w:sz w:val="28"/>
          <w:szCs w:val="28"/>
        </w:rPr>
        <w:outlineLvl w:val="1"/>
      </w:pPr>
      <w:r>
        <w:rPr>
          <w:rFonts w:hint="eastAsia" w:ascii="Times New Roman" w:hAnsi="Times New Roman"/>
          <w:b/>
          <w:sz w:val="28"/>
          <w:szCs w:val="28"/>
        </w:rPr>
        <w:t xml:space="preserve">九、履约验收</w:t>
      </w:r>
      <w:r>
        <w:rPr>
          <w:rFonts w:ascii="Times New Roman" w:hAnsi="Times New Roman"/>
          <w:b/>
          <w:sz w:val="28"/>
          <w:szCs w:val="28"/>
        </w:rPr>
      </w:r>
      <w:r/>
    </w:p>
    <w:p>
      <w:pPr>
        <w:pStyle w:val="963"/>
        <w:ind w:firstLine="482"/>
        <w:spacing w:line="360" w:lineRule="auto"/>
        <w:rPr>
          <w:sz w:val="24"/>
        </w:rPr>
      </w:pPr>
      <w:r>
        <w:rPr>
          <w:rFonts w:hint="eastAsia" w:ascii="宋体" w:hAnsi="宋体" w:cs="宋体"/>
          <w:b/>
          <w:sz w:val="24"/>
        </w:rPr>
        <w:t xml:space="preserve">采购包1</w:t>
      </w:r>
      <w:r>
        <w:rPr>
          <w:rFonts w:hint="eastAsia" w:ascii="宋体" w:hAnsi="宋体" w:cs="宋体"/>
          <w:sz w:val="24"/>
        </w:rPr>
        <w:t xml:space="preserve">：中标人必须保证运维工作符合招标文件及合同约定，并保证所提交的验收资料真实、有效，符合服务合同所约定的运维内容。合同服务期满15个工作日内，采购人代表、供应商代表、不少于三人的验收专家组对合同执行情况开展项目验收。由验收专家组人员根据招标文件、合同内容对供应商所提交的验收文件进行核验，听取采购人供应商双方的总结汇报并对相关工作进行评估。验收专家组根据评估结果，确认验收是否通过， 提交验收报告。</w:t>
      </w:r>
      <w:r>
        <w:rPr>
          <w:rFonts w:hint="eastAsia"/>
          <w:sz w:val="24"/>
        </w:rPr>
        <w:t xml:space="preserve">履约验收方案要明确履约验收的主体、时间、方式、程序、内容和验收标准等事项。</w:t>
      </w:r>
      <w:r>
        <w:rPr>
          <w:sz w:val="24"/>
        </w:rPr>
      </w:r>
      <w:r/>
    </w:p>
    <w:p>
      <w:pPr>
        <w:pStyle w:val="963"/>
        <w:ind w:firstLine="482"/>
        <w:spacing w:line="360" w:lineRule="auto"/>
        <w:rPr>
          <w:sz w:val="24"/>
        </w:rPr>
      </w:pPr>
      <w:r>
        <w:rPr>
          <w:rFonts w:hint="eastAsia" w:ascii="宋体" w:hAnsi="宋体"/>
          <w:b/>
          <w:sz w:val="24"/>
        </w:rPr>
        <w:t xml:space="preserve">采购包2：</w:t>
      </w:r>
      <w:r>
        <w:rPr>
          <w:rFonts w:hint="eastAsia" w:ascii="宋体" w:hAnsi="宋体"/>
          <w:sz w:val="24"/>
        </w:rPr>
        <w:t xml:space="preserve">供应商必须保证运维工作符合招标文件及合同约定，并保证所提交的验收资料真实、有效，符合服务合同所约定的运维内容。</w:t>
      </w:r>
      <w:r>
        <w:rPr>
          <w:sz w:val="24"/>
        </w:rPr>
      </w:r>
      <w:r/>
    </w:p>
    <w:p>
      <w:pPr>
        <w:pStyle w:val="963"/>
        <w:ind w:firstLine="480"/>
        <w:spacing w:line="360" w:lineRule="auto"/>
        <w:rPr>
          <w:sz w:val="24"/>
        </w:rPr>
      </w:pPr>
      <w:r>
        <w:rPr>
          <w:rFonts w:hint="eastAsia" w:ascii="宋体" w:hAnsi="宋体"/>
          <w:sz w:val="24"/>
        </w:rPr>
        <w:t xml:space="preserve">合同服务期满15个工作日内采购人对供应商提交的产品或服务依据招标文件上的项目需求要求、</w:t>
      </w:r>
      <w:r>
        <w:rPr>
          <w:rFonts w:hint="eastAsia" w:ascii="宋体" w:hAnsi="宋体"/>
          <w:sz w:val="24"/>
        </w:rPr>
        <w:t xml:space="preserve">中标文件</w:t>
      </w:r>
      <w:r>
        <w:rPr>
          <w:rFonts w:hint="eastAsia" w:ascii="宋体" w:hAnsi="宋体"/>
          <w:sz w:val="24"/>
        </w:rPr>
        <w:t xml:space="preserve">及国家有关质量标准进行验收。</w:t>
      </w:r>
      <w:r>
        <w:rPr>
          <w:sz w:val="24"/>
        </w:rPr>
      </w:r>
      <w:r/>
    </w:p>
    <w:p>
      <w:pPr>
        <w:pStyle w:val="963"/>
        <w:ind w:firstLine="480"/>
        <w:spacing w:line="360" w:lineRule="auto"/>
        <w:rPr>
          <w:sz w:val="24"/>
        </w:rPr>
      </w:pPr>
      <w:r>
        <w:rPr>
          <w:rFonts w:hint="eastAsia" w:ascii="宋体" w:hAnsi="宋体"/>
          <w:sz w:val="24"/>
        </w:rPr>
        <w:t xml:space="preserve">供应商交货前应对产品或服务作出全面检查和对验收文件进行整理，并列出清单，作为采购人验收和使用的技术条件依据，检验的结果应随服务一起提交采购人。</w:t>
      </w:r>
      <w:r>
        <w:rPr>
          <w:sz w:val="24"/>
        </w:rPr>
      </w:r>
      <w:r/>
    </w:p>
    <w:p>
      <w:pPr>
        <w:pStyle w:val="963"/>
        <w:ind w:firstLine="480"/>
        <w:spacing w:line="360" w:lineRule="auto"/>
        <w:rPr>
          <w:sz w:val="24"/>
        </w:rPr>
      </w:pPr>
      <w:r>
        <w:rPr>
          <w:rFonts w:hint="eastAsia" w:ascii="宋体" w:hAnsi="宋体"/>
          <w:sz w:val="24"/>
        </w:rPr>
        <w:t xml:space="preserve">采购人对供应商提供的产品或服务在使用前，供应商需负责培训采购人的使用操作人员，并协助采购人一起试用，直到符合技术要求，采购人才做最终验收。</w:t>
      </w:r>
      <w:r>
        <w:rPr>
          <w:sz w:val="24"/>
        </w:rPr>
      </w:r>
      <w:r/>
    </w:p>
    <w:p>
      <w:pPr>
        <w:pStyle w:val="963"/>
        <w:ind w:firstLine="480"/>
        <w:spacing w:line="360" w:lineRule="auto"/>
        <w:rPr>
          <w:sz w:val="24"/>
        </w:rPr>
      </w:pPr>
      <w:r>
        <w:rPr>
          <w:rFonts w:hint="eastAsia" w:ascii="宋体" w:hAnsi="宋体"/>
          <w:sz w:val="24"/>
        </w:rPr>
        <w:t xml:space="preserve">对技术复杂的产品或服务，采购人可请国家认可的专业检测机构参与初步验收及最终验收，并由其出具质量检测报告。</w:t>
      </w:r>
      <w:r>
        <w:rPr>
          <w:sz w:val="24"/>
        </w:rPr>
      </w:r>
      <w:r/>
    </w:p>
    <w:p>
      <w:pPr>
        <w:pStyle w:val="963"/>
        <w:ind w:firstLine="480"/>
        <w:spacing w:line="360" w:lineRule="auto"/>
        <w:rPr>
          <w:sz w:val="24"/>
        </w:rPr>
      </w:pPr>
      <w:r>
        <w:rPr>
          <w:rFonts w:hint="eastAsia" w:ascii="宋体" w:hAnsi="宋体"/>
          <w:sz w:val="24"/>
        </w:rPr>
        <w:t xml:space="preserve">验收时供应商必须在现场，验收完毕后作出验收结果报告；招标文件规定以外的验收费用由甲乙双方协商解决。</w:t>
      </w:r>
      <w:r>
        <w:rPr>
          <w:sz w:val="24"/>
        </w:rPr>
      </w:r>
      <w:r/>
    </w:p>
    <w:p>
      <w:pPr>
        <w:pStyle w:val="963"/>
        <w:ind w:firstLine="480"/>
        <w:spacing w:line="360" w:lineRule="auto"/>
        <w:rPr>
          <w:rFonts w:ascii="宋体" w:hAnsi="宋体"/>
          <w:sz w:val="24"/>
        </w:rPr>
      </w:pPr>
      <w:r>
        <w:rPr>
          <w:rFonts w:hint="eastAsia" w:ascii="宋体" w:hAnsi="宋体"/>
          <w:sz w:val="24"/>
        </w:rPr>
        <w:t xml:space="preserve">项目验收要求：</w:t>
      </w:r>
      <w:r>
        <w:rPr>
          <w:rFonts w:ascii="宋体" w:hAnsi="宋体"/>
          <w:sz w:val="24"/>
        </w:rPr>
      </w:r>
      <w:r/>
    </w:p>
    <w:p>
      <w:pPr>
        <w:pStyle w:val="963"/>
        <w:ind w:firstLine="480"/>
        <w:spacing w:line="360" w:lineRule="auto"/>
        <w:rPr>
          <w:rFonts w:ascii="宋体" w:hAnsi="宋体"/>
          <w:sz w:val="24"/>
        </w:rPr>
      </w:pPr>
      <w:r>
        <w:rPr>
          <w:rFonts w:hint="eastAsia" w:ascii="宋体" w:hAnsi="宋体"/>
          <w:sz w:val="24"/>
        </w:rPr>
        <w:t xml:space="preserve">1、所有建设项目按照合同要求全部建成，并满足使用要求；</w:t>
      </w:r>
      <w:r>
        <w:rPr>
          <w:rFonts w:ascii="宋体" w:hAnsi="宋体"/>
          <w:sz w:val="24"/>
        </w:rPr>
      </w:r>
      <w:r/>
    </w:p>
    <w:p>
      <w:pPr>
        <w:pStyle w:val="963"/>
        <w:ind w:firstLine="480"/>
        <w:spacing w:line="360" w:lineRule="auto"/>
        <w:rPr>
          <w:rFonts w:ascii="宋体" w:hAnsi="宋体"/>
          <w:sz w:val="24"/>
        </w:rPr>
      </w:pPr>
      <w:r>
        <w:rPr>
          <w:rFonts w:hint="eastAsia" w:ascii="宋体" w:hAnsi="宋体"/>
          <w:sz w:val="24"/>
        </w:rPr>
        <w:t xml:space="preserve">2、各种技术文档和验收资料完备，符合合同的内容；</w:t>
      </w:r>
      <w:r>
        <w:rPr>
          <w:rFonts w:ascii="宋体" w:hAnsi="宋体"/>
          <w:sz w:val="24"/>
        </w:rPr>
      </w:r>
      <w:r/>
    </w:p>
    <w:p>
      <w:pPr>
        <w:pStyle w:val="963"/>
        <w:ind w:firstLine="480"/>
        <w:spacing w:line="360" w:lineRule="auto"/>
        <w:rPr>
          <w:rFonts w:ascii="宋体" w:hAnsi="宋体"/>
          <w:sz w:val="24"/>
        </w:rPr>
      </w:pPr>
      <w:r>
        <w:rPr>
          <w:rFonts w:hint="eastAsia" w:ascii="宋体" w:hAnsi="宋体"/>
          <w:sz w:val="24"/>
        </w:rPr>
        <w:t xml:space="preserve">3、平台各模块工作运行正常；</w:t>
      </w:r>
      <w:r>
        <w:rPr>
          <w:rFonts w:ascii="宋体" w:hAnsi="宋体"/>
          <w:sz w:val="24"/>
        </w:rPr>
      </w:r>
      <w:r/>
    </w:p>
    <w:p>
      <w:pPr>
        <w:pStyle w:val="963"/>
        <w:ind w:firstLine="480"/>
        <w:spacing w:line="360" w:lineRule="auto"/>
        <w:rPr>
          <w:rFonts w:ascii="宋体" w:hAnsi="宋体"/>
          <w:sz w:val="24"/>
        </w:rPr>
      </w:pPr>
      <w:r>
        <w:rPr>
          <w:rFonts w:hint="eastAsia" w:ascii="宋体" w:hAnsi="宋体"/>
          <w:sz w:val="24"/>
        </w:rPr>
        <w:t xml:space="preserve">4、提供相关操作文档；</w:t>
      </w:r>
      <w:r>
        <w:rPr>
          <w:rFonts w:ascii="宋体" w:hAnsi="宋体"/>
          <w:sz w:val="24"/>
        </w:rPr>
      </w:r>
      <w:r/>
    </w:p>
    <w:p>
      <w:pPr>
        <w:pStyle w:val="963"/>
        <w:ind w:firstLine="480"/>
        <w:spacing w:line="360" w:lineRule="auto"/>
        <w:rPr>
          <w:rFonts w:ascii="宋体" w:hAnsi="宋体"/>
          <w:sz w:val="24"/>
        </w:rPr>
      </w:pPr>
      <w:r>
        <w:rPr>
          <w:rFonts w:hint="eastAsia" w:ascii="宋体" w:hAnsi="宋体"/>
          <w:sz w:val="24"/>
        </w:rPr>
        <w:t xml:space="preserve">5、提供运维服务过程中所产生的各种文档；</w:t>
      </w:r>
      <w:r>
        <w:rPr>
          <w:rFonts w:ascii="宋体" w:hAnsi="宋体"/>
          <w:sz w:val="24"/>
        </w:rPr>
      </w:r>
      <w:r/>
    </w:p>
    <w:p>
      <w:pPr>
        <w:pStyle w:val="963"/>
        <w:ind w:firstLine="480"/>
        <w:spacing w:line="360" w:lineRule="auto"/>
        <w:rPr>
          <w:rFonts w:ascii="宋体" w:hAnsi="宋体"/>
          <w:sz w:val="24"/>
        </w:rPr>
      </w:pPr>
      <w:r>
        <w:rPr>
          <w:rFonts w:hint="eastAsia" w:ascii="宋体" w:hAnsi="宋体"/>
          <w:sz w:val="24"/>
        </w:rPr>
        <w:t xml:space="preserve">6、合同或合同附件规定的其他验收条件。</w:t>
      </w:r>
      <w:r>
        <w:rPr>
          <w:rFonts w:ascii="宋体" w:hAnsi="宋体"/>
          <w:sz w:val="24"/>
        </w:rPr>
      </w:r>
      <w:r/>
    </w:p>
    <w:p>
      <w:pPr>
        <w:pStyle w:val="963"/>
        <w:ind w:firstLine="482"/>
        <w:spacing w:line="360" w:lineRule="auto"/>
        <w:rPr>
          <w:rFonts w:ascii="宋体" w:hAnsi="宋体"/>
          <w:sz w:val="24"/>
          <w:szCs w:val="24"/>
        </w:rPr>
      </w:pPr>
      <w:r>
        <w:rPr>
          <w:rFonts w:hint="eastAsia" w:ascii="宋体" w:hAnsi="宋体"/>
          <w:b/>
          <w:sz w:val="24"/>
          <w:szCs w:val="24"/>
        </w:rPr>
        <w:t xml:space="preserve">采购包3：</w:t>
      </w:r>
      <w:r>
        <w:rPr>
          <w:rFonts w:hint="eastAsia" w:ascii="宋体" w:hAnsi="宋体"/>
          <w:sz w:val="24"/>
          <w:szCs w:val="24"/>
        </w:rPr>
        <w:t xml:space="preserve">（1）供应商完成运维服务后的 15 个工作日内，采购人组织验收，验收地点由采购人指定；</w:t>
      </w:r>
      <w:r>
        <w:rPr>
          <w:rFonts w:ascii="宋体" w:hAnsi="宋体"/>
          <w:sz w:val="24"/>
          <w:szCs w:val="24"/>
        </w:rPr>
      </w:r>
      <w:r/>
    </w:p>
    <w:p>
      <w:pPr>
        <w:pStyle w:val="963"/>
        <w:ind w:firstLine="480"/>
        <w:spacing w:line="360" w:lineRule="auto"/>
        <w:rPr>
          <w:rFonts w:ascii="宋体" w:hAnsi="宋体"/>
          <w:sz w:val="24"/>
          <w:szCs w:val="24"/>
        </w:rPr>
      </w:pPr>
      <w:r>
        <w:rPr>
          <w:rFonts w:hint="eastAsia" w:ascii="宋体" w:hAnsi="宋体"/>
          <w:sz w:val="24"/>
          <w:szCs w:val="24"/>
        </w:rPr>
        <w:t xml:space="preserve">（2）采购人对供应商提供的服务，依据招标文件、投标文件及国家有关质量标准进行验收；</w:t>
      </w:r>
      <w:r>
        <w:rPr>
          <w:rFonts w:ascii="宋体" w:hAnsi="宋体"/>
          <w:sz w:val="24"/>
          <w:szCs w:val="24"/>
        </w:rPr>
      </w:r>
      <w:r/>
    </w:p>
    <w:p>
      <w:pPr>
        <w:pStyle w:val="963"/>
        <w:ind w:firstLine="480"/>
        <w:spacing w:line="360" w:lineRule="auto"/>
        <w:rPr>
          <w:rFonts w:ascii="宋体" w:hAnsi="宋体"/>
          <w:sz w:val="24"/>
          <w:szCs w:val="24"/>
        </w:rPr>
      </w:pPr>
      <w:r>
        <w:rPr>
          <w:rFonts w:hint="eastAsia" w:ascii="宋体" w:hAnsi="宋体"/>
          <w:sz w:val="24"/>
          <w:szCs w:val="24"/>
        </w:rPr>
        <w:t xml:space="preserve">（3）验收前，供应商应对所提供的服务作出全面检查，对验收文件进行整理，并列出清单，作为采购人验收和使用的技术条件依据；</w:t>
      </w:r>
      <w:r>
        <w:rPr>
          <w:rFonts w:ascii="宋体" w:hAnsi="宋体"/>
          <w:sz w:val="24"/>
          <w:szCs w:val="24"/>
        </w:rPr>
      </w:r>
      <w:r/>
    </w:p>
    <w:p>
      <w:pPr>
        <w:pStyle w:val="963"/>
        <w:ind w:firstLine="480"/>
        <w:spacing w:line="360" w:lineRule="auto"/>
        <w:rPr>
          <w:rFonts w:ascii="宋体" w:hAnsi="宋体"/>
          <w:sz w:val="24"/>
          <w:szCs w:val="24"/>
        </w:rPr>
      </w:pPr>
      <w:r>
        <w:rPr>
          <w:rFonts w:hint="eastAsia" w:ascii="宋体" w:hAnsi="宋体"/>
          <w:sz w:val="24"/>
          <w:szCs w:val="24"/>
        </w:rPr>
        <w:t xml:space="preserve">（4）验收前，供应商需负责对采购人的使用操作人员进行培训；</w:t>
      </w:r>
      <w:r>
        <w:rPr>
          <w:rFonts w:ascii="宋体" w:hAnsi="宋体"/>
          <w:sz w:val="24"/>
          <w:szCs w:val="24"/>
        </w:rPr>
      </w:r>
      <w:r/>
    </w:p>
    <w:p>
      <w:pPr>
        <w:pStyle w:val="963"/>
        <w:ind w:firstLine="480"/>
        <w:spacing w:line="360" w:lineRule="auto"/>
        <w:rPr>
          <w:sz w:val="24"/>
        </w:rPr>
      </w:pPr>
      <w:r>
        <w:rPr>
          <w:rFonts w:hint="eastAsia" w:ascii="宋体" w:hAnsi="宋体"/>
          <w:sz w:val="24"/>
          <w:szCs w:val="24"/>
        </w:rPr>
        <w:t xml:space="preserve">（5）验收时，供应商必须在现场，验收完毕后作出验收结果报告。</w:t>
      </w:r>
      <w:r>
        <w:rPr>
          <w:sz w:val="24"/>
        </w:rPr>
      </w:r>
      <w:r/>
    </w:p>
    <w:p>
      <w:pPr>
        <w:pStyle w:val="963"/>
        <w:ind w:firstLine="482"/>
        <w:spacing w:line="360" w:lineRule="auto"/>
        <w:rPr>
          <w:sz w:val="24"/>
        </w:rPr>
      </w:pPr>
      <w:r>
        <w:rPr>
          <w:rFonts w:hint="eastAsia" w:ascii="宋体" w:hAnsi="宋体"/>
          <w:b/>
          <w:sz w:val="24"/>
        </w:rPr>
        <w:t xml:space="preserve">采购包4：</w:t>
      </w:r>
      <w:r>
        <w:rPr>
          <w:rFonts w:hint="eastAsia" w:ascii="宋体" w:hAnsi="宋体"/>
          <w:sz w:val="24"/>
        </w:rPr>
        <w:t xml:space="preserve">中标人保证运维工作符合招标文件及合同约定，合同服务期满（5）工作日内中标人提交年度运维报告，并保证所提交的报告资料真实、有效，符合服务合同所约定的运维内容。甲方在收到运维报告后的( 10 )个工作日内，确定具体日期，由双方按照本合同的规定完成维护服务验收。甲方有权委托第三方检测机构进行验收，对此中标人应当配合。甲方根据合同的规定对维护服务验收合格后，签署验收意见。</w:t>
      </w:r>
      <w:r>
        <w:rPr>
          <w:sz w:val="24"/>
        </w:rPr>
      </w:r>
      <w:r/>
    </w:p>
    <w:p>
      <w:pPr>
        <w:pStyle w:val="982"/>
      </w:pPr>
      <w:r/>
      <w:r/>
    </w:p>
    <w:p>
      <w:pPr>
        <w:pStyle w:val="963"/>
        <w:ind w:firstLine="562"/>
        <w:spacing w:line="360" w:lineRule="auto"/>
        <w:rPr>
          <w:rFonts w:ascii="Times New Roman" w:hAnsi="Times New Roman"/>
          <w:b/>
          <w:sz w:val="28"/>
          <w:szCs w:val="28"/>
        </w:rPr>
        <w:outlineLvl w:val="1"/>
      </w:pPr>
      <w:r>
        <w:rPr>
          <w:rFonts w:hint="eastAsia" w:ascii="Times New Roman" w:hAnsi="Times New Roman"/>
          <w:b/>
          <w:sz w:val="28"/>
          <w:szCs w:val="28"/>
        </w:rPr>
        <w:t xml:space="preserve">十、付款方式与履约保证金</w:t>
      </w:r>
      <w:r>
        <w:rPr>
          <w:rFonts w:ascii="Times New Roman" w:hAnsi="Times New Roman"/>
          <w:b/>
          <w:sz w:val="28"/>
          <w:szCs w:val="28"/>
        </w:rPr>
      </w:r>
      <w:r/>
    </w:p>
    <w:p>
      <w:pPr>
        <w:pStyle w:val="963"/>
        <w:ind w:firstLine="480"/>
        <w:spacing w:line="360" w:lineRule="auto"/>
        <w:rPr>
          <w:rFonts w:ascii="宋体" w:hAnsi="宋体"/>
          <w:sz w:val="24"/>
        </w:rPr>
      </w:pPr>
      <w:r>
        <w:rPr>
          <w:rFonts w:hint="eastAsia" w:ascii="宋体" w:hAnsi="宋体"/>
          <w:bCs/>
          <w:sz w:val="24"/>
        </w:rPr>
        <w:t xml:space="preserve">1、采购包1、2、3、4付款方式</w:t>
      </w:r>
      <w:r>
        <w:rPr>
          <w:rFonts w:hint="eastAsia" w:ascii="宋体" w:hAnsi="宋体"/>
          <w:sz w:val="24"/>
        </w:rPr>
        <w:t xml:space="preserve">：</w:t>
      </w:r>
      <w:r>
        <w:rPr>
          <w:rFonts w:hAnsi="宋体"/>
          <w:sz w:val="24"/>
        </w:rPr>
        <w:t xml:space="preserve">完成运维服务2个月后支付合同金额的20%，完成运维服务6个月后支付合同金额的40%，运维服务全部完成并验收后支付</w:t>
      </w:r>
      <w:r>
        <w:rPr>
          <w:rFonts w:hint="eastAsia" w:hAnsi="宋体"/>
          <w:sz w:val="24"/>
        </w:rPr>
        <w:t xml:space="preserve">合同金额</w:t>
      </w:r>
      <w:r>
        <w:rPr>
          <w:rFonts w:hAnsi="宋体"/>
          <w:sz w:val="24"/>
        </w:rPr>
        <w:t xml:space="preserve">的40%</w:t>
      </w:r>
      <w:r>
        <w:rPr>
          <w:rFonts w:hint="eastAsia"/>
          <w:sz w:val="24"/>
        </w:rPr>
        <w:t xml:space="preserve">（实际付款根据考核结果进行相应扣减）。</w:t>
      </w:r>
      <w:r>
        <w:rPr>
          <w:rFonts w:ascii="宋体" w:hAnsi="宋体"/>
          <w:sz w:val="24"/>
        </w:rPr>
      </w:r>
      <w:r/>
    </w:p>
    <w:p>
      <w:pPr>
        <w:pStyle w:val="963"/>
        <w:ind w:firstLine="480"/>
        <w:spacing w:line="360" w:lineRule="auto"/>
        <w:rPr>
          <w:rFonts w:ascii="宋体" w:hAnsi="宋体"/>
          <w:bCs/>
          <w:sz w:val="24"/>
        </w:rPr>
      </w:pPr>
      <w:r>
        <w:rPr>
          <w:rFonts w:hint="eastAsia" w:ascii="宋体" w:hAnsi="宋体"/>
          <w:bCs/>
          <w:sz w:val="24"/>
        </w:rPr>
        <w:t xml:space="preserve">2、履约保证金:</w:t>
      </w:r>
      <w:r>
        <w:rPr>
          <w:rFonts w:ascii="宋体" w:hAnsi="宋体"/>
          <w:bCs/>
          <w:sz w:val="24"/>
        </w:rPr>
      </w:r>
      <w:r/>
    </w:p>
    <w:p>
      <w:pPr>
        <w:pStyle w:val="963"/>
        <w:ind w:firstLine="480"/>
        <w:spacing w:line="360" w:lineRule="auto"/>
        <w:rPr>
          <w:rFonts w:ascii="宋体" w:hAnsi="宋体"/>
          <w:bCs/>
          <w:sz w:val="24"/>
        </w:rPr>
      </w:pPr>
      <w:r>
        <w:rPr>
          <w:rFonts w:hint="eastAsia" w:ascii="宋体" w:hAnsi="宋体"/>
          <w:bCs/>
          <w:sz w:val="24"/>
        </w:rPr>
        <w:t xml:space="preserve">（1）采购包1收取履约保证金，金额为合同金额的</w:t>
      </w:r>
      <w:r>
        <w:rPr>
          <w:rFonts w:hint="eastAsia" w:ascii="宋体" w:hAnsi="宋体"/>
          <w:bCs/>
          <w:sz w:val="24"/>
          <w:u w:val="single"/>
        </w:rPr>
        <w:t xml:space="preserve">5</w:t>
      </w:r>
      <w:r>
        <w:rPr>
          <w:rFonts w:hint="eastAsia" w:ascii="宋体" w:hAnsi="宋体"/>
          <w:bCs/>
          <w:sz w:val="24"/>
        </w:rPr>
        <w:t xml:space="preserve">%；采购包2、3、4不收取履约保证金。</w:t>
      </w:r>
      <w:r>
        <w:rPr>
          <w:rFonts w:ascii="宋体" w:hAnsi="宋体"/>
          <w:bCs/>
          <w:sz w:val="24"/>
        </w:rPr>
      </w:r>
      <w:r/>
    </w:p>
    <w:p>
      <w:pPr>
        <w:pStyle w:val="963"/>
        <w:ind w:firstLine="480"/>
        <w:spacing w:line="360" w:lineRule="auto"/>
        <w:rPr>
          <w:rFonts w:ascii="宋体" w:hAnsi="宋体"/>
          <w:bCs/>
          <w:sz w:val="24"/>
        </w:rPr>
      </w:pPr>
      <w:r>
        <w:rPr>
          <w:rFonts w:hint="eastAsia" w:ascii="宋体" w:hAnsi="宋体"/>
          <w:bCs/>
          <w:sz w:val="24"/>
        </w:rPr>
        <w:t xml:space="preserve">中标人应当以支票、汇票、本票或者金融机构、担保机构出具的保函等非现金形式在合同签订前提交。</w:t>
      </w:r>
      <w:r>
        <w:rPr>
          <w:rFonts w:ascii="宋体" w:hAnsi="宋体"/>
          <w:bCs/>
          <w:sz w:val="24"/>
        </w:rPr>
      </w:r>
      <w:r/>
    </w:p>
    <w:p>
      <w:pPr>
        <w:pStyle w:val="963"/>
        <w:ind w:firstLine="480"/>
        <w:spacing w:line="360" w:lineRule="auto"/>
        <w:rPr>
          <w:sz w:val="24"/>
        </w:rPr>
      </w:pPr>
      <w:r>
        <w:rPr>
          <w:rFonts w:ascii="宋体" w:hAnsi="宋体"/>
          <w:bCs/>
          <w:sz w:val="24"/>
        </w:rPr>
        <w:t xml:space="preserve">（</w:t>
      </w:r>
      <w:r>
        <w:rPr>
          <w:rFonts w:hint="eastAsia" w:ascii="宋体" w:hAnsi="宋体"/>
          <w:bCs/>
          <w:sz w:val="24"/>
        </w:rPr>
        <w:t xml:space="preserve">2</w:t>
      </w:r>
      <w:r>
        <w:rPr>
          <w:rFonts w:ascii="宋体" w:hAnsi="宋体"/>
          <w:bCs/>
          <w:sz w:val="24"/>
        </w:rPr>
        <w:t xml:space="preserve">）履</w:t>
      </w:r>
      <w:r>
        <w:rPr>
          <w:rFonts w:hint="eastAsia" w:ascii="宋体" w:hAnsi="宋体"/>
          <w:bCs/>
          <w:sz w:val="24"/>
        </w:rPr>
        <w:t xml:space="preserve">约保证金自合同生效之日起至合同约定的中标人主要义务履行完毕止，采购人按合同约定退还履约保证金。中标人违约的，采购人将按照合同约定执行履约赔偿。如中标人违约给采购人造成的损失超过履约保证金的，应当依法赔偿超过部分的损失。</w:t>
      </w:r>
      <w:r>
        <w:rPr>
          <w:sz w:val="24"/>
        </w:rPr>
      </w:r>
      <w:r/>
    </w:p>
    <w:p>
      <w:pPr>
        <w:pStyle w:val="963"/>
        <w:ind w:firstLine="562"/>
        <w:spacing w:line="360" w:lineRule="auto"/>
        <w:rPr>
          <w:rFonts w:ascii="Times New Roman" w:hAnsi="Times New Roman"/>
          <w:b/>
          <w:sz w:val="28"/>
          <w:szCs w:val="28"/>
        </w:rPr>
        <w:outlineLvl w:val="1"/>
      </w:pPr>
      <w:r>
        <w:rPr>
          <w:rFonts w:hint="eastAsia" w:ascii="Times New Roman" w:hAnsi="Times New Roman"/>
          <w:b/>
          <w:sz w:val="28"/>
          <w:szCs w:val="28"/>
        </w:rPr>
        <w:t xml:space="preserve">十一、报价要求</w:t>
      </w:r>
      <w:r>
        <w:rPr>
          <w:rFonts w:ascii="Times New Roman" w:hAnsi="Times New Roman"/>
          <w:b/>
          <w:sz w:val="28"/>
          <w:szCs w:val="28"/>
        </w:rPr>
      </w:r>
      <w:r/>
    </w:p>
    <w:p>
      <w:pPr>
        <w:pStyle w:val="963"/>
        <w:ind w:firstLine="480"/>
        <w:spacing w:line="360" w:lineRule="auto"/>
        <w:rPr>
          <w:rFonts w:ascii="黑体" w:hAnsi="黑体" w:eastAsia="黑体"/>
          <w:b/>
          <w:sz w:val="24"/>
        </w:rPr>
      </w:pPr>
      <w:r>
        <w:rPr>
          <w:rFonts w:hint="eastAsia" w:ascii="宋体" w:hAnsi="宋体" w:cs="宋体"/>
          <w:sz w:val="24"/>
        </w:rPr>
        <w:t xml:space="preserve">报价包含本项目范围内的全部费用。供应商有漏报或不报的，采购人将视为有关费用已包括在本项目的报价中而不予支付。采购人不支付报价以外的任何费用。</w:t>
      </w:r>
      <w:r>
        <w:rPr>
          <w:rFonts w:ascii="黑体" w:hAnsi="黑体" w:eastAsia="黑体"/>
          <w:b/>
          <w:sz w:val="24"/>
        </w:rPr>
      </w:r>
      <w:r/>
    </w:p>
    <w:p>
      <w:pPr>
        <w:pStyle w:val="963"/>
        <w:ind w:firstLine="562"/>
        <w:spacing w:line="360" w:lineRule="auto"/>
        <w:rPr>
          <w:rFonts w:ascii="Times New Roman" w:hAnsi="Times New Roman"/>
          <w:b/>
          <w:sz w:val="28"/>
          <w:szCs w:val="28"/>
        </w:rPr>
        <w:outlineLvl w:val="1"/>
      </w:pPr>
      <w:r>
        <w:rPr>
          <w:rFonts w:hint="eastAsia" w:ascii="Times New Roman" w:hAnsi="Times New Roman"/>
          <w:b/>
          <w:sz w:val="28"/>
          <w:szCs w:val="28"/>
        </w:rPr>
        <w:t xml:space="preserve">十二、其他</w:t>
      </w:r>
      <w:r>
        <w:rPr>
          <w:rFonts w:ascii="Times New Roman" w:hAnsi="Times New Roman"/>
          <w:b/>
          <w:sz w:val="28"/>
          <w:szCs w:val="28"/>
        </w:rPr>
      </w:r>
      <w:r/>
    </w:p>
    <w:p>
      <w:pPr>
        <w:pStyle w:val="963"/>
        <w:ind w:firstLine="480"/>
        <w:spacing w:line="360" w:lineRule="auto"/>
        <w:rPr>
          <w:sz w:val="24"/>
        </w:rPr>
      </w:pPr>
      <w:r>
        <w:rPr>
          <w:rFonts w:hint="eastAsia"/>
          <w:sz w:val="24"/>
        </w:rPr>
        <w:t xml:space="preserve">本项目报价不得超过预算价（最高限价）。</w:t>
      </w:r>
      <w:r>
        <w:rPr>
          <w:sz w:val="24"/>
        </w:rPr>
      </w:r>
      <w:r/>
    </w:p>
    <w:p>
      <w:pPr>
        <w:pStyle w:val="963"/>
        <w:ind w:firstLine="480"/>
        <w:spacing w:line="360" w:lineRule="auto"/>
        <w:rPr>
          <w:sz w:val="24"/>
        </w:rPr>
      </w:pPr>
      <w:r>
        <w:rPr>
          <w:rFonts w:hint="eastAsia"/>
          <w:sz w:val="24"/>
        </w:rPr>
        <w:t xml:space="preserve">特别提醒投标人：应根据国家收费标准并结合市场实际进行报价，总价包干。</w:t>
      </w:r>
      <w:r>
        <w:rPr>
          <w:sz w:val="24"/>
        </w:rPr>
      </w:r>
      <w:r/>
    </w:p>
    <w:p>
      <w:pPr>
        <w:pStyle w:val="963"/>
        <w:ind w:firstLine="480"/>
        <w:spacing w:line="360" w:lineRule="auto"/>
        <w:rPr>
          <w:sz w:val="24"/>
          <w:szCs w:val="24"/>
        </w:rPr>
      </w:pPr>
      <w:r>
        <w:rPr>
          <w:rFonts w:hint="eastAsia"/>
          <w:sz w:val="24"/>
        </w:rPr>
        <w:t xml:space="preserve">工作中涉及的敏感资料、电子数据等相关信息，中标人应严格执行保密的相关规定，不得以任何方式向任何第三人披露、泄露或许可第三人使用，否则追究其相应法律责任。</w:t>
      </w:r>
      <w:r>
        <w:rPr>
          <w:sz w:val="24"/>
          <w:szCs w:val="24"/>
        </w:rPr>
      </w:r>
      <w:r/>
    </w:p>
    <w:p>
      <w:pPr>
        <w:pStyle w:val="963"/>
        <w:jc w:val="left"/>
        <w:widowControl/>
        <w:rPr>
          <w:rFonts w:ascii="黑体" w:hAnsi="黑体" w:eastAsia="黑体"/>
          <w:bCs/>
          <w:sz w:val="44"/>
          <w:szCs w:val="44"/>
        </w:rPr>
      </w:pPr>
      <w:r/>
      <w:bookmarkStart w:id="9" w:name="_Toc155796360"/>
      <w:r>
        <w:rPr>
          <w:rFonts w:ascii="黑体" w:hAnsi="黑体" w:eastAsia="黑体"/>
          <w:b/>
        </w:rPr>
        <w:br w:type="page" w:clear="all"/>
      </w:r>
      <w:r>
        <w:rPr>
          <w:rFonts w:ascii="黑体" w:hAnsi="黑体" w:eastAsia="黑体"/>
          <w:bCs/>
          <w:sz w:val="44"/>
          <w:szCs w:val="44"/>
        </w:rPr>
      </w:r>
      <w:r/>
    </w:p>
    <w:p>
      <w:pPr>
        <w:pStyle w:val="964"/>
        <w:jc w:val="center"/>
        <w:spacing w:before="156" w:after="156"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  评标方法与评标标准</w:t>
      </w:r>
      <w:bookmarkEnd w:id="9"/>
      <w:r>
        <w:rPr>
          <w:rFonts w:ascii="黑体" w:hAnsi="黑体" w:eastAsia="黑体"/>
          <w:b w:val="0"/>
        </w:rPr>
      </w:r>
      <w:r/>
    </w:p>
    <w:p>
      <w:pPr>
        <w:pStyle w:val="963"/>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rPr>
          <w:rFonts w:ascii="黑体" w:hAnsi="黑体" w:eastAsia="黑体"/>
          <w:sz w:val="24"/>
          <w:szCs w:val="24"/>
        </w:rPr>
      </w:r>
      <w:r/>
    </w:p>
    <w:p>
      <w:pPr>
        <w:pStyle w:val="963"/>
        <w:ind w:firstLine="480"/>
        <w:jc w:val="left"/>
        <w:spacing w:line="500" w:lineRule="exact"/>
        <w:rPr>
          <w:sz w:val="24"/>
          <w:szCs w:val="24"/>
          <w:highlight w:val="yellow"/>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b/>
          <w:sz w:val="24"/>
          <w:szCs w:val="24"/>
          <w:highlight w:val="yellow"/>
        </w:rPr>
        <w:t xml:space="preserve">本项目采购包</w:t>
      </w:r>
      <w:r>
        <w:rPr>
          <w:b/>
          <w:sz w:val="24"/>
          <w:szCs w:val="24"/>
          <w:highlight w:val="yellow"/>
        </w:rPr>
        <w:t xml:space="preserve">1</w:t>
      </w:r>
      <w:r>
        <w:rPr>
          <w:rFonts w:hint="eastAsia"/>
          <w:b/>
          <w:sz w:val="24"/>
          <w:szCs w:val="24"/>
          <w:highlight w:val="yellow"/>
        </w:rPr>
        <w:t xml:space="preserve">、2、3、4各选取1名中标候选人。</w:t>
      </w:r>
      <w:r>
        <w:rPr>
          <w:sz w:val="24"/>
          <w:szCs w:val="24"/>
          <w:highlight w:val="yellow"/>
        </w:rPr>
      </w:r>
      <w:r/>
    </w:p>
    <w:p>
      <w:pPr>
        <w:pStyle w:val="963"/>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rPr>
          <w:rFonts w:ascii="黑体" w:hAnsi="黑体" w:eastAsia="黑体"/>
          <w:sz w:val="24"/>
          <w:szCs w:val="24"/>
        </w:rPr>
      </w:r>
      <w:r/>
    </w:p>
    <w:p>
      <w:pPr>
        <w:pStyle w:val="963"/>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rPr>
          <w:sz w:val="24"/>
          <w:szCs w:val="24"/>
        </w:rPr>
      </w:r>
      <w:r/>
    </w:p>
    <w:p>
      <w:pPr>
        <w:pStyle w:val="963"/>
        <w:ind w:firstLine="480"/>
        <w:jc w:val="left"/>
        <w:spacing w:line="500" w:lineRule="exact"/>
        <w:rPr>
          <w:sz w:val="24"/>
          <w:szCs w:val="24"/>
        </w:rPr>
      </w:pPr>
      <w:r>
        <w:rPr>
          <w:rFonts w:hint="eastAsia"/>
          <w:sz w:val="24"/>
          <w:szCs w:val="24"/>
        </w:rPr>
        <w:t xml:space="preserve">（2）本项目评分总分为100分，按四舍五入取至小数点后两位。</w:t>
      </w:r>
      <w:r>
        <w:rPr>
          <w:sz w:val="24"/>
          <w:szCs w:val="24"/>
        </w:rPr>
      </w:r>
      <w:r/>
    </w:p>
    <w:p>
      <w:pPr>
        <w:pStyle w:val="963"/>
        <w:ind w:firstLine="480"/>
        <w:jc w:val="left"/>
        <w:spacing w:line="500" w:lineRule="exact"/>
        <w:rPr>
          <w:sz w:val="24"/>
          <w:szCs w:val="24"/>
        </w:rPr>
      </w:pPr>
      <w:r>
        <w:rPr>
          <w:rFonts w:hint="eastAsia"/>
          <w:sz w:val="24"/>
          <w:szCs w:val="24"/>
        </w:rPr>
        <w:t xml:space="preserve">（3）总得分=价格分+技术分+商务分。</w:t>
      </w:r>
      <w:r>
        <w:rPr>
          <w:sz w:val="24"/>
          <w:szCs w:val="24"/>
        </w:rPr>
      </w:r>
      <w:r/>
    </w:p>
    <w:p>
      <w:pPr>
        <w:pStyle w:val="963"/>
        <w:jc w:val="left"/>
        <w:spacing w:line="500" w:lineRule="exact"/>
        <w:rPr>
          <w:rFonts w:ascii="黑体" w:hAnsi="黑体" w:eastAsia="黑体"/>
          <w:sz w:val="32"/>
          <w:szCs w:val="24"/>
        </w:rPr>
      </w:pPr>
      <w:r>
        <w:rPr>
          <w:rFonts w:ascii="黑体" w:hAnsi="黑体" w:eastAsia="黑体"/>
          <w:sz w:val="32"/>
          <w:szCs w:val="24"/>
        </w:rPr>
      </w:r>
      <w:r/>
    </w:p>
    <w:p>
      <w:pPr>
        <w:pStyle w:val="963"/>
        <w:jc w:val="left"/>
        <w:spacing w:line="500" w:lineRule="exact"/>
        <w:rPr>
          <w:rFonts w:ascii="黑体" w:hAnsi="黑体" w:eastAsia="黑体"/>
          <w:sz w:val="32"/>
          <w:szCs w:val="24"/>
        </w:rPr>
        <w:outlineLvl w:val="1"/>
      </w:pPr>
      <w:r>
        <w:rPr>
          <w:rFonts w:hint="eastAsia" w:ascii="黑体" w:hAnsi="黑体" w:eastAsia="黑体"/>
          <w:sz w:val="32"/>
          <w:szCs w:val="24"/>
        </w:rPr>
        <w:t xml:space="preserve">采购包1：</w:t>
      </w:r>
      <w:r>
        <w:rPr>
          <w:rFonts w:ascii="黑体" w:hAnsi="黑体" w:eastAsia="黑体"/>
          <w:sz w:val="32"/>
          <w:szCs w:val="24"/>
        </w:rPr>
      </w:r>
      <w:r/>
    </w:p>
    <w:p>
      <w:pPr>
        <w:pStyle w:val="963"/>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rPr>
          <w:rFonts w:ascii="黑体" w:hAnsi="黑体" w:eastAsia="黑体"/>
          <w:sz w:val="32"/>
          <w:szCs w:val="24"/>
        </w:rPr>
      </w:r>
      <w:r/>
    </w:p>
    <w:p>
      <w:pPr>
        <w:pStyle w:val="963"/>
        <w:ind w:firstLine="480"/>
        <w:jc w:val="left"/>
        <w:spacing w:line="500" w:lineRule="exact"/>
        <w:rPr>
          <w:sz w:val="24"/>
          <w:szCs w:val="24"/>
        </w:rPr>
      </w:pPr>
      <w:r>
        <w:rPr>
          <w:rFonts w:hint="eastAsia"/>
          <w:sz w:val="24"/>
          <w:szCs w:val="24"/>
        </w:rPr>
        <w:t xml:space="preserve">（1）价格分（10分）</w:t>
      </w:r>
      <w:r>
        <w:rPr>
          <w:sz w:val="24"/>
          <w:szCs w:val="24"/>
        </w:rPr>
      </w:r>
      <w:r/>
    </w:p>
    <w:p>
      <w:pPr>
        <w:pStyle w:val="963"/>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rPr>
          <w:sz w:val="24"/>
          <w:szCs w:val="24"/>
        </w:rPr>
      </w:r>
      <w:r/>
    </w:p>
    <w:p>
      <w:pPr>
        <w:pStyle w:val="963"/>
        <w:ind w:firstLine="480"/>
        <w:jc w:val="left"/>
        <w:spacing w:line="500" w:lineRule="exact"/>
        <w:rPr>
          <w:sz w:val="24"/>
          <w:szCs w:val="24"/>
        </w:rPr>
      </w:pPr>
      <w:r>
        <w:rPr>
          <w:rFonts w:hint="eastAsia"/>
          <w:sz w:val="24"/>
          <w:szCs w:val="24"/>
        </w:rPr>
        <w:t xml:space="preserve">投标报价得分=（评标基准价／投标报价）×10分</w:t>
      </w:r>
      <w:r>
        <w:rPr>
          <w:sz w:val="24"/>
          <w:szCs w:val="24"/>
        </w:rPr>
      </w:r>
      <w:r/>
    </w:p>
    <w:p>
      <w:pPr>
        <w:pStyle w:val="963"/>
        <w:ind w:firstLine="480"/>
        <w:jc w:val="left"/>
        <w:spacing w:line="500" w:lineRule="exact"/>
        <w:rPr>
          <w:sz w:val="24"/>
          <w:szCs w:val="24"/>
        </w:rPr>
      </w:pPr>
      <w:r>
        <w:rPr>
          <w:rFonts w:hint="eastAsia"/>
          <w:sz w:val="24"/>
          <w:szCs w:val="24"/>
        </w:rPr>
        <w:t xml:space="preserve">（2）技术分（</w:t>
      </w:r>
      <w:r>
        <w:rPr>
          <w:rFonts w:hint="eastAsia"/>
          <w:sz w:val="24"/>
          <w:szCs w:val="24"/>
        </w:rPr>
        <w:t xml:space="preserve">58</w:t>
      </w:r>
      <w:r>
        <w:rPr>
          <w:rFonts w:hint="eastAsia"/>
          <w:sz w:val="24"/>
          <w:szCs w:val="24"/>
        </w:rPr>
        <w:t xml:space="preserve">分）</w:t>
      </w:r>
      <w:r>
        <w:rPr>
          <w:sz w:val="24"/>
          <w:szCs w:val="24"/>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76"/>
        <w:gridCol w:w="7129"/>
      </w:tblGrid>
      <w:tr>
        <w:trPr>
          <w:trHeight w:val="621"/>
        </w:trPr>
        <w:tc>
          <w:tcPr>
            <w:tcW w:w="1376" w:type="dxa"/>
            <w:vAlign w:val="center"/>
            <w:textDirection w:val="lrTb"/>
            <w:noWrap w:val="false"/>
          </w:tcPr>
          <w:p>
            <w:pPr>
              <w:pStyle w:val="963"/>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rPr>
                <w:rFonts w:ascii="黑体" w:hAnsi="黑体" w:eastAsia="黑体"/>
                <w:color w:val="000000"/>
                <w:sz w:val="24"/>
                <w:szCs w:val="24"/>
              </w:rPr>
            </w:r>
            <w:r/>
          </w:p>
        </w:tc>
        <w:tc>
          <w:tcPr>
            <w:tcW w:w="7129" w:type="dxa"/>
            <w:vAlign w:val="center"/>
            <w:textDirection w:val="lrTb"/>
            <w:noWrap w:val="false"/>
          </w:tcPr>
          <w:p>
            <w:pPr>
              <w:pStyle w:val="963"/>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rPr>
                <w:rFonts w:ascii="黑体" w:hAnsi="黑体" w:eastAsia="黑体"/>
                <w:color w:val="000000"/>
                <w:sz w:val="24"/>
                <w:szCs w:val="24"/>
              </w:rPr>
            </w:r>
            <w:r/>
          </w:p>
        </w:tc>
      </w:tr>
      <w:tr>
        <w:trPr>
          <w:trHeight w:val="621"/>
        </w:trPr>
        <w:tc>
          <w:tcPr>
            <w:tcW w:w="1376" w:type="dxa"/>
            <w:vAlign w:val="center"/>
            <w:textDirection w:val="lrTb"/>
            <w:noWrap w:val="false"/>
          </w:tcPr>
          <w:p>
            <w:pPr>
              <w:pStyle w:val="963"/>
              <w:jc w:val="center"/>
              <w:spacing w:line="360" w:lineRule="auto"/>
              <w:widowControl/>
              <w:rPr>
                <w:color w:val="000000"/>
                <w:spacing w:val="-2"/>
                <w:sz w:val="24"/>
                <w:szCs w:val="24"/>
              </w:rPr>
            </w:pPr>
            <w:r>
              <w:rPr>
                <w:color w:val="000000"/>
                <w:spacing w:val="-2"/>
                <w:sz w:val="24"/>
                <w:szCs w:val="24"/>
              </w:rPr>
              <w:t xml:space="preserve">项目经理（</w:t>
            </w:r>
            <w:r>
              <w:rPr>
                <w:rFonts w:hint="eastAsia"/>
                <w:color w:val="000000"/>
                <w:spacing w:val="-2"/>
                <w:sz w:val="24"/>
                <w:szCs w:val="24"/>
              </w:rPr>
              <w:t xml:space="preserve">6</w:t>
            </w:r>
            <w:r>
              <w:rPr>
                <w:color w:val="000000"/>
                <w:spacing w:val="-2"/>
                <w:sz w:val="24"/>
                <w:szCs w:val="24"/>
              </w:rPr>
              <w:t xml:space="preserve">分）</w:t>
            </w:r>
            <w:r/>
          </w:p>
        </w:tc>
        <w:tc>
          <w:tcPr>
            <w:tcW w:w="7129" w:type="dxa"/>
            <w:vAlign w:val="top"/>
            <w:textDirection w:val="lrTb"/>
            <w:noWrap w:val="false"/>
          </w:tcPr>
          <w:p>
            <w:pPr>
              <w:pStyle w:val="963"/>
              <w:numPr>
                <w:ilvl w:val="0"/>
                <w:numId w:val="58"/>
              </w:numPr>
              <w:jc w:val="left"/>
              <w:spacing w:line="360" w:lineRule="auto"/>
              <w:widowControl/>
              <w:rPr>
                <w:b/>
                <w:color w:val="000000"/>
                <w:sz w:val="24"/>
                <w:szCs w:val="24"/>
              </w:rPr>
            </w:pPr>
            <w:r>
              <w:rPr>
                <w:color w:val="000000"/>
                <w:sz w:val="24"/>
                <w:szCs w:val="24"/>
              </w:rPr>
              <w:t xml:space="preserve">投标人拟派项目经理</w:t>
            </w:r>
            <w:r>
              <w:rPr>
                <w:rFonts w:hint="eastAsia"/>
                <w:color w:val="000000"/>
                <w:sz w:val="24"/>
                <w:szCs w:val="24"/>
              </w:rPr>
              <w:t xml:space="preserve">具</w:t>
            </w:r>
            <w:r>
              <w:rPr>
                <w:rFonts w:hint="eastAsia"/>
                <w:sz w:val="24"/>
                <w:szCs w:val="24"/>
              </w:rPr>
              <w:t xml:space="preserve">有环保类高</w:t>
            </w:r>
            <w:r>
              <w:rPr>
                <w:rFonts w:hint="eastAsia"/>
                <w:color w:val="000000"/>
                <w:sz w:val="24"/>
                <w:szCs w:val="24"/>
              </w:rPr>
              <w:t xml:space="preserve">级职称的得3分；</w:t>
            </w:r>
            <w:r>
              <w:rPr>
                <w:b/>
                <w:color w:val="000000"/>
                <w:sz w:val="24"/>
                <w:szCs w:val="24"/>
              </w:rPr>
            </w:r>
            <w:r/>
          </w:p>
          <w:p>
            <w:pPr>
              <w:pStyle w:val="963"/>
              <w:numPr>
                <w:ilvl w:val="0"/>
                <w:numId w:val="58"/>
              </w:numPr>
              <w:jc w:val="left"/>
              <w:spacing w:line="360" w:lineRule="auto"/>
              <w:widowControl/>
              <w:rPr>
                <w:b/>
                <w:color w:val="000000"/>
                <w:sz w:val="24"/>
                <w:szCs w:val="24"/>
              </w:rPr>
            </w:pPr>
            <w:r>
              <w:rPr>
                <w:color w:val="000000"/>
                <w:sz w:val="24"/>
                <w:szCs w:val="24"/>
              </w:rPr>
              <w:t xml:space="preserve">投标人拟派项目经理</w:t>
            </w:r>
            <w:r>
              <w:rPr>
                <w:rFonts w:hint="eastAsia"/>
                <w:color w:val="000000"/>
                <w:sz w:val="24"/>
                <w:szCs w:val="24"/>
              </w:rPr>
              <w:t xml:space="preserve">获得过</w:t>
            </w:r>
            <w:r>
              <w:rPr>
                <w:color w:val="000000"/>
                <w:sz w:val="24"/>
                <w:szCs w:val="24"/>
              </w:rPr>
              <w:t xml:space="preserve">环境监测类人才证书的，市级的得</w:t>
            </w:r>
            <w:r>
              <w:rPr>
                <w:rFonts w:hint="eastAsia"/>
                <w:color w:val="000000"/>
                <w:sz w:val="24"/>
                <w:szCs w:val="24"/>
              </w:rPr>
              <w:t xml:space="preserve">2</w:t>
            </w:r>
            <w:r>
              <w:rPr>
                <w:color w:val="000000"/>
                <w:sz w:val="24"/>
                <w:szCs w:val="24"/>
              </w:rPr>
              <w:t xml:space="preserve">分</w:t>
            </w:r>
            <w:r>
              <w:rPr>
                <w:rFonts w:hint="eastAsia"/>
                <w:color w:val="000000"/>
                <w:sz w:val="24"/>
                <w:szCs w:val="24"/>
              </w:rPr>
              <w:t xml:space="preserve">，</w:t>
            </w:r>
            <w:r>
              <w:rPr>
                <w:color w:val="000000"/>
                <w:sz w:val="24"/>
                <w:szCs w:val="24"/>
              </w:rPr>
              <w:t xml:space="preserve">省级及以上的得</w:t>
            </w:r>
            <w:r>
              <w:rPr>
                <w:rFonts w:hint="eastAsia"/>
                <w:color w:val="000000"/>
                <w:sz w:val="24"/>
                <w:szCs w:val="24"/>
              </w:rPr>
              <w:t xml:space="preserve">3</w:t>
            </w:r>
            <w:r>
              <w:rPr>
                <w:color w:val="000000"/>
                <w:sz w:val="24"/>
                <w:szCs w:val="24"/>
              </w:rPr>
              <w:t xml:space="preserve">分</w:t>
            </w:r>
            <w:r>
              <w:rPr>
                <w:rFonts w:hint="eastAsia"/>
                <w:color w:val="000000"/>
                <w:sz w:val="24"/>
                <w:szCs w:val="24"/>
              </w:rPr>
              <w:t xml:space="preserve">，最高得3分。</w:t>
            </w:r>
            <w:r>
              <w:rPr>
                <w:b/>
                <w:color w:val="000000"/>
                <w:sz w:val="24"/>
                <w:szCs w:val="24"/>
              </w:rPr>
            </w:r>
            <w:r/>
          </w:p>
          <w:p>
            <w:pPr>
              <w:pStyle w:val="963"/>
              <w:jc w:val="left"/>
              <w:spacing w:line="360" w:lineRule="auto"/>
              <w:widowControl/>
              <w:rPr>
                <w:b/>
                <w:color w:val="000000"/>
                <w:sz w:val="24"/>
                <w:szCs w:val="24"/>
              </w:rPr>
            </w:pPr>
            <w:r>
              <w:rPr>
                <w:rFonts w:hint="eastAsia"/>
                <w:b/>
                <w:color w:val="000000"/>
                <w:sz w:val="24"/>
                <w:szCs w:val="24"/>
              </w:rPr>
              <w:t xml:space="preserve">注：以上1-2项投标文件中</w:t>
            </w:r>
            <w:r>
              <w:rPr>
                <w:b/>
                <w:color w:val="000000"/>
                <w:sz w:val="24"/>
                <w:szCs w:val="24"/>
              </w:rPr>
              <w:t xml:space="preserve">提供证书及2024年1月以来任意一个月由投标人为其缴纳的社保证明材料并加盖投标人公章，否则不得分。</w:t>
            </w:r>
            <w:r/>
          </w:p>
        </w:tc>
      </w:tr>
      <w:tr>
        <w:trPr>
          <w:trHeight w:val="621"/>
        </w:trPr>
        <w:tc>
          <w:tcPr>
            <w:tcW w:w="1376" w:type="dxa"/>
            <w:vAlign w:val="center"/>
            <w:textDirection w:val="lrTb"/>
            <w:noWrap w:val="false"/>
          </w:tcPr>
          <w:p>
            <w:pPr>
              <w:pStyle w:val="963"/>
              <w:jc w:val="center"/>
              <w:spacing w:line="360" w:lineRule="auto"/>
              <w:widowControl/>
              <w:rPr>
                <w:color w:val="000000"/>
                <w:spacing w:val="-2"/>
                <w:sz w:val="24"/>
                <w:szCs w:val="24"/>
              </w:rPr>
            </w:pPr>
            <w:r>
              <w:rPr>
                <w:color w:val="000000"/>
                <w:spacing w:val="-2"/>
                <w:sz w:val="24"/>
                <w:szCs w:val="24"/>
              </w:rPr>
              <w:t xml:space="preserve">运维人员</w:t>
            </w:r>
            <w:r/>
          </w:p>
          <w:p>
            <w:pPr>
              <w:pStyle w:val="963"/>
              <w:jc w:val="center"/>
              <w:spacing w:line="360" w:lineRule="auto"/>
              <w:rPr>
                <w:sz w:val="24"/>
                <w:szCs w:val="24"/>
              </w:rPr>
            </w:pPr>
            <w:r>
              <w:rPr>
                <w:color w:val="000000"/>
                <w:spacing w:val="-2"/>
                <w:sz w:val="24"/>
                <w:szCs w:val="24"/>
              </w:rPr>
              <w:t xml:space="preserve">(</w:t>
            </w:r>
            <w:r>
              <w:rPr>
                <w:rFonts w:hint="eastAsia"/>
                <w:color w:val="000000"/>
                <w:spacing w:val="-2"/>
                <w:sz w:val="24"/>
                <w:szCs w:val="24"/>
              </w:rPr>
              <w:t xml:space="preserve">15</w:t>
            </w:r>
            <w:r>
              <w:rPr>
                <w:color w:val="000000"/>
                <w:spacing w:val="-2"/>
                <w:sz w:val="24"/>
                <w:szCs w:val="24"/>
              </w:rPr>
              <w:t xml:space="preserve">分)</w:t>
            </w:r>
            <w:r>
              <w:rPr>
                <w:sz w:val="24"/>
                <w:szCs w:val="24"/>
              </w:rPr>
            </w:r>
            <w:r/>
          </w:p>
        </w:tc>
        <w:tc>
          <w:tcPr>
            <w:tcW w:w="7129" w:type="dxa"/>
            <w:vAlign w:val="top"/>
            <w:textDirection w:val="lrTb"/>
            <w:noWrap w:val="false"/>
          </w:tcPr>
          <w:p>
            <w:pPr>
              <w:pStyle w:val="963"/>
              <w:jc w:val="left"/>
              <w:spacing w:line="360" w:lineRule="auto"/>
              <w:widowControl/>
              <w:rPr>
                <w:rFonts w:cs="Arial"/>
                <w:b/>
                <w:color w:val="000000"/>
                <w:sz w:val="24"/>
                <w:szCs w:val="24"/>
              </w:rPr>
            </w:pPr>
            <w:r>
              <w:rPr>
                <w:rFonts w:hint="eastAsia"/>
                <w:color w:val="000000"/>
                <w:sz w:val="24"/>
                <w:szCs w:val="24"/>
              </w:rPr>
              <w:t xml:space="preserve">1、</w:t>
            </w:r>
            <w:r>
              <w:rPr>
                <w:color w:val="000000"/>
                <w:sz w:val="24"/>
                <w:szCs w:val="24"/>
              </w:rPr>
              <w:t xml:space="preserve">投标人拟派项目组运维人员</w:t>
            </w:r>
            <w:r>
              <w:rPr>
                <w:rFonts w:hint="eastAsia"/>
                <w:color w:val="000000"/>
                <w:sz w:val="24"/>
                <w:szCs w:val="24"/>
              </w:rPr>
              <w:t xml:space="preserve">（项目经理除外）：①</w:t>
            </w:r>
            <w:r>
              <w:rPr>
                <w:color w:val="000000"/>
                <w:sz w:val="24"/>
                <w:szCs w:val="24"/>
              </w:rPr>
              <w:t xml:space="preserve">具备</w:t>
            </w:r>
            <w:r>
              <w:rPr>
                <w:rFonts w:hint="eastAsia"/>
                <w:color w:val="000000"/>
                <w:sz w:val="24"/>
                <w:szCs w:val="24"/>
              </w:rPr>
              <w:t xml:space="preserve">环境空气自动监测运维与质控或环境空气质量自动监测运维与质控技术</w:t>
            </w:r>
            <w:r>
              <w:rPr>
                <w:color w:val="000000"/>
                <w:sz w:val="24"/>
                <w:szCs w:val="24"/>
              </w:rPr>
              <w:t xml:space="preserve">培训合格证，每有</w:t>
            </w:r>
            <w:r>
              <w:rPr>
                <w:rFonts w:hint="eastAsia"/>
                <w:color w:val="000000"/>
                <w:sz w:val="24"/>
                <w:szCs w:val="24"/>
              </w:rPr>
              <w:t xml:space="preserve">一</w:t>
            </w:r>
            <w:r>
              <w:rPr>
                <w:color w:val="000000"/>
                <w:sz w:val="24"/>
                <w:szCs w:val="24"/>
              </w:rPr>
              <w:t xml:space="preserve">人得</w:t>
            </w:r>
            <w:r>
              <w:rPr>
                <w:rFonts w:hint="eastAsia"/>
                <w:color w:val="000000"/>
                <w:sz w:val="24"/>
                <w:szCs w:val="24"/>
              </w:rPr>
              <w:t xml:space="preserve">1.5</w:t>
            </w:r>
            <w:r>
              <w:rPr>
                <w:color w:val="000000"/>
                <w:sz w:val="24"/>
                <w:szCs w:val="24"/>
              </w:rPr>
              <w:t xml:space="preserve">分，</w:t>
            </w:r>
            <w:r>
              <w:rPr>
                <w:rFonts w:hint="eastAsia"/>
                <w:color w:val="000000"/>
                <w:sz w:val="24"/>
                <w:szCs w:val="24"/>
              </w:rPr>
              <w:t xml:space="preserve">最高得6分；②</w:t>
            </w:r>
            <w:r>
              <w:rPr>
                <w:color w:val="000000"/>
                <w:sz w:val="24"/>
                <w:szCs w:val="24"/>
              </w:rPr>
              <w:t xml:space="preserve">具备VOCs或</w:t>
            </w:r>
            <w:r>
              <w:rPr>
                <w:rFonts w:hint="eastAsia"/>
                <w:color w:val="000000"/>
                <w:sz w:val="24"/>
                <w:szCs w:val="24"/>
              </w:rPr>
              <w:t xml:space="preserve">环境空气</w:t>
            </w:r>
            <w:r>
              <w:rPr>
                <w:color w:val="000000"/>
                <w:sz w:val="24"/>
                <w:szCs w:val="24"/>
              </w:rPr>
              <w:t xml:space="preserve">挥发性有机物</w:t>
            </w:r>
            <w:r>
              <w:rPr>
                <w:rFonts w:hint="eastAsia"/>
                <w:color w:val="000000"/>
                <w:sz w:val="24"/>
                <w:szCs w:val="24"/>
              </w:rPr>
              <w:t xml:space="preserve">自动</w:t>
            </w:r>
            <w:r>
              <w:rPr>
                <w:color w:val="000000"/>
                <w:sz w:val="24"/>
                <w:szCs w:val="24"/>
              </w:rPr>
              <w:t xml:space="preserve">监测培训班合格证书</w:t>
            </w:r>
            <w:r>
              <w:rPr>
                <w:rFonts w:hint="eastAsia"/>
                <w:color w:val="000000"/>
                <w:sz w:val="24"/>
                <w:szCs w:val="24"/>
              </w:rPr>
              <w:t xml:space="preserve">的得1分；③</w:t>
            </w:r>
            <w:r>
              <w:rPr>
                <w:rFonts w:cs="Arial"/>
                <w:color w:val="000000"/>
                <w:sz w:val="24"/>
                <w:szCs w:val="24"/>
              </w:rPr>
              <w:t xml:space="preserve">具备</w:t>
            </w:r>
            <w:r>
              <w:rPr>
                <w:rFonts w:hint="eastAsia" w:cs="Arial"/>
                <w:color w:val="000000"/>
                <w:sz w:val="24"/>
                <w:szCs w:val="24"/>
              </w:rPr>
              <w:t xml:space="preserve">地表水环境质量监测技术与运维管理</w:t>
            </w:r>
            <w:r>
              <w:rPr>
                <w:rFonts w:cs="Arial"/>
                <w:color w:val="000000"/>
                <w:sz w:val="24"/>
                <w:szCs w:val="24"/>
              </w:rPr>
              <w:t xml:space="preserve">培训合格证，每有</w:t>
            </w:r>
            <w:r>
              <w:rPr>
                <w:rFonts w:hint="eastAsia" w:cs="Arial"/>
                <w:color w:val="000000"/>
                <w:sz w:val="24"/>
                <w:szCs w:val="24"/>
              </w:rPr>
              <w:t xml:space="preserve">一人</w:t>
            </w:r>
            <w:r>
              <w:rPr>
                <w:rFonts w:cs="Arial"/>
                <w:color w:val="000000"/>
                <w:sz w:val="24"/>
                <w:szCs w:val="24"/>
              </w:rPr>
              <w:t xml:space="preserve">得</w:t>
            </w:r>
            <w:r>
              <w:rPr>
                <w:rFonts w:hint="eastAsia" w:cs="Arial"/>
                <w:color w:val="000000"/>
                <w:sz w:val="24"/>
                <w:szCs w:val="24"/>
              </w:rPr>
              <w:t xml:space="preserve">1</w:t>
            </w:r>
            <w:r>
              <w:rPr>
                <w:rFonts w:cs="Arial"/>
                <w:color w:val="000000"/>
                <w:sz w:val="24"/>
                <w:szCs w:val="24"/>
              </w:rPr>
              <w:t xml:space="preserve">分，</w:t>
            </w:r>
            <w:r>
              <w:rPr>
                <w:rFonts w:hint="eastAsia" w:cs="Arial"/>
                <w:color w:val="000000"/>
                <w:sz w:val="24"/>
                <w:szCs w:val="24"/>
              </w:rPr>
              <w:t xml:space="preserve">最高得3分；</w:t>
            </w:r>
            <w:r>
              <w:rPr>
                <w:rFonts w:hint="eastAsia" w:cs="Arial"/>
                <w:b/>
                <w:color w:val="000000"/>
                <w:sz w:val="24"/>
                <w:szCs w:val="24"/>
              </w:rPr>
              <w:t xml:space="preserve">本项最高得10分。</w:t>
            </w:r>
            <w:r>
              <w:rPr>
                <w:rFonts w:hint="eastAsia" w:cs="Arial"/>
                <w:b/>
                <w:bCs/>
                <w:color w:val="000000"/>
                <w:sz w:val="24"/>
                <w:szCs w:val="24"/>
              </w:rPr>
              <w:t xml:space="preserve">（注：同一人员有多个证书的不重复计分）</w:t>
            </w:r>
            <w:r>
              <w:rPr>
                <w:rFonts w:cs="Arial"/>
                <w:b/>
                <w:color w:val="000000"/>
                <w:sz w:val="24"/>
                <w:szCs w:val="24"/>
              </w:rPr>
            </w:r>
            <w:r/>
          </w:p>
          <w:p>
            <w:pPr>
              <w:pStyle w:val="963"/>
              <w:jc w:val="left"/>
              <w:spacing w:line="360" w:lineRule="auto"/>
              <w:widowControl/>
              <w:rPr>
                <w:bCs/>
                <w:color w:val="000000"/>
                <w:sz w:val="24"/>
                <w:szCs w:val="24"/>
              </w:rPr>
            </w:pPr>
            <w:r>
              <w:rPr>
                <w:rFonts w:hint="eastAsia"/>
                <w:color w:val="000000"/>
                <w:sz w:val="24"/>
                <w:szCs w:val="24"/>
              </w:rPr>
              <w:t xml:space="preserve">2、</w:t>
            </w:r>
            <w:r>
              <w:rPr>
                <w:color w:val="000000"/>
                <w:sz w:val="24"/>
                <w:szCs w:val="24"/>
              </w:rPr>
              <w:t xml:space="preserve">投标人拟派项目组</w:t>
            </w:r>
            <w:r>
              <w:rPr>
                <w:rFonts w:hint="eastAsia"/>
                <w:color w:val="000000"/>
                <w:sz w:val="24"/>
                <w:szCs w:val="24"/>
              </w:rPr>
              <w:t xml:space="preserve">运维</w:t>
            </w:r>
            <w:r>
              <w:rPr>
                <w:color w:val="000000"/>
                <w:sz w:val="24"/>
                <w:szCs w:val="24"/>
              </w:rPr>
              <w:t xml:space="preserve">人员</w:t>
            </w:r>
            <w:r>
              <w:rPr>
                <w:rFonts w:hint="eastAsia"/>
                <w:color w:val="000000"/>
                <w:sz w:val="24"/>
                <w:szCs w:val="24"/>
              </w:rPr>
              <w:t xml:space="preserve">（项目经理除外）</w:t>
            </w:r>
            <w:r>
              <w:rPr>
                <w:color w:val="000000"/>
                <w:sz w:val="24"/>
                <w:szCs w:val="24"/>
              </w:rPr>
              <w:t xml:space="preserve">具备</w:t>
            </w:r>
            <w:r>
              <w:rPr>
                <w:rFonts w:hint="eastAsia"/>
                <w:color w:val="000000"/>
                <w:sz w:val="24"/>
                <w:szCs w:val="24"/>
              </w:rPr>
              <w:t xml:space="preserve">环境</w:t>
            </w:r>
            <w:r>
              <w:rPr>
                <w:color w:val="000000"/>
                <w:sz w:val="24"/>
                <w:szCs w:val="24"/>
              </w:rPr>
              <w:t xml:space="preserve">类高级工程师职称的，</w:t>
            </w:r>
            <w:r>
              <w:rPr>
                <w:rFonts w:cs="Arial"/>
                <w:color w:val="000000"/>
                <w:sz w:val="24"/>
                <w:szCs w:val="24"/>
              </w:rPr>
              <w:t xml:space="preserve">每</w:t>
            </w:r>
            <w:r>
              <w:rPr>
                <w:rFonts w:hint="eastAsia"/>
                <w:color w:val="000000"/>
                <w:sz w:val="24"/>
                <w:szCs w:val="24"/>
              </w:rPr>
              <w:t xml:space="preserve">有一人得1</w:t>
            </w:r>
            <w:r>
              <w:rPr>
                <w:color w:val="000000"/>
                <w:sz w:val="24"/>
                <w:szCs w:val="24"/>
              </w:rPr>
              <w:t xml:space="preserve">分；具备</w:t>
            </w:r>
            <w:r>
              <w:rPr>
                <w:rFonts w:hint="eastAsia"/>
                <w:color w:val="000000"/>
                <w:sz w:val="24"/>
                <w:szCs w:val="24"/>
              </w:rPr>
              <w:t xml:space="preserve">环境</w:t>
            </w:r>
            <w:r>
              <w:rPr>
                <w:color w:val="000000"/>
                <w:sz w:val="24"/>
                <w:szCs w:val="24"/>
              </w:rPr>
              <w:t xml:space="preserve">类中级职称的，</w:t>
            </w:r>
            <w:r>
              <w:rPr>
                <w:rFonts w:cs="Arial"/>
                <w:color w:val="000000"/>
                <w:sz w:val="24"/>
                <w:szCs w:val="24"/>
              </w:rPr>
              <w:t xml:space="preserve">每</w:t>
            </w:r>
            <w:r>
              <w:rPr>
                <w:color w:val="000000"/>
                <w:sz w:val="24"/>
                <w:szCs w:val="24"/>
              </w:rPr>
              <w:t xml:space="preserve">有一人</w:t>
            </w:r>
            <w:r>
              <w:rPr>
                <w:rFonts w:hint="eastAsia"/>
                <w:color w:val="000000"/>
                <w:sz w:val="24"/>
                <w:szCs w:val="24"/>
              </w:rPr>
              <w:t xml:space="preserve">得0.5</w:t>
            </w:r>
            <w:r>
              <w:rPr>
                <w:color w:val="000000"/>
                <w:sz w:val="24"/>
                <w:szCs w:val="24"/>
              </w:rPr>
              <w:t xml:space="preserve">分；</w:t>
            </w:r>
            <w:r>
              <w:rPr>
                <w:rFonts w:hint="eastAsia"/>
                <w:b/>
                <w:color w:val="000000"/>
                <w:sz w:val="24"/>
                <w:szCs w:val="24"/>
              </w:rPr>
              <w:t xml:space="preserve">本项</w:t>
            </w:r>
            <w:r>
              <w:rPr>
                <w:b/>
                <w:color w:val="000000"/>
                <w:sz w:val="24"/>
                <w:szCs w:val="24"/>
              </w:rPr>
              <w:t xml:space="preserve">最高得</w:t>
            </w:r>
            <w:r>
              <w:rPr>
                <w:rFonts w:hint="eastAsia"/>
                <w:b/>
                <w:color w:val="000000"/>
                <w:sz w:val="24"/>
                <w:szCs w:val="24"/>
              </w:rPr>
              <w:t xml:space="preserve">5</w:t>
            </w:r>
            <w:r>
              <w:rPr>
                <w:b/>
                <w:color w:val="000000"/>
                <w:sz w:val="24"/>
                <w:szCs w:val="24"/>
              </w:rPr>
              <w:t xml:space="preserve">分。</w:t>
            </w:r>
            <w:r>
              <w:rPr>
                <w:b/>
                <w:bCs/>
                <w:color w:val="000000"/>
                <w:sz w:val="24"/>
                <w:szCs w:val="24"/>
              </w:rPr>
              <w:t xml:space="preserve">（注：同一人员有多个证书的按最高级别计分）</w:t>
            </w:r>
            <w:r>
              <w:rPr>
                <w:bCs/>
                <w:color w:val="000000"/>
                <w:sz w:val="24"/>
                <w:szCs w:val="24"/>
              </w:rPr>
            </w:r>
            <w:r/>
          </w:p>
          <w:p>
            <w:pPr>
              <w:pStyle w:val="963"/>
              <w:jc w:val="left"/>
              <w:spacing w:line="360" w:lineRule="auto"/>
              <w:rPr>
                <w:b/>
                <w:sz w:val="24"/>
                <w:szCs w:val="24"/>
              </w:rPr>
            </w:pPr>
            <w:r>
              <w:rPr>
                <w:rFonts w:hint="eastAsia"/>
                <w:b/>
                <w:color w:val="000000"/>
                <w:sz w:val="24"/>
                <w:szCs w:val="24"/>
              </w:rPr>
              <w:t xml:space="preserve">注：以上1-2项投标文件中</w:t>
            </w:r>
            <w:r>
              <w:rPr>
                <w:b/>
                <w:color w:val="000000"/>
                <w:sz w:val="24"/>
                <w:szCs w:val="24"/>
              </w:rPr>
              <w:t xml:space="preserve">提供人员明细表、证书及2024年1月以来任意一个月由投标人为其缴纳的社保证明材料并加盖投标人公章，否则不得分。</w:t>
            </w:r>
            <w:r>
              <w:rPr>
                <w:b/>
                <w:sz w:val="24"/>
                <w:szCs w:val="24"/>
              </w:rPr>
            </w:r>
            <w:r/>
          </w:p>
        </w:tc>
      </w:tr>
      <w:tr>
        <w:trPr>
          <w:trHeight w:val="621"/>
        </w:trPr>
        <w:tc>
          <w:tcPr>
            <w:tcW w:w="1376" w:type="dxa"/>
            <w:vAlign w:val="center"/>
            <w:textDirection w:val="lrTb"/>
            <w:noWrap w:val="false"/>
          </w:tcPr>
          <w:p>
            <w:pPr>
              <w:pStyle w:val="963"/>
              <w:spacing w:line="360" w:lineRule="auto"/>
              <w:widowControl/>
              <w:rPr>
                <w:color w:val="000000"/>
                <w:spacing w:val="-2"/>
                <w:sz w:val="24"/>
                <w:szCs w:val="24"/>
              </w:rPr>
            </w:pPr>
            <w:r>
              <w:rPr>
                <w:rFonts w:hint="eastAsia"/>
                <w:color w:val="000000"/>
                <w:sz w:val="24"/>
                <w:szCs w:val="24"/>
              </w:rPr>
              <w:t xml:space="preserve">质量控制能力</w:t>
            </w:r>
            <w:r>
              <w:rPr>
                <w:color w:val="000000"/>
                <w:sz w:val="24"/>
                <w:szCs w:val="24"/>
              </w:rPr>
              <w:t xml:space="preserve">（</w:t>
            </w:r>
            <w:r>
              <w:rPr>
                <w:rFonts w:hint="eastAsia"/>
                <w:color w:val="000000"/>
                <w:sz w:val="24"/>
                <w:szCs w:val="24"/>
              </w:rPr>
              <w:t xml:space="preserve">6</w:t>
            </w:r>
            <w:r>
              <w:rPr>
                <w:color w:val="000000"/>
                <w:sz w:val="24"/>
                <w:szCs w:val="24"/>
              </w:rPr>
              <w:t xml:space="preserve">分）</w:t>
            </w:r>
            <w:r>
              <w:rPr>
                <w:color w:val="000000"/>
                <w:spacing w:val="-2"/>
                <w:sz w:val="24"/>
                <w:szCs w:val="24"/>
              </w:rPr>
            </w:r>
            <w:r/>
          </w:p>
        </w:tc>
        <w:tc>
          <w:tcPr>
            <w:tcW w:w="7129" w:type="dxa"/>
            <w:vAlign w:val="top"/>
            <w:textDirection w:val="lrTb"/>
            <w:noWrap w:val="false"/>
          </w:tcPr>
          <w:p>
            <w:pPr>
              <w:pStyle w:val="963"/>
              <w:jc w:val="left"/>
              <w:spacing w:line="360" w:lineRule="auto"/>
              <w:widowControl/>
              <w:rPr>
                <w:color w:val="000000"/>
                <w:sz w:val="24"/>
                <w:szCs w:val="24"/>
              </w:rPr>
            </w:pPr>
            <w:r>
              <w:rPr>
                <w:color w:val="000000"/>
                <w:sz w:val="24"/>
                <w:szCs w:val="24"/>
              </w:rPr>
              <w:t xml:space="preserve">投标人应具有</w:t>
            </w:r>
            <w:r>
              <w:rPr>
                <w:rFonts w:hint="eastAsia"/>
                <w:color w:val="000000"/>
                <w:sz w:val="24"/>
                <w:szCs w:val="24"/>
              </w:rPr>
              <w:t xml:space="preserve">CMA实验室或能够委托具有C</w:t>
            </w:r>
            <w:r>
              <w:rPr>
                <w:color w:val="000000"/>
                <w:sz w:val="24"/>
                <w:szCs w:val="24"/>
              </w:rPr>
              <w:t xml:space="preserve">MA</w:t>
            </w:r>
            <w:r>
              <w:rPr>
                <w:rFonts w:hint="eastAsia"/>
                <w:color w:val="000000"/>
                <w:sz w:val="24"/>
                <w:szCs w:val="24"/>
              </w:rPr>
              <w:t xml:space="preserve">认证实验室为本项目进行质量控制，能力</w:t>
            </w:r>
            <w:r>
              <w:rPr>
                <w:color w:val="000000"/>
                <w:sz w:val="24"/>
                <w:szCs w:val="24"/>
              </w:rPr>
              <w:t xml:space="preserve">认证范围包含：SO</w:t>
            </w:r>
            <w:r>
              <w:rPr>
                <w:color w:val="000000"/>
                <w:sz w:val="24"/>
                <w:szCs w:val="24"/>
                <w:vertAlign w:val="subscript"/>
              </w:rPr>
              <w:t xml:space="preserve">2</w:t>
            </w:r>
            <w:r>
              <w:rPr>
                <w:color w:val="000000"/>
                <w:sz w:val="24"/>
                <w:szCs w:val="24"/>
              </w:rPr>
              <w:t xml:space="preserve">、NOx、CO、O</w:t>
            </w:r>
            <w:r>
              <w:rPr>
                <w:color w:val="000000"/>
                <w:sz w:val="24"/>
                <w:szCs w:val="24"/>
                <w:vertAlign w:val="subscript"/>
              </w:rPr>
              <w:t xml:space="preserve">3</w:t>
            </w:r>
            <w:r>
              <w:rPr>
                <w:color w:val="000000"/>
                <w:sz w:val="24"/>
                <w:szCs w:val="24"/>
              </w:rPr>
              <w:t xml:space="preserve">、PM</w:t>
            </w:r>
            <w:r>
              <w:rPr>
                <w:color w:val="000000"/>
                <w:sz w:val="24"/>
                <w:szCs w:val="24"/>
                <w:vertAlign w:val="subscript"/>
              </w:rPr>
              <w:t xml:space="preserve">2.5</w:t>
            </w:r>
            <w:r>
              <w:rPr>
                <w:color w:val="000000"/>
                <w:sz w:val="24"/>
                <w:szCs w:val="24"/>
              </w:rPr>
              <w:t xml:space="preserve">、PM</w:t>
            </w:r>
            <w:r>
              <w:rPr>
                <w:color w:val="000000"/>
                <w:sz w:val="24"/>
                <w:szCs w:val="24"/>
                <w:vertAlign w:val="subscript"/>
              </w:rPr>
              <w:t xml:space="preserve">10</w:t>
            </w:r>
            <w:r>
              <w:rPr>
                <w:rFonts w:eastAsia="仿宋"/>
                <w:color w:val="000000"/>
                <w:sz w:val="24"/>
                <w:szCs w:val="24"/>
              </w:rPr>
              <w:t xml:space="preserve">、</w:t>
            </w:r>
            <w:r>
              <w:rPr>
                <w:color w:val="000000"/>
                <w:sz w:val="24"/>
                <w:szCs w:val="24"/>
              </w:rPr>
              <w:t xml:space="preserve">挥发性有机物</w:t>
            </w:r>
            <w:r>
              <w:rPr>
                <w:rFonts w:hint="eastAsia" w:ascii="仿宋" w:hAnsi="仿宋" w:eastAsia="仿宋"/>
                <w:color w:val="000000"/>
                <w:sz w:val="24"/>
                <w:szCs w:val="24"/>
              </w:rPr>
              <w:t xml:space="preserve">、</w:t>
            </w:r>
            <w:r>
              <w:rPr>
                <w:color w:val="000000"/>
                <w:sz w:val="24"/>
                <w:szCs w:val="24"/>
              </w:rPr>
              <w:t xml:space="preserve">水质常规五参数、高锰酸盐指数、氨氮、总磷、总氮</w:t>
            </w:r>
            <w:r>
              <w:rPr>
                <w:color w:val="000000"/>
                <w:sz w:val="24"/>
                <w:szCs w:val="24"/>
              </w:rPr>
              <w:t xml:space="preserve">，</w:t>
            </w:r>
            <w:r>
              <w:rPr>
                <w:rFonts w:hint="eastAsia"/>
                <w:color w:val="000000"/>
                <w:sz w:val="24"/>
                <w:szCs w:val="24"/>
              </w:rPr>
              <w:t xml:space="preserve">CMA实验室认证范围每包含一项得0.5分，最高得6分</w:t>
            </w:r>
            <w:r>
              <w:rPr>
                <w:color w:val="000000"/>
                <w:sz w:val="24"/>
                <w:szCs w:val="24"/>
              </w:rPr>
              <w:t xml:space="preserve">。</w:t>
            </w:r>
            <w:r>
              <w:rPr>
                <w:color w:val="000000"/>
                <w:sz w:val="24"/>
                <w:szCs w:val="24"/>
              </w:rPr>
            </w:r>
            <w:r/>
          </w:p>
          <w:p>
            <w:pPr>
              <w:pStyle w:val="963"/>
              <w:jc w:val="left"/>
              <w:spacing w:line="360" w:lineRule="auto"/>
              <w:widowControl/>
              <w:rPr>
                <w:color w:val="000000"/>
                <w:sz w:val="24"/>
                <w:szCs w:val="24"/>
              </w:rPr>
            </w:pPr>
            <w:r>
              <w:rPr>
                <w:b/>
                <w:color w:val="000000"/>
                <w:sz w:val="24"/>
                <w:szCs w:val="24"/>
              </w:rPr>
              <w:t xml:space="preserve">注：投标文件中提供涵盖本项目指标的计量认证证书并加盖</w:t>
            </w:r>
            <w:r>
              <w:rPr>
                <w:rFonts w:hint="eastAsia"/>
                <w:b/>
                <w:color w:val="000000"/>
                <w:sz w:val="24"/>
                <w:szCs w:val="24"/>
              </w:rPr>
              <w:t xml:space="preserve">投标人</w:t>
            </w:r>
            <w:r>
              <w:rPr>
                <w:b/>
                <w:color w:val="000000"/>
                <w:sz w:val="24"/>
                <w:szCs w:val="24"/>
              </w:rPr>
              <w:t xml:space="preserve">公章；委托实验室进行质量控制的，须提供委托合同或委托协议，同时提供被委托单位涵盖本项目指标的计量认证证书，否则不得分。</w:t>
            </w:r>
            <w:r>
              <w:rPr>
                <w:color w:val="000000"/>
                <w:sz w:val="24"/>
                <w:szCs w:val="24"/>
              </w:rPr>
            </w:r>
            <w:r/>
          </w:p>
        </w:tc>
      </w:tr>
      <w:tr>
        <w:trPr>
          <w:trHeight w:val="621"/>
        </w:trPr>
        <w:tc>
          <w:tcPr>
            <w:tcW w:w="1376" w:type="dxa"/>
            <w:vAlign w:val="center"/>
            <w:textDirection w:val="lrTb"/>
            <w:noWrap w:val="false"/>
          </w:tcPr>
          <w:p>
            <w:pPr>
              <w:pStyle w:val="963"/>
              <w:jc w:val="center"/>
              <w:spacing w:line="360" w:lineRule="auto"/>
              <w:widowControl/>
              <w:rPr>
                <w:color w:val="000000"/>
                <w:spacing w:val="-2"/>
                <w:sz w:val="24"/>
                <w:szCs w:val="24"/>
              </w:rPr>
            </w:pPr>
            <w:r>
              <w:rPr>
                <w:color w:val="000000"/>
                <w:spacing w:val="-2"/>
                <w:sz w:val="24"/>
                <w:szCs w:val="24"/>
              </w:rPr>
              <w:t xml:space="preserve">项目实施保障</w:t>
            </w:r>
            <w:r/>
          </w:p>
          <w:p>
            <w:pPr>
              <w:pStyle w:val="963"/>
              <w:jc w:val="center"/>
              <w:spacing w:line="360" w:lineRule="auto"/>
              <w:rPr>
                <w:sz w:val="24"/>
                <w:szCs w:val="24"/>
              </w:rPr>
            </w:pPr>
            <w:r>
              <w:rPr>
                <w:color w:val="000000"/>
                <w:spacing w:val="-2"/>
                <w:sz w:val="24"/>
                <w:szCs w:val="24"/>
              </w:rPr>
              <w:t xml:space="preserve">(</w:t>
            </w:r>
            <w:r>
              <w:rPr>
                <w:rFonts w:hint="eastAsia"/>
                <w:color w:val="000000"/>
                <w:spacing w:val="-2"/>
                <w:sz w:val="24"/>
                <w:szCs w:val="24"/>
              </w:rPr>
              <w:t xml:space="preserve">8</w:t>
            </w:r>
            <w:r>
              <w:rPr>
                <w:color w:val="000000"/>
                <w:spacing w:val="-2"/>
                <w:sz w:val="24"/>
                <w:szCs w:val="24"/>
              </w:rPr>
              <w:t xml:space="preserve">分)</w:t>
            </w:r>
            <w:r>
              <w:rPr>
                <w:sz w:val="24"/>
                <w:szCs w:val="24"/>
              </w:rPr>
            </w:r>
            <w:r/>
          </w:p>
        </w:tc>
        <w:tc>
          <w:tcPr>
            <w:tcW w:w="7129" w:type="dxa"/>
            <w:vAlign w:val="top"/>
            <w:textDirection w:val="lrTb"/>
            <w:noWrap w:val="false"/>
          </w:tcPr>
          <w:p>
            <w:pPr>
              <w:pStyle w:val="963"/>
              <w:numPr>
                <w:ilvl w:val="0"/>
                <w:numId w:val="59"/>
              </w:numPr>
              <w:jc w:val="left"/>
              <w:spacing w:line="360" w:lineRule="auto"/>
              <w:widowControl/>
              <w:rPr>
                <w:color w:val="000000"/>
                <w:sz w:val="24"/>
                <w:szCs w:val="24"/>
              </w:rPr>
            </w:pPr>
            <w:r>
              <w:rPr>
                <w:color w:val="000000"/>
                <w:sz w:val="24"/>
                <w:szCs w:val="24"/>
              </w:rPr>
              <w:t xml:space="preserve">投标人通过质量管理体系认证的得</w:t>
            </w:r>
            <w:r>
              <w:rPr>
                <w:rFonts w:hint="eastAsia"/>
                <w:color w:val="000000"/>
                <w:sz w:val="24"/>
                <w:szCs w:val="24"/>
              </w:rPr>
              <w:t xml:space="preserve">2</w:t>
            </w:r>
            <w:r>
              <w:rPr>
                <w:color w:val="000000"/>
                <w:sz w:val="24"/>
                <w:szCs w:val="24"/>
              </w:rPr>
              <w:t xml:space="preserve">分；</w:t>
            </w:r>
            <w:r/>
          </w:p>
          <w:p>
            <w:pPr>
              <w:pStyle w:val="963"/>
              <w:numPr>
                <w:ilvl w:val="0"/>
                <w:numId w:val="59"/>
              </w:numPr>
              <w:jc w:val="left"/>
              <w:spacing w:line="360" w:lineRule="auto"/>
              <w:widowControl/>
              <w:rPr>
                <w:color w:val="000000"/>
                <w:sz w:val="24"/>
                <w:szCs w:val="24"/>
              </w:rPr>
            </w:pPr>
            <w:r>
              <w:rPr>
                <w:color w:val="000000"/>
                <w:sz w:val="24"/>
                <w:szCs w:val="24"/>
              </w:rPr>
              <w:t xml:space="preserve">投标人通过环境管理体系认证的得</w:t>
            </w:r>
            <w:r>
              <w:rPr>
                <w:rFonts w:hint="eastAsia"/>
                <w:color w:val="000000"/>
                <w:sz w:val="24"/>
                <w:szCs w:val="24"/>
              </w:rPr>
              <w:t xml:space="preserve">2</w:t>
            </w:r>
            <w:r>
              <w:rPr>
                <w:color w:val="000000"/>
                <w:sz w:val="24"/>
                <w:szCs w:val="24"/>
              </w:rPr>
              <w:t xml:space="preserve">分；</w:t>
            </w:r>
            <w:r/>
          </w:p>
          <w:p>
            <w:pPr>
              <w:pStyle w:val="963"/>
              <w:numPr>
                <w:ilvl w:val="0"/>
                <w:numId w:val="59"/>
              </w:numPr>
              <w:jc w:val="left"/>
              <w:spacing w:line="360" w:lineRule="auto"/>
              <w:widowControl/>
              <w:rPr>
                <w:color w:val="000000"/>
                <w:sz w:val="24"/>
                <w:szCs w:val="24"/>
              </w:rPr>
            </w:pPr>
            <w:r>
              <w:rPr>
                <w:color w:val="000000"/>
                <w:sz w:val="24"/>
                <w:szCs w:val="24"/>
              </w:rPr>
              <w:t xml:space="preserve">投标人通过信息安全管理体系认证的得</w:t>
            </w:r>
            <w:r>
              <w:rPr>
                <w:rFonts w:hint="eastAsia"/>
                <w:color w:val="000000"/>
                <w:sz w:val="24"/>
                <w:szCs w:val="24"/>
              </w:rPr>
              <w:t xml:space="preserve">2</w:t>
            </w:r>
            <w:r>
              <w:rPr>
                <w:color w:val="000000"/>
                <w:sz w:val="24"/>
                <w:szCs w:val="24"/>
              </w:rPr>
              <w:t xml:space="preserve">分；</w:t>
            </w:r>
            <w:r/>
          </w:p>
          <w:p>
            <w:pPr>
              <w:pStyle w:val="963"/>
              <w:numPr>
                <w:ilvl w:val="0"/>
                <w:numId w:val="59"/>
              </w:numPr>
              <w:jc w:val="left"/>
              <w:spacing w:line="360" w:lineRule="auto"/>
              <w:widowControl/>
              <w:rPr>
                <w:color w:val="000000"/>
                <w:sz w:val="24"/>
                <w:szCs w:val="24"/>
              </w:rPr>
            </w:pPr>
            <w:r>
              <w:rPr>
                <w:color w:val="000000"/>
                <w:sz w:val="24"/>
                <w:szCs w:val="24"/>
              </w:rPr>
              <w:t xml:space="preserve">投标人通过职业健康安全体系认证的得</w:t>
            </w:r>
            <w:r>
              <w:rPr>
                <w:rFonts w:hint="eastAsia"/>
                <w:color w:val="000000"/>
                <w:sz w:val="24"/>
                <w:szCs w:val="24"/>
              </w:rPr>
              <w:t xml:space="preserve">2</w:t>
            </w:r>
            <w:r>
              <w:rPr>
                <w:color w:val="000000"/>
                <w:sz w:val="24"/>
                <w:szCs w:val="24"/>
              </w:rPr>
              <w:t xml:space="preserve">分；</w:t>
            </w:r>
            <w:r/>
          </w:p>
          <w:p>
            <w:pPr>
              <w:pStyle w:val="963"/>
              <w:jc w:val="left"/>
              <w:spacing w:line="360" w:lineRule="auto"/>
              <w:rPr>
                <w:b/>
                <w:sz w:val="24"/>
                <w:szCs w:val="24"/>
              </w:rPr>
            </w:pPr>
            <w:r>
              <w:rPr>
                <w:b/>
                <w:bCs/>
                <w:color w:val="000000"/>
                <w:sz w:val="24"/>
                <w:szCs w:val="24"/>
              </w:rPr>
              <w:t xml:space="preserve">注：投标文件中提供有效证书扫描件并加盖</w:t>
            </w:r>
            <w:r>
              <w:rPr>
                <w:rFonts w:hint="eastAsia"/>
                <w:b/>
                <w:bCs/>
                <w:color w:val="000000"/>
                <w:sz w:val="24"/>
                <w:szCs w:val="24"/>
              </w:rPr>
              <w:t xml:space="preserve">投标人</w:t>
            </w:r>
            <w:r>
              <w:rPr>
                <w:b/>
                <w:bCs/>
                <w:color w:val="000000"/>
                <w:sz w:val="24"/>
                <w:szCs w:val="24"/>
              </w:rPr>
              <w:t xml:space="preserve">公章，否则不得分。</w:t>
            </w:r>
            <w:r>
              <w:rPr>
                <w:b/>
                <w:sz w:val="24"/>
                <w:szCs w:val="24"/>
              </w:rPr>
            </w:r>
            <w:r/>
          </w:p>
        </w:tc>
      </w:tr>
      <w:tr>
        <w:trPr>
          <w:trHeight w:val="621"/>
        </w:trPr>
        <w:tc>
          <w:tcPr>
            <w:tcW w:w="1376" w:type="dxa"/>
            <w:vAlign w:val="center"/>
            <w:textDirection w:val="lrTb"/>
            <w:noWrap w:val="false"/>
          </w:tcPr>
          <w:p>
            <w:pPr>
              <w:pStyle w:val="963"/>
              <w:jc w:val="center"/>
              <w:spacing w:line="360" w:lineRule="auto"/>
              <w:widowControl/>
              <w:rPr>
                <w:color w:val="000000"/>
                <w:sz w:val="24"/>
                <w:szCs w:val="24"/>
              </w:rPr>
            </w:pPr>
            <w:r>
              <w:rPr>
                <w:rFonts w:hint="eastAsia"/>
                <w:color w:val="000000"/>
                <w:sz w:val="24"/>
                <w:szCs w:val="24"/>
              </w:rPr>
              <w:t xml:space="preserve">服务响应时间</w:t>
            </w:r>
            <w:r>
              <w:rPr>
                <w:color w:val="000000"/>
                <w:sz w:val="24"/>
                <w:szCs w:val="24"/>
              </w:rPr>
            </w:r>
            <w:r/>
          </w:p>
          <w:p>
            <w:pPr>
              <w:pStyle w:val="963"/>
              <w:jc w:val="center"/>
              <w:spacing w:line="360" w:lineRule="auto"/>
              <w:widowControl/>
              <w:rPr>
                <w:color w:val="000000"/>
                <w:sz w:val="24"/>
                <w:szCs w:val="24"/>
              </w:rPr>
            </w:pPr>
            <w:r>
              <w:rPr>
                <w:rFonts w:hint="eastAsia"/>
                <w:color w:val="000000"/>
                <w:sz w:val="24"/>
                <w:szCs w:val="24"/>
              </w:rPr>
              <w:t xml:space="preserve">（5分）</w:t>
            </w:r>
            <w:r>
              <w:rPr>
                <w:color w:val="000000"/>
                <w:sz w:val="24"/>
                <w:szCs w:val="24"/>
              </w:rPr>
            </w:r>
            <w:r/>
          </w:p>
        </w:tc>
        <w:tc>
          <w:tcPr>
            <w:tcW w:w="7129" w:type="dxa"/>
            <w:vAlign w:val="top"/>
            <w:textDirection w:val="lrTb"/>
            <w:noWrap w:val="false"/>
          </w:tcPr>
          <w:p>
            <w:pPr>
              <w:pStyle w:val="963"/>
              <w:jc w:val="left"/>
              <w:spacing w:line="360" w:lineRule="auto"/>
              <w:widowControl/>
              <w:rPr>
                <w:sz w:val="24"/>
                <w:szCs w:val="24"/>
              </w:rPr>
            </w:pPr>
            <w:r>
              <w:rPr>
                <w:rFonts w:hint="eastAsia"/>
                <w:sz w:val="24"/>
                <w:szCs w:val="24"/>
              </w:rPr>
              <w:t xml:space="preserve">投标</w:t>
            </w:r>
            <w:r>
              <w:rPr>
                <w:sz w:val="24"/>
                <w:szCs w:val="24"/>
              </w:rPr>
              <w:t xml:space="preserve">人</w:t>
            </w:r>
            <w:r>
              <w:rPr>
                <w:rFonts w:hint="eastAsia"/>
                <w:sz w:val="24"/>
                <w:szCs w:val="24"/>
              </w:rPr>
              <w:t xml:space="preserve">承诺在接到采购人要求后</w:t>
            </w:r>
            <w:r>
              <w:rPr>
                <w:sz w:val="24"/>
                <w:szCs w:val="24"/>
              </w:rPr>
              <w:t xml:space="preserve">2小时</w:t>
            </w:r>
            <w:r>
              <w:rPr>
                <w:rFonts w:hint="eastAsia"/>
                <w:sz w:val="24"/>
                <w:szCs w:val="24"/>
              </w:rPr>
              <w:t xml:space="preserve">内（含）响应的得5</w:t>
            </w:r>
            <w:r>
              <w:rPr>
                <w:sz w:val="24"/>
                <w:szCs w:val="24"/>
              </w:rPr>
              <w:t xml:space="preserve">分；</w:t>
            </w:r>
            <w:r>
              <w:rPr>
                <w:rFonts w:hint="eastAsia"/>
                <w:sz w:val="24"/>
                <w:szCs w:val="24"/>
              </w:rPr>
              <w:t xml:space="preserve">在2小时（不含）至3小时内（含）响应的得2</w:t>
            </w:r>
            <w:r>
              <w:rPr>
                <w:sz w:val="24"/>
                <w:szCs w:val="24"/>
              </w:rPr>
              <w:t xml:space="preserve">分；</w:t>
            </w:r>
            <w:r>
              <w:rPr>
                <w:rFonts w:hint="eastAsia"/>
                <w:sz w:val="24"/>
                <w:szCs w:val="24"/>
              </w:rPr>
              <w:t xml:space="preserve">在3小时（不含）以上时间响应的</w:t>
            </w:r>
            <w:r>
              <w:rPr>
                <w:sz w:val="24"/>
                <w:szCs w:val="24"/>
              </w:rPr>
              <w:t xml:space="preserve">得</w:t>
            </w:r>
            <w:r>
              <w:rPr>
                <w:rFonts w:hint="eastAsia"/>
                <w:sz w:val="24"/>
                <w:szCs w:val="24"/>
              </w:rPr>
              <w:t xml:space="preserve">1</w:t>
            </w:r>
            <w:r>
              <w:rPr>
                <w:sz w:val="24"/>
                <w:szCs w:val="24"/>
              </w:rPr>
              <w:t xml:space="preserve">分，本项最高得</w:t>
            </w:r>
            <w:r>
              <w:rPr>
                <w:rFonts w:hint="eastAsia"/>
                <w:sz w:val="24"/>
                <w:szCs w:val="24"/>
              </w:rPr>
              <w:t xml:space="preserve">5分</w:t>
            </w:r>
            <w:r>
              <w:rPr>
                <w:sz w:val="24"/>
                <w:szCs w:val="24"/>
              </w:rPr>
              <w:t xml:space="preserve">。</w:t>
            </w:r>
            <w:r/>
          </w:p>
          <w:p>
            <w:pPr>
              <w:pStyle w:val="963"/>
              <w:jc w:val="left"/>
              <w:spacing w:line="360" w:lineRule="auto"/>
              <w:widowControl/>
              <w:rPr>
                <w:color w:val="000000"/>
                <w:sz w:val="24"/>
                <w:szCs w:val="24"/>
              </w:rPr>
            </w:pPr>
            <w:r>
              <w:rPr>
                <w:b/>
                <w:bCs/>
                <w:color w:val="000000"/>
                <w:sz w:val="24"/>
                <w:szCs w:val="24"/>
              </w:rPr>
              <w:t xml:space="preserve">注：</w:t>
            </w:r>
            <w:r>
              <w:rPr>
                <w:rFonts w:hint="eastAsia"/>
                <w:b/>
                <w:bCs/>
                <w:sz w:val="24"/>
                <w:szCs w:val="24"/>
              </w:rPr>
              <w:t xml:space="preserve">投标文件中提供承诺函并</w:t>
            </w:r>
            <w:r>
              <w:rPr>
                <w:b/>
                <w:bCs/>
                <w:color w:val="000000"/>
                <w:sz w:val="24"/>
                <w:szCs w:val="24"/>
              </w:rPr>
              <w:t xml:space="preserve">加盖</w:t>
            </w:r>
            <w:r>
              <w:rPr>
                <w:rFonts w:hint="eastAsia"/>
                <w:b/>
                <w:bCs/>
                <w:color w:val="000000"/>
                <w:sz w:val="24"/>
                <w:szCs w:val="24"/>
              </w:rPr>
              <w:t xml:space="preserve">投标人</w:t>
            </w:r>
            <w:r>
              <w:rPr>
                <w:b/>
                <w:bCs/>
                <w:color w:val="000000"/>
                <w:sz w:val="24"/>
                <w:szCs w:val="24"/>
              </w:rPr>
              <w:t xml:space="preserve">公章，否则不得分。</w:t>
            </w:r>
            <w:r>
              <w:rPr>
                <w:color w:val="000000"/>
                <w:sz w:val="24"/>
                <w:szCs w:val="24"/>
              </w:rPr>
            </w:r>
            <w:r/>
          </w:p>
        </w:tc>
      </w:tr>
      <w:tr>
        <w:trPr>
          <w:trHeight w:val="621"/>
        </w:trPr>
        <w:tc>
          <w:tcPr>
            <w:tcW w:w="1376" w:type="dxa"/>
            <w:vAlign w:val="center"/>
            <w:textDirection w:val="lrTb"/>
            <w:noWrap w:val="false"/>
          </w:tcPr>
          <w:p>
            <w:pPr>
              <w:pStyle w:val="963"/>
              <w:jc w:val="center"/>
              <w:spacing w:line="360" w:lineRule="auto"/>
              <w:widowControl/>
              <w:rPr>
                <w:color w:val="000000"/>
                <w:sz w:val="24"/>
                <w:szCs w:val="24"/>
              </w:rPr>
            </w:pPr>
            <w:r>
              <w:rPr>
                <w:color w:val="000000"/>
                <w:sz w:val="24"/>
                <w:szCs w:val="24"/>
              </w:rPr>
              <w:t xml:space="preserve">业绩</w:t>
            </w:r>
            <w:r/>
          </w:p>
          <w:p>
            <w:pPr>
              <w:pStyle w:val="963"/>
              <w:jc w:val="center"/>
              <w:spacing w:line="360" w:lineRule="auto"/>
              <w:widowControl/>
              <w:rPr>
                <w:color w:val="000000"/>
                <w:sz w:val="24"/>
                <w:szCs w:val="24"/>
              </w:rPr>
            </w:pPr>
            <w:r>
              <w:rPr>
                <w:color w:val="000000"/>
                <w:sz w:val="24"/>
                <w:szCs w:val="24"/>
              </w:rPr>
              <w:t xml:space="preserve">（</w:t>
            </w:r>
            <w:r>
              <w:rPr>
                <w:rFonts w:hint="eastAsia"/>
                <w:color w:val="000000"/>
                <w:sz w:val="24"/>
                <w:szCs w:val="24"/>
              </w:rPr>
              <w:t xml:space="preserve">18</w:t>
            </w:r>
            <w:r>
              <w:rPr>
                <w:color w:val="000000"/>
                <w:sz w:val="24"/>
                <w:szCs w:val="24"/>
              </w:rPr>
              <w:t xml:space="preserve">分）</w:t>
            </w:r>
            <w:r/>
          </w:p>
        </w:tc>
        <w:tc>
          <w:tcPr>
            <w:tcW w:w="7129" w:type="dxa"/>
            <w:vAlign w:val="center"/>
            <w:textDirection w:val="lrTb"/>
            <w:noWrap w:val="false"/>
          </w:tcPr>
          <w:p>
            <w:pPr>
              <w:pStyle w:val="963"/>
              <w:jc w:val="left"/>
              <w:spacing w:line="360" w:lineRule="auto"/>
              <w:widowControl/>
              <w:rPr>
                <w:color w:val="000000"/>
                <w:sz w:val="24"/>
                <w:szCs w:val="24"/>
              </w:rPr>
            </w:pPr>
            <w:r>
              <w:rPr>
                <w:color w:val="000000"/>
                <w:sz w:val="24"/>
                <w:szCs w:val="24"/>
              </w:rPr>
              <w:t xml:space="preserve">1、自2021年1月1日（含）</w:t>
            </w:r>
            <w:r>
              <w:rPr>
                <w:rFonts w:hint="eastAsia"/>
                <w:color w:val="000000"/>
                <w:sz w:val="24"/>
                <w:szCs w:val="24"/>
              </w:rPr>
              <w:t xml:space="preserve">以来</w:t>
            </w:r>
            <w:r>
              <w:rPr>
                <w:color w:val="000000"/>
                <w:sz w:val="24"/>
                <w:szCs w:val="24"/>
              </w:rPr>
              <w:t xml:space="preserve">，投标人承担过环境空气自动站运维</w:t>
            </w:r>
            <w:r>
              <w:rPr>
                <w:rFonts w:hint="eastAsia"/>
                <w:color w:val="000000"/>
                <w:sz w:val="24"/>
                <w:szCs w:val="24"/>
              </w:rPr>
              <w:t xml:space="preserve">相关项目或</w:t>
            </w:r>
            <w:r>
              <w:rPr>
                <w:color w:val="000000"/>
                <w:sz w:val="24"/>
                <w:szCs w:val="24"/>
              </w:rPr>
              <w:t xml:space="preserve">大气管控类服务项目</w:t>
            </w:r>
            <w:r>
              <w:rPr>
                <w:rFonts w:hint="eastAsia"/>
                <w:color w:val="000000"/>
                <w:sz w:val="24"/>
                <w:szCs w:val="24"/>
              </w:rPr>
              <w:t xml:space="preserve">的</w:t>
            </w:r>
            <w:r>
              <w:rPr>
                <w:color w:val="000000"/>
                <w:sz w:val="24"/>
                <w:szCs w:val="24"/>
              </w:rPr>
              <w:t xml:space="preserve">，每提供一份</w:t>
            </w:r>
            <w:r>
              <w:rPr>
                <w:rFonts w:hint="eastAsia"/>
                <w:color w:val="000000"/>
                <w:sz w:val="24"/>
                <w:szCs w:val="24"/>
              </w:rPr>
              <w:t xml:space="preserve">合同</w:t>
            </w:r>
            <w:r>
              <w:rPr>
                <w:color w:val="000000"/>
                <w:sz w:val="24"/>
                <w:szCs w:val="24"/>
              </w:rPr>
              <w:t xml:space="preserve">的得</w:t>
            </w:r>
            <w:r>
              <w:rPr>
                <w:rFonts w:hint="eastAsia"/>
                <w:color w:val="000000"/>
                <w:sz w:val="24"/>
                <w:szCs w:val="24"/>
              </w:rPr>
              <w:t xml:space="preserve">3</w:t>
            </w:r>
            <w:r>
              <w:rPr>
                <w:color w:val="000000"/>
                <w:sz w:val="24"/>
                <w:szCs w:val="24"/>
              </w:rPr>
              <w:t xml:space="preserve">分，最高得</w:t>
            </w:r>
            <w:r>
              <w:rPr>
                <w:rFonts w:hint="eastAsia"/>
                <w:color w:val="000000"/>
                <w:sz w:val="24"/>
                <w:szCs w:val="24"/>
              </w:rPr>
              <w:t xml:space="preserve">6</w:t>
            </w:r>
            <w:r>
              <w:rPr>
                <w:color w:val="000000"/>
                <w:sz w:val="24"/>
                <w:szCs w:val="24"/>
              </w:rPr>
              <w:t xml:space="preserve">分。</w:t>
            </w:r>
            <w:r/>
          </w:p>
          <w:p>
            <w:pPr>
              <w:pStyle w:val="963"/>
              <w:jc w:val="left"/>
              <w:spacing w:line="360" w:lineRule="auto"/>
              <w:widowControl/>
              <w:rPr>
                <w:color w:val="000000"/>
                <w:sz w:val="24"/>
                <w:szCs w:val="24"/>
              </w:rPr>
            </w:pPr>
            <w:r>
              <w:rPr>
                <w:color w:val="000000"/>
                <w:sz w:val="24"/>
                <w:szCs w:val="24"/>
              </w:rPr>
              <w:t xml:space="preserve">2、</w:t>
            </w:r>
            <w:r>
              <w:rPr>
                <w:rFonts w:hint="eastAsia"/>
                <w:color w:val="000000"/>
                <w:sz w:val="24"/>
                <w:szCs w:val="24"/>
              </w:rPr>
              <w:t xml:space="preserve">自</w:t>
            </w:r>
            <w:r>
              <w:rPr>
                <w:color w:val="000000"/>
                <w:sz w:val="24"/>
                <w:szCs w:val="24"/>
              </w:rPr>
              <w:t xml:space="preserve">2021年1月1日（含）</w:t>
            </w:r>
            <w:r>
              <w:rPr>
                <w:rFonts w:hint="eastAsia"/>
                <w:color w:val="000000"/>
                <w:sz w:val="24"/>
                <w:szCs w:val="24"/>
              </w:rPr>
              <w:t xml:space="preserve">以来</w:t>
            </w:r>
            <w:r>
              <w:rPr>
                <w:color w:val="000000"/>
                <w:sz w:val="24"/>
                <w:szCs w:val="24"/>
              </w:rPr>
              <w:t xml:space="preserve">，投标人承担过VOCs站点运维</w:t>
            </w:r>
            <w:r>
              <w:rPr>
                <w:rFonts w:hint="eastAsia"/>
                <w:color w:val="000000"/>
                <w:sz w:val="24"/>
                <w:szCs w:val="24"/>
              </w:rPr>
              <w:t xml:space="preserve">相关项目</w:t>
            </w:r>
            <w:r>
              <w:rPr>
                <w:color w:val="000000"/>
                <w:sz w:val="24"/>
                <w:szCs w:val="24"/>
              </w:rPr>
              <w:t xml:space="preserve">的，每提供</w:t>
            </w:r>
            <w:r>
              <w:rPr>
                <w:color w:val="000000"/>
                <w:sz w:val="24"/>
                <w:szCs w:val="24"/>
              </w:rPr>
              <w:t xml:space="preserve">一</w:t>
            </w:r>
            <w:r>
              <w:rPr>
                <w:color w:val="000000"/>
                <w:sz w:val="24"/>
                <w:szCs w:val="24"/>
              </w:rPr>
              <w:t xml:space="preserve">份</w:t>
            </w:r>
            <w:r>
              <w:rPr>
                <w:rFonts w:hint="eastAsia"/>
                <w:color w:val="000000"/>
                <w:sz w:val="24"/>
                <w:szCs w:val="24"/>
              </w:rPr>
              <w:t xml:space="preserve">合同</w:t>
            </w:r>
            <w:r>
              <w:rPr>
                <w:color w:val="000000"/>
                <w:sz w:val="24"/>
                <w:szCs w:val="24"/>
              </w:rPr>
              <w:t xml:space="preserve">得</w:t>
            </w:r>
            <w:r>
              <w:rPr>
                <w:rFonts w:hint="eastAsia"/>
                <w:color w:val="000000"/>
                <w:sz w:val="24"/>
                <w:szCs w:val="24"/>
              </w:rPr>
              <w:t xml:space="preserve">2</w:t>
            </w:r>
            <w:r>
              <w:rPr>
                <w:color w:val="000000"/>
                <w:sz w:val="24"/>
                <w:szCs w:val="24"/>
              </w:rPr>
              <w:t xml:space="preserve">分，最高得</w:t>
            </w:r>
            <w:r>
              <w:rPr>
                <w:rFonts w:hint="eastAsia"/>
                <w:color w:val="000000"/>
                <w:sz w:val="24"/>
                <w:szCs w:val="24"/>
              </w:rPr>
              <w:t xml:space="preserve">4</w:t>
            </w:r>
            <w:r>
              <w:rPr>
                <w:color w:val="000000"/>
                <w:sz w:val="24"/>
                <w:szCs w:val="24"/>
              </w:rPr>
              <w:t xml:space="preserve">分。</w:t>
            </w:r>
            <w:r/>
          </w:p>
          <w:p>
            <w:pPr>
              <w:pStyle w:val="963"/>
              <w:jc w:val="left"/>
              <w:spacing w:line="360" w:lineRule="auto"/>
              <w:widowControl/>
              <w:rPr>
                <w:color w:val="000000"/>
                <w:sz w:val="24"/>
                <w:szCs w:val="24"/>
              </w:rPr>
            </w:pPr>
            <w:r>
              <w:rPr>
                <w:color w:val="000000"/>
                <w:sz w:val="24"/>
                <w:szCs w:val="24"/>
              </w:rPr>
              <w:t xml:space="preserve">3、自2021年1月1日（含）以来，投标人承担过大气环境走航监测或机动车尾气监测或卫星遥感监测</w:t>
            </w:r>
            <w:r>
              <w:rPr>
                <w:rFonts w:hint="eastAsia"/>
                <w:color w:val="000000"/>
                <w:sz w:val="24"/>
                <w:szCs w:val="24"/>
              </w:rPr>
              <w:t xml:space="preserve">相关项目</w:t>
            </w:r>
            <w:r>
              <w:rPr>
                <w:color w:val="000000"/>
                <w:sz w:val="24"/>
                <w:szCs w:val="24"/>
              </w:rPr>
              <w:t xml:space="preserve">的，每提供一份</w:t>
            </w:r>
            <w:r>
              <w:rPr>
                <w:rFonts w:hint="eastAsia"/>
                <w:color w:val="000000"/>
                <w:sz w:val="24"/>
                <w:szCs w:val="24"/>
              </w:rPr>
              <w:t xml:space="preserve">合同</w:t>
            </w:r>
            <w:r>
              <w:rPr>
                <w:color w:val="000000"/>
                <w:sz w:val="24"/>
                <w:szCs w:val="24"/>
              </w:rPr>
              <w:t xml:space="preserve">得</w:t>
            </w:r>
            <w:r>
              <w:rPr>
                <w:rFonts w:hint="eastAsia"/>
                <w:color w:val="000000"/>
                <w:sz w:val="24"/>
                <w:szCs w:val="24"/>
              </w:rPr>
              <w:t xml:space="preserve">2</w:t>
            </w:r>
            <w:r>
              <w:rPr>
                <w:color w:val="000000"/>
                <w:sz w:val="24"/>
                <w:szCs w:val="24"/>
              </w:rPr>
              <w:t xml:space="preserve">分，最高得</w:t>
            </w:r>
            <w:r>
              <w:rPr>
                <w:rFonts w:hint="eastAsia"/>
                <w:color w:val="000000"/>
                <w:sz w:val="24"/>
                <w:szCs w:val="24"/>
              </w:rPr>
              <w:t xml:space="preserve">4</w:t>
            </w:r>
            <w:r>
              <w:rPr>
                <w:color w:val="000000"/>
                <w:sz w:val="24"/>
                <w:szCs w:val="24"/>
              </w:rPr>
              <w:t xml:space="preserve">分。</w:t>
            </w:r>
            <w:r/>
          </w:p>
          <w:p>
            <w:pPr>
              <w:pStyle w:val="963"/>
              <w:jc w:val="left"/>
              <w:spacing w:line="360" w:lineRule="auto"/>
              <w:widowControl/>
              <w:rPr>
                <w:rFonts w:cs="Arial"/>
                <w:color w:val="000000"/>
                <w:sz w:val="24"/>
                <w:szCs w:val="24"/>
              </w:rPr>
            </w:pPr>
            <w:r>
              <w:rPr>
                <w:color w:val="000000"/>
                <w:sz w:val="24"/>
                <w:szCs w:val="24"/>
              </w:rPr>
              <w:t xml:space="preserve">4</w:t>
            </w:r>
            <w:r>
              <w:rPr>
                <w:rFonts w:hint="eastAsia"/>
                <w:color w:val="000000"/>
                <w:sz w:val="24"/>
                <w:szCs w:val="24"/>
              </w:rPr>
              <w:t xml:space="preserve">、</w:t>
            </w:r>
            <w:r>
              <w:rPr>
                <w:color w:val="000000"/>
                <w:sz w:val="24"/>
                <w:szCs w:val="24"/>
              </w:rPr>
              <w:t xml:space="preserve">自2021年1月1日（含）以来，投标人承担过</w:t>
            </w:r>
            <w:r>
              <w:rPr>
                <w:rFonts w:cs="Arial"/>
                <w:color w:val="000000"/>
                <w:sz w:val="24"/>
                <w:szCs w:val="24"/>
              </w:rPr>
              <w:t xml:space="preserve">地表水自动站运维服务</w:t>
            </w:r>
            <w:r>
              <w:rPr>
                <w:rFonts w:hint="eastAsia"/>
                <w:color w:val="000000"/>
                <w:sz w:val="24"/>
                <w:szCs w:val="24"/>
              </w:rPr>
              <w:t xml:space="preserve">相关项目</w:t>
            </w:r>
            <w:r>
              <w:rPr>
                <w:color w:val="000000"/>
                <w:sz w:val="24"/>
                <w:szCs w:val="24"/>
              </w:rPr>
              <w:t xml:space="preserve">的</w:t>
            </w:r>
            <w:r>
              <w:rPr>
                <w:rFonts w:hint="eastAsia"/>
                <w:color w:val="000000"/>
                <w:sz w:val="24"/>
                <w:szCs w:val="24"/>
              </w:rPr>
              <w:t xml:space="preserve">，</w:t>
            </w:r>
            <w:r>
              <w:rPr>
                <w:color w:val="000000"/>
                <w:sz w:val="24"/>
                <w:szCs w:val="24"/>
              </w:rPr>
              <w:t xml:space="preserve">每提供一份</w:t>
            </w:r>
            <w:r>
              <w:rPr>
                <w:rFonts w:hint="eastAsia"/>
                <w:color w:val="000000"/>
                <w:sz w:val="24"/>
                <w:szCs w:val="24"/>
              </w:rPr>
              <w:t xml:space="preserve">合同</w:t>
            </w:r>
            <w:r>
              <w:rPr>
                <w:color w:val="000000"/>
                <w:sz w:val="24"/>
                <w:szCs w:val="24"/>
              </w:rPr>
              <w:t xml:space="preserve">得</w:t>
            </w:r>
            <w:r>
              <w:rPr>
                <w:rFonts w:hint="eastAsia"/>
                <w:color w:val="000000"/>
                <w:sz w:val="24"/>
                <w:szCs w:val="24"/>
              </w:rPr>
              <w:t xml:space="preserve">2</w:t>
            </w:r>
            <w:r>
              <w:rPr>
                <w:color w:val="000000"/>
                <w:sz w:val="24"/>
                <w:szCs w:val="24"/>
              </w:rPr>
              <w:t xml:space="preserve">分，最高得</w:t>
            </w:r>
            <w:r>
              <w:rPr>
                <w:rFonts w:hint="eastAsia"/>
                <w:color w:val="000000"/>
                <w:sz w:val="24"/>
                <w:szCs w:val="24"/>
              </w:rPr>
              <w:t xml:space="preserve">4</w:t>
            </w:r>
            <w:r>
              <w:rPr>
                <w:color w:val="000000"/>
                <w:sz w:val="24"/>
                <w:szCs w:val="24"/>
              </w:rPr>
              <w:t xml:space="preserve">分</w:t>
            </w:r>
            <w:r>
              <w:rPr>
                <w:rFonts w:cs="Arial"/>
                <w:color w:val="000000"/>
                <w:sz w:val="24"/>
                <w:szCs w:val="24"/>
              </w:rPr>
              <w:t xml:space="preserve">。</w:t>
            </w:r>
            <w:r/>
          </w:p>
          <w:p>
            <w:pPr>
              <w:pStyle w:val="963"/>
              <w:jc w:val="left"/>
              <w:spacing w:line="360" w:lineRule="auto"/>
              <w:widowControl/>
              <w:rPr>
                <w:b/>
                <w:color w:val="000000"/>
                <w:sz w:val="24"/>
                <w:szCs w:val="24"/>
              </w:rPr>
            </w:pPr>
            <w:r>
              <w:rPr>
                <w:b/>
                <w:bCs/>
                <w:color w:val="000000"/>
                <w:sz w:val="24"/>
                <w:szCs w:val="24"/>
              </w:rPr>
              <w:t xml:space="preserve">注：以上</w:t>
            </w:r>
            <w:r>
              <w:rPr>
                <w:rFonts w:hint="eastAsia"/>
                <w:b/>
                <w:bCs/>
                <w:color w:val="000000"/>
                <w:sz w:val="24"/>
                <w:szCs w:val="24"/>
              </w:rPr>
              <w:t xml:space="preserve">1-4项投标文件中</w:t>
            </w:r>
            <w:r>
              <w:rPr>
                <w:b/>
                <w:bCs/>
                <w:color w:val="000000"/>
                <w:sz w:val="24"/>
                <w:szCs w:val="24"/>
              </w:rPr>
              <w:t xml:space="preserve">提供合同并加盖投标人公章</w:t>
            </w:r>
            <w:r>
              <w:rPr>
                <w:rFonts w:eastAsia="仿宋"/>
                <w:b/>
                <w:bCs/>
                <w:color w:val="000000"/>
                <w:sz w:val="24"/>
                <w:szCs w:val="24"/>
              </w:rPr>
              <w:t xml:space="preserve">，</w:t>
            </w:r>
            <w:r>
              <w:rPr>
                <w:b/>
                <w:bCs/>
                <w:color w:val="000000"/>
                <w:sz w:val="24"/>
                <w:szCs w:val="24"/>
              </w:rPr>
              <w:t xml:space="preserve">否则不得分。</w:t>
            </w:r>
            <w:r>
              <w:rPr>
                <w:b/>
                <w:color w:val="000000"/>
                <w:sz w:val="24"/>
                <w:szCs w:val="24"/>
              </w:rPr>
            </w:r>
            <w:r/>
          </w:p>
        </w:tc>
      </w:tr>
    </w:tbl>
    <w:p>
      <w:pPr>
        <w:pStyle w:val="963"/>
        <w:ind w:firstLine="480"/>
        <w:jc w:val="left"/>
        <w:spacing w:line="500" w:lineRule="exact"/>
        <w:rPr>
          <w:sz w:val="24"/>
          <w:szCs w:val="24"/>
        </w:rPr>
      </w:pPr>
      <w:r>
        <w:rPr>
          <w:sz w:val="24"/>
          <w:szCs w:val="24"/>
        </w:rPr>
      </w:r>
      <w:r/>
    </w:p>
    <w:p>
      <w:pPr>
        <w:pStyle w:val="963"/>
        <w:ind w:firstLine="480"/>
        <w:jc w:val="left"/>
        <w:spacing w:line="500" w:lineRule="exact"/>
        <w:rPr>
          <w:sz w:val="24"/>
          <w:szCs w:val="24"/>
        </w:rPr>
      </w:pPr>
      <w:r>
        <w:rPr>
          <w:rFonts w:hint="eastAsia"/>
          <w:sz w:val="24"/>
          <w:szCs w:val="24"/>
        </w:rPr>
        <w:t xml:space="preserve">（3）商务分（</w:t>
      </w:r>
      <w:r>
        <w:rPr>
          <w:rFonts w:hint="eastAsia"/>
          <w:sz w:val="24"/>
          <w:szCs w:val="24"/>
        </w:rPr>
        <w:t xml:space="preserve">32</w:t>
      </w:r>
      <w:r>
        <w:rPr>
          <w:rFonts w:hint="eastAsia"/>
          <w:sz w:val="24"/>
          <w:szCs w:val="24"/>
        </w:rPr>
        <w:t xml:space="preserve">分）</w:t>
      </w:r>
      <w:r>
        <w:rPr>
          <w:sz w:val="24"/>
          <w:szCs w:val="24"/>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963"/>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rPr>
                <w:rFonts w:ascii="黑体" w:hAnsi="黑体" w:eastAsia="黑体"/>
                <w:color w:val="000000"/>
                <w:sz w:val="24"/>
                <w:szCs w:val="24"/>
              </w:rPr>
            </w:r>
            <w:r/>
          </w:p>
        </w:tc>
        <w:tc>
          <w:tcPr>
            <w:tcW w:w="6845" w:type="dxa"/>
            <w:vAlign w:val="center"/>
            <w:textDirection w:val="lrTb"/>
            <w:noWrap w:val="false"/>
          </w:tcPr>
          <w:p>
            <w:pPr>
              <w:pStyle w:val="963"/>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rPr>
                <w:rFonts w:ascii="黑体" w:hAnsi="黑体" w:eastAsia="黑体"/>
                <w:color w:val="000000"/>
                <w:sz w:val="24"/>
                <w:szCs w:val="24"/>
              </w:rPr>
            </w:r>
            <w:r/>
          </w:p>
        </w:tc>
      </w:tr>
      <w:tr>
        <w:trPr>
          <w:trHeight w:val="621"/>
        </w:trPr>
        <w:tc>
          <w:tcPr>
            <w:tcW w:w="1660" w:type="dxa"/>
            <w:vAlign w:val="center"/>
            <w:textDirection w:val="lrTb"/>
            <w:noWrap w:val="false"/>
          </w:tcPr>
          <w:p>
            <w:pPr>
              <w:pStyle w:val="963"/>
              <w:jc w:val="center"/>
              <w:spacing w:line="360" w:lineRule="auto"/>
              <w:widowControl/>
              <w:rPr>
                <w:color w:val="000000"/>
                <w:sz w:val="24"/>
                <w:szCs w:val="24"/>
              </w:rPr>
            </w:pPr>
            <w:r>
              <w:rPr>
                <w:color w:val="000000"/>
                <w:sz w:val="24"/>
                <w:szCs w:val="24"/>
              </w:rPr>
              <w:t xml:space="preserve">总体服务方案</w:t>
            </w:r>
            <w:r/>
          </w:p>
          <w:p>
            <w:pPr>
              <w:pStyle w:val="963"/>
              <w:jc w:val="center"/>
              <w:spacing w:line="360" w:lineRule="auto"/>
              <w:rPr>
                <w:sz w:val="24"/>
                <w:szCs w:val="24"/>
              </w:rPr>
            </w:pPr>
            <w:r>
              <w:rPr>
                <w:color w:val="000000"/>
                <w:sz w:val="24"/>
                <w:szCs w:val="24"/>
              </w:rPr>
              <w:t xml:space="preserve">（</w:t>
            </w:r>
            <w:r>
              <w:rPr>
                <w:rFonts w:hint="eastAsia"/>
                <w:color w:val="000000"/>
                <w:sz w:val="24"/>
                <w:szCs w:val="24"/>
              </w:rPr>
              <w:t xml:space="preserve">9</w:t>
            </w:r>
            <w:r>
              <w:rPr>
                <w:color w:val="000000"/>
                <w:sz w:val="24"/>
                <w:szCs w:val="24"/>
              </w:rPr>
              <w:t xml:space="preserve">分）</w:t>
            </w:r>
            <w:r>
              <w:rPr>
                <w:sz w:val="24"/>
                <w:szCs w:val="24"/>
              </w:rPr>
            </w:r>
            <w:r/>
          </w:p>
        </w:tc>
        <w:tc>
          <w:tcPr>
            <w:tcW w:w="6845" w:type="dxa"/>
            <w:vAlign w:val="center"/>
            <w:textDirection w:val="lrTb"/>
            <w:noWrap w:val="false"/>
          </w:tcPr>
          <w:p>
            <w:pPr>
              <w:pStyle w:val="963"/>
              <w:jc w:val="left"/>
              <w:spacing w:line="360" w:lineRule="auto"/>
              <w:widowControl/>
              <w:rPr>
                <w:color w:val="000000"/>
                <w:sz w:val="24"/>
                <w:szCs w:val="24"/>
              </w:rPr>
            </w:pPr>
            <w:r>
              <w:rPr>
                <w:color w:val="000000"/>
                <w:sz w:val="24"/>
                <w:szCs w:val="24"/>
              </w:rPr>
              <w:t xml:space="preserve">投标人针对采购需求提供总体服务方案，包含</w:t>
            </w:r>
            <w:r>
              <w:rPr>
                <w:rFonts w:hint="eastAsia"/>
                <w:color w:val="000000"/>
                <w:sz w:val="24"/>
                <w:szCs w:val="24"/>
              </w:rPr>
              <w:t xml:space="preserve">但不限于</w:t>
            </w:r>
            <w:r>
              <w:rPr>
                <w:color w:val="000000"/>
                <w:sz w:val="24"/>
                <w:szCs w:val="24"/>
              </w:rPr>
              <w:t xml:space="preserve">机构设置、管理制度、</w:t>
            </w:r>
            <w:r>
              <w:rPr>
                <w:rFonts w:hint="eastAsia"/>
                <w:color w:val="000000"/>
                <w:sz w:val="24"/>
                <w:szCs w:val="24"/>
              </w:rPr>
              <w:t xml:space="preserve">运维工作内容</w:t>
            </w:r>
            <w:r>
              <w:rPr>
                <w:color w:val="000000"/>
                <w:sz w:val="24"/>
                <w:szCs w:val="24"/>
              </w:rPr>
              <w:t xml:space="preserve">等。</w:t>
            </w:r>
            <w:r/>
          </w:p>
          <w:p>
            <w:pPr>
              <w:pStyle w:val="963"/>
              <w:jc w:val="left"/>
              <w:spacing w:line="360" w:lineRule="auto"/>
              <w:widowControl/>
              <w:rPr>
                <w:color w:val="000000"/>
                <w:sz w:val="24"/>
                <w:szCs w:val="24"/>
              </w:rPr>
            </w:pPr>
            <w:r>
              <w:rPr>
                <w:rFonts w:hint="eastAsia"/>
                <w:color w:val="000000"/>
                <w:sz w:val="24"/>
                <w:szCs w:val="24"/>
              </w:rPr>
              <w:t xml:space="preserve">总体服务方案</w:t>
            </w:r>
            <w:r>
              <w:rPr>
                <w:color w:val="000000"/>
                <w:sz w:val="24"/>
                <w:szCs w:val="24"/>
              </w:rPr>
              <w:t xml:space="preserve">详细切实可行</w:t>
            </w:r>
            <w:r>
              <w:rPr>
                <w:rFonts w:hint="eastAsia"/>
                <w:color w:val="000000"/>
                <w:sz w:val="24"/>
                <w:szCs w:val="24"/>
              </w:rPr>
              <w:t xml:space="preserve">，</w:t>
            </w:r>
            <w:r>
              <w:rPr>
                <w:color w:val="000000"/>
                <w:sz w:val="24"/>
                <w:szCs w:val="24"/>
              </w:rPr>
              <w:t xml:space="preserve">对采购人的要求理解准确；方案详细完善全面、整体设计合理，具有科学性、规范性、可行性，能够完全满足项目实施需要</w:t>
            </w:r>
            <w:r>
              <w:rPr>
                <w:rFonts w:hint="eastAsia"/>
                <w:color w:val="000000"/>
                <w:sz w:val="24"/>
                <w:szCs w:val="24"/>
              </w:rPr>
              <w:t xml:space="preserve">的，得9分；</w:t>
            </w:r>
            <w:r>
              <w:rPr>
                <w:color w:val="000000"/>
                <w:sz w:val="24"/>
                <w:szCs w:val="24"/>
              </w:rPr>
            </w:r>
            <w:r/>
          </w:p>
          <w:p>
            <w:pPr>
              <w:pStyle w:val="963"/>
              <w:jc w:val="left"/>
              <w:spacing w:line="360" w:lineRule="auto"/>
              <w:widowControl/>
              <w:rPr>
                <w:color w:val="000000"/>
                <w:sz w:val="24"/>
                <w:szCs w:val="24"/>
              </w:rPr>
            </w:pPr>
            <w:r>
              <w:rPr>
                <w:rFonts w:hint="eastAsia"/>
                <w:color w:val="000000"/>
                <w:sz w:val="24"/>
                <w:szCs w:val="24"/>
              </w:rPr>
              <w:t xml:space="preserve">总体服务方案能较好地满足采购人的需求，整体设计较为合理的，得7分；</w:t>
            </w:r>
            <w:r>
              <w:rPr>
                <w:color w:val="000000"/>
                <w:sz w:val="24"/>
                <w:szCs w:val="24"/>
              </w:rPr>
            </w:r>
            <w:r/>
          </w:p>
          <w:p>
            <w:pPr>
              <w:pStyle w:val="963"/>
              <w:jc w:val="left"/>
              <w:spacing w:line="360" w:lineRule="auto"/>
              <w:widowControl/>
              <w:rPr>
                <w:color w:val="000000"/>
                <w:sz w:val="24"/>
                <w:szCs w:val="24"/>
              </w:rPr>
            </w:pPr>
            <w:r>
              <w:rPr>
                <w:rFonts w:hint="eastAsia"/>
                <w:color w:val="000000"/>
                <w:sz w:val="24"/>
                <w:szCs w:val="24"/>
              </w:rPr>
              <w:t xml:space="preserve">总体</w:t>
            </w:r>
            <w:r>
              <w:rPr>
                <w:color w:val="000000"/>
                <w:sz w:val="24"/>
                <w:szCs w:val="24"/>
              </w:rPr>
              <w:t xml:space="preserve">服务方案基本合理，</w:t>
            </w:r>
            <w:r>
              <w:rPr>
                <w:rFonts w:hint="eastAsia"/>
                <w:color w:val="000000"/>
                <w:sz w:val="24"/>
                <w:szCs w:val="24"/>
              </w:rPr>
              <w:t xml:space="preserve">措施一般可行，</w:t>
            </w:r>
            <w:r>
              <w:rPr>
                <w:color w:val="000000"/>
                <w:sz w:val="24"/>
                <w:szCs w:val="24"/>
              </w:rPr>
              <w:t xml:space="preserve">能基本满足项目需要的</w:t>
            </w:r>
            <w:r>
              <w:rPr>
                <w:rFonts w:hint="eastAsia"/>
                <w:color w:val="000000"/>
                <w:sz w:val="24"/>
                <w:szCs w:val="24"/>
              </w:rPr>
              <w:t xml:space="preserve">，得5分</w:t>
            </w:r>
            <w:r>
              <w:rPr>
                <w:color w:val="000000"/>
                <w:sz w:val="24"/>
                <w:szCs w:val="24"/>
              </w:rPr>
              <w:t xml:space="preserve">；</w:t>
            </w:r>
            <w:r/>
          </w:p>
          <w:p>
            <w:pPr>
              <w:pStyle w:val="963"/>
              <w:jc w:val="left"/>
              <w:spacing w:line="360" w:lineRule="auto"/>
              <w:widowControl/>
              <w:rPr>
                <w:color w:val="000000"/>
                <w:sz w:val="24"/>
                <w:szCs w:val="24"/>
              </w:rPr>
            </w:pPr>
            <w:r>
              <w:rPr>
                <w:rFonts w:hint="eastAsia"/>
                <w:color w:val="000000"/>
                <w:sz w:val="24"/>
                <w:szCs w:val="24"/>
              </w:rPr>
              <w:t xml:space="preserve">总体服务</w:t>
            </w:r>
            <w:r>
              <w:rPr>
                <w:color w:val="000000"/>
                <w:sz w:val="24"/>
                <w:szCs w:val="24"/>
              </w:rPr>
              <w:t xml:space="preserve">方案简单粗略，可操作性和合理性较差的</w:t>
            </w:r>
            <w:r>
              <w:rPr>
                <w:rFonts w:hint="eastAsia"/>
                <w:color w:val="000000"/>
                <w:sz w:val="24"/>
                <w:szCs w:val="24"/>
              </w:rPr>
              <w:t xml:space="preserve">，得3分</w:t>
            </w:r>
            <w:r>
              <w:rPr>
                <w:color w:val="000000"/>
                <w:sz w:val="24"/>
                <w:szCs w:val="24"/>
              </w:rPr>
              <w:t xml:space="preserve">。</w:t>
            </w:r>
            <w:r/>
          </w:p>
          <w:p>
            <w:pPr>
              <w:pStyle w:val="963"/>
              <w:jc w:val="left"/>
              <w:spacing w:line="360" w:lineRule="auto"/>
              <w:rPr>
                <w:sz w:val="24"/>
                <w:szCs w:val="24"/>
              </w:rPr>
            </w:pPr>
            <w:r>
              <w:rPr>
                <w:bCs/>
                <w:color w:val="000000"/>
                <w:sz w:val="24"/>
                <w:szCs w:val="24"/>
              </w:rPr>
              <w:t xml:space="preserve">该项未</w:t>
            </w:r>
            <w:r>
              <w:rPr>
                <w:rFonts w:hint="eastAsia"/>
                <w:bCs/>
                <w:color w:val="000000"/>
                <w:sz w:val="24"/>
                <w:szCs w:val="24"/>
              </w:rPr>
              <w:t xml:space="preserve">见</w:t>
            </w:r>
            <w:r>
              <w:rPr>
                <w:bCs/>
                <w:color w:val="000000"/>
                <w:sz w:val="24"/>
                <w:szCs w:val="24"/>
              </w:rPr>
              <w:t xml:space="preserve">阐述不得分。</w:t>
            </w:r>
            <w:r>
              <w:rPr>
                <w:sz w:val="24"/>
                <w:szCs w:val="24"/>
              </w:rPr>
            </w:r>
            <w:r/>
          </w:p>
        </w:tc>
      </w:tr>
      <w:tr>
        <w:trPr>
          <w:trHeight w:val="621"/>
        </w:trPr>
        <w:tc>
          <w:tcPr>
            <w:tcW w:w="1660" w:type="dxa"/>
            <w:vAlign w:val="center"/>
            <w:textDirection w:val="lrTb"/>
            <w:noWrap w:val="false"/>
          </w:tcPr>
          <w:p>
            <w:pPr>
              <w:pStyle w:val="963"/>
              <w:jc w:val="center"/>
              <w:spacing w:line="360" w:lineRule="auto"/>
              <w:widowControl/>
              <w:rPr>
                <w:color w:val="000000"/>
                <w:sz w:val="24"/>
                <w:szCs w:val="24"/>
              </w:rPr>
            </w:pPr>
            <w:r>
              <w:rPr>
                <w:color w:val="000000"/>
                <w:sz w:val="24"/>
                <w:szCs w:val="24"/>
              </w:rPr>
              <w:t xml:space="preserve">质量保证方案</w:t>
            </w:r>
            <w:r/>
          </w:p>
          <w:p>
            <w:pPr>
              <w:pStyle w:val="963"/>
              <w:jc w:val="center"/>
              <w:spacing w:line="360" w:lineRule="auto"/>
              <w:rPr>
                <w:sz w:val="24"/>
                <w:szCs w:val="24"/>
              </w:rPr>
            </w:pPr>
            <w:r>
              <w:rPr>
                <w:color w:val="000000"/>
                <w:sz w:val="24"/>
                <w:szCs w:val="24"/>
              </w:rPr>
              <w:t xml:space="preserve">(</w:t>
            </w:r>
            <w:r>
              <w:rPr>
                <w:rFonts w:hint="eastAsia"/>
                <w:color w:val="000000"/>
                <w:sz w:val="24"/>
                <w:szCs w:val="24"/>
              </w:rPr>
              <w:t xml:space="preserve">8</w:t>
            </w:r>
            <w:r>
              <w:rPr>
                <w:color w:val="000000"/>
                <w:sz w:val="24"/>
                <w:szCs w:val="24"/>
              </w:rPr>
              <w:t xml:space="preserve">分)</w:t>
            </w:r>
            <w:r>
              <w:rPr>
                <w:sz w:val="24"/>
                <w:szCs w:val="24"/>
              </w:rPr>
            </w:r>
            <w:r/>
          </w:p>
        </w:tc>
        <w:tc>
          <w:tcPr>
            <w:tcW w:w="6845" w:type="dxa"/>
            <w:vAlign w:val="center"/>
            <w:textDirection w:val="lrTb"/>
            <w:noWrap w:val="false"/>
          </w:tcPr>
          <w:p>
            <w:pPr>
              <w:pStyle w:val="963"/>
              <w:jc w:val="left"/>
              <w:spacing w:line="360" w:lineRule="auto"/>
              <w:widowControl/>
              <w:rPr>
                <w:color w:val="000000"/>
                <w:sz w:val="24"/>
                <w:szCs w:val="24"/>
              </w:rPr>
            </w:pPr>
            <w:r>
              <w:rPr>
                <w:color w:val="000000"/>
                <w:sz w:val="24"/>
                <w:szCs w:val="24"/>
              </w:rPr>
              <w:t xml:space="preserve">投标人</w:t>
            </w:r>
            <w:r>
              <w:rPr>
                <w:color w:val="000000"/>
                <w:sz w:val="24"/>
                <w:szCs w:val="24"/>
              </w:rPr>
              <w:t xml:space="preserve">针对采购需求提供</w:t>
            </w:r>
            <w:r>
              <w:rPr>
                <w:rFonts w:hint="eastAsia"/>
                <w:color w:val="000000"/>
                <w:sz w:val="24"/>
                <w:szCs w:val="24"/>
              </w:rPr>
              <w:t xml:space="preserve">质量保证方案，包含但不限于</w:t>
            </w:r>
            <w:r>
              <w:rPr>
                <w:color w:val="000000"/>
                <w:sz w:val="24"/>
                <w:szCs w:val="24"/>
              </w:rPr>
              <w:t xml:space="preserve">项目</w:t>
            </w:r>
            <w:r>
              <w:rPr>
                <w:rFonts w:hint="eastAsia"/>
                <w:color w:val="000000"/>
                <w:sz w:val="24"/>
                <w:szCs w:val="24"/>
              </w:rPr>
              <w:t xml:space="preserve">质量</w:t>
            </w:r>
            <w:r>
              <w:rPr>
                <w:color w:val="000000"/>
                <w:sz w:val="24"/>
                <w:szCs w:val="24"/>
              </w:rPr>
              <w:t xml:space="preserve">控制措施等。</w:t>
            </w:r>
            <w:r>
              <w:rPr>
                <w:color w:val="000000"/>
                <w:sz w:val="24"/>
                <w:szCs w:val="24"/>
              </w:rPr>
            </w:r>
            <w:r/>
          </w:p>
          <w:p>
            <w:pPr>
              <w:pStyle w:val="963"/>
              <w:jc w:val="left"/>
              <w:spacing w:line="360" w:lineRule="auto"/>
              <w:widowControl/>
              <w:rPr>
                <w:color w:val="000000"/>
                <w:sz w:val="24"/>
                <w:szCs w:val="24"/>
              </w:rPr>
            </w:pPr>
            <w:r>
              <w:rPr>
                <w:color w:val="000000"/>
                <w:sz w:val="24"/>
                <w:szCs w:val="24"/>
              </w:rPr>
              <w:t xml:space="preserve">方案安排合理细致、科学合理、容易操作</w:t>
            </w:r>
            <w:r>
              <w:rPr>
                <w:rFonts w:hint="eastAsia"/>
                <w:color w:val="000000"/>
                <w:sz w:val="24"/>
                <w:szCs w:val="24"/>
              </w:rPr>
              <w:t xml:space="preserve">，得8分</w:t>
            </w:r>
            <w:r>
              <w:rPr>
                <w:color w:val="000000"/>
                <w:sz w:val="24"/>
                <w:szCs w:val="24"/>
              </w:rPr>
              <w:t xml:space="preserve">；</w:t>
            </w:r>
            <w:r>
              <w:rPr>
                <w:color w:val="000000"/>
                <w:sz w:val="24"/>
                <w:szCs w:val="24"/>
              </w:rPr>
            </w:r>
            <w:r/>
          </w:p>
          <w:p>
            <w:pPr>
              <w:pStyle w:val="963"/>
              <w:jc w:val="left"/>
              <w:spacing w:line="360" w:lineRule="auto"/>
              <w:widowControl/>
              <w:rPr>
                <w:color w:val="000000"/>
                <w:sz w:val="24"/>
                <w:szCs w:val="24"/>
              </w:rPr>
            </w:pPr>
            <w:r>
              <w:rPr>
                <w:color w:val="000000"/>
                <w:sz w:val="24"/>
                <w:szCs w:val="24"/>
              </w:rPr>
              <w:t xml:space="preserve">方案安排基本合理细致、较容易操作</w:t>
            </w:r>
            <w:r>
              <w:rPr>
                <w:rFonts w:hint="eastAsia"/>
                <w:color w:val="000000"/>
                <w:sz w:val="24"/>
                <w:szCs w:val="24"/>
              </w:rPr>
              <w:t xml:space="preserve">，得6分</w:t>
            </w:r>
            <w:r>
              <w:rPr>
                <w:color w:val="000000"/>
                <w:sz w:val="24"/>
                <w:szCs w:val="24"/>
              </w:rPr>
              <w:t xml:space="preserve">；</w:t>
            </w:r>
            <w:r/>
          </w:p>
          <w:p>
            <w:pPr>
              <w:pStyle w:val="963"/>
              <w:jc w:val="left"/>
              <w:spacing w:line="360" w:lineRule="auto"/>
              <w:widowControl/>
              <w:rPr>
                <w:color w:val="000000"/>
                <w:sz w:val="24"/>
                <w:szCs w:val="24"/>
              </w:rPr>
            </w:pPr>
            <w:r>
              <w:rPr>
                <w:rFonts w:hint="eastAsia"/>
                <w:color w:val="000000"/>
                <w:sz w:val="24"/>
                <w:szCs w:val="24"/>
              </w:rPr>
              <w:t xml:space="preserve">方案</w:t>
            </w:r>
            <w:r>
              <w:rPr>
                <w:color w:val="000000"/>
                <w:sz w:val="24"/>
                <w:szCs w:val="24"/>
              </w:rPr>
              <w:t xml:space="preserve">不合理、操作较难</w:t>
            </w:r>
            <w:r>
              <w:rPr>
                <w:rFonts w:hint="eastAsia"/>
                <w:color w:val="000000"/>
                <w:sz w:val="24"/>
                <w:szCs w:val="24"/>
              </w:rPr>
              <w:t xml:space="preserve">，得4分</w:t>
            </w:r>
            <w:r>
              <w:rPr>
                <w:color w:val="000000"/>
                <w:sz w:val="24"/>
                <w:szCs w:val="24"/>
              </w:rPr>
              <w:t xml:space="preserve">；</w:t>
            </w:r>
            <w:r>
              <w:rPr>
                <w:color w:val="000000"/>
                <w:sz w:val="24"/>
                <w:szCs w:val="24"/>
              </w:rPr>
            </w:r>
            <w:r/>
          </w:p>
          <w:p>
            <w:pPr>
              <w:pStyle w:val="963"/>
              <w:jc w:val="left"/>
              <w:spacing w:line="360" w:lineRule="auto"/>
              <w:rPr>
                <w:sz w:val="24"/>
                <w:szCs w:val="24"/>
              </w:rPr>
            </w:pPr>
            <w:r>
              <w:rPr>
                <w:bCs/>
                <w:color w:val="000000"/>
                <w:sz w:val="24"/>
                <w:szCs w:val="24"/>
              </w:rPr>
              <w:t xml:space="preserve">该项未</w:t>
            </w:r>
            <w:r>
              <w:rPr>
                <w:rFonts w:hint="eastAsia"/>
                <w:bCs/>
                <w:color w:val="000000"/>
                <w:sz w:val="24"/>
                <w:szCs w:val="24"/>
              </w:rPr>
              <w:t xml:space="preserve">见</w:t>
            </w:r>
            <w:r>
              <w:rPr>
                <w:bCs/>
                <w:color w:val="000000"/>
                <w:sz w:val="24"/>
                <w:szCs w:val="24"/>
              </w:rPr>
              <w:t xml:space="preserve">阐述不得分。</w:t>
            </w:r>
            <w:r>
              <w:rPr>
                <w:sz w:val="24"/>
                <w:szCs w:val="24"/>
              </w:rPr>
            </w:r>
            <w:r/>
          </w:p>
        </w:tc>
      </w:tr>
      <w:tr>
        <w:trPr>
          <w:trHeight w:val="621"/>
        </w:trPr>
        <w:tc>
          <w:tcPr>
            <w:tcW w:w="1660" w:type="dxa"/>
            <w:vAlign w:val="center"/>
            <w:textDirection w:val="lrTb"/>
            <w:noWrap w:val="false"/>
          </w:tcPr>
          <w:p>
            <w:pPr>
              <w:pStyle w:val="963"/>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应急预案</w:t>
            </w:r>
            <w:r>
              <w:rPr>
                <w:rFonts w:ascii="宋体" w:hAnsi="宋体" w:cs="宋体"/>
                <w:color w:val="000000"/>
                <w:sz w:val="24"/>
                <w:szCs w:val="24"/>
              </w:rPr>
            </w:r>
            <w:r/>
          </w:p>
          <w:p>
            <w:pPr>
              <w:pStyle w:val="963"/>
              <w:jc w:val="center"/>
              <w:spacing w:line="360" w:lineRule="auto"/>
              <w:widowControl/>
              <w:rPr>
                <w:color w:val="000000"/>
                <w:sz w:val="24"/>
                <w:szCs w:val="24"/>
              </w:rPr>
            </w:pPr>
            <w:r>
              <w:rPr>
                <w:rFonts w:hint="eastAsia" w:ascii="宋体" w:hAnsi="宋体" w:cs="宋体"/>
                <w:color w:val="000000"/>
                <w:sz w:val="24"/>
                <w:szCs w:val="24"/>
              </w:rPr>
              <w:t xml:space="preserve">（7分）</w:t>
            </w:r>
            <w:r>
              <w:rPr>
                <w:color w:val="000000"/>
                <w:sz w:val="24"/>
                <w:szCs w:val="24"/>
              </w:rPr>
            </w:r>
            <w:r/>
          </w:p>
        </w:tc>
        <w:tc>
          <w:tcPr>
            <w:tcW w:w="6845" w:type="dxa"/>
            <w:vAlign w:val="top"/>
            <w:textDirection w:val="lrTb"/>
            <w:noWrap w:val="false"/>
          </w:tcPr>
          <w:p>
            <w:pPr>
              <w:pStyle w:val="963"/>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投标人针对采购需求提供应急预案，包含但不限于针对运行维护过程中可能发生的各种情况应对措施、解决方案等。</w:t>
            </w:r>
            <w:r>
              <w:rPr>
                <w:rFonts w:ascii="宋体" w:hAnsi="宋体" w:cs="宋体"/>
                <w:color w:val="000000"/>
                <w:sz w:val="24"/>
                <w:szCs w:val="24"/>
              </w:rPr>
            </w:r>
            <w:r/>
          </w:p>
          <w:p>
            <w:pPr>
              <w:pStyle w:val="963"/>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应急预案科学、合理，可行性强，得7分；</w:t>
            </w:r>
            <w:r>
              <w:rPr>
                <w:rFonts w:ascii="宋体" w:hAnsi="宋体" w:cs="宋体"/>
                <w:color w:val="000000"/>
                <w:sz w:val="24"/>
                <w:szCs w:val="24"/>
              </w:rPr>
            </w:r>
            <w:r/>
          </w:p>
          <w:p>
            <w:pPr>
              <w:pStyle w:val="963"/>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应急预案科学性合理性齐全，具有实际可操作性，得5分；</w:t>
            </w:r>
            <w:r>
              <w:rPr>
                <w:rFonts w:ascii="宋体" w:hAnsi="宋体" w:cs="宋体"/>
                <w:color w:val="000000"/>
                <w:sz w:val="24"/>
                <w:szCs w:val="24"/>
              </w:rPr>
            </w:r>
            <w:r/>
          </w:p>
          <w:p>
            <w:pPr>
              <w:pStyle w:val="963"/>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应急预案科学性可行性有欠缺，缺乏操作性，得3分；</w:t>
            </w:r>
            <w:r>
              <w:rPr>
                <w:sz w:val="24"/>
                <w:szCs w:val="24"/>
              </w:rPr>
              <w:t xml:space="preserve"> </w:t>
            </w:r>
            <w:r>
              <w:rPr>
                <w:rFonts w:ascii="宋体" w:hAnsi="宋体" w:cs="宋体"/>
                <w:color w:val="000000"/>
                <w:sz w:val="24"/>
                <w:szCs w:val="24"/>
              </w:rPr>
            </w:r>
            <w:r/>
          </w:p>
          <w:p>
            <w:pPr>
              <w:pStyle w:val="963"/>
              <w:jc w:val="left"/>
              <w:spacing w:line="360" w:lineRule="auto"/>
              <w:widowControl/>
              <w:rPr>
                <w:color w:val="000000"/>
                <w:sz w:val="24"/>
                <w:szCs w:val="24"/>
              </w:rPr>
            </w:pPr>
            <w:r>
              <w:rPr>
                <w:rFonts w:hint="eastAsia" w:ascii="宋体" w:hAnsi="宋体" w:cs="宋体"/>
                <w:color w:val="000000"/>
                <w:sz w:val="24"/>
                <w:szCs w:val="24"/>
              </w:rPr>
              <w:t xml:space="preserve">本项未见阐述不得分。</w:t>
            </w:r>
            <w:r>
              <w:rPr>
                <w:color w:val="000000"/>
                <w:sz w:val="24"/>
                <w:szCs w:val="24"/>
              </w:rPr>
            </w:r>
            <w:r/>
          </w:p>
        </w:tc>
      </w:tr>
      <w:tr>
        <w:trPr>
          <w:trHeight w:val="621"/>
        </w:trPr>
        <w:tc>
          <w:tcPr>
            <w:tcW w:w="1660" w:type="dxa"/>
            <w:vAlign w:val="center"/>
            <w:textDirection w:val="lrTb"/>
            <w:noWrap w:val="false"/>
          </w:tcPr>
          <w:p>
            <w:pPr>
              <w:pStyle w:val="963"/>
              <w:jc w:val="center"/>
              <w:spacing w:line="360" w:lineRule="auto"/>
              <w:widowControl/>
              <w:rPr>
                <w:color w:val="000000"/>
                <w:sz w:val="24"/>
                <w:szCs w:val="24"/>
              </w:rPr>
            </w:pPr>
            <w:r>
              <w:rPr>
                <w:color w:val="000000"/>
                <w:sz w:val="24"/>
                <w:szCs w:val="24"/>
              </w:rPr>
              <w:t xml:space="preserve">设备保障</w:t>
            </w:r>
            <w:r>
              <w:rPr>
                <w:rFonts w:hint="eastAsia"/>
                <w:color w:val="000000"/>
                <w:sz w:val="24"/>
                <w:szCs w:val="24"/>
              </w:rPr>
              <w:t xml:space="preserve">方案</w:t>
            </w:r>
            <w:r>
              <w:rPr>
                <w:color w:val="000000"/>
                <w:sz w:val="24"/>
                <w:szCs w:val="24"/>
              </w:rPr>
            </w:r>
            <w:r/>
          </w:p>
          <w:p>
            <w:pPr>
              <w:pStyle w:val="963"/>
              <w:jc w:val="center"/>
              <w:spacing w:line="360" w:lineRule="auto"/>
              <w:rPr>
                <w:sz w:val="24"/>
                <w:szCs w:val="24"/>
              </w:rPr>
            </w:pPr>
            <w:r>
              <w:rPr>
                <w:color w:val="000000"/>
                <w:sz w:val="24"/>
                <w:szCs w:val="24"/>
              </w:rPr>
              <w:t xml:space="preserve">（</w:t>
            </w:r>
            <w:r>
              <w:rPr>
                <w:rFonts w:hint="eastAsia"/>
                <w:color w:val="000000"/>
                <w:sz w:val="24"/>
                <w:szCs w:val="24"/>
              </w:rPr>
              <w:t xml:space="preserve">8</w:t>
            </w:r>
            <w:r>
              <w:rPr>
                <w:color w:val="000000"/>
                <w:sz w:val="24"/>
                <w:szCs w:val="24"/>
              </w:rPr>
              <w:t xml:space="preserve">分）</w:t>
            </w:r>
            <w:r>
              <w:rPr>
                <w:sz w:val="24"/>
                <w:szCs w:val="24"/>
              </w:rPr>
            </w:r>
            <w:r/>
          </w:p>
        </w:tc>
        <w:tc>
          <w:tcPr>
            <w:tcW w:w="6845" w:type="dxa"/>
            <w:vAlign w:val="top"/>
            <w:textDirection w:val="lrTb"/>
            <w:noWrap w:val="false"/>
          </w:tcPr>
          <w:p>
            <w:pPr>
              <w:pStyle w:val="963"/>
              <w:jc w:val="left"/>
              <w:spacing w:after="60" w:line="360" w:lineRule="auto"/>
              <w:widowControl/>
              <w:rPr>
                <w:color w:val="000000"/>
                <w:sz w:val="24"/>
                <w:szCs w:val="24"/>
              </w:rPr>
            </w:pPr>
            <w:r>
              <w:rPr>
                <w:rFonts w:ascii="Times New Roman" w:hAnsi="Times New Roman"/>
                <w:color w:val="000000"/>
                <w:sz w:val="24"/>
                <w:szCs w:val="24"/>
              </w:rPr>
              <w:t xml:space="preserve">投标人</w:t>
            </w:r>
            <w:r>
              <w:rPr>
                <w:color w:val="000000"/>
                <w:sz w:val="24"/>
                <w:szCs w:val="24"/>
              </w:rPr>
              <w:t xml:space="preserve">针对采购需求</w:t>
            </w:r>
            <w:r>
              <w:rPr>
                <w:rFonts w:ascii="Times New Roman" w:hAnsi="Times New Roman"/>
                <w:color w:val="000000"/>
                <w:sz w:val="24"/>
                <w:szCs w:val="24"/>
              </w:rPr>
              <w:t xml:space="preserve">提供</w:t>
            </w:r>
            <w:r>
              <w:rPr>
                <w:rFonts w:hint="eastAsia" w:ascii="Times New Roman" w:hAnsi="Times New Roman"/>
                <w:color w:val="000000"/>
                <w:sz w:val="24"/>
                <w:szCs w:val="24"/>
              </w:rPr>
              <w:t xml:space="preserve">设备保障方案，包含但不限于</w:t>
            </w:r>
            <w:r>
              <w:rPr>
                <w:rFonts w:ascii="Times New Roman" w:hAnsi="Times New Roman"/>
                <w:color w:val="000000"/>
                <w:sz w:val="24"/>
                <w:szCs w:val="24"/>
              </w:rPr>
              <w:t xml:space="preserve">备机保障</w:t>
            </w:r>
            <w:r>
              <w:rPr>
                <w:rFonts w:hint="eastAsia" w:ascii="Times New Roman" w:hAnsi="Times New Roman"/>
                <w:color w:val="000000"/>
                <w:sz w:val="24"/>
                <w:szCs w:val="24"/>
              </w:rPr>
              <w:t xml:space="preserve">方案、</w:t>
            </w:r>
            <w:r>
              <w:rPr>
                <w:rFonts w:ascii="Times New Roman" w:hAnsi="Times New Roman"/>
                <w:color w:val="000000"/>
                <w:sz w:val="24"/>
                <w:szCs w:val="24"/>
              </w:rPr>
              <w:t xml:space="preserve">质控设备</w:t>
            </w:r>
            <w:r>
              <w:rPr>
                <w:rFonts w:hint="eastAsia" w:ascii="Times New Roman" w:hAnsi="Times New Roman"/>
                <w:color w:val="000000"/>
                <w:sz w:val="24"/>
                <w:szCs w:val="24"/>
              </w:rPr>
              <w:t xml:space="preserve">保障方案等，备机保障包括</w:t>
            </w:r>
            <w:r>
              <w:rPr>
                <w:rFonts w:ascii="Times New Roman" w:hAnsi="Times New Roman"/>
                <w:color w:val="000000"/>
                <w:sz w:val="24"/>
                <w:szCs w:val="24"/>
              </w:rPr>
              <w:t xml:space="preserve">SO</w:t>
            </w:r>
            <w:r>
              <w:rPr>
                <w:rFonts w:ascii="Times New Roman" w:hAnsi="Times New Roman"/>
                <w:color w:val="000000"/>
                <w:sz w:val="24"/>
                <w:szCs w:val="24"/>
                <w:vertAlign w:val="subscript"/>
              </w:rPr>
              <w:t xml:space="preserve">2</w:t>
            </w:r>
            <w:r>
              <w:rPr>
                <w:rFonts w:ascii="Times New Roman" w:hAnsi="Times New Roman"/>
                <w:color w:val="000000"/>
                <w:sz w:val="24"/>
                <w:szCs w:val="24"/>
              </w:rPr>
              <w:t xml:space="preserve">、NOx、CO、O</w:t>
            </w:r>
            <w:r>
              <w:rPr>
                <w:rFonts w:ascii="Times New Roman" w:hAnsi="Times New Roman"/>
                <w:color w:val="000000"/>
                <w:sz w:val="24"/>
                <w:szCs w:val="24"/>
                <w:vertAlign w:val="subscript"/>
              </w:rPr>
              <w:t xml:space="preserve">3</w:t>
            </w:r>
            <w:r>
              <w:rPr>
                <w:rFonts w:ascii="Times New Roman" w:hAnsi="Times New Roman"/>
                <w:color w:val="000000"/>
                <w:sz w:val="24"/>
                <w:szCs w:val="24"/>
              </w:rPr>
              <w:t xml:space="preserve">、PM</w:t>
            </w:r>
            <w:r>
              <w:rPr>
                <w:rFonts w:ascii="Times New Roman" w:hAnsi="Times New Roman"/>
                <w:color w:val="000000"/>
                <w:sz w:val="24"/>
                <w:szCs w:val="24"/>
                <w:vertAlign w:val="subscript"/>
              </w:rPr>
              <w:t xml:space="preserve">2.5</w:t>
            </w:r>
            <w:r>
              <w:rPr>
                <w:rFonts w:ascii="Times New Roman" w:hAnsi="Times New Roman"/>
                <w:color w:val="000000"/>
                <w:sz w:val="24"/>
                <w:szCs w:val="24"/>
              </w:rPr>
              <w:t xml:space="preserve">、PM</w:t>
            </w:r>
            <w:r>
              <w:rPr>
                <w:rFonts w:ascii="Times New Roman" w:hAnsi="Times New Roman"/>
                <w:color w:val="000000"/>
                <w:sz w:val="24"/>
                <w:szCs w:val="24"/>
                <w:vertAlign w:val="subscript"/>
              </w:rPr>
              <w:t xml:space="preserve">10</w:t>
            </w:r>
            <w:r>
              <w:rPr>
                <w:rFonts w:ascii="Times New Roman" w:hAnsi="Times New Roman"/>
                <w:color w:val="000000"/>
                <w:sz w:val="24"/>
                <w:szCs w:val="24"/>
              </w:rPr>
              <w:t xml:space="preserve">六项指标自动监测仪器</w:t>
            </w:r>
            <w:r>
              <w:rPr>
                <w:rFonts w:hint="eastAsia" w:ascii="Times New Roman" w:hAnsi="Times New Roman"/>
                <w:color w:val="000000"/>
                <w:sz w:val="24"/>
                <w:szCs w:val="24"/>
              </w:rPr>
              <w:t xml:space="preserve">；</w:t>
            </w:r>
            <w:r>
              <w:rPr>
                <w:rFonts w:ascii="Times New Roman" w:hAnsi="Times New Roman"/>
                <w:color w:val="000000"/>
                <w:sz w:val="24"/>
                <w:szCs w:val="24"/>
              </w:rPr>
              <w:t xml:space="preserve">标准物质</w:t>
            </w:r>
            <w:r>
              <w:rPr>
                <w:rFonts w:hint="eastAsia" w:ascii="Times New Roman" w:hAnsi="Times New Roman"/>
                <w:color w:val="000000"/>
                <w:sz w:val="24"/>
                <w:szCs w:val="24"/>
              </w:rPr>
              <w:t xml:space="preserve">（SO</w:t>
            </w:r>
            <w:r>
              <w:rPr>
                <w:rFonts w:hint="eastAsia" w:ascii="Times New Roman" w:hAnsi="Times New Roman"/>
                <w:color w:val="000000"/>
                <w:sz w:val="24"/>
                <w:szCs w:val="24"/>
                <w:vertAlign w:val="subscript"/>
              </w:rPr>
              <w:t xml:space="preserve">2</w:t>
            </w:r>
            <w:r>
              <w:rPr>
                <w:rFonts w:hint="eastAsia" w:ascii="Times New Roman" w:hAnsi="Times New Roman"/>
                <w:color w:val="000000"/>
                <w:sz w:val="24"/>
                <w:szCs w:val="24"/>
              </w:rPr>
              <w:t xml:space="preserve">、NO、CO）</w:t>
            </w:r>
            <w:r>
              <w:rPr>
                <w:rFonts w:ascii="Times New Roman" w:hAnsi="Times New Roman"/>
                <w:color w:val="000000"/>
                <w:sz w:val="24"/>
                <w:szCs w:val="24"/>
              </w:rPr>
              <w:t xml:space="preserve">、流量计、标准气压计、标准温湿度计</w:t>
            </w:r>
            <w:r>
              <w:rPr>
                <w:rFonts w:hint="eastAsia" w:ascii="Times New Roman" w:hAnsi="Times New Roman"/>
                <w:color w:val="000000"/>
                <w:sz w:val="24"/>
                <w:szCs w:val="24"/>
              </w:rPr>
              <w:t xml:space="preserve">、</w:t>
            </w:r>
            <w:r>
              <w:rPr>
                <w:rFonts w:ascii="Times New Roman" w:hAnsi="Times New Roman"/>
                <w:sz w:val="24"/>
                <w:szCs w:val="24"/>
              </w:rPr>
              <w:t xml:space="preserve">臭氧校准设备</w:t>
            </w:r>
            <w:r>
              <w:rPr>
                <w:rFonts w:hint="eastAsia"/>
                <w:sz w:val="24"/>
                <w:szCs w:val="24"/>
              </w:rPr>
              <w:t xml:space="preserve">、</w:t>
            </w:r>
            <w:r>
              <w:rPr>
                <w:rFonts w:hint="eastAsia" w:ascii="Times New Roman" w:hAnsi="Times New Roman"/>
                <w:color w:val="000000"/>
                <w:sz w:val="24"/>
                <w:szCs w:val="24"/>
              </w:rPr>
              <w:t xml:space="preserve">水质</w:t>
            </w:r>
            <w:r>
              <w:rPr>
                <w:rFonts w:ascii="Times New Roman" w:hAnsi="Times New Roman"/>
                <w:color w:val="000000"/>
                <w:sz w:val="24"/>
                <w:szCs w:val="24"/>
              </w:rPr>
              <w:t xml:space="preserve">便携仪器设备</w:t>
            </w:r>
            <w:r>
              <w:rPr>
                <w:rFonts w:hint="eastAsia" w:ascii="Times New Roman" w:hAnsi="Times New Roman"/>
                <w:color w:val="000000"/>
                <w:sz w:val="24"/>
                <w:szCs w:val="24"/>
              </w:rPr>
              <w:t xml:space="preserve">（</w:t>
            </w:r>
            <w:r>
              <w:rPr>
                <w:rFonts w:ascii="Times New Roman" w:hAnsi="Times New Roman"/>
                <w:color w:val="000000"/>
                <w:sz w:val="24"/>
                <w:szCs w:val="24"/>
              </w:rPr>
              <w:t xml:space="preserve">具备测定水温、pH值、溶解氧、电导率、浊度的功能</w:t>
            </w:r>
            <w:r>
              <w:rPr>
                <w:rFonts w:hint="eastAsia" w:ascii="Times New Roman" w:hAnsi="Times New Roman"/>
                <w:color w:val="000000"/>
                <w:sz w:val="24"/>
                <w:szCs w:val="24"/>
              </w:rPr>
              <w:t xml:space="preserve">）、</w:t>
            </w:r>
            <w:r>
              <w:rPr>
                <w:rFonts w:ascii="Times New Roman" w:hAnsi="Times New Roman"/>
                <w:color w:val="000000"/>
                <w:sz w:val="24"/>
                <w:szCs w:val="24"/>
              </w:rPr>
              <w:t xml:space="preserve">移动监测车</w:t>
            </w:r>
            <w:r>
              <w:rPr>
                <w:rFonts w:hint="eastAsia" w:ascii="Times New Roman" w:hAnsi="Times New Roman"/>
                <w:color w:val="000000"/>
                <w:sz w:val="24"/>
                <w:szCs w:val="24"/>
              </w:rPr>
              <w:t xml:space="preserve">等。</w:t>
            </w:r>
            <w:r>
              <w:rPr>
                <w:color w:val="000000"/>
                <w:sz w:val="24"/>
                <w:szCs w:val="24"/>
              </w:rPr>
            </w:r>
            <w:r/>
          </w:p>
          <w:p>
            <w:pPr>
              <w:pStyle w:val="963"/>
              <w:jc w:val="left"/>
              <w:spacing w:line="360" w:lineRule="auto"/>
              <w:widowControl/>
              <w:rPr>
                <w:rFonts w:ascii="Times New Roman" w:hAnsi="Times New Roman"/>
                <w:color w:val="000000"/>
                <w:sz w:val="24"/>
                <w:szCs w:val="24"/>
              </w:rPr>
            </w:pPr>
            <w:r>
              <w:rPr>
                <w:rFonts w:hint="eastAsia" w:ascii="Times New Roman" w:hAnsi="Times New Roman"/>
                <w:color w:val="000000"/>
                <w:sz w:val="24"/>
                <w:szCs w:val="24"/>
              </w:rPr>
              <w:t xml:space="preserve">方案</w:t>
            </w:r>
            <w:r>
              <w:rPr>
                <w:rFonts w:ascii="Times New Roman" w:hAnsi="Times New Roman"/>
                <w:color w:val="000000"/>
                <w:sz w:val="24"/>
                <w:szCs w:val="24"/>
              </w:rPr>
              <w:t xml:space="preserve">详细切实可行</w:t>
            </w:r>
            <w:r>
              <w:rPr>
                <w:rFonts w:hint="eastAsia" w:ascii="Times New Roman" w:hAnsi="Times New Roman"/>
                <w:color w:val="000000"/>
                <w:sz w:val="24"/>
                <w:szCs w:val="24"/>
              </w:rPr>
              <w:t xml:space="preserve">，</w:t>
            </w:r>
            <w:r>
              <w:rPr>
                <w:rFonts w:ascii="Times New Roman" w:hAnsi="Times New Roman"/>
                <w:color w:val="000000"/>
                <w:sz w:val="24"/>
                <w:szCs w:val="24"/>
              </w:rPr>
              <w:t xml:space="preserve">完善全面、</w:t>
            </w:r>
            <w:r>
              <w:rPr>
                <w:rFonts w:hint="eastAsia" w:ascii="Times New Roman" w:hAnsi="Times New Roman"/>
                <w:color w:val="000000"/>
                <w:sz w:val="24"/>
                <w:szCs w:val="24"/>
              </w:rPr>
              <w:t xml:space="preserve">设备保障充分</w:t>
            </w:r>
            <w:r>
              <w:rPr>
                <w:rFonts w:ascii="Times New Roman" w:hAnsi="Times New Roman"/>
                <w:color w:val="000000"/>
                <w:sz w:val="24"/>
                <w:szCs w:val="24"/>
              </w:rPr>
              <w:t xml:space="preserve">，能够完全满足项目实施需要</w:t>
            </w:r>
            <w:r>
              <w:rPr>
                <w:rFonts w:hint="eastAsia" w:ascii="Times New Roman" w:hAnsi="Times New Roman"/>
                <w:color w:val="000000"/>
                <w:sz w:val="24"/>
                <w:szCs w:val="24"/>
              </w:rPr>
              <w:t xml:space="preserve">的，得8分；</w:t>
            </w:r>
            <w:r>
              <w:rPr>
                <w:rFonts w:ascii="Times New Roman" w:hAnsi="Times New Roman"/>
                <w:color w:val="000000"/>
                <w:sz w:val="24"/>
                <w:szCs w:val="24"/>
              </w:rPr>
            </w:r>
            <w:r/>
          </w:p>
          <w:p>
            <w:pPr>
              <w:pStyle w:val="963"/>
              <w:jc w:val="left"/>
              <w:spacing w:line="360" w:lineRule="auto"/>
              <w:widowControl/>
              <w:rPr>
                <w:rFonts w:ascii="Times New Roman" w:hAnsi="Times New Roman"/>
                <w:color w:val="000000"/>
                <w:sz w:val="24"/>
                <w:szCs w:val="24"/>
              </w:rPr>
            </w:pPr>
            <w:r>
              <w:rPr>
                <w:rFonts w:hint="eastAsia" w:ascii="Times New Roman" w:hAnsi="Times New Roman"/>
                <w:color w:val="000000"/>
                <w:sz w:val="24"/>
                <w:szCs w:val="24"/>
              </w:rPr>
              <w:t xml:space="preserve">方案较为详实，设备保障较为充分，能够基本满足运维工作的实际需求的，得6分；</w:t>
            </w:r>
            <w:r>
              <w:rPr>
                <w:rFonts w:ascii="Times New Roman" w:hAnsi="Times New Roman"/>
                <w:color w:val="000000"/>
                <w:sz w:val="24"/>
                <w:szCs w:val="24"/>
              </w:rPr>
            </w:r>
            <w:r/>
          </w:p>
          <w:p>
            <w:pPr>
              <w:pStyle w:val="963"/>
              <w:jc w:val="left"/>
              <w:spacing w:line="360" w:lineRule="auto"/>
              <w:widowControl/>
              <w:rPr>
                <w:color w:val="000000"/>
                <w:sz w:val="24"/>
                <w:szCs w:val="24"/>
              </w:rPr>
            </w:pPr>
            <w:r>
              <w:rPr>
                <w:rFonts w:ascii="Times New Roman" w:hAnsi="Times New Roman"/>
                <w:color w:val="000000"/>
                <w:sz w:val="24"/>
                <w:szCs w:val="24"/>
              </w:rPr>
              <w:t xml:space="preserve">方案基本合理，</w:t>
            </w:r>
            <w:r>
              <w:rPr>
                <w:rFonts w:hint="eastAsia" w:ascii="Times New Roman" w:hAnsi="Times New Roman"/>
                <w:color w:val="000000"/>
                <w:sz w:val="24"/>
                <w:szCs w:val="24"/>
              </w:rPr>
              <w:t xml:space="preserve">设备保障较充分，</w:t>
            </w:r>
            <w:r>
              <w:rPr>
                <w:rFonts w:ascii="Times New Roman" w:hAnsi="Times New Roman"/>
                <w:color w:val="000000"/>
                <w:sz w:val="24"/>
                <w:szCs w:val="24"/>
              </w:rPr>
              <w:t xml:space="preserve">能基本满足项目需要的</w:t>
            </w:r>
            <w:r>
              <w:rPr>
                <w:rFonts w:hint="eastAsia" w:ascii="Times New Roman" w:hAnsi="Times New Roman"/>
                <w:color w:val="000000"/>
                <w:sz w:val="24"/>
                <w:szCs w:val="24"/>
              </w:rPr>
              <w:t xml:space="preserve">，得4分</w:t>
            </w:r>
            <w:r>
              <w:rPr>
                <w:rFonts w:ascii="Times New Roman" w:hAnsi="Times New Roman"/>
                <w:color w:val="000000"/>
                <w:sz w:val="24"/>
                <w:szCs w:val="24"/>
              </w:rPr>
              <w:t xml:space="preserve">；</w:t>
            </w:r>
            <w:r>
              <w:rPr>
                <w:color w:val="000000"/>
                <w:sz w:val="24"/>
                <w:szCs w:val="24"/>
              </w:rPr>
            </w:r>
            <w:r/>
          </w:p>
          <w:p>
            <w:pPr>
              <w:pStyle w:val="963"/>
              <w:jc w:val="left"/>
              <w:spacing w:line="360" w:lineRule="auto"/>
              <w:widowControl/>
              <w:rPr>
                <w:color w:val="000000"/>
                <w:sz w:val="24"/>
                <w:szCs w:val="24"/>
              </w:rPr>
            </w:pPr>
            <w:r>
              <w:rPr>
                <w:rFonts w:ascii="Times New Roman" w:hAnsi="Times New Roman"/>
                <w:color w:val="000000"/>
                <w:sz w:val="24"/>
                <w:szCs w:val="24"/>
              </w:rPr>
              <w:t xml:space="preserve">方案简单粗略，可操作性和合理性较差的</w:t>
            </w:r>
            <w:r>
              <w:rPr>
                <w:rFonts w:hint="eastAsia" w:ascii="Times New Roman" w:hAnsi="Times New Roman"/>
                <w:color w:val="000000"/>
                <w:sz w:val="24"/>
                <w:szCs w:val="24"/>
              </w:rPr>
              <w:t xml:space="preserve">，得2分</w:t>
            </w:r>
            <w:r>
              <w:rPr>
                <w:rFonts w:ascii="Times New Roman" w:hAnsi="Times New Roman"/>
                <w:color w:val="000000"/>
                <w:sz w:val="24"/>
                <w:szCs w:val="24"/>
              </w:rPr>
              <w:t xml:space="preserve">。</w:t>
            </w:r>
            <w:r>
              <w:rPr>
                <w:color w:val="000000"/>
                <w:sz w:val="24"/>
                <w:szCs w:val="24"/>
              </w:rPr>
            </w:r>
            <w:r/>
          </w:p>
          <w:p>
            <w:pPr>
              <w:pStyle w:val="963"/>
              <w:jc w:val="left"/>
              <w:spacing w:line="360" w:lineRule="auto"/>
              <w:rPr>
                <w:sz w:val="24"/>
                <w:szCs w:val="24"/>
              </w:rPr>
            </w:pPr>
            <w:r>
              <w:rPr>
                <w:rFonts w:ascii="Times New Roman" w:hAnsi="Times New Roman"/>
                <w:bCs/>
                <w:color w:val="000000"/>
                <w:sz w:val="24"/>
                <w:szCs w:val="24"/>
              </w:rPr>
              <w:t xml:space="preserve">该项未</w:t>
            </w:r>
            <w:r>
              <w:rPr>
                <w:rFonts w:hint="eastAsia" w:ascii="Times New Roman" w:hAnsi="Times New Roman"/>
                <w:bCs/>
                <w:color w:val="000000"/>
                <w:sz w:val="24"/>
                <w:szCs w:val="24"/>
              </w:rPr>
              <w:t xml:space="preserve">见</w:t>
            </w:r>
            <w:r>
              <w:rPr>
                <w:rFonts w:ascii="Times New Roman" w:hAnsi="Times New Roman"/>
                <w:bCs/>
                <w:color w:val="000000"/>
                <w:sz w:val="24"/>
                <w:szCs w:val="24"/>
              </w:rPr>
              <w:t xml:space="preserve">阐述不得分。</w:t>
            </w:r>
            <w:r>
              <w:rPr>
                <w:sz w:val="24"/>
                <w:szCs w:val="24"/>
              </w:rPr>
            </w:r>
            <w:r/>
          </w:p>
        </w:tc>
      </w:tr>
    </w:tbl>
    <w:p>
      <w:pPr>
        <w:pStyle w:val="963"/>
        <w:jc w:val="left"/>
        <w:spacing w:line="500" w:lineRule="exact"/>
        <w:rPr>
          <w:sz w:val="24"/>
          <w:szCs w:val="24"/>
        </w:rPr>
      </w:pPr>
      <w:r>
        <w:rPr>
          <w:sz w:val="24"/>
          <w:szCs w:val="24"/>
        </w:rPr>
      </w:r>
      <w:r/>
    </w:p>
    <w:p>
      <w:pPr>
        <w:pStyle w:val="963"/>
        <w:jc w:val="left"/>
        <w:widowControl/>
        <w:rPr>
          <w:sz w:val="24"/>
          <w:szCs w:val="24"/>
        </w:rPr>
        <w:outlineLvl w:val="1"/>
      </w:pPr>
      <w:r>
        <w:rPr>
          <w:sz w:val="24"/>
          <w:szCs w:val="24"/>
        </w:rPr>
        <w:br w:type="page" w:clear="all"/>
      </w:r>
      <w:r>
        <w:rPr>
          <w:rFonts w:hint="eastAsia" w:ascii="黑体" w:hAnsi="黑体" w:eastAsia="黑体"/>
          <w:sz w:val="32"/>
          <w:szCs w:val="24"/>
        </w:rPr>
        <w:t xml:space="preserve">采购包</w:t>
      </w:r>
      <w:r>
        <w:rPr>
          <w:rFonts w:ascii="黑体" w:hAnsi="黑体" w:eastAsia="黑体"/>
          <w:sz w:val="32"/>
          <w:szCs w:val="24"/>
        </w:rPr>
        <w:t xml:space="preserve">2</w:t>
      </w:r>
      <w:r>
        <w:rPr>
          <w:rFonts w:hint="eastAsia" w:ascii="黑体" w:hAnsi="黑体" w:eastAsia="黑体"/>
          <w:sz w:val="32"/>
          <w:szCs w:val="24"/>
        </w:rPr>
        <w:t xml:space="preserve">：</w:t>
      </w:r>
      <w:r>
        <w:rPr>
          <w:sz w:val="24"/>
          <w:szCs w:val="24"/>
        </w:rPr>
      </w:r>
      <w:r/>
    </w:p>
    <w:p>
      <w:pPr>
        <w:pStyle w:val="963"/>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rPr>
          <w:rFonts w:ascii="黑体" w:hAnsi="黑体" w:eastAsia="黑体"/>
          <w:sz w:val="32"/>
          <w:szCs w:val="24"/>
        </w:rPr>
      </w:r>
      <w:r/>
    </w:p>
    <w:p>
      <w:pPr>
        <w:pStyle w:val="963"/>
        <w:ind w:firstLine="480"/>
        <w:jc w:val="left"/>
        <w:spacing w:line="500" w:lineRule="exact"/>
        <w:rPr>
          <w:sz w:val="24"/>
          <w:szCs w:val="24"/>
        </w:rPr>
      </w:pPr>
      <w:r>
        <w:rPr>
          <w:rFonts w:hint="eastAsia"/>
          <w:sz w:val="24"/>
          <w:szCs w:val="24"/>
        </w:rPr>
        <w:t xml:space="preserve">（1）价格分（10分）</w:t>
      </w:r>
      <w:r>
        <w:rPr>
          <w:sz w:val="24"/>
          <w:szCs w:val="24"/>
        </w:rPr>
      </w:r>
      <w:r/>
    </w:p>
    <w:p>
      <w:pPr>
        <w:pStyle w:val="963"/>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rPr>
          <w:sz w:val="24"/>
          <w:szCs w:val="24"/>
        </w:rPr>
      </w:r>
      <w:r/>
    </w:p>
    <w:p>
      <w:pPr>
        <w:pStyle w:val="963"/>
        <w:ind w:firstLine="480"/>
        <w:jc w:val="left"/>
        <w:spacing w:line="500" w:lineRule="exact"/>
        <w:rPr>
          <w:sz w:val="24"/>
          <w:szCs w:val="24"/>
        </w:rPr>
      </w:pPr>
      <w:r>
        <w:rPr>
          <w:rFonts w:hint="eastAsia"/>
          <w:sz w:val="24"/>
          <w:szCs w:val="24"/>
        </w:rPr>
        <w:t xml:space="preserve">投标报价得分=（评标基准价／投标报价）×10分</w:t>
      </w:r>
      <w:r>
        <w:rPr>
          <w:sz w:val="24"/>
          <w:szCs w:val="24"/>
        </w:rPr>
      </w:r>
      <w:r/>
    </w:p>
    <w:p>
      <w:pPr>
        <w:pStyle w:val="963"/>
        <w:ind w:firstLine="480"/>
        <w:jc w:val="left"/>
        <w:spacing w:line="500" w:lineRule="exact"/>
        <w:rPr>
          <w:sz w:val="24"/>
          <w:szCs w:val="24"/>
        </w:rPr>
      </w:pPr>
      <w:r>
        <w:rPr>
          <w:rFonts w:hint="eastAsia"/>
          <w:sz w:val="24"/>
          <w:szCs w:val="24"/>
        </w:rPr>
        <w:t xml:space="preserve">（2）技术分（</w:t>
      </w:r>
      <w:r>
        <w:rPr>
          <w:rFonts w:hint="eastAsia"/>
          <w:sz w:val="24"/>
          <w:szCs w:val="24"/>
        </w:rPr>
        <w:t xml:space="preserve">5</w:t>
      </w:r>
      <w:r>
        <w:rPr>
          <w:rFonts w:hint="eastAsia"/>
          <w:sz w:val="24"/>
          <w:szCs w:val="24"/>
        </w:rPr>
        <w:t xml:space="preserve">5</w:t>
      </w:r>
      <w:r>
        <w:rPr>
          <w:rFonts w:hint="eastAsia"/>
          <w:sz w:val="24"/>
          <w:szCs w:val="24"/>
        </w:rPr>
        <w:t xml:space="preserve">分）</w:t>
      </w:r>
      <w:r>
        <w:rPr>
          <w:sz w:val="24"/>
          <w:szCs w:val="24"/>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963"/>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rPr>
                <w:rFonts w:ascii="黑体" w:hAnsi="黑体" w:eastAsia="黑体"/>
                <w:color w:val="000000"/>
                <w:sz w:val="24"/>
                <w:szCs w:val="24"/>
              </w:rPr>
            </w:r>
            <w:r/>
          </w:p>
        </w:tc>
        <w:tc>
          <w:tcPr>
            <w:tcW w:w="6845" w:type="dxa"/>
            <w:vAlign w:val="center"/>
            <w:textDirection w:val="lrTb"/>
            <w:noWrap w:val="false"/>
          </w:tcPr>
          <w:p>
            <w:pPr>
              <w:pStyle w:val="963"/>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rPr>
                <w:rFonts w:ascii="黑体" w:hAnsi="黑体" w:eastAsia="黑体"/>
                <w:color w:val="000000"/>
                <w:sz w:val="24"/>
                <w:szCs w:val="24"/>
              </w:rPr>
            </w:r>
            <w:r/>
          </w:p>
        </w:tc>
      </w:tr>
      <w:tr>
        <w:trPr>
          <w:trHeight w:val="621"/>
        </w:trPr>
        <w:tc>
          <w:tcPr>
            <w:tcW w:w="1660" w:type="dxa"/>
            <w:vAlign w:val="center"/>
            <w:textDirection w:val="lrTb"/>
            <w:noWrap w:val="false"/>
          </w:tcPr>
          <w:p>
            <w:pPr>
              <w:pStyle w:val="963"/>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荣誉（6分）</w:t>
            </w:r>
            <w:r>
              <w:rPr>
                <w:rFonts w:ascii="宋体" w:hAnsi="宋体" w:cs="宋体"/>
                <w:color w:val="000000"/>
                <w:sz w:val="24"/>
                <w:szCs w:val="24"/>
              </w:rPr>
            </w:r>
            <w:r/>
          </w:p>
        </w:tc>
        <w:tc>
          <w:tcPr>
            <w:tcW w:w="6845" w:type="dxa"/>
            <w:vAlign w:val="center"/>
            <w:textDirection w:val="lrTb"/>
            <w:noWrap w:val="false"/>
          </w:tcPr>
          <w:p>
            <w:pPr>
              <w:pStyle w:val="963"/>
              <w:jc w:val="left"/>
              <w:spacing w:line="360" w:lineRule="auto"/>
              <w:rPr>
                <w:sz w:val="24"/>
                <w:szCs w:val="24"/>
              </w:rPr>
            </w:pPr>
            <w:r>
              <w:rPr>
                <w:rFonts w:hint="eastAsia" w:ascii="宋体" w:hAnsi="宋体" w:cs="宋体"/>
                <w:color w:val="000000"/>
                <w:sz w:val="24"/>
                <w:szCs w:val="24"/>
              </w:rPr>
              <w:t xml:space="preserve">投标人承担过的环保信息化相关软件运维服务项目，获得过国家级或部级荣誉表彰或奖励的，每有一个得6分；获得过省级荣誉表彰或奖励的，每有一个得3分；获得过市级荣誉表彰或奖励的，每有一个得2分，本项最高6分。 </w:t>
              <w:br w:type="textWrapping" w:clear="all"/>
            </w:r>
            <w:r>
              <w:rPr>
                <w:rFonts w:hint="eastAsia" w:ascii="宋体" w:hAnsi="宋体" w:cs="宋体"/>
                <w:b/>
                <w:color w:val="000000"/>
                <w:sz w:val="24"/>
                <w:szCs w:val="24"/>
              </w:rPr>
              <w:t xml:space="preserve">注：投标文件中</w:t>
            </w:r>
            <w:r>
              <w:rPr>
                <w:rFonts w:hint="eastAsia" w:ascii="宋体" w:hAnsi="宋体" w:cs="宋体"/>
                <w:b/>
                <w:sz w:val="24"/>
                <w:szCs w:val="24"/>
              </w:rPr>
              <w:t xml:space="preserve">提供合同及获奖相关证明材料并</w:t>
            </w:r>
            <w:r>
              <w:rPr>
                <w:rFonts w:hint="eastAsia" w:ascii="宋体" w:hAnsi="宋体" w:cs="宋体"/>
                <w:b/>
                <w:color w:val="000000"/>
                <w:sz w:val="24"/>
                <w:szCs w:val="24"/>
              </w:rPr>
              <w:t xml:space="preserve">加盖投标人公章</w:t>
            </w:r>
            <w:r>
              <w:rPr>
                <w:b/>
                <w:bCs/>
                <w:color w:val="000000"/>
                <w:sz w:val="24"/>
                <w:szCs w:val="24"/>
              </w:rPr>
              <w:t xml:space="preserve">，否则不得分。</w:t>
            </w:r>
            <w:r>
              <w:rPr>
                <w:sz w:val="24"/>
                <w:szCs w:val="24"/>
              </w:rPr>
            </w:r>
            <w:r/>
          </w:p>
        </w:tc>
      </w:tr>
      <w:tr>
        <w:trPr>
          <w:trHeight w:val="621"/>
        </w:trPr>
        <w:tc>
          <w:tcPr>
            <w:tcW w:w="1660" w:type="dxa"/>
            <w:vAlign w:val="center"/>
            <w:textDirection w:val="lrTb"/>
            <w:noWrap w:val="false"/>
          </w:tcPr>
          <w:p>
            <w:pPr>
              <w:pStyle w:val="963"/>
              <w:jc w:val="center"/>
              <w:spacing w:line="360" w:lineRule="auto"/>
              <w:rPr>
                <w:sz w:val="24"/>
                <w:szCs w:val="24"/>
              </w:rPr>
            </w:pPr>
            <w:r>
              <w:rPr>
                <w:rFonts w:hint="eastAsia" w:ascii="宋体" w:hAnsi="宋体" w:cs="宋体"/>
                <w:color w:val="000000"/>
                <w:sz w:val="24"/>
                <w:szCs w:val="24"/>
              </w:rPr>
              <w:t xml:space="preserve">项目运维人员（4分）</w:t>
            </w:r>
            <w:r>
              <w:rPr>
                <w:sz w:val="24"/>
                <w:szCs w:val="24"/>
              </w:rPr>
            </w:r>
            <w:r/>
          </w:p>
        </w:tc>
        <w:tc>
          <w:tcPr>
            <w:tcW w:w="6845" w:type="dxa"/>
            <w:vAlign w:val="center"/>
            <w:textDirection w:val="lrTb"/>
            <w:noWrap w:val="false"/>
          </w:tcPr>
          <w:p>
            <w:pPr>
              <w:pStyle w:val="963"/>
              <w:jc w:val="left"/>
              <w:spacing w:line="360" w:lineRule="auto"/>
              <w:rPr>
                <w:rFonts w:ascii="宋体" w:hAnsi="宋体" w:cs="宋体"/>
                <w:color w:val="000000"/>
                <w:sz w:val="24"/>
                <w:szCs w:val="24"/>
              </w:rPr>
            </w:pPr>
            <w:r>
              <w:rPr>
                <w:rFonts w:hint="eastAsia" w:ascii="宋体" w:hAnsi="宋体"/>
                <w:color w:val="000000"/>
                <w:sz w:val="24"/>
                <w:szCs w:val="24"/>
              </w:rPr>
              <w:t xml:space="preserve">投标人为本项目提供的运维人员具有</w:t>
            </w:r>
            <w:r>
              <w:rPr>
                <w:rFonts w:hint="eastAsia" w:ascii="宋体" w:hAnsi="宋体"/>
                <w:color w:val="000000"/>
                <w:sz w:val="24"/>
                <w:szCs w:val="24"/>
              </w:rPr>
              <w:t xml:space="preserve">信息系统项目管理师证书的</w:t>
            </w:r>
            <w:r>
              <w:rPr>
                <w:rFonts w:hint="eastAsia" w:ascii="宋体" w:hAnsi="宋体"/>
                <w:color w:val="000000"/>
                <w:sz w:val="24"/>
                <w:szCs w:val="24"/>
              </w:rPr>
              <w:t xml:space="preserve">，得4分。</w:t>
            </w:r>
            <w:r>
              <w:rPr>
                <w:rFonts w:ascii="宋体" w:hAnsi="宋体" w:cs="宋体"/>
                <w:color w:val="000000"/>
                <w:sz w:val="24"/>
                <w:szCs w:val="24"/>
              </w:rPr>
            </w:r>
            <w:r/>
          </w:p>
          <w:p>
            <w:pPr>
              <w:pStyle w:val="963"/>
              <w:jc w:val="left"/>
              <w:spacing w:line="360" w:lineRule="auto"/>
              <w:rPr>
                <w:sz w:val="24"/>
                <w:szCs w:val="24"/>
              </w:rPr>
            </w:pPr>
            <w:r>
              <w:rPr>
                <w:rFonts w:hint="eastAsia" w:ascii="宋体" w:hAnsi="宋体" w:cs="宋体"/>
                <w:b/>
                <w:color w:val="000000"/>
                <w:sz w:val="24"/>
                <w:szCs w:val="24"/>
              </w:rPr>
              <w:t xml:space="preserve">注：投标文件中提供证书</w:t>
            </w:r>
            <w:r>
              <w:rPr>
                <w:b/>
                <w:color w:val="000000"/>
                <w:sz w:val="24"/>
                <w:szCs w:val="24"/>
              </w:rPr>
              <w:t xml:space="preserve">及2024年1月以来任意一个月由投标人为其缴纳的社保证明材料并加盖投标人公章</w:t>
            </w:r>
            <w:r>
              <w:rPr>
                <w:b/>
                <w:bCs/>
                <w:color w:val="000000"/>
                <w:sz w:val="24"/>
                <w:szCs w:val="24"/>
              </w:rPr>
              <w:t xml:space="preserve">，否则不得分。</w:t>
            </w:r>
            <w:r>
              <w:rPr>
                <w:sz w:val="24"/>
                <w:szCs w:val="24"/>
              </w:rPr>
            </w:r>
            <w:r/>
          </w:p>
        </w:tc>
      </w:tr>
      <w:tr>
        <w:trPr>
          <w:trHeight w:val="621"/>
        </w:trPr>
        <w:tc>
          <w:tcPr>
            <w:tcW w:w="1660" w:type="dxa"/>
            <w:vAlign w:val="center"/>
            <w:textDirection w:val="lrTb"/>
            <w:noWrap w:val="false"/>
          </w:tcPr>
          <w:p>
            <w:pPr>
              <w:pStyle w:val="963"/>
              <w:jc w:val="center"/>
              <w:spacing w:line="360" w:lineRule="auto"/>
              <w:rPr>
                <w:rFonts w:ascii="宋体" w:hAnsi="宋体" w:cs="宋体"/>
                <w:sz w:val="24"/>
                <w:szCs w:val="24"/>
              </w:rPr>
            </w:pPr>
            <w:r>
              <w:rPr>
                <w:rFonts w:hint="eastAsia" w:ascii="宋体" w:hAnsi="宋体" w:cs="宋体"/>
                <w:sz w:val="24"/>
                <w:szCs w:val="24"/>
              </w:rPr>
              <w:t xml:space="preserve">项目远程技术支持人员（4）</w:t>
            </w:r>
            <w:r>
              <w:rPr>
                <w:rFonts w:ascii="宋体" w:hAnsi="宋体" w:cs="宋体"/>
                <w:sz w:val="24"/>
                <w:szCs w:val="24"/>
              </w:rPr>
            </w:r>
            <w:r/>
          </w:p>
        </w:tc>
        <w:tc>
          <w:tcPr>
            <w:tcW w:w="6845" w:type="dxa"/>
            <w:vAlign w:val="center"/>
            <w:textDirection w:val="lrTb"/>
            <w:noWrap w:val="false"/>
          </w:tcPr>
          <w:p>
            <w:pPr>
              <w:pStyle w:val="963"/>
              <w:jc w:val="left"/>
              <w:spacing w:line="360" w:lineRule="auto"/>
              <w:rPr>
                <w:rFonts w:ascii="宋体" w:hAnsi="宋体"/>
                <w:sz w:val="24"/>
                <w:szCs w:val="24"/>
              </w:rPr>
            </w:pPr>
            <w:r>
              <w:rPr>
                <w:rFonts w:hint="eastAsia" w:ascii="宋体" w:hAnsi="宋体"/>
                <w:sz w:val="24"/>
                <w:szCs w:val="24"/>
              </w:rPr>
              <w:t xml:space="preserve">投标人</w:t>
            </w:r>
            <w:r>
              <w:rPr>
                <w:rFonts w:hint="eastAsia" w:ascii="宋体" w:hAnsi="宋体"/>
                <w:sz w:val="24"/>
                <w:szCs w:val="24"/>
              </w:rPr>
              <w:t xml:space="preserve">为本项目提供</w:t>
            </w:r>
            <w:r>
              <w:rPr>
                <w:rFonts w:hint="eastAsia" w:ascii="宋体" w:hAnsi="宋体"/>
                <w:sz w:val="24"/>
                <w:szCs w:val="24"/>
              </w:rPr>
              <w:t xml:space="preserve">的</w:t>
            </w:r>
            <w:r>
              <w:rPr>
                <w:rFonts w:hint="eastAsia" w:ascii="宋体" w:hAnsi="宋体"/>
                <w:sz w:val="24"/>
                <w:szCs w:val="24"/>
              </w:rPr>
              <w:t xml:space="preserve">远程技术支持人员具有</w:t>
            </w:r>
            <w:r>
              <w:rPr>
                <w:rFonts w:hint="eastAsia" w:ascii="宋体" w:hAnsi="宋体"/>
                <w:sz w:val="24"/>
                <w:szCs w:val="24"/>
              </w:rPr>
              <w:t xml:space="preserve">具有国家计算机与软件专业中级及以上的资格证书，得4分。</w:t>
            </w:r>
            <w:r>
              <w:rPr>
                <w:rFonts w:ascii="宋体" w:hAnsi="宋体"/>
                <w:sz w:val="24"/>
                <w:szCs w:val="24"/>
              </w:rPr>
            </w:r>
            <w:r/>
          </w:p>
          <w:p>
            <w:pPr>
              <w:pStyle w:val="963"/>
              <w:jc w:val="left"/>
              <w:spacing w:line="360" w:lineRule="auto"/>
              <w:rPr>
                <w:rFonts w:ascii="宋体" w:hAnsi="宋体"/>
                <w:sz w:val="24"/>
                <w:szCs w:val="24"/>
              </w:rPr>
            </w:pPr>
            <w:r>
              <w:rPr>
                <w:rFonts w:hint="eastAsia" w:ascii="宋体" w:hAnsi="宋体" w:cs="宋体"/>
                <w:b/>
                <w:sz w:val="24"/>
                <w:szCs w:val="24"/>
              </w:rPr>
              <w:t xml:space="preserve">注：投标文件中提供证书</w:t>
            </w:r>
            <w:r>
              <w:rPr>
                <w:b/>
                <w:sz w:val="24"/>
                <w:szCs w:val="24"/>
              </w:rPr>
              <w:t xml:space="preserve">及2024年1月以来任意一个月由投标人为其缴纳的社保证明材料并加盖投标人公章</w:t>
            </w:r>
            <w:r>
              <w:rPr>
                <w:b/>
                <w:bCs/>
                <w:sz w:val="24"/>
                <w:szCs w:val="24"/>
              </w:rPr>
              <w:t xml:space="preserve">，否则不得分。</w:t>
            </w:r>
            <w:r>
              <w:rPr>
                <w:rFonts w:ascii="宋体" w:hAnsi="宋体"/>
                <w:sz w:val="24"/>
                <w:szCs w:val="24"/>
              </w:rPr>
            </w:r>
            <w:r/>
          </w:p>
        </w:tc>
      </w:tr>
      <w:tr>
        <w:trPr>
          <w:trHeight w:val="621"/>
        </w:trPr>
        <w:tc>
          <w:tcPr>
            <w:tcW w:w="1660" w:type="dxa"/>
            <w:vAlign w:val="center"/>
            <w:textDirection w:val="lrTb"/>
            <w:noWrap w:val="false"/>
          </w:tcPr>
          <w:p>
            <w:pPr>
              <w:pStyle w:val="963"/>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应急响应承诺</w:t>
            </w:r>
            <w:r>
              <w:rPr>
                <w:rFonts w:ascii="宋体" w:hAnsi="宋体" w:cs="宋体"/>
                <w:color w:val="000000"/>
                <w:sz w:val="24"/>
                <w:szCs w:val="24"/>
              </w:rPr>
            </w:r>
            <w:r/>
          </w:p>
          <w:p>
            <w:pPr>
              <w:pStyle w:val="963"/>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6</w:t>
            </w:r>
            <w:r>
              <w:rPr>
                <w:rFonts w:hint="eastAsia" w:ascii="宋体" w:hAnsi="宋体" w:cs="宋体"/>
                <w:color w:val="000000"/>
                <w:sz w:val="24"/>
                <w:szCs w:val="24"/>
              </w:rPr>
              <w:t xml:space="preserve">分）</w:t>
            </w:r>
            <w:r>
              <w:rPr>
                <w:rFonts w:ascii="宋体" w:hAnsi="宋体" w:cs="宋体"/>
                <w:color w:val="000000"/>
                <w:sz w:val="24"/>
                <w:szCs w:val="24"/>
              </w:rPr>
            </w:r>
            <w:r/>
          </w:p>
        </w:tc>
        <w:tc>
          <w:tcPr>
            <w:tcW w:w="6845" w:type="dxa"/>
            <w:vAlign w:val="center"/>
            <w:textDirection w:val="lrTb"/>
            <w:noWrap w:val="false"/>
          </w:tcPr>
          <w:p>
            <w:pPr>
              <w:pStyle w:val="963"/>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投标人能够配合采购人开展平台突发事件应急响应，并提供应急响应服务承诺书，承诺能在半小时内响应的得</w:t>
            </w:r>
            <w:r>
              <w:rPr>
                <w:rFonts w:ascii="宋体" w:hAnsi="宋体" w:cs="宋体"/>
                <w:color w:val="000000"/>
                <w:sz w:val="24"/>
                <w:szCs w:val="24"/>
              </w:rPr>
              <w:t xml:space="preserve">6</w:t>
            </w:r>
            <w:r>
              <w:rPr>
                <w:rFonts w:hint="eastAsia" w:ascii="宋体" w:hAnsi="宋体" w:cs="宋体"/>
                <w:color w:val="000000"/>
                <w:sz w:val="24"/>
                <w:szCs w:val="24"/>
              </w:rPr>
              <w:t xml:space="preserve">分；承诺能在</w:t>
            </w:r>
            <w:r>
              <w:rPr>
                <w:rFonts w:ascii="宋体" w:hAnsi="宋体" w:cs="宋体"/>
                <w:color w:val="000000"/>
                <w:sz w:val="24"/>
                <w:szCs w:val="24"/>
              </w:rPr>
              <w:t xml:space="preserve">1</w:t>
            </w:r>
            <w:r>
              <w:rPr>
                <w:rFonts w:hint="eastAsia" w:ascii="宋体" w:hAnsi="宋体" w:cs="宋体"/>
                <w:color w:val="000000"/>
                <w:sz w:val="24"/>
                <w:szCs w:val="24"/>
              </w:rPr>
              <w:t xml:space="preserve">小时内响应的得</w:t>
            </w:r>
            <w:r>
              <w:rPr>
                <w:rFonts w:ascii="宋体" w:hAnsi="宋体" w:cs="宋体"/>
                <w:color w:val="000000"/>
                <w:sz w:val="24"/>
                <w:szCs w:val="24"/>
              </w:rPr>
              <w:t xml:space="preserve">4</w:t>
            </w:r>
            <w:r>
              <w:rPr>
                <w:rFonts w:hint="eastAsia" w:ascii="宋体" w:hAnsi="宋体" w:cs="宋体"/>
                <w:color w:val="000000"/>
                <w:sz w:val="24"/>
                <w:szCs w:val="24"/>
              </w:rPr>
              <w:t xml:space="preserve">分，承诺在两小时内响应的得2分，本项最高得</w:t>
            </w:r>
            <w:r>
              <w:rPr>
                <w:rFonts w:ascii="宋体" w:hAnsi="宋体" w:cs="宋体"/>
                <w:color w:val="000000"/>
                <w:sz w:val="24"/>
                <w:szCs w:val="24"/>
              </w:rPr>
              <w:t xml:space="preserve">6</w:t>
            </w:r>
            <w:r>
              <w:rPr>
                <w:rFonts w:hint="eastAsia" w:ascii="宋体" w:hAnsi="宋体" w:cs="宋体"/>
                <w:color w:val="000000"/>
                <w:sz w:val="24"/>
                <w:szCs w:val="24"/>
              </w:rPr>
              <w:t xml:space="preserve">分。</w:t>
            </w:r>
            <w:r>
              <w:rPr>
                <w:rFonts w:ascii="宋体" w:hAnsi="宋体" w:cs="宋体"/>
                <w:color w:val="000000"/>
                <w:sz w:val="24"/>
                <w:szCs w:val="24"/>
              </w:rPr>
            </w:r>
            <w:r/>
          </w:p>
          <w:p>
            <w:pPr>
              <w:pStyle w:val="963"/>
              <w:jc w:val="left"/>
              <w:spacing w:line="360" w:lineRule="auto"/>
              <w:rPr>
                <w:rFonts w:ascii="宋体" w:hAnsi="宋体" w:cs="宋体"/>
                <w:b/>
                <w:color w:val="000000"/>
                <w:sz w:val="24"/>
                <w:szCs w:val="24"/>
              </w:rPr>
            </w:pPr>
            <w:r>
              <w:rPr>
                <w:rFonts w:hint="eastAsia" w:ascii="宋体" w:hAnsi="宋体" w:cs="宋体"/>
                <w:b/>
                <w:color w:val="000000"/>
                <w:sz w:val="24"/>
                <w:szCs w:val="24"/>
              </w:rPr>
              <w:t xml:space="preserve">注：投标文件中提供承诺书并加盖投标人公章</w:t>
            </w:r>
            <w:r>
              <w:rPr>
                <w:b/>
                <w:bCs/>
                <w:color w:val="000000"/>
                <w:sz w:val="24"/>
                <w:szCs w:val="24"/>
              </w:rPr>
              <w:t xml:space="preserve">，否则不得分。</w:t>
            </w:r>
            <w:r>
              <w:rPr>
                <w:rFonts w:ascii="宋体" w:hAnsi="宋体" w:cs="宋体"/>
                <w:b/>
                <w:color w:val="000000"/>
                <w:sz w:val="24"/>
                <w:szCs w:val="24"/>
              </w:rPr>
            </w:r>
            <w:r/>
          </w:p>
        </w:tc>
      </w:tr>
      <w:tr>
        <w:trPr>
          <w:trHeight w:val="621"/>
        </w:trPr>
        <w:tc>
          <w:tcPr>
            <w:tcW w:w="1660" w:type="dxa"/>
            <w:vAlign w:val="center"/>
            <w:textDirection w:val="lrTb"/>
            <w:noWrap w:val="false"/>
          </w:tcPr>
          <w:p>
            <w:pPr>
              <w:pStyle w:val="963"/>
              <w:jc w:val="center"/>
              <w:spacing w:line="360" w:lineRule="auto"/>
              <w:rPr>
                <w:sz w:val="24"/>
                <w:szCs w:val="24"/>
              </w:rPr>
            </w:pPr>
            <w:r>
              <w:rPr>
                <w:rFonts w:hint="eastAsia" w:ascii="宋体" w:hAnsi="宋体" w:cs="宋体"/>
                <w:color w:val="000000"/>
                <w:sz w:val="24"/>
                <w:szCs w:val="24"/>
              </w:rPr>
              <w:t xml:space="preserve">项目实施保障（20分）</w:t>
            </w:r>
            <w:r>
              <w:rPr>
                <w:sz w:val="24"/>
                <w:szCs w:val="24"/>
              </w:rPr>
            </w:r>
            <w:r/>
          </w:p>
        </w:tc>
        <w:tc>
          <w:tcPr>
            <w:tcW w:w="6845" w:type="dxa"/>
            <w:vAlign w:val="center"/>
            <w:textDirection w:val="lrTb"/>
            <w:noWrap w:val="false"/>
          </w:tcPr>
          <w:p>
            <w:pPr>
              <w:pStyle w:val="963"/>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1、投标人具有质量管理体系认证的得</w:t>
            </w:r>
            <w:r>
              <w:rPr>
                <w:rFonts w:ascii="宋体" w:hAnsi="宋体" w:cs="宋体"/>
                <w:color w:val="000000"/>
                <w:sz w:val="24"/>
                <w:szCs w:val="24"/>
              </w:rPr>
              <w:t xml:space="preserve">4</w:t>
            </w:r>
            <w:r>
              <w:rPr>
                <w:rFonts w:hint="eastAsia" w:ascii="宋体" w:hAnsi="宋体" w:cs="宋体"/>
                <w:color w:val="000000"/>
                <w:sz w:val="24"/>
                <w:szCs w:val="24"/>
              </w:rPr>
              <w:t xml:space="preserve">分； </w:t>
            </w:r>
            <w:r>
              <w:rPr>
                <w:rFonts w:ascii="宋体" w:hAnsi="宋体" w:cs="宋体"/>
                <w:color w:val="000000"/>
                <w:sz w:val="24"/>
                <w:szCs w:val="24"/>
              </w:rPr>
            </w:r>
            <w:r/>
          </w:p>
          <w:p>
            <w:pPr>
              <w:pStyle w:val="963"/>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2、投标人具有环境管理体系认证的得</w:t>
            </w:r>
            <w:r>
              <w:rPr>
                <w:rFonts w:ascii="宋体" w:hAnsi="宋体" w:cs="宋体"/>
                <w:color w:val="000000"/>
                <w:sz w:val="24"/>
                <w:szCs w:val="24"/>
              </w:rPr>
              <w:t xml:space="preserve">4</w:t>
            </w:r>
            <w:r>
              <w:rPr>
                <w:rFonts w:hint="eastAsia" w:ascii="宋体" w:hAnsi="宋体" w:cs="宋体"/>
                <w:color w:val="000000"/>
                <w:sz w:val="24"/>
                <w:szCs w:val="24"/>
              </w:rPr>
              <w:t xml:space="preserve">分；</w:t>
            </w:r>
            <w:r>
              <w:rPr>
                <w:rFonts w:ascii="宋体" w:hAnsi="宋体" w:cs="宋体"/>
                <w:color w:val="000000"/>
                <w:sz w:val="24"/>
                <w:szCs w:val="24"/>
              </w:rPr>
            </w:r>
            <w:r/>
          </w:p>
          <w:p>
            <w:pPr>
              <w:pStyle w:val="963"/>
              <w:jc w:val="left"/>
              <w:spacing w:line="360" w:lineRule="auto"/>
              <w:rPr>
                <w:rFonts w:ascii="宋体" w:hAnsi="宋体" w:cs="宋体"/>
                <w:color w:val="000000"/>
                <w:sz w:val="24"/>
                <w:szCs w:val="24"/>
              </w:rPr>
            </w:pPr>
            <w:r>
              <w:rPr>
                <w:rFonts w:hint="eastAsia" w:ascii="宋体" w:hAnsi="宋体" w:cs="宋体"/>
                <w:color w:val="000000"/>
                <w:sz w:val="24"/>
                <w:szCs w:val="24"/>
              </w:rPr>
              <w:t xml:space="preserve">3、投标人具有信息安全管理体系认证的得</w:t>
            </w:r>
            <w:r>
              <w:rPr>
                <w:rFonts w:ascii="宋体" w:hAnsi="宋体" w:cs="宋体"/>
                <w:color w:val="000000"/>
                <w:sz w:val="24"/>
                <w:szCs w:val="24"/>
              </w:rPr>
              <w:t xml:space="preserve">4</w:t>
            </w:r>
            <w:r>
              <w:rPr>
                <w:rFonts w:hint="eastAsia" w:ascii="宋体" w:hAnsi="宋体" w:cs="宋体"/>
                <w:color w:val="000000"/>
                <w:sz w:val="24"/>
                <w:szCs w:val="24"/>
              </w:rPr>
              <w:t xml:space="preserve">分；</w:t>
            </w:r>
            <w:r>
              <w:rPr>
                <w:rFonts w:ascii="宋体" w:hAnsi="宋体" w:cs="宋体"/>
                <w:color w:val="000000"/>
                <w:sz w:val="24"/>
                <w:szCs w:val="24"/>
              </w:rPr>
            </w:r>
            <w:r/>
          </w:p>
          <w:p>
            <w:pPr>
              <w:pStyle w:val="963"/>
              <w:jc w:val="left"/>
              <w:spacing w:line="360" w:lineRule="auto"/>
              <w:rPr>
                <w:rFonts w:ascii="宋体" w:hAnsi="宋体"/>
                <w:color w:val="000000"/>
                <w:sz w:val="24"/>
                <w:szCs w:val="24"/>
              </w:rPr>
            </w:pPr>
            <w:r>
              <w:rPr>
                <w:rFonts w:hint="eastAsia" w:ascii="宋体" w:hAnsi="宋体" w:cs="宋体"/>
                <w:color w:val="000000"/>
                <w:sz w:val="24"/>
                <w:szCs w:val="24"/>
              </w:rPr>
              <w:t xml:space="preserve">4、投标人具有</w:t>
            </w:r>
            <w:r>
              <w:rPr>
                <w:sz w:val="24"/>
                <w:szCs w:val="24"/>
              </w:rPr>
              <w:t xml:space="preserve">信息技术服务管理体系</w:t>
            </w:r>
            <w:r>
              <w:rPr>
                <w:rFonts w:hint="eastAsia" w:ascii="宋体" w:hAnsi="宋体" w:cs="宋体"/>
                <w:color w:val="000000"/>
                <w:sz w:val="24"/>
                <w:szCs w:val="24"/>
              </w:rPr>
              <w:t xml:space="preserve">认证的得</w:t>
            </w:r>
            <w:r>
              <w:rPr>
                <w:rFonts w:ascii="宋体" w:hAnsi="宋体" w:cs="宋体"/>
                <w:color w:val="000000"/>
                <w:sz w:val="24"/>
                <w:szCs w:val="24"/>
              </w:rPr>
              <w:t xml:space="preserve">4</w:t>
            </w:r>
            <w:r>
              <w:rPr>
                <w:rFonts w:hint="eastAsia" w:ascii="宋体" w:hAnsi="宋体" w:cs="宋体"/>
                <w:color w:val="000000"/>
                <w:sz w:val="24"/>
                <w:szCs w:val="24"/>
              </w:rPr>
              <w:t xml:space="preserve">分；</w:t>
            </w:r>
            <w:r>
              <w:rPr>
                <w:rFonts w:ascii="宋体" w:hAnsi="宋体"/>
                <w:color w:val="000000"/>
                <w:sz w:val="24"/>
                <w:szCs w:val="24"/>
              </w:rPr>
            </w:r>
            <w:r/>
          </w:p>
          <w:p>
            <w:pPr>
              <w:pStyle w:val="963"/>
              <w:jc w:val="left"/>
              <w:spacing w:line="360" w:lineRule="auto"/>
              <w:rPr>
                <w:sz w:val="24"/>
                <w:szCs w:val="24"/>
              </w:rPr>
            </w:pPr>
            <w:r>
              <w:rPr>
                <w:rFonts w:ascii="宋体" w:hAnsi="宋体" w:cs="宋体"/>
                <w:color w:val="000000"/>
                <w:sz w:val="24"/>
                <w:szCs w:val="24"/>
              </w:rPr>
              <w:t xml:space="preserve">5</w:t>
            </w:r>
            <w:r>
              <w:rPr>
                <w:rFonts w:hint="eastAsia" w:ascii="宋体" w:hAnsi="宋体" w:cs="宋体"/>
                <w:color w:val="000000"/>
                <w:sz w:val="24"/>
                <w:szCs w:val="24"/>
              </w:rPr>
              <w:t xml:space="preserve">、投标人具有职业健康管理体系认证的得</w:t>
            </w:r>
            <w:r>
              <w:rPr>
                <w:rFonts w:ascii="宋体" w:hAnsi="宋体" w:cs="宋体"/>
                <w:color w:val="000000"/>
                <w:sz w:val="24"/>
                <w:szCs w:val="24"/>
              </w:rPr>
              <w:t xml:space="preserve">4</w:t>
            </w:r>
            <w:r>
              <w:rPr>
                <w:rFonts w:hint="eastAsia" w:ascii="宋体" w:hAnsi="宋体" w:cs="宋体"/>
                <w:color w:val="000000"/>
                <w:sz w:val="24"/>
                <w:szCs w:val="24"/>
              </w:rPr>
              <w:t xml:space="preserve">分。 </w:t>
              <w:br w:type="textWrapping" w:clear="all"/>
            </w:r>
            <w:r>
              <w:rPr>
                <w:rFonts w:hint="eastAsia" w:ascii="宋体" w:hAnsi="宋体" w:cs="宋体"/>
                <w:b/>
                <w:color w:val="000000"/>
                <w:sz w:val="24"/>
                <w:szCs w:val="24"/>
              </w:rPr>
              <w:t xml:space="preserve">注：上述 1-</w:t>
            </w:r>
            <w:r>
              <w:rPr>
                <w:rFonts w:ascii="宋体" w:hAnsi="宋体" w:cs="宋体"/>
                <w:b/>
                <w:color w:val="000000"/>
                <w:sz w:val="24"/>
                <w:szCs w:val="24"/>
              </w:rPr>
              <w:t xml:space="preserve">5</w:t>
            </w:r>
            <w:r>
              <w:rPr>
                <w:rFonts w:hint="eastAsia" w:ascii="宋体" w:hAnsi="宋体" w:cs="宋体"/>
                <w:b/>
                <w:color w:val="000000"/>
                <w:sz w:val="24"/>
                <w:szCs w:val="24"/>
              </w:rPr>
              <w:t xml:space="preserve"> 项投标文件中提供</w:t>
            </w:r>
            <w:r>
              <w:rPr>
                <w:rFonts w:hint="eastAsia" w:ascii="宋体" w:hAnsi="宋体" w:cs="宋体"/>
                <w:b/>
                <w:color w:val="000000"/>
                <w:sz w:val="24"/>
                <w:szCs w:val="24"/>
              </w:rPr>
              <w:t xml:space="preserve">有效</w:t>
            </w:r>
            <w:r>
              <w:rPr>
                <w:rFonts w:hint="eastAsia" w:ascii="宋体" w:hAnsi="宋体" w:cs="宋体"/>
                <w:b/>
                <w:color w:val="000000"/>
                <w:sz w:val="24"/>
                <w:szCs w:val="24"/>
              </w:rPr>
              <w:t xml:space="preserve">证书并加盖投标人公章</w:t>
            </w:r>
            <w:r>
              <w:rPr>
                <w:b/>
                <w:bCs/>
                <w:color w:val="000000"/>
                <w:sz w:val="24"/>
                <w:szCs w:val="24"/>
              </w:rPr>
              <w:t xml:space="preserve">，否则不得分。</w:t>
            </w:r>
            <w:r>
              <w:rPr>
                <w:sz w:val="24"/>
                <w:szCs w:val="24"/>
              </w:rPr>
            </w:r>
            <w:r/>
          </w:p>
        </w:tc>
      </w:tr>
      <w:tr>
        <w:trPr>
          <w:trHeight w:val="621"/>
        </w:trPr>
        <w:tc>
          <w:tcPr>
            <w:tcW w:w="1660" w:type="dxa"/>
            <w:vAlign w:val="center"/>
            <w:textDirection w:val="lrTb"/>
            <w:noWrap w:val="false"/>
          </w:tcPr>
          <w:p>
            <w:pPr>
              <w:pStyle w:val="963"/>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业绩（15分）</w:t>
            </w:r>
            <w:r>
              <w:rPr>
                <w:rFonts w:ascii="宋体" w:hAnsi="宋体" w:cs="宋体"/>
                <w:color w:val="000000"/>
                <w:sz w:val="24"/>
                <w:szCs w:val="24"/>
              </w:rPr>
            </w:r>
            <w:r/>
          </w:p>
        </w:tc>
        <w:tc>
          <w:tcPr>
            <w:tcW w:w="6845" w:type="dxa"/>
            <w:vAlign w:val="center"/>
            <w:textDirection w:val="lrTb"/>
            <w:noWrap w:val="false"/>
          </w:tcPr>
          <w:p>
            <w:pPr>
              <w:pStyle w:val="963"/>
              <w:jc w:val="left"/>
              <w:spacing w:line="360" w:lineRule="auto"/>
              <w:widowControl/>
              <w:rPr>
                <w:color w:val="000000"/>
                <w:sz w:val="24"/>
                <w:szCs w:val="24"/>
              </w:rPr>
            </w:pPr>
            <w:r>
              <w:rPr>
                <w:rFonts w:hint="eastAsia" w:ascii="宋体" w:hAnsi="宋体" w:cs="宋体"/>
                <w:color w:val="000000"/>
                <w:sz w:val="24"/>
                <w:szCs w:val="24"/>
              </w:rPr>
              <w:t xml:space="preserve">投标人自2020年1月1日（含）以来（</w:t>
            </w:r>
            <w:r>
              <w:rPr>
                <w:rFonts w:hint="eastAsia" w:ascii="宋体" w:hAnsi="宋体" w:cs="宋体"/>
                <w:color w:val="000000"/>
                <w:sz w:val="24"/>
                <w:szCs w:val="24"/>
              </w:rPr>
              <w:t xml:space="preserve">以合同签订日期为准），承担过环境污染运维服务类项目的，每提供一份合同</w:t>
            </w:r>
            <w:r>
              <w:rPr>
                <w:rFonts w:hint="eastAsia" w:ascii="宋体" w:hAnsi="宋体" w:cs="宋体"/>
                <w:color w:val="000000"/>
                <w:sz w:val="24"/>
                <w:szCs w:val="24"/>
              </w:rPr>
              <w:t xml:space="preserve">得3分，本项最高15分。 </w:t>
              <w:br w:type="textWrapping" w:clear="all"/>
            </w:r>
            <w:r>
              <w:rPr>
                <w:b/>
                <w:bCs/>
                <w:color w:val="000000"/>
                <w:sz w:val="24"/>
                <w:szCs w:val="24"/>
              </w:rPr>
              <w:t xml:space="preserve">注：</w:t>
            </w:r>
            <w:r>
              <w:rPr>
                <w:rFonts w:hint="eastAsia" w:ascii="宋体" w:hAnsi="宋体" w:cs="宋体"/>
                <w:b/>
                <w:color w:val="000000"/>
                <w:sz w:val="24"/>
                <w:szCs w:val="24"/>
              </w:rPr>
              <w:t xml:space="preserve">投标文件中提供合同并加盖投标人公章，</w:t>
            </w:r>
            <w:r>
              <w:rPr>
                <w:b/>
                <w:bCs/>
                <w:color w:val="000000"/>
                <w:sz w:val="24"/>
                <w:szCs w:val="24"/>
              </w:rPr>
              <w:t xml:space="preserve">否则不得分。</w:t>
            </w:r>
            <w:r>
              <w:rPr>
                <w:color w:val="000000"/>
                <w:sz w:val="24"/>
                <w:szCs w:val="24"/>
              </w:rPr>
            </w:r>
            <w:r/>
          </w:p>
        </w:tc>
      </w:tr>
    </w:tbl>
    <w:p>
      <w:pPr>
        <w:pStyle w:val="963"/>
        <w:ind w:firstLine="480"/>
        <w:jc w:val="left"/>
        <w:spacing w:line="500" w:lineRule="exact"/>
        <w:rPr>
          <w:sz w:val="24"/>
          <w:szCs w:val="24"/>
        </w:rPr>
      </w:pPr>
      <w:r>
        <w:rPr>
          <w:rFonts w:hint="eastAsia"/>
          <w:sz w:val="24"/>
          <w:szCs w:val="24"/>
        </w:rPr>
        <w:t xml:space="preserve">（3）商务分（</w:t>
      </w:r>
      <w:r>
        <w:rPr>
          <w:rFonts w:hint="eastAsia"/>
          <w:sz w:val="24"/>
          <w:szCs w:val="24"/>
        </w:rPr>
        <w:t xml:space="preserve">35</w:t>
      </w:r>
      <w:r>
        <w:rPr>
          <w:rFonts w:hint="eastAsia"/>
          <w:sz w:val="24"/>
          <w:szCs w:val="24"/>
        </w:rPr>
        <w:t xml:space="preserve">分）</w:t>
      </w:r>
      <w:r>
        <w:rPr>
          <w:sz w:val="24"/>
          <w:szCs w:val="24"/>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963"/>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rPr>
                <w:rFonts w:ascii="黑体" w:hAnsi="黑体" w:eastAsia="黑体"/>
                <w:color w:val="000000"/>
                <w:sz w:val="24"/>
                <w:szCs w:val="24"/>
              </w:rPr>
            </w:r>
            <w:r/>
          </w:p>
        </w:tc>
        <w:tc>
          <w:tcPr>
            <w:tcW w:w="6845" w:type="dxa"/>
            <w:vAlign w:val="center"/>
            <w:textDirection w:val="lrTb"/>
            <w:noWrap w:val="false"/>
          </w:tcPr>
          <w:p>
            <w:pPr>
              <w:pStyle w:val="963"/>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rPr>
                <w:rFonts w:ascii="黑体" w:hAnsi="黑体" w:eastAsia="黑体"/>
                <w:color w:val="000000"/>
                <w:sz w:val="24"/>
                <w:szCs w:val="24"/>
              </w:rPr>
            </w:r>
            <w:r/>
          </w:p>
        </w:tc>
      </w:tr>
      <w:tr>
        <w:trPr>
          <w:trHeight w:val="621"/>
        </w:trPr>
        <w:tc>
          <w:tcPr>
            <w:tcW w:w="1660" w:type="dxa"/>
            <w:vAlign w:val="center"/>
            <w:textDirection w:val="lrTb"/>
            <w:noWrap w:val="false"/>
          </w:tcPr>
          <w:p>
            <w:pPr>
              <w:pStyle w:val="963"/>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监控平台运维服务方案</w:t>
            </w:r>
            <w:r>
              <w:rPr>
                <w:rFonts w:ascii="宋体" w:hAnsi="宋体" w:cs="宋体"/>
                <w:color w:val="000000"/>
                <w:sz w:val="24"/>
                <w:szCs w:val="24"/>
              </w:rPr>
            </w:r>
            <w:r/>
          </w:p>
          <w:p>
            <w:pPr>
              <w:pStyle w:val="963"/>
              <w:jc w:val="center"/>
              <w:spacing w:line="360" w:lineRule="auto"/>
              <w:rPr>
                <w:sz w:val="24"/>
                <w:szCs w:val="24"/>
              </w:rPr>
            </w:pPr>
            <w:r>
              <w:rPr>
                <w:rFonts w:hint="eastAsia" w:ascii="宋体" w:hAnsi="宋体" w:cs="宋体"/>
                <w:color w:val="000000"/>
                <w:sz w:val="24"/>
                <w:szCs w:val="24"/>
              </w:rPr>
              <w:t xml:space="preserve">（9分）</w:t>
            </w:r>
            <w:r>
              <w:rPr>
                <w:sz w:val="24"/>
                <w:szCs w:val="24"/>
              </w:rPr>
            </w:r>
            <w:r/>
          </w:p>
        </w:tc>
        <w:tc>
          <w:tcPr>
            <w:tcW w:w="6845" w:type="dxa"/>
            <w:vAlign w:val="top"/>
            <w:textDirection w:val="lrTb"/>
            <w:noWrap w:val="false"/>
          </w:tcPr>
          <w:p>
            <w:pPr>
              <w:pStyle w:val="963"/>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投标人针对采购需求提供监控平台运维服务方案,包含但不限于项目实施流程、管理制度、服务方案、工作计划、合理化建议、质量保证措施等。</w:t>
            </w:r>
            <w:r>
              <w:rPr>
                <w:rFonts w:ascii="宋体" w:hAnsi="宋体" w:cs="宋体"/>
                <w:color w:val="000000"/>
                <w:sz w:val="24"/>
                <w:szCs w:val="24"/>
              </w:rPr>
            </w:r>
            <w:r/>
          </w:p>
          <w:p>
            <w:pPr>
              <w:pStyle w:val="963"/>
              <w:jc w:val="left"/>
              <w:spacing w:line="360" w:lineRule="auto"/>
              <w:rPr>
                <w:rFonts w:ascii="宋体" w:hAnsi="宋体" w:cs="宋体"/>
                <w:color w:val="000000"/>
                <w:sz w:val="24"/>
                <w:szCs w:val="24"/>
              </w:rPr>
            </w:pPr>
            <w:r>
              <w:rPr>
                <w:rFonts w:hint="eastAsia" w:ascii="宋体" w:hAnsi="宋体" w:cs="宋体"/>
                <w:color w:val="000000"/>
                <w:sz w:val="24"/>
                <w:szCs w:val="24"/>
              </w:rPr>
              <w:t xml:space="preserve">运维服务方案非常全面，针对性强，完整性、科学性及合理性都非常高，整体方案可行性高，完全贴合实际，完全满足项目需求，得9分。</w:t>
            </w:r>
            <w:r>
              <w:rPr>
                <w:rFonts w:ascii="宋体" w:hAnsi="宋体" w:cs="宋体"/>
                <w:color w:val="000000"/>
                <w:sz w:val="24"/>
                <w:szCs w:val="24"/>
              </w:rPr>
            </w:r>
            <w:r/>
          </w:p>
          <w:p>
            <w:pPr>
              <w:pStyle w:val="963"/>
              <w:jc w:val="left"/>
              <w:spacing w:line="360" w:lineRule="auto"/>
              <w:rPr>
                <w:rFonts w:ascii="宋体" w:hAnsi="宋体" w:cs="宋体"/>
                <w:color w:val="000000"/>
                <w:sz w:val="24"/>
                <w:szCs w:val="24"/>
              </w:rPr>
            </w:pPr>
            <w:r>
              <w:rPr>
                <w:rFonts w:hint="eastAsia" w:ascii="宋体" w:hAnsi="宋体" w:cs="宋体"/>
                <w:color w:val="000000"/>
                <w:sz w:val="24"/>
                <w:szCs w:val="24"/>
              </w:rPr>
              <w:t xml:space="preserve">运维服务方案较片面，针对性一般，基本满足完整性、科学性及合理性，整体方案可行性一般，基本贴合实际，基本满足项目需求，得7分。</w:t>
            </w:r>
            <w:r>
              <w:rPr>
                <w:rFonts w:ascii="宋体" w:hAnsi="宋体" w:cs="宋体"/>
                <w:color w:val="000000"/>
                <w:sz w:val="24"/>
                <w:szCs w:val="24"/>
              </w:rPr>
            </w:r>
            <w:r/>
          </w:p>
          <w:p>
            <w:pPr>
              <w:pStyle w:val="963"/>
              <w:jc w:val="left"/>
              <w:spacing w:line="360" w:lineRule="auto"/>
              <w:rPr>
                <w:rFonts w:ascii="宋体" w:hAnsi="宋体" w:cs="宋体"/>
                <w:color w:val="000000"/>
                <w:sz w:val="24"/>
                <w:szCs w:val="24"/>
              </w:rPr>
            </w:pPr>
            <w:r>
              <w:rPr>
                <w:rFonts w:hint="eastAsia" w:ascii="宋体" w:hAnsi="宋体" w:cs="宋体"/>
                <w:color w:val="000000"/>
                <w:sz w:val="24"/>
                <w:szCs w:val="24"/>
              </w:rPr>
              <w:t xml:space="preserve">运维服务方案差，针对性较差，完整性、科学性及合理性都欠缺，整体方案可行性较差，没有贴合实际，得5分。</w:t>
            </w:r>
            <w:r>
              <w:rPr>
                <w:rFonts w:ascii="宋体" w:hAnsi="宋体" w:cs="宋体"/>
                <w:color w:val="000000"/>
                <w:sz w:val="24"/>
                <w:szCs w:val="24"/>
              </w:rPr>
            </w:r>
            <w:r/>
          </w:p>
          <w:p>
            <w:pPr>
              <w:pStyle w:val="963"/>
              <w:jc w:val="left"/>
              <w:spacing w:line="360" w:lineRule="auto"/>
              <w:rPr>
                <w:rFonts w:ascii="宋体" w:hAnsi="宋体" w:cs="宋体"/>
                <w:color w:val="000000"/>
                <w:sz w:val="24"/>
                <w:szCs w:val="24"/>
              </w:rPr>
            </w:pPr>
            <w:r>
              <w:rPr>
                <w:rFonts w:hint="eastAsia" w:ascii="宋体" w:hAnsi="宋体" w:cs="宋体"/>
                <w:color w:val="000000"/>
                <w:sz w:val="24"/>
                <w:szCs w:val="24"/>
              </w:rPr>
              <w:t xml:space="preserve">运维服务方案非常差，针对性很差，完整性、科学性及合理性严重欠缺，整体方案可行性很差，完全不贴合实际，得3分。</w:t>
            </w:r>
            <w:r>
              <w:rPr>
                <w:rFonts w:ascii="宋体" w:hAnsi="宋体" w:cs="宋体"/>
                <w:color w:val="000000"/>
                <w:sz w:val="24"/>
                <w:szCs w:val="24"/>
              </w:rPr>
            </w:r>
            <w:r/>
          </w:p>
          <w:p>
            <w:pPr>
              <w:pStyle w:val="963"/>
              <w:jc w:val="left"/>
              <w:spacing w:line="360" w:lineRule="auto"/>
              <w:rPr>
                <w:sz w:val="24"/>
                <w:szCs w:val="24"/>
              </w:rPr>
            </w:pPr>
            <w:r>
              <w:rPr>
                <w:rFonts w:hint="eastAsia" w:ascii="宋体" w:hAnsi="宋体" w:cs="宋体"/>
                <w:color w:val="000000"/>
                <w:sz w:val="24"/>
                <w:szCs w:val="24"/>
              </w:rPr>
              <w:t xml:space="preserve">本项未见阐述不得分。</w:t>
            </w:r>
            <w:r>
              <w:rPr>
                <w:sz w:val="24"/>
                <w:szCs w:val="24"/>
              </w:rPr>
            </w:r>
            <w:r/>
          </w:p>
        </w:tc>
      </w:tr>
      <w:tr>
        <w:trPr>
          <w:trHeight w:val="621"/>
        </w:trPr>
        <w:tc>
          <w:tcPr>
            <w:tcW w:w="1660" w:type="dxa"/>
            <w:vAlign w:val="center"/>
            <w:textDirection w:val="lrTb"/>
            <w:noWrap w:val="false"/>
          </w:tcPr>
          <w:p>
            <w:pPr>
              <w:pStyle w:val="963"/>
              <w:jc w:val="center"/>
              <w:spacing w:line="360" w:lineRule="auto"/>
              <w:rPr>
                <w:sz w:val="24"/>
                <w:szCs w:val="24"/>
              </w:rPr>
            </w:pPr>
            <w:r>
              <w:rPr>
                <w:rStyle w:val="1156"/>
                <w:rFonts w:hint="eastAsia" w:ascii="宋体" w:hAnsi="宋体" w:eastAsia="宋体"/>
                <w:sz w:val="24"/>
                <w:szCs w:val="24"/>
              </w:rPr>
              <w:t xml:space="preserve">项目实施方案</w:t>
            </w:r>
            <w:r>
              <w:rPr>
                <w:rFonts w:hint="eastAsia" w:ascii="宋体" w:hAnsi="宋体"/>
                <w:sz w:val="24"/>
                <w:szCs w:val="24"/>
              </w:rPr>
              <w:t xml:space="preserve">（9）</w:t>
            </w:r>
            <w:r>
              <w:rPr>
                <w:sz w:val="24"/>
                <w:szCs w:val="24"/>
              </w:rPr>
            </w:r>
            <w:r/>
          </w:p>
        </w:tc>
        <w:tc>
          <w:tcPr>
            <w:tcW w:w="6845" w:type="dxa"/>
            <w:vAlign w:val="center"/>
            <w:textDirection w:val="lrTb"/>
            <w:noWrap w:val="false"/>
          </w:tcPr>
          <w:p>
            <w:pPr>
              <w:pStyle w:val="963"/>
              <w:spacing w:line="360" w:lineRule="auto"/>
              <w:widowControl/>
              <w:rPr>
                <w:rFonts w:ascii="宋体" w:hAnsi="宋体"/>
                <w:sz w:val="24"/>
                <w:szCs w:val="24"/>
              </w:rPr>
            </w:pPr>
            <w:r>
              <w:rPr>
                <w:rFonts w:hint="eastAsia" w:ascii="宋体" w:hAnsi="宋体"/>
                <w:sz w:val="24"/>
                <w:szCs w:val="24"/>
              </w:rPr>
              <w:t xml:space="preserve">投标人针对采购需求提供项目实施方案，包含但不限于实施人员安排、技术保障措施、工作进度安排等。</w:t>
            </w:r>
            <w:r>
              <w:rPr>
                <w:rFonts w:ascii="宋体" w:hAnsi="宋体"/>
                <w:sz w:val="24"/>
                <w:szCs w:val="24"/>
              </w:rPr>
            </w:r>
            <w:r/>
          </w:p>
          <w:p>
            <w:pPr>
              <w:pStyle w:val="963"/>
              <w:spacing w:line="360" w:lineRule="auto"/>
              <w:widowControl/>
              <w:rPr>
                <w:rFonts w:ascii="宋体" w:hAnsi="宋体"/>
                <w:sz w:val="24"/>
                <w:szCs w:val="24"/>
              </w:rPr>
            </w:pPr>
            <w:r>
              <w:rPr>
                <w:rFonts w:hint="eastAsia" w:ascii="宋体" w:hAnsi="宋体"/>
                <w:sz w:val="24"/>
                <w:szCs w:val="24"/>
              </w:rPr>
              <w:t xml:space="preserve">实施方案中人员安排优于采购需求、技术保障措施充分、工作进度安排合理的，得</w:t>
            </w:r>
            <w:r>
              <w:rPr>
                <w:rFonts w:ascii="宋体" w:hAnsi="宋体"/>
                <w:sz w:val="24"/>
                <w:szCs w:val="24"/>
              </w:rPr>
              <w:t xml:space="preserve">9</w:t>
            </w:r>
            <w:r>
              <w:rPr>
                <w:rFonts w:hint="eastAsia" w:ascii="宋体" w:hAnsi="宋体"/>
                <w:sz w:val="24"/>
                <w:szCs w:val="24"/>
              </w:rPr>
              <w:t xml:space="preserve">分；</w:t>
            </w:r>
            <w:r>
              <w:rPr>
                <w:rFonts w:ascii="宋体" w:hAnsi="宋体"/>
                <w:sz w:val="24"/>
                <w:szCs w:val="24"/>
              </w:rPr>
            </w:r>
            <w:r/>
          </w:p>
          <w:p>
            <w:pPr>
              <w:pStyle w:val="963"/>
              <w:spacing w:line="360" w:lineRule="auto"/>
              <w:widowControl/>
              <w:rPr>
                <w:rFonts w:ascii="宋体" w:hAnsi="宋体"/>
                <w:sz w:val="24"/>
                <w:szCs w:val="24"/>
              </w:rPr>
            </w:pPr>
            <w:r>
              <w:rPr>
                <w:rFonts w:hint="eastAsia" w:ascii="宋体" w:hAnsi="宋体"/>
                <w:sz w:val="24"/>
                <w:szCs w:val="24"/>
              </w:rPr>
              <w:t xml:space="preserve">实施方案中人员安排符合采购需求、技术保障措施较充分、工作进度安排较为合理的，得</w:t>
            </w:r>
            <w:r>
              <w:rPr>
                <w:rFonts w:ascii="宋体" w:hAnsi="宋体"/>
                <w:sz w:val="24"/>
                <w:szCs w:val="24"/>
              </w:rPr>
              <w:t xml:space="preserve">7</w:t>
            </w:r>
            <w:r>
              <w:rPr>
                <w:rFonts w:hint="eastAsia" w:ascii="宋体" w:hAnsi="宋体"/>
                <w:sz w:val="24"/>
                <w:szCs w:val="24"/>
              </w:rPr>
              <w:t xml:space="preserve">分；</w:t>
            </w:r>
            <w:r>
              <w:rPr>
                <w:rFonts w:ascii="宋体" w:hAnsi="宋体"/>
                <w:sz w:val="24"/>
                <w:szCs w:val="24"/>
              </w:rPr>
            </w:r>
            <w:r/>
          </w:p>
          <w:p>
            <w:pPr>
              <w:pStyle w:val="963"/>
              <w:spacing w:line="360" w:lineRule="auto"/>
              <w:widowControl/>
              <w:rPr>
                <w:rFonts w:ascii="宋体" w:hAnsi="宋体"/>
                <w:sz w:val="24"/>
                <w:szCs w:val="24"/>
              </w:rPr>
            </w:pPr>
            <w:r>
              <w:rPr>
                <w:rFonts w:hint="eastAsia" w:ascii="宋体" w:hAnsi="宋体"/>
                <w:sz w:val="24"/>
                <w:szCs w:val="24"/>
              </w:rPr>
              <w:t xml:space="preserve">实施方案中人员安排不符合采购需求、技术保障措施不太充分、工作进度安排不太合理的，得</w:t>
            </w:r>
            <w:r>
              <w:rPr>
                <w:rFonts w:ascii="宋体" w:hAnsi="宋体"/>
                <w:sz w:val="24"/>
                <w:szCs w:val="24"/>
              </w:rPr>
              <w:t xml:space="preserve">5</w:t>
            </w:r>
            <w:r>
              <w:rPr>
                <w:rFonts w:hint="eastAsia" w:ascii="宋体" w:hAnsi="宋体"/>
                <w:sz w:val="24"/>
                <w:szCs w:val="24"/>
              </w:rPr>
              <w:t xml:space="preserve">分；</w:t>
            </w:r>
            <w:r>
              <w:rPr>
                <w:rFonts w:ascii="宋体" w:hAnsi="宋体"/>
                <w:sz w:val="24"/>
                <w:szCs w:val="24"/>
              </w:rPr>
            </w:r>
            <w:r/>
          </w:p>
          <w:p>
            <w:pPr>
              <w:pStyle w:val="963"/>
              <w:jc w:val="left"/>
              <w:spacing w:line="360" w:lineRule="auto"/>
              <w:rPr>
                <w:sz w:val="24"/>
                <w:szCs w:val="24"/>
              </w:rPr>
            </w:pPr>
            <w:r>
              <w:rPr>
                <w:rFonts w:hint="eastAsia" w:ascii="宋体" w:hAnsi="宋体"/>
                <w:sz w:val="24"/>
                <w:szCs w:val="24"/>
              </w:rPr>
              <w:t xml:space="preserve">该项未见阐述不得分。</w:t>
            </w:r>
            <w:r>
              <w:rPr>
                <w:sz w:val="24"/>
                <w:szCs w:val="24"/>
              </w:rPr>
            </w:r>
            <w:r/>
          </w:p>
        </w:tc>
      </w:tr>
      <w:tr>
        <w:trPr>
          <w:trHeight w:val="621"/>
        </w:trPr>
        <w:tc>
          <w:tcPr>
            <w:tcW w:w="1660" w:type="dxa"/>
            <w:vAlign w:val="center"/>
            <w:textDirection w:val="lrTb"/>
            <w:noWrap w:val="false"/>
          </w:tcPr>
          <w:p>
            <w:pPr>
              <w:pStyle w:val="963"/>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应急预案</w:t>
            </w:r>
            <w:r>
              <w:rPr>
                <w:rFonts w:ascii="宋体" w:hAnsi="宋体" w:cs="宋体"/>
                <w:color w:val="000000"/>
                <w:sz w:val="24"/>
                <w:szCs w:val="24"/>
              </w:rPr>
            </w:r>
            <w:r/>
          </w:p>
          <w:p>
            <w:pPr>
              <w:pStyle w:val="963"/>
              <w:jc w:val="center"/>
              <w:spacing w:line="360" w:lineRule="auto"/>
              <w:rPr>
                <w:sz w:val="24"/>
                <w:szCs w:val="24"/>
              </w:rPr>
            </w:pPr>
            <w:r>
              <w:rPr>
                <w:rFonts w:hint="eastAsia" w:ascii="宋体" w:hAnsi="宋体" w:cs="宋体"/>
                <w:color w:val="000000"/>
                <w:sz w:val="24"/>
                <w:szCs w:val="24"/>
              </w:rPr>
              <w:t xml:space="preserve">（8分）</w:t>
            </w:r>
            <w:r>
              <w:rPr>
                <w:sz w:val="24"/>
                <w:szCs w:val="24"/>
              </w:rPr>
            </w:r>
            <w:r/>
          </w:p>
        </w:tc>
        <w:tc>
          <w:tcPr>
            <w:tcW w:w="6845" w:type="dxa"/>
            <w:vAlign w:val="top"/>
            <w:textDirection w:val="lrTb"/>
            <w:noWrap w:val="false"/>
          </w:tcPr>
          <w:p>
            <w:pPr>
              <w:pStyle w:val="963"/>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投标人针对采购需求提供应急预案，包含但不限于针对运行维护过程中可能发生的各种情况编制运维质量控制和管理措施方案并进行预测、分析给予相应的解决方案等。</w:t>
            </w:r>
            <w:r>
              <w:rPr>
                <w:rFonts w:ascii="宋体" w:hAnsi="宋体" w:cs="宋体"/>
                <w:color w:val="000000"/>
                <w:sz w:val="24"/>
                <w:szCs w:val="24"/>
              </w:rPr>
            </w:r>
            <w:r/>
          </w:p>
          <w:p>
            <w:pPr>
              <w:pStyle w:val="963"/>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应急预案科学、合理，可行性强，得8分；</w:t>
            </w:r>
            <w:r>
              <w:rPr>
                <w:rFonts w:ascii="宋体" w:hAnsi="宋体" w:cs="宋体"/>
                <w:color w:val="000000"/>
                <w:sz w:val="24"/>
                <w:szCs w:val="24"/>
              </w:rPr>
            </w:r>
            <w:r/>
          </w:p>
          <w:p>
            <w:pPr>
              <w:pStyle w:val="963"/>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应急预案科学性合理性齐全，具有实际可操作性，得6分；</w:t>
            </w:r>
            <w:r>
              <w:rPr>
                <w:rFonts w:ascii="宋体" w:hAnsi="宋体" w:cs="宋体"/>
                <w:color w:val="000000"/>
                <w:sz w:val="24"/>
                <w:szCs w:val="24"/>
              </w:rPr>
            </w:r>
            <w:r/>
          </w:p>
          <w:p>
            <w:pPr>
              <w:pStyle w:val="963"/>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应急预案科学性可行性有欠缺，缺乏操作性，得4分；</w:t>
            </w:r>
            <w:r>
              <w:rPr>
                <w:sz w:val="24"/>
                <w:szCs w:val="24"/>
              </w:rPr>
              <w:t xml:space="preserve"> </w:t>
            </w:r>
            <w:r>
              <w:rPr>
                <w:rFonts w:ascii="宋体" w:hAnsi="宋体" w:cs="宋体"/>
                <w:color w:val="000000"/>
                <w:sz w:val="24"/>
                <w:szCs w:val="24"/>
              </w:rPr>
            </w:r>
            <w:r/>
          </w:p>
          <w:p>
            <w:pPr>
              <w:pStyle w:val="963"/>
              <w:jc w:val="left"/>
              <w:spacing w:line="360" w:lineRule="auto"/>
              <w:rPr>
                <w:sz w:val="24"/>
                <w:szCs w:val="24"/>
              </w:rPr>
            </w:pPr>
            <w:r>
              <w:rPr>
                <w:rFonts w:hint="eastAsia" w:ascii="宋体" w:hAnsi="宋体" w:cs="宋体"/>
                <w:color w:val="000000"/>
                <w:sz w:val="24"/>
                <w:szCs w:val="24"/>
              </w:rPr>
              <w:t xml:space="preserve">本项未见阐述不得分。</w:t>
            </w:r>
            <w:r>
              <w:rPr>
                <w:sz w:val="24"/>
                <w:szCs w:val="24"/>
              </w:rPr>
            </w:r>
            <w:r/>
          </w:p>
        </w:tc>
      </w:tr>
      <w:tr>
        <w:trPr>
          <w:trHeight w:val="621"/>
        </w:trPr>
        <w:tc>
          <w:tcPr>
            <w:tcW w:w="1660" w:type="dxa"/>
            <w:vAlign w:val="center"/>
            <w:textDirection w:val="lrTb"/>
            <w:noWrap w:val="false"/>
          </w:tcPr>
          <w:p>
            <w:pPr>
              <w:pStyle w:val="963"/>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服务保障方案</w:t>
            </w:r>
            <w:r>
              <w:rPr>
                <w:rFonts w:ascii="宋体" w:hAnsi="宋体" w:cs="宋体"/>
                <w:color w:val="000000"/>
                <w:sz w:val="24"/>
                <w:szCs w:val="24"/>
              </w:rPr>
            </w:r>
            <w:r/>
          </w:p>
          <w:p>
            <w:pPr>
              <w:pStyle w:val="963"/>
              <w:jc w:val="center"/>
              <w:spacing w:line="360" w:lineRule="auto"/>
              <w:rPr>
                <w:sz w:val="24"/>
                <w:szCs w:val="24"/>
              </w:rPr>
            </w:pPr>
            <w:r>
              <w:rPr>
                <w:rFonts w:hint="eastAsia" w:ascii="宋体" w:hAnsi="宋体" w:cs="宋体"/>
                <w:color w:val="000000"/>
                <w:sz w:val="24"/>
                <w:szCs w:val="24"/>
              </w:rPr>
              <w:t xml:space="preserve">（9分）</w:t>
            </w:r>
            <w:r>
              <w:rPr>
                <w:sz w:val="24"/>
                <w:szCs w:val="24"/>
              </w:rPr>
            </w:r>
            <w:r/>
          </w:p>
        </w:tc>
        <w:tc>
          <w:tcPr>
            <w:tcW w:w="6845" w:type="dxa"/>
            <w:vAlign w:val="center"/>
            <w:textDirection w:val="lrTb"/>
            <w:noWrap w:val="false"/>
          </w:tcPr>
          <w:p>
            <w:pPr>
              <w:pStyle w:val="963"/>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投标人针对采购需求提供服务保障方案，包含但不限于服务保障的可行性、合理性等相关措施、服务期内外的技术支持和维护能力情况等， </w:t>
            </w:r>
            <w:r>
              <w:rPr>
                <w:rFonts w:ascii="宋体" w:hAnsi="宋体" w:cs="宋体"/>
                <w:color w:val="000000"/>
                <w:sz w:val="24"/>
                <w:szCs w:val="24"/>
              </w:rPr>
            </w:r>
            <w:r/>
          </w:p>
          <w:p>
            <w:pPr>
              <w:pStyle w:val="963"/>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服务保障方案内容完整、技术支持和服务保障能力强且切合实际的，得9分；</w:t>
            </w:r>
            <w:r>
              <w:rPr>
                <w:rFonts w:ascii="宋体" w:hAnsi="宋体" w:cs="宋体"/>
                <w:color w:val="000000"/>
                <w:sz w:val="24"/>
                <w:szCs w:val="24"/>
              </w:rPr>
            </w:r>
            <w:r/>
          </w:p>
          <w:p>
            <w:pPr>
              <w:pStyle w:val="963"/>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服务保障方案内容完整较为齐全、有一定的针对性与可行性的，得7分；</w:t>
            </w:r>
            <w:r>
              <w:rPr>
                <w:rFonts w:ascii="宋体" w:hAnsi="宋体" w:cs="宋体"/>
                <w:color w:val="000000"/>
                <w:sz w:val="24"/>
                <w:szCs w:val="24"/>
              </w:rPr>
            </w:r>
            <w:r/>
          </w:p>
          <w:p>
            <w:pPr>
              <w:pStyle w:val="963"/>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服务保障方案简单与采购需求存在一定偏差的，得5分；</w:t>
            </w:r>
            <w:r>
              <w:rPr>
                <w:rFonts w:ascii="宋体" w:hAnsi="宋体" w:cs="宋体"/>
                <w:color w:val="000000"/>
                <w:sz w:val="24"/>
                <w:szCs w:val="24"/>
              </w:rPr>
            </w:r>
            <w:r/>
          </w:p>
          <w:p>
            <w:pPr>
              <w:pStyle w:val="963"/>
              <w:jc w:val="left"/>
              <w:spacing w:line="360" w:lineRule="auto"/>
              <w:rPr>
                <w:sz w:val="24"/>
                <w:szCs w:val="24"/>
              </w:rPr>
            </w:pPr>
            <w:r>
              <w:rPr>
                <w:rFonts w:hint="eastAsia" w:ascii="宋体" w:hAnsi="宋体" w:cs="宋体"/>
                <w:color w:val="000000"/>
                <w:sz w:val="24"/>
                <w:szCs w:val="24"/>
              </w:rPr>
              <w:t xml:space="preserve">本项未见阐述不得分。</w:t>
            </w:r>
            <w:r>
              <w:rPr>
                <w:sz w:val="24"/>
                <w:szCs w:val="24"/>
              </w:rPr>
            </w:r>
            <w:r/>
          </w:p>
        </w:tc>
      </w:tr>
    </w:tbl>
    <w:p>
      <w:pPr>
        <w:pStyle w:val="963"/>
        <w:jc w:val="left"/>
        <w:spacing w:line="500" w:lineRule="exact"/>
        <w:rPr>
          <w:rFonts w:ascii="黑体" w:hAnsi="黑体" w:eastAsia="黑体"/>
          <w:sz w:val="32"/>
          <w:szCs w:val="24"/>
        </w:rPr>
      </w:pPr>
      <w:r>
        <w:rPr>
          <w:rFonts w:ascii="黑体" w:hAnsi="黑体" w:eastAsia="黑体"/>
          <w:sz w:val="32"/>
          <w:szCs w:val="24"/>
        </w:rPr>
      </w:r>
      <w:r/>
    </w:p>
    <w:p>
      <w:pPr>
        <w:pStyle w:val="963"/>
        <w:jc w:val="left"/>
        <w:spacing w:line="500" w:lineRule="exact"/>
        <w:rPr>
          <w:rFonts w:ascii="黑体" w:hAnsi="黑体" w:eastAsia="黑体"/>
          <w:sz w:val="32"/>
          <w:szCs w:val="24"/>
        </w:rPr>
        <w:outlineLvl w:val="1"/>
      </w:pPr>
      <w:r>
        <w:rPr>
          <w:rFonts w:hint="eastAsia" w:ascii="黑体" w:hAnsi="黑体" w:eastAsia="黑体"/>
          <w:sz w:val="32"/>
          <w:szCs w:val="24"/>
        </w:rPr>
        <w:t xml:space="preserve">采购包</w:t>
      </w:r>
      <w:r>
        <w:rPr>
          <w:rFonts w:ascii="黑体" w:hAnsi="黑体" w:eastAsia="黑体"/>
          <w:sz w:val="32"/>
          <w:szCs w:val="24"/>
        </w:rPr>
        <w:t xml:space="preserve">3</w:t>
      </w:r>
      <w:r>
        <w:rPr>
          <w:rFonts w:hint="eastAsia" w:ascii="黑体" w:hAnsi="黑体" w:eastAsia="黑体"/>
          <w:sz w:val="32"/>
          <w:szCs w:val="24"/>
        </w:rPr>
        <w:t xml:space="preserve">：</w:t>
      </w:r>
      <w:r>
        <w:rPr>
          <w:rFonts w:ascii="黑体" w:hAnsi="黑体" w:eastAsia="黑体"/>
          <w:sz w:val="32"/>
          <w:szCs w:val="24"/>
        </w:rPr>
      </w:r>
      <w:r/>
    </w:p>
    <w:p>
      <w:pPr>
        <w:pStyle w:val="963"/>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rPr>
          <w:rFonts w:ascii="黑体" w:hAnsi="黑体" w:eastAsia="黑体"/>
          <w:sz w:val="32"/>
          <w:szCs w:val="24"/>
        </w:rPr>
      </w:r>
      <w:r/>
    </w:p>
    <w:p>
      <w:pPr>
        <w:pStyle w:val="963"/>
        <w:ind w:firstLine="480"/>
        <w:jc w:val="left"/>
        <w:spacing w:line="500" w:lineRule="exact"/>
        <w:rPr>
          <w:sz w:val="24"/>
          <w:szCs w:val="24"/>
        </w:rPr>
      </w:pPr>
      <w:r>
        <w:rPr>
          <w:rFonts w:hint="eastAsia"/>
          <w:sz w:val="24"/>
          <w:szCs w:val="24"/>
        </w:rPr>
        <w:t xml:space="preserve">（1）价格分（10分）</w:t>
      </w:r>
      <w:r>
        <w:rPr>
          <w:sz w:val="24"/>
          <w:szCs w:val="24"/>
        </w:rPr>
      </w:r>
      <w:r/>
    </w:p>
    <w:p>
      <w:pPr>
        <w:pStyle w:val="963"/>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rPr>
          <w:sz w:val="24"/>
          <w:szCs w:val="24"/>
        </w:rPr>
      </w:r>
      <w:r/>
    </w:p>
    <w:p>
      <w:pPr>
        <w:pStyle w:val="963"/>
        <w:ind w:firstLine="480"/>
        <w:jc w:val="left"/>
        <w:spacing w:line="500" w:lineRule="exact"/>
        <w:rPr>
          <w:sz w:val="24"/>
          <w:szCs w:val="24"/>
        </w:rPr>
      </w:pPr>
      <w:r>
        <w:rPr>
          <w:rFonts w:hint="eastAsia"/>
          <w:sz w:val="24"/>
          <w:szCs w:val="24"/>
        </w:rPr>
        <w:t xml:space="preserve">投标报价得分=（评标基准价／投标报价）×10分</w:t>
      </w:r>
      <w:r>
        <w:rPr>
          <w:sz w:val="24"/>
          <w:szCs w:val="24"/>
        </w:rPr>
      </w:r>
      <w:r/>
    </w:p>
    <w:p>
      <w:pPr>
        <w:pStyle w:val="963"/>
        <w:ind w:firstLine="480"/>
        <w:jc w:val="left"/>
        <w:spacing w:line="500" w:lineRule="exact"/>
        <w:rPr>
          <w:sz w:val="24"/>
          <w:szCs w:val="24"/>
        </w:rPr>
      </w:pPr>
      <w:r>
        <w:rPr>
          <w:rFonts w:hint="eastAsia"/>
          <w:sz w:val="24"/>
          <w:szCs w:val="24"/>
        </w:rPr>
        <w:t xml:space="preserve">（2）技术分（</w:t>
      </w:r>
      <w:r>
        <w:rPr>
          <w:rFonts w:hint="eastAsia"/>
          <w:sz w:val="24"/>
          <w:szCs w:val="24"/>
        </w:rPr>
        <w:t xml:space="preserve">55</w:t>
      </w:r>
      <w:r>
        <w:rPr>
          <w:rFonts w:hint="eastAsia"/>
          <w:sz w:val="24"/>
          <w:szCs w:val="24"/>
        </w:rPr>
        <w:t xml:space="preserve">分）</w:t>
      </w:r>
      <w:r>
        <w:rPr>
          <w:sz w:val="24"/>
          <w:szCs w:val="24"/>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963"/>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rPr>
                <w:rFonts w:ascii="黑体" w:hAnsi="黑体" w:eastAsia="黑体"/>
                <w:color w:val="000000"/>
                <w:sz w:val="24"/>
                <w:szCs w:val="24"/>
              </w:rPr>
            </w:r>
            <w:r/>
          </w:p>
        </w:tc>
        <w:tc>
          <w:tcPr>
            <w:tcW w:w="6845" w:type="dxa"/>
            <w:vAlign w:val="center"/>
            <w:textDirection w:val="lrTb"/>
            <w:noWrap w:val="false"/>
          </w:tcPr>
          <w:p>
            <w:pPr>
              <w:pStyle w:val="963"/>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rPr>
                <w:rFonts w:ascii="黑体" w:hAnsi="黑体" w:eastAsia="黑体"/>
                <w:color w:val="000000"/>
                <w:sz w:val="24"/>
                <w:szCs w:val="24"/>
              </w:rPr>
            </w:r>
            <w:r/>
          </w:p>
        </w:tc>
      </w:tr>
      <w:tr>
        <w:trPr>
          <w:trHeight w:val="621"/>
        </w:trPr>
        <w:tc>
          <w:tcPr>
            <w:tcW w:w="1660" w:type="dxa"/>
            <w:vAlign w:val="center"/>
            <w:textDirection w:val="lrTb"/>
            <w:noWrap w:val="false"/>
          </w:tcPr>
          <w:p>
            <w:pPr>
              <w:pStyle w:val="963"/>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szCs w:val="24"/>
              </w:rPr>
            </w:pPr>
            <w:r>
              <w:rPr>
                <w:rFonts w:hint="eastAsia" w:ascii="宋体" w:hAnsi="宋体"/>
                <w:sz w:val="24"/>
                <w:szCs w:val="24"/>
              </w:rPr>
              <w:t xml:space="preserve">项目实施保障</w:t>
            </w:r>
            <w:r>
              <w:rPr>
                <w:rFonts w:ascii="宋体" w:hAnsi="宋体"/>
                <w:sz w:val="24"/>
                <w:szCs w:val="24"/>
              </w:rPr>
            </w:r>
            <w:r/>
          </w:p>
          <w:p>
            <w:pPr>
              <w:pStyle w:val="963"/>
              <w:jc w:val="center"/>
              <w:spacing w:line="360" w:lineRule="auto"/>
              <w:rPr>
                <w:sz w:val="24"/>
                <w:szCs w:val="24"/>
              </w:rPr>
            </w:pPr>
            <w:r>
              <w:rPr>
                <w:rFonts w:ascii="宋体" w:hAnsi="宋体"/>
                <w:sz w:val="24"/>
                <w:szCs w:val="24"/>
              </w:rPr>
              <w:t xml:space="preserve">（6分）</w:t>
            </w:r>
            <w:r>
              <w:rPr>
                <w:sz w:val="24"/>
                <w:szCs w:val="24"/>
              </w:rPr>
            </w:r>
            <w:r/>
          </w:p>
        </w:tc>
        <w:tc>
          <w:tcPr>
            <w:tcW w:w="6845" w:type="dxa"/>
            <w:vAlign w:val="center"/>
            <w:textDirection w:val="lrTb"/>
            <w:noWrap w:val="false"/>
          </w:tcPr>
          <w:p>
            <w:pPr>
              <w:pStyle w:val="963"/>
              <w:jc w:val="left"/>
              <w:spacing w:line="360" w:lineRule="auto"/>
              <w:rPr>
                <w:rFonts w:ascii="宋体" w:hAnsi="宋体"/>
                <w:color w:val="000000"/>
                <w:sz w:val="24"/>
                <w:szCs w:val="24"/>
              </w:rPr>
            </w:pPr>
            <w:r>
              <w:rPr>
                <w:rFonts w:hint="eastAsia" w:ascii="宋体" w:hAnsi="宋体"/>
                <w:color w:val="000000"/>
                <w:sz w:val="24"/>
                <w:szCs w:val="24"/>
              </w:rPr>
              <w:t xml:space="preserve">1、</w:t>
            </w:r>
            <w:r>
              <w:rPr>
                <w:rFonts w:hint="eastAsia" w:ascii="宋体" w:hAnsi="宋体"/>
                <w:sz w:val="24"/>
                <w:szCs w:val="24"/>
              </w:rPr>
              <w:t xml:space="preserve">投标人</w:t>
            </w:r>
            <w:r>
              <w:rPr>
                <w:rFonts w:hint="eastAsia" w:ascii="宋体" w:hAnsi="宋体"/>
                <w:color w:val="000000"/>
                <w:sz w:val="24"/>
                <w:szCs w:val="24"/>
              </w:rPr>
              <w:t xml:space="preserve">具有有效的</w:t>
            </w:r>
            <w:r>
              <w:rPr>
                <w:rFonts w:hint="eastAsia" w:ascii="宋体" w:hAnsi="宋体"/>
                <w:color w:val="000000"/>
                <w:sz w:val="24"/>
                <w:szCs w:val="24"/>
              </w:rPr>
              <w:t xml:space="preserve">云服务</w:t>
            </w:r>
            <w:r>
              <w:rPr>
                <w:rFonts w:hint="eastAsia" w:ascii="宋体" w:hAnsi="宋体"/>
                <w:color w:val="000000"/>
                <w:sz w:val="24"/>
                <w:szCs w:val="24"/>
              </w:rPr>
              <w:t xml:space="preserve">信息安全管理体系认证证书的，得</w:t>
            </w:r>
            <w:r>
              <w:rPr>
                <w:rFonts w:ascii="宋体" w:hAnsi="宋体"/>
                <w:color w:val="000000"/>
                <w:sz w:val="24"/>
                <w:szCs w:val="24"/>
              </w:rPr>
              <w:t xml:space="preserve">3</w:t>
            </w:r>
            <w:r>
              <w:rPr>
                <w:rFonts w:hint="eastAsia" w:ascii="宋体" w:hAnsi="宋体"/>
                <w:color w:val="000000"/>
                <w:sz w:val="24"/>
                <w:szCs w:val="24"/>
              </w:rPr>
              <w:t xml:space="preserve">分；</w:t>
            </w:r>
            <w:r>
              <w:rPr>
                <w:rFonts w:ascii="宋体" w:hAnsi="宋体"/>
                <w:color w:val="000000"/>
                <w:sz w:val="24"/>
                <w:szCs w:val="24"/>
              </w:rPr>
            </w:r>
            <w:r/>
          </w:p>
          <w:p>
            <w:pPr>
              <w:pStyle w:val="963"/>
              <w:jc w:val="left"/>
              <w:spacing w:line="360" w:lineRule="auto"/>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w:t>
            </w:r>
            <w:r>
              <w:rPr>
                <w:rFonts w:hint="eastAsia" w:ascii="宋体" w:hAnsi="宋体"/>
                <w:sz w:val="24"/>
                <w:szCs w:val="24"/>
              </w:rPr>
              <w:t xml:space="preserve">投标人</w:t>
            </w:r>
            <w:r>
              <w:rPr>
                <w:rFonts w:hint="eastAsia" w:ascii="宋体" w:hAnsi="宋体"/>
                <w:color w:val="000000"/>
                <w:sz w:val="24"/>
                <w:szCs w:val="24"/>
              </w:rPr>
              <w:t xml:space="preserve">具有有效的ITSS信息技术服务运行维护标准符合性证书，得</w:t>
            </w:r>
            <w:r>
              <w:rPr>
                <w:rFonts w:ascii="宋体" w:hAnsi="宋体"/>
                <w:color w:val="000000"/>
                <w:sz w:val="24"/>
                <w:szCs w:val="24"/>
              </w:rPr>
              <w:t xml:space="preserve">3</w:t>
            </w:r>
            <w:r>
              <w:rPr>
                <w:rFonts w:hint="eastAsia" w:ascii="宋体" w:hAnsi="宋体"/>
                <w:color w:val="000000"/>
                <w:sz w:val="24"/>
                <w:szCs w:val="24"/>
              </w:rPr>
              <w:t xml:space="preserve">分；</w:t>
            </w:r>
            <w:r>
              <w:rPr>
                <w:rFonts w:ascii="宋体" w:hAnsi="宋体"/>
                <w:color w:val="000000"/>
                <w:sz w:val="24"/>
                <w:szCs w:val="24"/>
              </w:rPr>
            </w:r>
            <w:r/>
          </w:p>
          <w:p>
            <w:pPr>
              <w:pStyle w:val="982"/>
              <w:spacing w:line="360" w:lineRule="auto"/>
              <w:rPr>
                <w:b/>
                <w:sz w:val="24"/>
              </w:rPr>
            </w:pPr>
            <w:r>
              <w:rPr>
                <w:rFonts w:ascii="Calibri"/>
                <w:b/>
                <w:bCs/>
                <w:sz w:val="24"/>
              </w:rPr>
              <w:t xml:space="preserve">注：</w:t>
            </w:r>
            <w:r>
              <w:rPr>
                <w:rFonts w:hint="eastAsia" w:ascii="宋体" w:hAnsi="宋体"/>
                <w:b/>
                <w:sz w:val="24"/>
              </w:rPr>
              <w:t xml:space="preserve">上述1-2项投标文件中提供证书并加盖投标人公章</w:t>
            </w:r>
            <w:r>
              <w:rPr>
                <w:rStyle w:val="1156"/>
                <w:rFonts w:hint="eastAsia" w:ascii="宋体" w:hAnsi="宋体" w:eastAsia="宋体"/>
                <w:b/>
                <w:bCs/>
                <w:sz w:val="24"/>
              </w:rPr>
              <w:t xml:space="preserve">，否则不得分。</w:t>
            </w:r>
            <w:r>
              <w:rPr>
                <w:b/>
                <w:sz w:val="24"/>
              </w:rPr>
            </w:r>
            <w:r/>
          </w:p>
        </w:tc>
      </w:tr>
      <w:tr>
        <w:trPr>
          <w:trHeight w:val="621"/>
        </w:trPr>
        <w:tc>
          <w:tcPr>
            <w:tcW w:w="1660" w:type="dxa"/>
            <w:vAlign w:val="center"/>
            <w:textDirection w:val="lrTb"/>
            <w:noWrap w:val="false"/>
          </w:tcPr>
          <w:p>
            <w:pPr>
              <w:pStyle w:val="963"/>
              <w:jc w:val="center"/>
              <w:spacing w:line="360" w:lineRule="auto"/>
              <w:rPr>
                <w:sz w:val="24"/>
                <w:szCs w:val="24"/>
              </w:rPr>
            </w:pPr>
            <w:r>
              <w:rPr>
                <w:rFonts w:hint="eastAsia" w:ascii="宋体" w:hAnsi="宋体"/>
                <w:sz w:val="24"/>
                <w:szCs w:val="24"/>
              </w:rPr>
              <w:t xml:space="preserve">项目组成员（</w:t>
            </w:r>
            <w:r>
              <w:rPr>
                <w:rFonts w:ascii="宋体" w:hAnsi="宋体"/>
                <w:sz w:val="24"/>
                <w:szCs w:val="24"/>
              </w:rPr>
              <w:t xml:space="preserve">17</w:t>
            </w:r>
            <w:r>
              <w:rPr>
                <w:rFonts w:hint="eastAsia" w:ascii="宋体" w:hAnsi="宋体"/>
                <w:sz w:val="24"/>
                <w:szCs w:val="24"/>
              </w:rPr>
              <w:t xml:space="preserve">分）</w:t>
            </w:r>
            <w:r>
              <w:rPr>
                <w:sz w:val="24"/>
                <w:szCs w:val="24"/>
              </w:rPr>
            </w:r>
            <w:r/>
          </w:p>
        </w:tc>
        <w:tc>
          <w:tcPr>
            <w:tcW w:w="6845" w:type="dxa"/>
            <w:vAlign w:val="center"/>
            <w:textDirection w:val="lrTb"/>
            <w:noWrap w:val="false"/>
          </w:tcPr>
          <w:p>
            <w:pPr>
              <w:pStyle w:val="963"/>
              <w:jc w:val="left"/>
              <w:spacing w:line="360" w:lineRule="auto"/>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投标人拟派的</w:t>
            </w:r>
            <w:r>
              <w:rPr>
                <w:rFonts w:hint="eastAsia" w:ascii="宋体" w:hAnsi="宋体"/>
                <w:color w:val="000000"/>
                <w:sz w:val="24"/>
                <w:szCs w:val="24"/>
              </w:rPr>
              <w:t xml:space="preserve">项目负责人或技术负责人具有网络与信息安全工程师、网络工程师、IT服务项目经理资格证书的，每提供一个证书得</w:t>
            </w:r>
            <w:r>
              <w:rPr>
                <w:rFonts w:ascii="宋体" w:hAnsi="宋体"/>
                <w:color w:val="000000"/>
                <w:sz w:val="24"/>
                <w:szCs w:val="24"/>
              </w:rPr>
              <w:t xml:space="preserve">3</w:t>
            </w:r>
            <w:r>
              <w:rPr>
                <w:rFonts w:hint="eastAsia" w:ascii="宋体" w:hAnsi="宋体"/>
                <w:color w:val="000000"/>
                <w:sz w:val="24"/>
                <w:szCs w:val="24"/>
              </w:rPr>
              <w:t xml:space="preserve">分，一人多证可重复计分，本项最高得</w:t>
            </w:r>
            <w:r>
              <w:rPr>
                <w:rFonts w:ascii="宋体" w:hAnsi="宋体"/>
                <w:color w:val="000000"/>
                <w:sz w:val="24"/>
                <w:szCs w:val="24"/>
              </w:rPr>
              <w:t xml:space="preserve">9</w:t>
            </w:r>
            <w:r>
              <w:rPr>
                <w:rFonts w:hint="eastAsia" w:ascii="宋体" w:hAnsi="宋体"/>
                <w:color w:val="000000"/>
                <w:sz w:val="24"/>
                <w:szCs w:val="24"/>
              </w:rPr>
              <w:t xml:space="preserve">分。</w:t>
            </w:r>
            <w:r>
              <w:rPr>
                <w:rFonts w:ascii="宋体" w:hAnsi="宋体"/>
                <w:color w:val="000000"/>
                <w:sz w:val="24"/>
                <w:szCs w:val="24"/>
              </w:rPr>
            </w:r>
            <w:r/>
          </w:p>
          <w:p>
            <w:pPr>
              <w:pStyle w:val="963"/>
              <w:jc w:val="left"/>
              <w:spacing w:line="360" w:lineRule="auto"/>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w:t>
            </w:r>
            <w:r>
              <w:rPr>
                <w:rFonts w:hint="eastAsia" w:ascii="宋体" w:hAnsi="宋体"/>
                <w:color w:val="000000"/>
                <w:sz w:val="24"/>
                <w:szCs w:val="24"/>
              </w:rPr>
              <w:t xml:space="preserve">投标人拟派的</w:t>
            </w:r>
            <w:r>
              <w:rPr>
                <w:rFonts w:hint="eastAsia" w:ascii="宋体" w:hAnsi="宋体"/>
                <w:color w:val="000000"/>
                <w:sz w:val="24"/>
                <w:szCs w:val="24"/>
              </w:rPr>
              <w:t xml:space="preserve">项目组成员（不含项目负责人，技术负责人）具有网络与信息安全工程师、网络工程师、IT服务工程师、高级软件测评工程师证书的，每提供一个证书得</w:t>
            </w:r>
            <w:r>
              <w:rPr>
                <w:rFonts w:ascii="宋体" w:hAnsi="宋体"/>
                <w:color w:val="000000"/>
                <w:sz w:val="24"/>
                <w:szCs w:val="24"/>
              </w:rPr>
              <w:t xml:space="preserve">2</w:t>
            </w:r>
            <w:r>
              <w:rPr>
                <w:rFonts w:hint="eastAsia" w:ascii="宋体" w:hAnsi="宋体"/>
                <w:color w:val="000000"/>
                <w:sz w:val="24"/>
                <w:szCs w:val="24"/>
              </w:rPr>
              <w:t xml:space="preserve">分，</w:t>
            </w:r>
            <w:r>
              <w:rPr>
                <w:rFonts w:hint="eastAsia" w:ascii="宋体" w:hAnsi="宋体"/>
                <w:b/>
                <w:color w:val="000000"/>
                <w:sz w:val="24"/>
                <w:szCs w:val="24"/>
              </w:rPr>
              <w:t xml:space="preserve">一人多证可重复计分</w:t>
            </w:r>
            <w:r>
              <w:rPr>
                <w:rFonts w:hint="eastAsia" w:ascii="宋体" w:hAnsi="宋体"/>
                <w:color w:val="000000"/>
                <w:sz w:val="24"/>
                <w:szCs w:val="24"/>
              </w:rPr>
              <w:t xml:space="preserve">，本项最高得</w:t>
            </w:r>
            <w:r>
              <w:rPr>
                <w:rFonts w:ascii="宋体" w:hAnsi="宋体"/>
                <w:color w:val="000000"/>
                <w:sz w:val="24"/>
                <w:szCs w:val="24"/>
              </w:rPr>
              <w:t xml:space="preserve">8</w:t>
            </w:r>
            <w:r>
              <w:rPr>
                <w:rFonts w:hint="eastAsia" w:ascii="宋体" w:hAnsi="宋体"/>
                <w:color w:val="000000"/>
                <w:sz w:val="24"/>
                <w:szCs w:val="24"/>
              </w:rPr>
              <w:t xml:space="preserve">分。</w:t>
            </w:r>
            <w:r>
              <w:rPr>
                <w:rFonts w:ascii="宋体" w:hAnsi="宋体"/>
                <w:color w:val="000000"/>
                <w:sz w:val="24"/>
                <w:szCs w:val="24"/>
              </w:rPr>
            </w:r>
            <w:r/>
          </w:p>
          <w:p>
            <w:pPr>
              <w:pStyle w:val="963"/>
              <w:jc w:val="left"/>
              <w:spacing w:line="360" w:lineRule="auto"/>
              <w:rPr>
                <w:b/>
                <w:sz w:val="24"/>
                <w:szCs w:val="24"/>
              </w:rPr>
            </w:pPr>
            <w:r>
              <w:rPr>
                <w:b/>
                <w:bCs/>
                <w:color w:val="000000"/>
                <w:sz w:val="24"/>
                <w:szCs w:val="24"/>
              </w:rPr>
              <w:t xml:space="preserve">注：</w:t>
            </w:r>
            <w:r>
              <w:rPr>
                <w:rFonts w:hint="eastAsia" w:ascii="宋体" w:hAnsi="宋体"/>
                <w:b/>
                <w:sz w:val="24"/>
                <w:szCs w:val="24"/>
              </w:rPr>
              <w:t xml:space="preserve">投标文件提供</w:t>
            </w:r>
            <w:r>
              <w:rPr>
                <w:rStyle w:val="1156"/>
                <w:rFonts w:hint="eastAsia" w:ascii="宋体" w:hAnsi="宋体" w:eastAsia="宋体"/>
                <w:b/>
                <w:bCs/>
                <w:sz w:val="24"/>
                <w:szCs w:val="24"/>
              </w:rPr>
              <w:t xml:space="preserve">证书及202</w:t>
            </w:r>
            <w:r>
              <w:rPr>
                <w:rStyle w:val="1156"/>
                <w:rFonts w:ascii="宋体" w:hAnsi="宋体" w:eastAsia="宋体"/>
                <w:b/>
                <w:bCs/>
                <w:sz w:val="24"/>
                <w:szCs w:val="24"/>
              </w:rPr>
              <w:t xml:space="preserve">4</w:t>
            </w:r>
            <w:r>
              <w:rPr>
                <w:rStyle w:val="1156"/>
                <w:rFonts w:hint="eastAsia" w:ascii="宋体" w:hAnsi="宋体" w:eastAsia="宋体"/>
                <w:b/>
                <w:bCs/>
                <w:sz w:val="24"/>
                <w:szCs w:val="24"/>
              </w:rPr>
              <w:t xml:space="preserve">年</w:t>
            </w:r>
            <w:r>
              <w:rPr>
                <w:rStyle w:val="1156"/>
                <w:rFonts w:ascii="宋体" w:hAnsi="宋体" w:eastAsia="宋体"/>
                <w:b/>
                <w:bCs/>
                <w:sz w:val="24"/>
                <w:szCs w:val="24"/>
              </w:rPr>
              <w:t xml:space="preserve">1</w:t>
            </w:r>
            <w:r>
              <w:rPr>
                <w:rStyle w:val="1156"/>
                <w:rFonts w:hint="eastAsia" w:ascii="宋体" w:hAnsi="宋体" w:eastAsia="宋体"/>
                <w:b/>
                <w:bCs/>
                <w:sz w:val="24"/>
                <w:szCs w:val="24"/>
              </w:rPr>
              <w:t xml:space="preserve">月（含）以来任意1个月由投标人为其缴纳的社保证明材料并加盖投标人公章，否则不得分。</w:t>
            </w:r>
            <w:r>
              <w:rPr>
                <w:b/>
                <w:sz w:val="24"/>
                <w:szCs w:val="24"/>
              </w:rPr>
            </w:r>
            <w:r/>
          </w:p>
        </w:tc>
      </w:tr>
      <w:tr>
        <w:trPr>
          <w:trHeight w:val="621"/>
        </w:trPr>
        <w:tc>
          <w:tcPr>
            <w:tcW w:w="1660" w:type="dxa"/>
            <w:vAlign w:val="center"/>
            <w:textDirection w:val="lrTb"/>
            <w:noWrap w:val="false"/>
          </w:tcPr>
          <w:p>
            <w:pPr>
              <w:pStyle w:val="963"/>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服务响应时间</w:t>
            </w:r>
            <w:r>
              <w:rPr>
                <w:rFonts w:ascii="宋体" w:hAnsi="宋体" w:cs="宋体"/>
                <w:color w:val="000000"/>
                <w:sz w:val="24"/>
                <w:szCs w:val="24"/>
              </w:rPr>
            </w:r>
            <w:r/>
          </w:p>
          <w:p>
            <w:pPr>
              <w:pStyle w:val="963"/>
              <w:jc w:val="center"/>
              <w:spacing w:line="360" w:lineRule="auto"/>
              <w:rPr>
                <w:rFonts w:ascii="宋体" w:hAnsi="宋体"/>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4</w:t>
            </w:r>
            <w:r>
              <w:rPr>
                <w:rFonts w:hint="eastAsia" w:ascii="宋体" w:hAnsi="宋体" w:cs="宋体"/>
                <w:color w:val="000000"/>
                <w:sz w:val="24"/>
                <w:szCs w:val="24"/>
              </w:rPr>
              <w:t xml:space="preserve">分）</w:t>
            </w:r>
            <w:r>
              <w:rPr>
                <w:rFonts w:ascii="宋体" w:hAnsi="宋体"/>
                <w:sz w:val="24"/>
                <w:szCs w:val="24"/>
              </w:rPr>
            </w:r>
            <w:r/>
          </w:p>
        </w:tc>
        <w:tc>
          <w:tcPr>
            <w:tcW w:w="6845" w:type="dxa"/>
            <w:vAlign w:val="center"/>
            <w:textDirection w:val="lrTb"/>
            <w:noWrap w:val="false"/>
          </w:tcPr>
          <w:p>
            <w:pPr>
              <w:pStyle w:val="963"/>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投标人能够配合采购人开展平台突发事件应急响应，并提供应急响应服务承诺书，承诺能在半小时内响应的得</w:t>
            </w:r>
            <w:r>
              <w:rPr>
                <w:rFonts w:ascii="宋体" w:hAnsi="宋体" w:cs="宋体"/>
                <w:color w:val="000000"/>
                <w:sz w:val="24"/>
                <w:szCs w:val="24"/>
              </w:rPr>
              <w:t xml:space="preserve">4</w:t>
            </w:r>
            <w:r>
              <w:rPr>
                <w:rFonts w:hint="eastAsia" w:ascii="宋体" w:hAnsi="宋体" w:cs="宋体"/>
                <w:color w:val="000000"/>
                <w:sz w:val="24"/>
                <w:szCs w:val="24"/>
              </w:rPr>
              <w:t xml:space="preserve">分；承诺能在</w:t>
            </w:r>
            <w:r>
              <w:rPr>
                <w:rFonts w:ascii="宋体" w:hAnsi="宋体" w:cs="宋体"/>
                <w:color w:val="000000"/>
                <w:sz w:val="24"/>
                <w:szCs w:val="24"/>
              </w:rPr>
              <w:t xml:space="preserve">1</w:t>
            </w:r>
            <w:r>
              <w:rPr>
                <w:rFonts w:hint="eastAsia" w:ascii="宋体" w:hAnsi="宋体" w:cs="宋体"/>
                <w:color w:val="000000"/>
                <w:sz w:val="24"/>
                <w:szCs w:val="24"/>
              </w:rPr>
              <w:t xml:space="preserve">小时内响应的得</w:t>
            </w:r>
            <w:r>
              <w:rPr>
                <w:rFonts w:ascii="宋体" w:hAnsi="宋体" w:cs="宋体"/>
                <w:color w:val="000000"/>
                <w:sz w:val="24"/>
                <w:szCs w:val="24"/>
              </w:rPr>
              <w:t xml:space="preserve">2</w:t>
            </w:r>
            <w:r>
              <w:rPr>
                <w:rFonts w:hint="eastAsia" w:ascii="宋体" w:hAnsi="宋体" w:cs="宋体"/>
                <w:color w:val="000000"/>
                <w:sz w:val="24"/>
                <w:szCs w:val="24"/>
              </w:rPr>
              <w:t xml:space="preserve">分，本项最高得4分。</w:t>
            </w:r>
            <w:r>
              <w:rPr>
                <w:rFonts w:ascii="宋体" w:hAnsi="宋体" w:cs="宋体"/>
                <w:color w:val="000000"/>
                <w:sz w:val="24"/>
                <w:szCs w:val="24"/>
              </w:rPr>
            </w:r>
            <w:r/>
          </w:p>
          <w:p>
            <w:pPr>
              <w:pStyle w:val="963"/>
              <w:jc w:val="left"/>
              <w:spacing w:line="360" w:lineRule="auto"/>
              <w:rPr>
                <w:rFonts w:ascii="宋体" w:hAnsi="宋体"/>
                <w:b/>
                <w:color w:val="000000"/>
                <w:sz w:val="24"/>
                <w:szCs w:val="24"/>
              </w:rPr>
            </w:pPr>
            <w:r>
              <w:rPr>
                <w:b/>
                <w:bCs/>
                <w:color w:val="000000"/>
                <w:sz w:val="24"/>
                <w:szCs w:val="24"/>
              </w:rPr>
              <w:t xml:space="preserve">注：</w:t>
            </w:r>
            <w:r>
              <w:rPr>
                <w:rFonts w:hint="eastAsia" w:ascii="宋体" w:hAnsi="宋体" w:cs="宋体"/>
                <w:b/>
                <w:color w:val="000000"/>
                <w:sz w:val="24"/>
                <w:szCs w:val="24"/>
              </w:rPr>
              <w:t xml:space="preserve">投标文件中提供承诺书并加盖公章</w:t>
            </w:r>
            <w:r>
              <w:rPr>
                <w:b/>
                <w:bCs/>
                <w:color w:val="000000"/>
                <w:sz w:val="24"/>
                <w:szCs w:val="24"/>
              </w:rPr>
              <w:t xml:space="preserve">，否则不得分。</w:t>
            </w:r>
            <w:r>
              <w:rPr>
                <w:rFonts w:ascii="宋体" w:hAnsi="宋体"/>
                <w:b/>
                <w:color w:val="000000"/>
                <w:sz w:val="24"/>
                <w:szCs w:val="24"/>
              </w:rPr>
            </w:r>
            <w:r/>
          </w:p>
        </w:tc>
      </w:tr>
      <w:tr>
        <w:trPr>
          <w:trHeight w:val="621"/>
        </w:trPr>
        <w:tc>
          <w:tcPr>
            <w:tcW w:w="1660" w:type="dxa"/>
            <w:vAlign w:val="center"/>
            <w:textDirection w:val="lrTb"/>
            <w:noWrap w:val="false"/>
          </w:tcPr>
          <w:p>
            <w:pPr>
              <w:pStyle w:val="963"/>
              <w:jc w:val="center"/>
              <w:spacing w:line="360" w:lineRule="auto"/>
              <w:rPr>
                <w:rFonts w:ascii="宋体" w:hAnsi="宋体" w:cs="宋体"/>
                <w:sz w:val="24"/>
                <w:szCs w:val="24"/>
              </w:rPr>
            </w:pPr>
            <w:r>
              <w:rPr>
                <w:rFonts w:hint="eastAsia" w:ascii="宋体" w:hAnsi="宋体" w:cs="宋体"/>
                <w:sz w:val="24"/>
                <w:szCs w:val="24"/>
              </w:rPr>
              <w:t xml:space="preserve">业绩</w:t>
            </w:r>
            <w:r>
              <w:rPr>
                <w:rFonts w:ascii="宋体" w:hAnsi="宋体" w:cs="宋体"/>
                <w:sz w:val="24"/>
                <w:szCs w:val="24"/>
              </w:rPr>
            </w:r>
            <w:r/>
          </w:p>
          <w:p>
            <w:pPr>
              <w:pStyle w:val="963"/>
              <w:jc w:val="center"/>
              <w:spacing w:line="360" w:lineRule="auto"/>
              <w:rPr>
                <w:sz w:val="24"/>
                <w:szCs w:val="24"/>
              </w:rPr>
            </w:pPr>
            <w:r>
              <w:rPr>
                <w:rFonts w:hint="eastAsia" w:ascii="宋体" w:hAnsi="宋体" w:cs="宋体"/>
                <w:sz w:val="24"/>
                <w:szCs w:val="24"/>
              </w:rPr>
              <w:t xml:space="preserve">（</w:t>
            </w:r>
            <w:r>
              <w:rPr>
                <w:rFonts w:ascii="宋体" w:hAnsi="宋体" w:cs="宋体"/>
                <w:sz w:val="24"/>
                <w:szCs w:val="24"/>
              </w:rPr>
              <w:t xml:space="preserve">18</w:t>
            </w:r>
            <w:r>
              <w:rPr>
                <w:rFonts w:hint="eastAsia" w:ascii="宋体" w:hAnsi="宋体" w:cs="宋体"/>
                <w:sz w:val="24"/>
                <w:szCs w:val="24"/>
              </w:rPr>
              <w:t xml:space="preserve">分）</w:t>
            </w:r>
            <w:r>
              <w:rPr>
                <w:sz w:val="24"/>
                <w:szCs w:val="24"/>
              </w:rPr>
            </w:r>
            <w:r/>
          </w:p>
        </w:tc>
        <w:tc>
          <w:tcPr>
            <w:tcW w:w="6845" w:type="dxa"/>
            <w:vAlign w:val="center"/>
            <w:textDirection w:val="lrTb"/>
            <w:noWrap w:val="false"/>
          </w:tcPr>
          <w:p>
            <w:pPr>
              <w:pStyle w:val="963"/>
              <w:spacing w:line="360" w:lineRule="auto"/>
              <w:rPr>
                <w:rFonts w:ascii="宋体" w:hAnsi="宋体"/>
                <w:sz w:val="24"/>
                <w:szCs w:val="24"/>
              </w:rPr>
            </w:pPr>
            <w:r>
              <w:rPr>
                <w:rFonts w:hint="eastAsia" w:ascii="宋体" w:hAnsi="宋体"/>
                <w:sz w:val="24"/>
                <w:szCs w:val="24"/>
              </w:rPr>
              <w:t xml:space="preserve">投标人自2019年1月1日（含）以来（以合同签订日期为准），承担过类似危险废物管理运维项目的（承担企业相关项目的除外），每提供一</w:t>
            </w:r>
            <w:r>
              <w:rPr>
                <w:rFonts w:hint="eastAsia" w:ascii="宋体" w:hAnsi="宋体"/>
                <w:sz w:val="24"/>
                <w:szCs w:val="24"/>
              </w:rPr>
              <w:t xml:space="preserve">份合同</w:t>
            </w:r>
            <w:r>
              <w:rPr>
                <w:rFonts w:hint="eastAsia" w:ascii="宋体" w:hAnsi="宋体"/>
                <w:sz w:val="24"/>
                <w:szCs w:val="24"/>
              </w:rPr>
              <w:t xml:space="preserve">得</w:t>
            </w:r>
            <w:r>
              <w:rPr>
                <w:rFonts w:ascii="宋体" w:hAnsi="宋体"/>
                <w:sz w:val="24"/>
                <w:szCs w:val="24"/>
              </w:rPr>
              <w:t xml:space="preserve">3</w:t>
            </w:r>
            <w:r>
              <w:rPr>
                <w:rFonts w:hint="eastAsia" w:ascii="宋体" w:hAnsi="宋体"/>
                <w:sz w:val="24"/>
                <w:szCs w:val="24"/>
              </w:rPr>
              <w:t xml:space="preserve">分,最高得</w:t>
            </w:r>
            <w:r>
              <w:rPr>
                <w:rFonts w:ascii="宋体" w:hAnsi="宋体"/>
                <w:sz w:val="24"/>
                <w:szCs w:val="24"/>
              </w:rPr>
              <w:t xml:space="preserve">18</w:t>
            </w:r>
            <w:r>
              <w:rPr>
                <w:rFonts w:hint="eastAsia" w:ascii="宋体" w:hAnsi="宋体"/>
                <w:sz w:val="24"/>
                <w:szCs w:val="24"/>
              </w:rPr>
              <w:t xml:space="preserve">分。</w:t>
            </w:r>
            <w:r>
              <w:rPr>
                <w:rFonts w:ascii="宋体" w:hAnsi="宋体"/>
                <w:sz w:val="24"/>
                <w:szCs w:val="24"/>
              </w:rPr>
            </w:r>
            <w:r/>
          </w:p>
          <w:p>
            <w:pPr>
              <w:pStyle w:val="963"/>
              <w:jc w:val="left"/>
              <w:spacing w:line="360" w:lineRule="auto"/>
              <w:rPr>
                <w:b/>
                <w:sz w:val="24"/>
                <w:szCs w:val="24"/>
              </w:rPr>
            </w:pPr>
            <w:r>
              <w:rPr>
                <w:b/>
                <w:bCs/>
                <w:color w:val="000000"/>
                <w:sz w:val="24"/>
                <w:szCs w:val="24"/>
              </w:rPr>
              <w:t xml:space="preserve">注：</w:t>
            </w:r>
            <w:r>
              <w:rPr>
                <w:rFonts w:hint="eastAsia" w:ascii="宋体" w:hAnsi="宋体"/>
                <w:b/>
                <w:sz w:val="24"/>
                <w:szCs w:val="24"/>
              </w:rPr>
              <w:t xml:space="preserve">投标文件提供合同并加盖投标人公章，</w:t>
            </w:r>
            <w:r>
              <w:rPr>
                <w:rFonts w:hint="eastAsia" w:ascii="宋体" w:hAnsi="宋体"/>
                <w:b/>
                <w:bCs/>
                <w:sz w:val="24"/>
                <w:szCs w:val="24"/>
              </w:rPr>
              <w:t xml:space="preserve">时间、服务内容以合同为准</w:t>
            </w:r>
            <w:r>
              <w:rPr>
                <w:b/>
                <w:bCs/>
                <w:color w:val="000000"/>
                <w:sz w:val="24"/>
                <w:szCs w:val="24"/>
              </w:rPr>
              <w:t xml:space="preserve">，否则不得分。</w:t>
            </w:r>
            <w:r>
              <w:rPr>
                <w:b/>
                <w:sz w:val="24"/>
                <w:szCs w:val="24"/>
              </w:rPr>
            </w:r>
            <w:r/>
          </w:p>
        </w:tc>
      </w:tr>
      <w:tr>
        <w:trPr>
          <w:trHeight w:val="621"/>
        </w:trPr>
        <w:tc>
          <w:tcPr>
            <w:tcW w:w="1660" w:type="dxa"/>
            <w:vAlign w:val="center"/>
            <w:textDirection w:val="lrTb"/>
            <w:noWrap w:val="false"/>
          </w:tcPr>
          <w:p>
            <w:pPr>
              <w:pStyle w:val="963"/>
              <w:jc w:val="center"/>
              <w:spacing w:line="360" w:lineRule="auto"/>
              <w:widowControl/>
              <w:rPr>
                <w:color w:val="000000"/>
                <w:spacing w:val="-2"/>
                <w:sz w:val="24"/>
                <w:szCs w:val="24"/>
              </w:rPr>
            </w:pPr>
            <w:r>
              <w:rPr>
                <w:rFonts w:hint="eastAsia" w:ascii="宋体" w:hAnsi="宋体" w:cs="宋体"/>
                <w:sz w:val="24"/>
                <w:szCs w:val="24"/>
              </w:rPr>
              <w:t xml:space="preserve">奖项</w:t>
            </w:r>
            <w:r>
              <w:rPr>
                <w:rFonts w:hint="eastAsia" w:ascii="宋体" w:hAnsi="宋体" w:cs="宋体"/>
                <w:sz w:val="24"/>
                <w:szCs w:val="24"/>
              </w:rPr>
              <w:t xml:space="preserve">(</w:t>
            </w:r>
            <w:r>
              <w:rPr>
                <w:rFonts w:ascii="宋体" w:hAnsi="宋体" w:cs="宋体"/>
                <w:sz w:val="24"/>
                <w:szCs w:val="24"/>
              </w:rPr>
              <w:t xml:space="preserve">10</w:t>
            </w:r>
            <w:r>
              <w:rPr>
                <w:rFonts w:hint="eastAsia" w:ascii="宋体" w:hAnsi="宋体" w:cs="宋体"/>
                <w:sz w:val="24"/>
                <w:szCs w:val="24"/>
              </w:rPr>
              <w:t xml:space="preserve">分</w:t>
            </w:r>
            <w:r>
              <w:rPr>
                <w:rFonts w:ascii="宋体" w:hAnsi="宋体" w:cs="宋体"/>
                <w:sz w:val="24"/>
                <w:szCs w:val="24"/>
              </w:rPr>
              <w:t xml:space="preserve">)</w:t>
            </w:r>
            <w:r>
              <w:rPr>
                <w:color w:val="000000"/>
                <w:spacing w:val="-2"/>
                <w:sz w:val="24"/>
                <w:szCs w:val="24"/>
              </w:rPr>
            </w:r>
            <w:r/>
          </w:p>
        </w:tc>
        <w:tc>
          <w:tcPr>
            <w:tcW w:w="6845" w:type="dxa"/>
            <w:vAlign w:val="center"/>
            <w:textDirection w:val="lrTb"/>
            <w:noWrap w:val="false"/>
          </w:tcPr>
          <w:p>
            <w:pPr>
              <w:pStyle w:val="963"/>
              <w:spacing w:line="360" w:lineRule="auto"/>
              <w:rPr>
                <w:rStyle w:val="1156"/>
                <w:rFonts w:ascii="宋体" w:hAnsi="宋体" w:eastAsia="宋体"/>
                <w:sz w:val="24"/>
                <w:szCs w:val="24"/>
              </w:rPr>
            </w:pPr>
            <w:r>
              <w:rPr>
                <w:rStyle w:val="1156"/>
                <w:rFonts w:hint="eastAsia" w:ascii="宋体" w:hAnsi="宋体" w:eastAsia="宋体"/>
                <w:sz w:val="24"/>
                <w:szCs w:val="24"/>
              </w:rPr>
              <w:t xml:space="preserve">投标人获得过</w:t>
            </w:r>
            <w:r>
              <w:rPr>
                <w:rFonts w:hint="eastAsia"/>
                <w:sz w:val="24"/>
                <w:szCs w:val="24"/>
              </w:rPr>
              <w:t xml:space="preserve">危废管理类或危废产品类</w:t>
            </w:r>
            <w:r>
              <w:rPr>
                <w:sz w:val="24"/>
                <w:szCs w:val="24"/>
              </w:rPr>
              <w:t xml:space="preserve">奖项的</w:t>
            </w:r>
            <w:r>
              <w:rPr>
                <w:rStyle w:val="1156"/>
                <w:rFonts w:hint="eastAsia" w:ascii="宋体" w:hAnsi="宋体" w:eastAsia="宋体"/>
                <w:sz w:val="24"/>
                <w:szCs w:val="24"/>
              </w:rPr>
              <w:t xml:space="preserve">，每提供1</w:t>
            </w:r>
            <w:r>
              <w:rPr>
                <w:rStyle w:val="1156"/>
                <w:rFonts w:hint="eastAsia" w:ascii="宋体" w:hAnsi="宋体" w:eastAsia="宋体"/>
                <w:sz w:val="24"/>
                <w:szCs w:val="24"/>
              </w:rPr>
              <w:t xml:space="preserve">个得</w:t>
            </w:r>
            <w:r>
              <w:rPr>
                <w:rStyle w:val="1156"/>
                <w:rFonts w:ascii="宋体" w:hAnsi="宋体" w:eastAsia="宋体"/>
                <w:sz w:val="24"/>
                <w:szCs w:val="24"/>
              </w:rPr>
              <w:t xml:space="preserve">5</w:t>
            </w:r>
            <w:r>
              <w:rPr>
                <w:rStyle w:val="1156"/>
                <w:rFonts w:hint="eastAsia" w:ascii="宋体" w:hAnsi="宋体" w:eastAsia="宋体"/>
                <w:sz w:val="24"/>
                <w:szCs w:val="24"/>
              </w:rPr>
              <w:t xml:space="preserve">分，最高得</w:t>
            </w:r>
            <w:r>
              <w:rPr>
                <w:rStyle w:val="1156"/>
                <w:rFonts w:ascii="宋体" w:hAnsi="宋体" w:eastAsia="宋体"/>
                <w:sz w:val="24"/>
                <w:szCs w:val="24"/>
              </w:rPr>
              <w:t xml:space="preserve">10</w:t>
            </w:r>
            <w:r>
              <w:rPr>
                <w:rStyle w:val="1156"/>
                <w:rFonts w:hint="eastAsia" w:ascii="宋体" w:hAnsi="宋体" w:eastAsia="宋体"/>
                <w:sz w:val="24"/>
                <w:szCs w:val="24"/>
              </w:rPr>
              <w:t xml:space="preserve">分；</w:t>
            </w:r>
            <w:r>
              <w:rPr>
                <w:rStyle w:val="1156"/>
                <w:rFonts w:ascii="宋体" w:hAnsi="宋体" w:eastAsia="宋体"/>
                <w:sz w:val="24"/>
                <w:szCs w:val="24"/>
              </w:rPr>
            </w:r>
            <w:r/>
          </w:p>
          <w:p>
            <w:pPr>
              <w:pStyle w:val="963"/>
              <w:jc w:val="left"/>
              <w:spacing w:line="360" w:lineRule="auto"/>
              <w:widowControl/>
              <w:rPr>
                <w:b/>
                <w:color w:val="000000"/>
                <w:sz w:val="24"/>
                <w:szCs w:val="24"/>
              </w:rPr>
            </w:pPr>
            <w:r>
              <w:rPr>
                <w:b/>
                <w:bCs/>
                <w:color w:val="000000"/>
                <w:sz w:val="24"/>
                <w:szCs w:val="24"/>
              </w:rPr>
              <w:t xml:space="preserve">注：</w:t>
            </w:r>
            <w:r>
              <w:rPr>
                <w:rFonts w:hint="eastAsia" w:ascii="宋体" w:hAnsi="宋体"/>
                <w:b/>
                <w:sz w:val="24"/>
                <w:szCs w:val="24"/>
              </w:rPr>
              <w:t xml:space="preserve">投标文件中提供证书或证明文件并加盖投标人公章</w:t>
            </w:r>
            <w:r>
              <w:rPr>
                <w:rStyle w:val="1156"/>
                <w:rFonts w:hint="eastAsia" w:ascii="宋体" w:hAnsi="宋体" w:eastAsia="宋体"/>
                <w:b/>
                <w:bCs/>
                <w:sz w:val="24"/>
                <w:szCs w:val="24"/>
              </w:rPr>
              <w:t xml:space="preserve">，否则不得分</w:t>
            </w:r>
            <w:r>
              <w:rPr>
                <w:rFonts w:hint="eastAsia" w:ascii="宋体" w:hAnsi="宋体"/>
                <w:b/>
                <w:sz w:val="24"/>
                <w:szCs w:val="24"/>
              </w:rPr>
              <w:t xml:space="preserve">。</w:t>
            </w:r>
            <w:r>
              <w:rPr>
                <w:b/>
                <w:color w:val="000000"/>
                <w:sz w:val="24"/>
                <w:szCs w:val="24"/>
              </w:rPr>
            </w:r>
            <w:r/>
          </w:p>
        </w:tc>
      </w:tr>
    </w:tbl>
    <w:p>
      <w:pPr>
        <w:pStyle w:val="963"/>
        <w:ind w:firstLine="480"/>
        <w:jc w:val="left"/>
        <w:spacing w:line="500" w:lineRule="exact"/>
        <w:rPr>
          <w:sz w:val="24"/>
          <w:szCs w:val="24"/>
        </w:rPr>
      </w:pPr>
      <w:r>
        <w:rPr>
          <w:sz w:val="24"/>
          <w:szCs w:val="24"/>
        </w:rPr>
      </w:r>
      <w:r/>
    </w:p>
    <w:p>
      <w:pPr>
        <w:pStyle w:val="963"/>
        <w:ind w:firstLine="480"/>
        <w:jc w:val="left"/>
        <w:spacing w:line="500" w:lineRule="exact"/>
        <w:rPr>
          <w:sz w:val="24"/>
          <w:szCs w:val="24"/>
        </w:rPr>
      </w:pPr>
      <w:r>
        <w:rPr>
          <w:rFonts w:hint="eastAsia"/>
          <w:sz w:val="24"/>
          <w:szCs w:val="24"/>
        </w:rPr>
        <w:t xml:space="preserve">（3）商务分（</w:t>
      </w:r>
      <w:r>
        <w:rPr>
          <w:rFonts w:hint="eastAsia"/>
          <w:sz w:val="24"/>
          <w:szCs w:val="24"/>
        </w:rPr>
        <w:t xml:space="preserve">35</w:t>
      </w:r>
      <w:r>
        <w:rPr>
          <w:rFonts w:hint="eastAsia"/>
          <w:sz w:val="24"/>
          <w:szCs w:val="24"/>
        </w:rPr>
        <w:t xml:space="preserve">分）</w:t>
      </w:r>
      <w:r>
        <w:rPr>
          <w:sz w:val="24"/>
          <w:szCs w:val="24"/>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963"/>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rPr>
                <w:rFonts w:ascii="黑体" w:hAnsi="黑体" w:eastAsia="黑体"/>
                <w:color w:val="000000"/>
                <w:sz w:val="24"/>
                <w:szCs w:val="24"/>
              </w:rPr>
            </w:r>
            <w:r/>
          </w:p>
        </w:tc>
        <w:tc>
          <w:tcPr>
            <w:tcW w:w="6845" w:type="dxa"/>
            <w:vAlign w:val="center"/>
            <w:textDirection w:val="lrTb"/>
            <w:noWrap w:val="false"/>
          </w:tcPr>
          <w:p>
            <w:pPr>
              <w:pStyle w:val="963"/>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rPr>
                <w:rFonts w:ascii="黑体" w:hAnsi="黑体" w:eastAsia="黑体"/>
                <w:color w:val="000000"/>
                <w:sz w:val="24"/>
                <w:szCs w:val="24"/>
              </w:rPr>
            </w:r>
            <w:r/>
          </w:p>
        </w:tc>
      </w:tr>
      <w:tr>
        <w:trPr>
          <w:trHeight w:val="621"/>
        </w:trPr>
        <w:tc>
          <w:tcPr>
            <w:tcW w:w="1660" w:type="dxa"/>
            <w:vAlign w:val="center"/>
            <w:textDirection w:val="lrTb"/>
            <w:noWrap w:val="false"/>
          </w:tcPr>
          <w:p>
            <w:pPr>
              <w:pStyle w:val="963"/>
              <w:jc w:val="center"/>
              <w:spacing w:line="360" w:lineRule="auto"/>
              <w:rPr>
                <w:rFonts w:ascii="宋体" w:hAnsi="宋体" w:cs="宋体"/>
                <w:sz w:val="24"/>
                <w:szCs w:val="24"/>
              </w:rPr>
            </w:pPr>
            <w:r>
              <w:rPr>
                <w:rFonts w:hint="eastAsia" w:ascii="宋体" w:hAnsi="宋体" w:cs="宋体"/>
                <w:sz w:val="24"/>
                <w:szCs w:val="24"/>
              </w:rPr>
              <w:t xml:space="preserve">项目需求理解分析</w:t>
            </w:r>
            <w:r>
              <w:rPr>
                <w:rFonts w:ascii="宋体" w:hAnsi="宋体" w:cs="宋体"/>
                <w:sz w:val="24"/>
                <w:szCs w:val="24"/>
              </w:rPr>
            </w:r>
            <w:r/>
          </w:p>
          <w:p>
            <w:pPr>
              <w:pStyle w:val="963"/>
              <w:jc w:val="center"/>
              <w:spacing w:line="360" w:lineRule="auto"/>
              <w:rPr>
                <w:sz w:val="24"/>
                <w:szCs w:val="24"/>
              </w:rPr>
            </w:pPr>
            <w:r>
              <w:rPr>
                <w:rFonts w:hint="eastAsia" w:ascii="宋体" w:hAnsi="宋体" w:cs="宋体"/>
                <w:sz w:val="24"/>
                <w:szCs w:val="24"/>
              </w:rPr>
              <w:t xml:space="preserve">（</w:t>
            </w:r>
            <w:r>
              <w:rPr>
                <w:rFonts w:ascii="宋体" w:hAnsi="宋体" w:cs="宋体"/>
                <w:sz w:val="24"/>
                <w:szCs w:val="24"/>
              </w:rPr>
              <w:t xml:space="preserve">8</w:t>
            </w:r>
            <w:r>
              <w:rPr>
                <w:rFonts w:hint="eastAsia" w:ascii="宋体" w:hAnsi="宋体" w:cs="宋体"/>
                <w:sz w:val="24"/>
                <w:szCs w:val="24"/>
              </w:rPr>
              <w:t xml:space="preserve">分）</w:t>
            </w:r>
            <w:r>
              <w:rPr>
                <w:sz w:val="24"/>
                <w:szCs w:val="24"/>
              </w:rPr>
            </w:r>
            <w:r/>
          </w:p>
        </w:tc>
        <w:tc>
          <w:tcPr>
            <w:tcW w:w="6845" w:type="dxa"/>
            <w:vAlign w:val="center"/>
            <w:textDirection w:val="lrTb"/>
            <w:noWrap w:val="false"/>
          </w:tcPr>
          <w:p>
            <w:pPr>
              <w:pStyle w:val="963"/>
              <w:spacing w:line="360" w:lineRule="auto"/>
              <w:rPr>
                <w:rFonts w:ascii="宋体" w:hAnsi="宋体"/>
                <w:sz w:val="24"/>
                <w:szCs w:val="24"/>
              </w:rPr>
            </w:pPr>
            <w:r>
              <w:rPr>
                <w:rFonts w:hint="eastAsia" w:ascii="宋体" w:hAnsi="宋体"/>
                <w:sz w:val="24"/>
                <w:szCs w:val="24"/>
              </w:rPr>
              <w:t xml:space="preserve">投标人针对采购需求提供项目需求</w:t>
            </w:r>
            <w:r>
              <w:rPr>
                <w:rFonts w:hint="eastAsia" w:ascii="宋体" w:hAnsi="宋体"/>
                <w:sz w:val="24"/>
                <w:szCs w:val="24"/>
              </w:rPr>
              <w:t xml:space="preserve">理解</w:t>
            </w:r>
            <w:r>
              <w:rPr>
                <w:rFonts w:hint="eastAsia" w:ascii="宋体" w:hAnsi="宋体"/>
                <w:sz w:val="24"/>
                <w:szCs w:val="24"/>
              </w:rPr>
              <w:t xml:space="preserve">分析，包含但不限于项目建设现状、需求理解、需求分析等。</w:t>
            </w:r>
            <w:r>
              <w:rPr>
                <w:rFonts w:ascii="宋体" w:hAnsi="宋体"/>
                <w:sz w:val="24"/>
                <w:szCs w:val="24"/>
              </w:rPr>
            </w:r>
            <w:r/>
          </w:p>
          <w:p>
            <w:pPr>
              <w:pStyle w:val="963"/>
              <w:spacing w:line="360" w:lineRule="auto"/>
              <w:rPr>
                <w:rFonts w:ascii="宋体" w:hAnsi="宋体"/>
                <w:sz w:val="24"/>
                <w:szCs w:val="24"/>
              </w:rPr>
            </w:pPr>
            <w:r>
              <w:rPr>
                <w:rFonts w:hint="eastAsia" w:ascii="宋体" w:hAnsi="宋体"/>
                <w:sz w:val="24"/>
                <w:szCs w:val="24"/>
              </w:rPr>
              <w:t xml:space="preserve">项目建设现状分析完整、需求理解科学合理、需求分析方案全面可行，得</w:t>
            </w:r>
            <w:r>
              <w:rPr>
                <w:rFonts w:ascii="宋体" w:hAnsi="宋体"/>
                <w:sz w:val="24"/>
                <w:szCs w:val="24"/>
              </w:rPr>
              <w:t xml:space="preserve">8</w:t>
            </w:r>
            <w:r>
              <w:rPr>
                <w:rFonts w:hint="eastAsia" w:ascii="宋体" w:hAnsi="宋体"/>
                <w:sz w:val="24"/>
                <w:szCs w:val="24"/>
              </w:rPr>
              <w:t xml:space="preserve">分；</w:t>
            </w:r>
            <w:r>
              <w:rPr>
                <w:rFonts w:ascii="宋体" w:hAnsi="宋体"/>
                <w:sz w:val="24"/>
                <w:szCs w:val="24"/>
              </w:rPr>
            </w:r>
            <w:r/>
          </w:p>
          <w:p>
            <w:pPr>
              <w:pStyle w:val="963"/>
              <w:spacing w:line="360" w:lineRule="auto"/>
              <w:rPr>
                <w:rFonts w:ascii="宋体" w:hAnsi="宋体"/>
                <w:sz w:val="24"/>
                <w:szCs w:val="24"/>
              </w:rPr>
            </w:pPr>
            <w:r>
              <w:rPr>
                <w:rFonts w:hint="eastAsia" w:ascii="宋体" w:hAnsi="宋体"/>
                <w:sz w:val="24"/>
                <w:szCs w:val="24"/>
              </w:rPr>
              <w:t xml:space="preserve">项目建设现状分析较完整，需求理解较科学合理、需求分析方案较全面可行，得</w:t>
            </w:r>
            <w:r>
              <w:rPr>
                <w:rFonts w:ascii="宋体" w:hAnsi="宋体"/>
                <w:sz w:val="24"/>
                <w:szCs w:val="24"/>
              </w:rPr>
              <w:t xml:space="preserve">6</w:t>
            </w:r>
            <w:r>
              <w:rPr>
                <w:rFonts w:hint="eastAsia" w:ascii="宋体" w:hAnsi="宋体"/>
                <w:sz w:val="24"/>
                <w:szCs w:val="24"/>
              </w:rPr>
              <w:t xml:space="preserve">分；</w:t>
            </w:r>
            <w:r>
              <w:rPr>
                <w:rFonts w:ascii="宋体" w:hAnsi="宋体"/>
                <w:sz w:val="24"/>
                <w:szCs w:val="24"/>
              </w:rPr>
            </w:r>
            <w:r/>
          </w:p>
          <w:p>
            <w:pPr>
              <w:pStyle w:val="963"/>
              <w:spacing w:line="360" w:lineRule="auto"/>
              <w:rPr>
                <w:rFonts w:ascii="宋体" w:hAnsi="宋体"/>
                <w:sz w:val="24"/>
                <w:szCs w:val="24"/>
              </w:rPr>
            </w:pPr>
            <w:r>
              <w:rPr>
                <w:rFonts w:hint="eastAsia" w:ascii="宋体" w:hAnsi="宋体"/>
                <w:sz w:val="24"/>
                <w:szCs w:val="24"/>
              </w:rPr>
              <w:t xml:space="preserve">项目建设状况分析内容不够完整，科学性、合理性一般，得</w:t>
            </w:r>
            <w:r>
              <w:rPr>
                <w:rFonts w:ascii="宋体" w:hAnsi="宋体"/>
                <w:sz w:val="24"/>
                <w:szCs w:val="24"/>
              </w:rPr>
              <w:t xml:space="preserve">4</w:t>
            </w:r>
            <w:r>
              <w:rPr>
                <w:rFonts w:hint="eastAsia" w:ascii="宋体" w:hAnsi="宋体"/>
                <w:sz w:val="24"/>
                <w:szCs w:val="24"/>
              </w:rPr>
              <w:t xml:space="preserve">分；</w:t>
            </w:r>
            <w:r>
              <w:rPr>
                <w:rFonts w:ascii="宋体" w:hAnsi="宋体"/>
                <w:sz w:val="24"/>
                <w:szCs w:val="24"/>
              </w:rPr>
            </w:r>
            <w:r/>
          </w:p>
          <w:p>
            <w:pPr>
              <w:pStyle w:val="963"/>
              <w:jc w:val="left"/>
              <w:spacing w:line="360" w:lineRule="auto"/>
              <w:rPr>
                <w:sz w:val="24"/>
                <w:szCs w:val="24"/>
              </w:rPr>
            </w:pPr>
            <w:r>
              <w:rPr>
                <w:rFonts w:hint="eastAsia" w:ascii="宋体" w:hAnsi="宋体"/>
                <w:sz w:val="24"/>
                <w:szCs w:val="24"/>
              </w:rPr>
              <w:t xml:space="preserve">该项未见阐述不得分。</w:t>
            </w:r>
            <w:r>
              <w:rPr>
                <w:sz w:val="24"/>
                <w:szCs w:val="24"/>
              </w:rPr>
            </w:r>
            <w:r/>
          </w:p>
        </w:tc>
      </w:tr>
      <w:tr>
        <w:trPr>
          <w:trHeight w:val="621"/>
        </w:trPr>
        <w:tc>
          <w:tcPr>
            <w:tcW w:w="1660" w:type="dxa"/>
            <w:vAlign w:val="center"/>
            <w:textDirection w:val="lrTb"/>
            <w:noWrap w:val="false"/>
          </w:tcPr>
          <w:p>
            <w:pPr>
              <w:pStyle w:val="963"/>
              <w:jc w:val="center"/>
              <w:spacing w:line="360" w:lineRule="auto"/>
              <w:rPr>
                <w:sz w:val="24"/>
                <w:szCs w:val="24"/>
              </w:rPr>
            </w:pPr>
            <w:r>
              <w:rPr>
                <w:rStyle w:val="1156"/>
                <w:rFonts w:hint="eastAsia" w:ascii="宋体" w:hAnsi="宋体" w:eastAsia="宋体"/>
                <w:color w:val="000000"/>
                <w:sz w:val="24"/>
                <w:szCs w:val="24"/>
              </w:rPr>
              <w:t xml:space="preserve">项目实施方案</w:t>
            </w:r>
            <w:r>
              <w:rPr>
                <w:rFonts w:hint="eastAsia" w:ascii="宋体" w:hAnsi="宋体"/>
                <w:sz w:val="24"/>
                <w:szCs w:val="24"/>
              </w:rPr>
              <w:t xml:space="preserve">（9）</w:t>
            </w:r>
            <w:r>
              <w:rPr>
                <w:sz w:val="24"/>
                <w:szCs w:val="24"/>
              </w:rPr>
            </w:r>
            <w:r/>
          </w:p>
        </w:tc>
        <w:tc>
          <w:tcPr>
            <w:tcW w:w="6845" w:type="dxa"/>
            <w:vAlign w:val="center"/>
            <w:textDirection w:val="lrTb"/>
            <w:noWrap w:val="false"/>
          </w:tcPr>
          <w:p>
            <w:pPr>
              <w:pStyle w:val="963"/>
              <w:spacing w:line="360" w:lineRule="auto"/>
              <w:widowControl/>
              <w:rPr>
                <w:rFonts w:ascii="宋体" w:hAnsi="宋体"/>
                <w:sz w:val="24"/>
                <w:szCs w:val="24"/>
              </w:rPr>
            </w:pPr>
            <w:r>
              <w:rPr>
                <w:rFonts w:hint="eastAsia" w:ascii="宋体" w:hAnsi="宋体"/>
                <w:sz w:val="24"/>
                <w:szCs w:val="24"/>
              </w:rPr>
              <w:t xml:space="preserve">投标人针对采购需求提供项目实施方案，包含但不限于人员团队组成分工、技术保障措施、工作进度安排等。</w:t>
            </w:r>
            <w:r>
              <w:rPr>
                <w:rFonts w:ascii="宋体" w:hAnsi="宋体"/>
                <w:sz w:val="24"/>
                <w:szCs w:val="24"/>
              </w:rPr>
            </w:r>
            <w:r/>
          </w:p>
          <w:p>
            <w:pPr>
              <w:pStyle w:val="963"/>
              <w:spacing w:line="360" w:lineRule="auto"/>
              <w:widowControl/>
              <w:rPr>
                <w:rFonts w:ascii="宋体" w:hAnsi="宋体"/>
                <w:sz w:val="24"/>
                <w:szCs w:val="24"/>
              </w:rPr>
            </w:pPr>
            <w:r>
              <w:rPr>
                <w:rFonts w:hint="eastAsia" w:ascii="宋体" w:hAnsi="宋体"/>
                <w:sz w:val="24"/>
                <w:szCs w:val="24"/>
              </w:rPr>
              <w:t xml:space="preserve">实施方案中人员专业组成科学合理、技术保障措施充分、工作进度安排合理的，得</w:t>
            </w:r>
            <w:r>
              <w:rPr>
                <w:rFonts w:ascii="宋体" w:hAnsi="宋体"/>
                <w:sz w:val="24"/>
                <w:szCs w:val="24"/>
              </w:rPr>
              <w:t xml:space="preserve">9</w:t>
            </w:r>
            <w:r>
              <w:rPr>
                <w:rFonts w:hint="eastAsia" w:ascii="宋体" w:hAnsi="宋体"/>
                <w:sz w:val="24"/>
                <w:szCs w:val="24"/>
              </w:rPr>
              <w:t xml:space="preserve">分；</w:t>
            </w:r>
            <w:r>
              <w:rPr>
                <w:rFonts w:ascii="宋体" w:hAnsi="宋体"/>
                <w:sz w:val="24"/>
                <w:szCs w:val="24"/>
              </w:rPr>
            </w:r>
            <w:r/>
          </w:p>
          <w:p>
            <w:pPr>
              <w:pStyle w:val="963"/>
              <w:spacing w:line="360" w:lineRule="auto"/>
              <w:widowControl/>
              <w:rPr>
                <w:rFonts w:ascii="宋体" w:hAnsi="宋体"/>
                <w:sz w:val="24"/>
                <w:szCs w:val="24"/>
              </w:rPr>
            </w:pPr>
            <w:r>
              <w:rPr>
                <w:rFonts w:hint="eastAsia" w:ascii="宋体" w:hAnsi="宋体"/>
                <w:sz w:val="24"/>
                <w:szCs w:val="24"/>
              </w:rPr>
              <w:t xml:space="preserve">实施方案中人员专业组成较为科学合理、技术保障措施较充分、工作进度安排较为合理的，得</w:t>
            </w:r>
            <w:r>
              <w:rPr>
                <w:rFonts w:ascii="宋体" w:hAnsi="宋体"/>
                <w:sz w:val="24"/>
                <w:szCs w:val="24"/>
              </w:rPr>
              <w:t xml:space="preserve">7</w:t>
            </w:r>
            <w:r>
              <w:rPr>
                <w:rFonts w:hint="eastAsia" w:ascii="宋体" w:hAnsi="宋体"/>
                <w:sz w:val="24"/>
                <w:szCs w:val="24"/>
              </w:rPr>
              <w:t xml:space="preserve">分；</w:t>
            </w:r>
            <w:r>
              <w:rPr>
                <w:rFonts w:ascii="宋体" w:hAnsi="宋体"/>
                <w:sz w:val="24"/>
                <w:szCs w:val="24"/>
              </w:rPr>
            </w:r>
            <w:r/>
          </w:p>
          <w:p>
            <w:pPr>
              <w:pStyle w:val="963"/>
              <w:spacing w:line="360" w:lineRule="auto"/>
              <w:widowControl/>
              <w:rPr>
                <w:rFonts w:ascii="宋体" w:hAnsi="宋体"/>
                <w:sz w:val="24"/>
                <w:szCs w:val="24"/>
              </w:rPr>
            </w:pPr>
            <w:r>
              <w:rPr>
                <w:rFonts w:hint="eastAsia" w:ascii="宋体" w:hAnsi="宋体"/>
                <w:sz w:val="24"/>
                <w:szCs w:val="24"/>
              </w:rPr>
              <w:t xml:space="preserve">实施方案中人员专业组成合理性一般、技术保障措施不太充分、工作进度安排不太合理的，得</w:t>
            </w:r>
            <w:r>
              <w:rPr>
                <w:rFonts w:ascii="宋体" w:hAnsi="宋体"/>
                <w:sz w:val="24"/>
                <w:szCs w:val="24"/>
              </w:rPr>
              <w:t xml:space="preserve">5</w:t>
            </w:r>
            <w:r>
              <w:rPr>
                <w:rFonts w:hint="eastAsia" w:ascii="宋体" w:hAnsi="宋体"/>
                <w:sz w:val="24"/>
                <w:szCs w:val="24"/>
              </w:rPr>
              <w:t xml:space="preserve">分；</w:t>
            </w:r>
            <w:r>
              <w:rPr>
                <w:rFonts w:ascii="宋体" w:hAnsi="宋体"/>
                <w:sz w:val="24"/>
                <w:szCs w:val="24"/>
              </w:rPr>
            </w:r>
            <w:r/>
          </w:p>
          <w:p>
            <w:pPr>
              <w:pStyle w:val="963"/>
              <w:jc w:val="left"/>
              <w:spacing w:line="360" w:lineRule="auto"/>
              <w:rPr>
                <w:sz w:val="24"/>
                <w:szCs w:val="24"/>
              </w:rPr>
            </w:pPr>
            <w:r>
              <w:rPr>
                <w:rFonts w:hint="eastAsia" w:ascii="宋体" w:hAnsi="宋体"/>
                <w:sz w:val="24"/>
                <w:szCs w:val="24"/>
              </w:rPr>
              <w:t xml:space="preserve">该项未见阐述不得分。</w:t>
            </w:r>
            <w:r>
              <w:rPr>
                <w:sz w:val="24"/>
                <w:szCs w:val="24"/>
              </w:rPr>
            </w:r>
            <w:r/>
          </w:p>
        </w:tc>
      </w:tr>
      <w:tr>
        <w:trPr>
          <w:trHeight w:val="621"/>
        </w:trPr>
        <w:tc>
          <w:tcPr>
            <w:tcW w:w="1660" w:type="dxa"/>
            <w:vAlign w:val="center"/>
            <w:textDirection w:val="lrTb"/>
            <w:noWrap w:val="false"/>
          </w:tcPr>
          <w:p>
            <w:pPr>
              <w:pStyle w:val="963"/>
              <w:jc w:val="center"/>
              <w:spacing w:line="360" w:lineRule="auto"/>
              <w:rPr>
                <w:rFonts w:ascii="宋体" w:hAnsi="宋体"/>
                <w:sz w:val="24"/>
                <w:szCs w:val="24"/>
              </w:rPr>
            </w:pPr>
            <w:r>
              <w:rPr>
                <w:rFonts w:hint="eastAsia" w:ascii="宋体" w:hAnsi="宋体"/>
                <w:sz w:val="24"/>
                <w:szCs w:val="24"/>
              </w:rPr>
              <w:t xml:space="preserve">应急预案</w:t>
            </w:r>
            <w:r>
              <w:rPr>
                <w:rFonts w:ascii="宋体" w:hAnsi="宋体"/>
                <w:sz w:val="24"/>
                <w:szCs w:val="24"/>
              </w:rPr>
            </w:r>
            <w:r/>
          </w:p>
          <w:p>
            <w:pPr>
              <w:pStyle w:val="963"/>
              <w:jc w:val="center"/>
              <w:spacing w:line="360" w:lineRule="auto"/>
              <w:rPr>
                <w:sz w:val="24"/>
                <w:szCs w:val="24"/>
              </w:rPr>
            </w:pPr>
            <w:r>
              <w:rPr>
                <w:rFonts w:hint="eastAsia" w:ascii="宋体" w:hAnsi="宋体"/>
                <w:sz w:val="24"/>
                <w:szCs w:val="24"/>
              </w:rPr>
              <w:t xml:space="preserve">（9分）</w:t>
            </w:r>
            <w:r>
              <w:rPr>
                <w:sz w:val="24"/>
                <w:szCs w:val="24"/>
              </w:rPr>
            </w:r>
            <w:r/>
          </w:p>
        </w:tc>
        <w:tc>
          <w:tcPr>
            <w:tcW w:w="6845" w:type="dxa"/>
            <w:vAlign w:val="center"/>
            <w:textDirection w:val="lrTb"/>
            <w:noWrap w:val="false"/>
          </w:tcPr>
          <w:p>
            <w:pPr>
              <w:pStyle w:val="963"/>
              <w:spacing w:line="360" w:lineRule="auto"/>
              <w:rPr>
                <w:rFonts w:ascii="宋体" w:hAnsi="宋体"/>
                <w:sz w:val="24"/>
                <w:szCs w:val="24"/>
              </w:rPr>
            </w:pPr>
            <w:r>
              <w:rPr>
                <w:rFonts w:hint="eastAsia" w:ascii="宋体" w:hAnsi="宋体"/>
                <w:sz w:val="24"/>
                <w:szCs w:val="24"/>
              </w:rPr>
              <w:t xml:space="preserve">投标人针对采购需求提供应急预案，包括但不限于应急响应的时间、应急处理措施等。</w:t>
            </w:r>
            <w:r>
              <w:rPr>
                <w:rFonts w:ascii="宋体" w:hAnsi="宋体"/>
                <w:sz w:val="24"/>
                <w:szCs w:val="24"/>
              </w:rPr>
            </w:r>
            <w:r/>
          </w:p>
          <w:p>
            <w:pPr>
              <w:pStyle w:val="963"/>
              <w:spacing w:line="360" w:lineRule="auto"/>
              <w:rPr>
                <w:rFonts w:ascii="宋体" w:hAnsi="宋体"/>
                <w:sz w:val="24"/>
                <w:szCs w:val="24"/>
              </w:rPr>
            </w:pPr>
            <w:r>
              <w:rPr>
                <w:rFonts w:hint="eastAsia" w:ascii="宋体" w:hAnsi="宋体"/>
                <w:sz w:val="24"/>
                <w:szCs w:val="24"/>
              </w:rPr>
              <w:t xml:space="preserve">应急预案内容科学合理、响应及时、应急措施有效可行的，得9分；</w:t>
            </w:r>
            <w:r>
              <w:rPr>
                <w:rFonts w:ascii="宋体" w:hAnsi="宋体"/>
                <w:sz w:val="24"/>
                <w:szCs w:val="24"/>
              </w:rPr>
            </w:r>
            <w:r/>
          </w:p>
          <w:p>
            <w:pPr>
              <w:pStyle w:val="963"/>
              <w:spacing w:line="360" w:lineRule="auto"/>
              <w:rPr>
                <w:rFonts w:ascii="宋体" w:hAnsi="宋体"/>
                <w:sz w:val="24"/>
                <w:szCs w:val="24"/>
              </w:rPr>
            </w:pPr>
            <w:r>
              <w:rPr>
                <w:rFonts w:hint="eastAsia" w:ascii="宋体" w:hAnsi="宋体"/>
                <w:sz w:val="24"/>
                <w:szCs w:val="24"/>
              </w:rPr>
              <w:t xml:space="preserve">应急预案内容科学合理性一般、响应及时性一般、应急措施有效具有可行性的，得</w:t>
            </w:r>
            <w:r>
              <w:rPr>
                <w:rFonts w:ascii="宋体" w:hAnsi="宋体"/>
                <w:sz w:val="24"/>
                <w:szCs w:val="24"/>
              </w:rPr>
              <w:t xml:space="preserve">7</w:t>
            </w:r>
            <w:r>
              <w:rPr>
                <w:rFonts w:hint="eastAsia" w:ascii="宋体" w:hAnsi="宋体"/>
                <w:sz w:val="24"/>
                <w:szCs w:val="24"/>
              </w:rPr>
              <w:t xml:space="preserve">分；</w:t>
            </w:r>
            <w:r>
              <w:rPr>
                <w:rFonts w:ascii="宋体" w:hAnsi="宋体"/>
                <w:sz w:val="24"/>
                <w:szCs w:val="24"/>
              </w:rPr>
            </w:r>
            <w:r/>
          </w:p>
          <w:p>
            <w:pPr>
              <w:pStyle w:val="963"/>
              <w:spacing w:line="360" w:lineRule="auto"/>
              <w:rPr>
                <w:rFonts w:ascii="宋体" w:hAnsi="宋体"/>
                <w:sz w:val="24"/>
                <w:szCs w:val="24"/>
              </w:rPr>
            </w:pPr>
            <w:r>
              <w:rPr>
                <w:rFonts w:hint="eastAsia" w:ascii="宋体" w:hAnsi="宋体"/>
                <w:sz w:val="24"/>
                <w:szCs w:val="24"/>
              </w:rPr>
              <w:t xml:space="preserve">应急预案内容不完整、不能及时响应、应急措施有效性可行性较差的，得</w:t>
            </w:r>
            <w:r>
              <w:rPr>
                <w:rFonts w:ascii="宋体" w:hAnsi="宋体"/>
                <w:sz w:val="24"/>
                <w:szCs w:val="24"/>
              </w:rPr>
              <w:t xml:space="preserve">5</w:t>
            </w:r>
            <w:r>
              <w:rPr>
                <w:rFonts w:hint="eastAsia" w:ascii="宋体" w:hAnsi="宋体"/>
                <w:sz w:val="24"/>
                <w:szCs w:val="24"/>
              </w:rPr>
              <w:t xml:space="preserve">分；</w:t>
            </w:r>
            <w:r>
              <w:rPr>
                <w:rFonts w:ascii="宋体" w:hAnsi="宋体"/>
                <w:sz w:val="24"/>
                <w:szCs w:val="24"/>
              </w:rPr>
            </w:r>
            <w:r/>
          </w:p>
          <w:p>
            <w:pPr>
              <w:pStyle w:val="963"/>
              <w:jc w:val="left"/>
              <w:spacing w:line="360" w:lineRule="auto"/>
              <w:rPr>
                <w:sz w:val="24"/>
                <w:szCs w:val="24"/>
              </w:rPr>
            </w:pPr>
            <w:r>
              <w:rPr>
                <w:rFonts w:hint="eastAsia" w:ascii="宋体" w:hAnsi="宋体"/>
                <w:sz w:val="24"/>
                <w:szCs w:val="24"/>
              </w:rPr>
              <w:t xml:space="preserve">该项未见阐述不得分。</w:t>
            </w:r>
            <w:r>
              <w:rPr>
                <w:sz w:val="24"/>
                <w:szCs w:val="24"/>
              </w:rPr>
            </w:r>
            <w:r/>
          </w:p>
        </w:tc>
      </w:tr>
      <w:tr>
        <w:trPr>
          <w:trHeight w:val="621"/>
        </w:trPr>
        <w:tc>
          <w:tcPr>
            <w:tcW w:w="1660" w:type="dxa"/>
            <w:vAlign w:val="center"/>
            <w:textDirection w:val="lrTb"/>
            <w:noWrap w:val="false"/>
          </w:tcPr>
          <w:p>
            <w:pPr>
              <w:pStyle w:val="963"/>
              <w:jc w:val="center"/>
              <w:spacing w:line="360" w:lineRule="auto"/>
              <w:rPr>
                <w:rFonts w:ascii="宋体" w:hAnsi="宋体"/>
                <w:sz w:val="24"/>
                <w:szCs w:val="24"/>
              </w:rPr>
            </w:pPr>
            <w:r>
              <w:rPr>
                <w:rFonts w:hint="eastAsia" w:ascii="宋体" w:hAnsi="宋体" w:cs="宋体"/>
                <w:sz w:val="24"/>
                <w:szCs w:val="24"/>
              </w:rPr>
              <w:t xml:space="preserve">服务保障方案（9分）</w:t>
            </w:r>
            <w:r>
              <w:rPr>
                <w:rFonts w:ascii="宋体" w:hAnsi="宋体"/>
                <w:sz w:val="24"/>
                <w:szCs w:val="24"/>
              </w:rPr>
            </w:r>
            <w:r/>
          </w:p>
        </w:tc>
        <w:tc>
          <w:tcPr>
            <w:tcW w:w="6845" w:type="dxa"/>
            <w:vAlign w:val="center"/>
            <w:textDirection w:val="lrTb"/>
            <w:noWrap w:val="false"/>
          </w:tcPr>
          <w:p>
            <w:pPr>
              <w:pStyle w:val="963"/>
              <w:spacing w:line="360" w:lineRule="auto"/>
              <w:rPr>
                <w:rFonts w:ascii="宋体" w:hAnsi="宋体"/>
                <w:sz w:val="24"/>
                <w:szCs w:val="24"/>
              </w:rPr>
            </w:pPr>
            <w:r>
              <w:rPr>
                <w:rFonts w:hint="eastAsia" w:ascii="宋体" w:hAnsi="宋体"/>
                <w:sz w:val="24"/>
                <w:szCs w:val="24"/>
              </w:rPr>
              <w:t xml:space="preserve">投标人针对采购需求提供服务保障方案，包括但不限于服务保障方案的可行性、合理性以及保障措施，服务期内外的技术支持和维护能力情况等，</w:t>
            </w:r>
            <w:r>
              <w:rPr>
                <w:rFonts w:ascii="宋体" w:hAnsi="宋体"/>
                <w:sz w:val="24"/>
                <w:szCs w:val="24"/>
              </w:rPr>
            </w:r>
            <w:r/>
          </w:p>
          <w:p>
            <w:pPr>
              <w:pStyle w:val="963"/>
              <w:spacing w:line="360" w:lineRule="auto"/>
              <w:rPr>
                <w:rFonts w:ascii="宋体" w:hAnsi="宋体"/>
                <w:sz w:val="24"/>
                <w:szCs w:val="24"/>
              </w:rPr>
            </w:pPr>
            <w:r>
              <w:rPr>
                <w:rFonts w:hint="eastAsia" w:ascii="宋体" w:hAnsi="宋体"/>
                <w:sz w:val="24"/>
                <w:szCs w:val="24"/>
              </w:rPr>
              <w:t xml:space="preserve">服务保障方案内容完整、技术支持和服务保障能力强且切合实际的，得9分；</w:t>
            </w:r>
            <w:r>
              <w:rPr>
                <w:rFonts w:ascii="宋体" w:hAnsi="宋体"/>
                <w:sz w:val="24"/>
                <w:szCs w:val="24"/>
              </w:rPr>
            </w:r>
            <w:r/>
          </w:p>
          <w:p>
            <w:pPr>
              <w:pStyle w:val="963"/>
              <w:spacing w:line="360" w:lineRule="auto"/>
              <w:rPr>
                <w:rFonts w:ascii="宋体" w:hAnsi="宋体"/>
                <w:sz w:val="24"/>
                <w:szCs w:val="24"/>
              </w:rPr>
            </w:pPr>
            <w:r>
              <w:rPr>
                <w:rFonts w:hint="eastAsia" w:ascii="宋体" w:hAnsi="宋体"/>
                <w:sz w:val="24"/>
                <w:szCs w:val="24"/>
              </w:rPr>
              <w:t xml:space="preserve">服务保障方案内容完整较为齐全、有一定的针对性与可行性的，得</w:t>
            </w:r>
            <w:r>
              <w:rPr>
                <w:rFonts w:ascii="宋体" w:hAnsi="宋体"/>
                <w:sz w:val="24"/>
                <w:szCs w:val="24"/>
              </w:rPr>
              <w:t xml:space="preserve">7</w:t>
            </w:r>
            <w:r>
              <w:rPr>
                <w:rFonts w:hint="eastAsia" w:ascii="宋体" w:hAnsi="宋体"/>
                <w:sz w:val="24"/>
                <w:szCs w:val="24"/>
              </w:rPr>
              <w:t xml:space="preserve">分；</w:t>
            </w:r>
            <w:r>
              <w:rPr>
                <w:rFonts w:ascii="宋体" w:hAnsi="宋体"/>
                <w:sz w:val="24"/>
                <w:szCs w:val="24"/>
              </w:rPr>
            </w:r>
            <w:r/>
          </w:p>
          <w:p>
            <w:pPr>
              <w:pStyle w:val="963"/>
              <w:spacing w:line="360" w:lineRule="auto"/>
              <w:rPr>
                <w:rFonts w:ascii="宋体" w:hAnsi="宋体"/>
                <w:sz w:val="24"/>
                <w:szCs w:val="24"/>
              </w:rPr>
            </w:pPr>
            <w:r>
              <w:rPr>
                <w:rFonts w:hint="eastAsia" w:ascii="宋体" w:hAnsi="宋体"/>
                <w:sz w:val="24"/>
                <w:szCs w:val="24"/>
              </w:rPr>
              <w:t xml:space="preserve">服务保障方案简单与实际需求存在一定偏差的，得</w:t>
            </w:r>
            <w:r>
              <w:rPr>
                <w:rFonts w:ascii="宋体" w:hAnsi="宋体"/>
                <w:sz w:val="24"/>
                <w:szCs w:val="24"/>
              </w:rPr>
              <w:t xml:space="preserve">5</w:t>
            </w:r>
            <w:r>
              <w:rPr>
                <w:rFonts w:hint="eastAsia" w:ascii="宋体" w:hAnsi="宋体"/>
                <w:sz w:val="24"/>
                <w:szCs w:val="24"/>
              </w:rPr>
              <w:t xml:space="preserve">分；</w:t>
            </w:r>
            <w:r>
              <w:rPr>
                <w:rFonts w:ascii="宋体" w:hAnsi="宋体"/>
                <w:sz w:val="24"/>
                <w:szCs w:val="24"/>
              </w:rPr>
            </w:r>
            <w:r/>
          </w:p>
          <w:p>
            <w:pPr>
              <w:pStyle w:val="963"/>
              <w:spacing w:line="360" w:lineRule="auto"/>
              <w:rPr>
                <w:rFonts w:ascii="宋体" w:hAnsi="宋体"/>
                <w:sz w:val="24"/>
                <w:szCs w:val="24"/>
              </w:rPr>
            </w:pPr>
            <w:r>
              <w:rPr>
                <w:rFonts w:hint="eastAsia" w:ascii="宋体" w:hAnsi="宋体"/>
                <w:sz w:val="24"/>
                <w:szCs w:val="24"/>
              </w:rPr>
              <w:t xml:space="preserve">该项未见阐述不得分。</w:t>
            </w:r>
            <w:r>
              <w:rPr>
                <w:rFonts w:ascii="宋体" w:hAnsi="宋体"/>
                <w:sz w:val="24"/>
                <w:szCs w:val="24"/>
              </w:rPr>
            </w:r>
            <w:r/>
          </w:p>
        </w:tc>
      </w:tr>
    </w:tbl>
    <w:p>
      <w:pPr>
        <w:pStyle w:val="963"/>
        <w:ind w:firstLine="480"/>
        <w:jc w:val="left"/>
        <w:spacing w:line="500" w:lineRule="exact"/>
        <w:rPr>
          <w:sz w:val="24"/>
          <w:szCs w:val="24"/>
        </w:rPr>
      </w:pPr>
      <w:r>
        <w:rPr>
          <w:sz w:val="24"/>
          <w:szCs w:val="24"/>
        </w:rPr>
      </w:r>
      <w:r/>
    </w:p>
    <w:p>
      <w:pPr>
        <w:pStyle w:val="963"/>
        <w:jc w:val="left"/>
        <w:spacing w:line="500" w:lineRule="exact"/>
        <w:rPr>
          <w:rFonts w:ascii="黑体" w:hAnsi="黑体" w:eastAsia="黑体"/>
          <w:sz w:val="32"/>
          <w:szCs w:val="24"/>
        </w:rPr>
        <w:outlineLvl w:val="1"/>
      </w:pPr>
      <w:r>
        <w:rPr>
          <w:rFonts w:hint="eastAsia" w:ascii="黑体" w:hAnsi="黑体" w:eastAsia="黑体"/>
          <w:sz w:val="32"/>
          <w:szCs w:val="24"/>
        </w:rPr>
        <w:t xml:space="preserve">采购包</w:t>
      </w:r>
      <w:r>
        <w:rPr>
          <w:rFonts w:ascii="黑体" w:hAnsi="黑体" w:eastAsia="黑体"/>
          <w:sz w:val="32"/>
          <w:szCs w:val="24"/>
        </w:rPr>
        <w:t xml:space="preserve">4</w:t>
      </w:r>
      <w:r>
        <w:rPr>
          <w:rFonts w:hint="eastAsia" w:ascii="黑体" w:hAnsi="黑体" w:eastAsia="黑体"/>
          <w:sz w:val="32"/>
          <w:szCs w:val="24"/>
        </w:rPr>
        <w:t xml:space="preserve">：</w:t>
      </w:r>
      <w:r>
        <w:rPr>
          <w:rFonts w:ascii="黑体" w:hAnsi="黑体" w:eastAsia="黑体"/>
          <w:sz w:val="32"/>
          <w:szCs w:val="24"/>
        </w:rPr>
      </w:r>
      <w:r/>
    </w:p>
    <w:p>
      <w:pPr>
        <w:pStyle w:val="963"/>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rPr>
          <w:rFonts w:ascii="黑体" w:hAnsi="黑体" w:eastAsia="黑体"/>
          <w:sz w:val="32"/>
          <w:szCs w:val="24"/>
        </w:rPr>
      </w:r>
      <w:r/>
    </w:p>
    <w:p>
      <w:pPr>
        <w:pStyle w:val="963"/>
        <w:ind w:firstLine="480"/>
        <w:jc w:val="left"/>
        <w:spacing w:line="500" w:lineRule="exact"/>
        <w:rPr>
          <w:sz w:val="24"/>
          <w:szCs w:val="24"/>
        </w:rPr>
      </w:pPr>
      <w:r>
        <w:rPr>
          <w:rFonts w:hint="eastAsia"/>
          <w:sz w:val="24"/>
          <w:szCs w:val="24"/>
        </w:rPr>
        <w:t xml:space="preserve">（1）价格分（10分）</w:t>
      </w:r>
      <w:r>
        <w:rPr>
          <w:sz w:val="24"/>
          <w:szCs w:val="24"/>
        </w:rPr>
      </w:r>
      <w:r/>
    </w:p>
    <w:p>
      <w:pPr>
        <w:pStyle w:val="963"/>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rPr>
          <w:sz w:val="24"/>
          <w:szCs w:val="24"/>
        </w:rPr>
      </w:r>
      <w:r/>
    </w:p>
    <w:p>
      <w:pPr>
        <w:pStyle w:val="963"/>
        <w:ind w:firstLine="480"/>
        <w:jc w:val="left"/>
        <w:spacing w:line="500" w:lineRule="exact"/>
        <w:rPr>
          <w:sz w:val="24"/>
          <w:szCs w:val="24"/>
        </w:rPr>
      </w:pPr>
      <w:r>
        <w:rPr>
          <w:rFonts w:hint="eastAsia"/>
          <w:sz w:val="24"/>
          <w:szCs w:val="24"/>
        </w:rPr>
        <w:t xml:space="preserve">投标报价得分=（评标基准价／投标报价）×10分</w:t>
      </w:r>
      <w:r>
        <w:rPr>
          <w:sz w:val="24"/>
          <w:szCs w:val="24"/>
        </w:rPr>
      </w:r>
      <w:r/>
    </w:p>
    <w:p>
      <w:pPr>
        <w:pStyle w:val="963"/>
        <w:ind w:firstLine="480"/>
        <w:jc w:val="left"/>
        <w:spacing w:line="500" w:lineRule="exact"/>
        <w:rPr>
          <w:sz w:val="24"/>
          <w:szCs w:val="24"/>
        </w:rPr>
      </w:pPr>
      <w:r>
        <w:rPr>
          <w:rFonts w:hint="eastAsia"/>
          <w:sz w:val="24"/>
          <w:szCs w:val="24"/>
        </w:rPr>
        <w:t xml:space="preserve">因落实政府采购政策进行价格扣除的，用扣除后的价格参加评审。</w:t>
      </w:r>
      <w:r>
        <w:rPr>
          <w:sz w:val="24"/>
          <w:szCs w:val="24"/>
        </w:rPr>
      </w:r>
      <w:r/>
    </w:p>
    <w:p>
      <w:pPr>
        <w:pStyle w:val="963"/>
        <w:ind w:firstLine="480"/>
        <w:jc w:val="left"/>
        <w:spacing w:line="500" w:lineRule="exact"/>
        <w:rPr>
          <w:sz w:val="24"/>
          <w:szCs w:val="24"/>
        </w:rPr>
      </w:pPr>
      <w:r>
        <w:rPr>
          <w:rFonts w:hint="eastAsia"/>
          <w:sz w:val="24"/>
          <w:szCs w:val="24"/>
        </w:rPr>
        <w:t xml:space="preserve">（2）技术分（</w:t>
      </w:r>
      <w:r>
        <w:rPr>
          <w:rFonts w:hint="eastAsia"/>
          <w:sz w:val="24"/>
          <w:szCs w:val="24"/>
        </w:rPr>
        <w:t xml:space="preserve">54</w:t>
      </w:r>
      <w:r>
        <w:rPr>
          <w:rFonts w:hint="eastAsia"/>
          <w:sz w:val="24"/>
          <w:szCs w:val="24"/>
        </w:rPr>
        <w:t xml:space="preserve">分）</w:t>
      </w:r>
      <w:r>
        <w:rPr>
          <w:sz w:val="24"/>
          <w:szCs w:val="24"/>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963"/>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rPr>
                <w:rFonts w:ascii="黑体" w:hAnsi="黑体" w:eastAsia="黑体"/>
                <w:color w:val="000000"/>
                <w:sz w:val="24"/>
                <w:szCs w:val="24"/>
              </w:rPr>
            </w:r>
            <w:r/>
          </w:p>
        </w:tc>
        <w:tc>
          <w:tcPr>
            <w:tcW w:w="6845" w:type="dxa"/>
            <w:vAlign w:val="center"/>
            <w:textDirection w:val="lrTb"/>
            <w:noWrap w:val="false"/>
          </w:tcPr>
          <w:p>
            <w:pPr>
              <w:pStyle w:val="963"/>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rPr>
                <w:rFonts w:ascii="黑体" w:hAnsi="黑体" w:eastAsia="黑体"/>
                <w:color w:val="000000"/>
                <w:sz w:val="24"/>
                <w:szCs w:val="24"/>
              </w:rPr>
            </w:r>
            <w:r/>
          </w:p>
        </w:tc>
      </w:tr>
      <w:tr>
        <w:trPr>
          <w:trHeight w:val="621"/>
        </w:trPr>
        <w:tc>
          <w:tcPr>
            <w:tcW w:w="1660" w:type="dxa"/>
            <w:vAlign w:val="center"/>
            <w:textDirection w:val="lrTb"/>
            <w:noWrap w:val="false"/>
          </w:tcPr>
          <w:p>
            <w:pPr>
              <w:pStyle w:val="963"/>
              <w:jc w:val="center"/>
              <w:spacing w:line="360" w:lineRule="auto"/>
              <w:rPr>
                <w:sz w:val="24"/>
                <w:szCs w:val="24"/>
              </w:rPr>
            </w:pPr>
            <w:r>
              <w:rPr>
                <w:rFonts w:hint="eastAsia" w:ascii="宋体" w:hAnsi="宋体" w:cs="宋体"/>
                <w:sz w:val="24"/>
                <w:szCs w:val="24"/>
              </w:rPr>
              <w:t xml:space="preserve">人员配置（10分）</w:t>
            </w:r>
            <w:r>
              <w:rPr>
                <w:sz w:val="24"/>
                <w:szCs w:val="24"/>
              </w:rPr>
            </w:r>
            <w:r/>
          </w:p>
        </w:tc>
        <w:tc>
          <w:tcPr>
            <w:tcW w:w="6845" w:type="dxa"/>
            <w:vAlign w:val="top"/>
            <w:textDirection w:val="lrTb"/>
            <w:noWrap w:val="false"/>
          </w:tcPr>
          <w:p>
            <w:pPr>
              <w:pStyle w:val="963"/>
              <w:spacing w:line="360" w:lineRule="auto"/>
              <w:rPr>
                <w:rFonts w:ascii="宋体" w:hAnsi="宋体"/>
                <w:sz w:val="24"/>
                <w:szCs w:val="24"/>
              </w:rPr>
            </w:pPr>
            <w:r>
              <w:rPr>
                <w:rFonts w:hint="eastAsia" w:ascii="宋体" w:hAnsi="宋体"/>
                <w:sz w:val="24"/>
                <w:szCs w:val="24"/>
              </w:rPr>
              <w:t xml:space="preserve">投标人拟为本项目配备的项目组成员中：</w:t>
            </w:r>
            <w:r>
              <w:rPr>
                <w:rFonts w:hint="eastAsia" w:ascii="宋体" w:hAnsi="宋体"/>
                <w:sz w:val="24"/>
                <w:szCs w:val="24"/>
              </w:rPr>
              <w:t xml:space="preserve">①</w:t>
            </w:r>
            <w:r>
              <w:rPr>
                <w:rFonts w:hint="eastAsia" w:ascii="宋体" w:hAnsi="宋体"/>
                <w:sz w:val="24"/>
                <w:szCs w:val="24"/>
              </w:rPr>
              <w:t xml:space="preserve">具有计算机技术与软件专业技术资格（高级）或高级工程师职称（专业：计算机类或电气工程类或信息通信类）的得4分；</w:t>
            </w:r>
            <w:r>
              <w:rPr>
                <w:rFonts w:hint="eastAsia" w:ascii="宋体" w:hAnsi="宋体"/>
                <w:sz w:val="24"/>
                <w:szCs w:val="24"/>
              </w:rPr>
              <w:t xml:space="preserve">②</w:t>
            </w:r>
            <w:r>
              <w:rPr>
                <w:rFonts w:hint="eastAsia" w:ascii="宋体" w:hAnsi="宋体"/>
                <w:sz w:val="24"/>
                <w:szCs w:val="24"/>
              </w:rPr>
              <w:t xml:space="preserve">具有</w:t>
            </w:r>
            <w:r>
              <w:rPr>
                <w:rFonts w:hint="eastAsia" w:ascii="宋体" w:hAnsi="宋体"/>
                <w:sz w:val="24"/>
                <w:szCs w:val="24"/>
              </w:rPr>
              <w:t xml:space="preserve">信息安全工程师证书</w:t>
            </w:r>
            <w:r>
              <w:rPr>
                <w:rFonts w:hint="eastAsia" w:ascii="宋体" w:hAnsi="宋体"/>
                <w:sz w:val="24"/>
                <w:szCs w:val="24"/>
              </w:rPr>
              <w:t xml:space="preserve">的得3分；</w:t>
            </w:r>
            <w:r>
              <w:rPr>
                <w:rFonts w:hint="eastAsia" w:ascii="宋体" w:hAnsi="宋体"/>
                <w:sz w:val="24"/>
                <w:szCs w:val="24"/>
              </w:rPr>
              <w:t xml:space="preserve">③</w:t>
            </w:r>
            <w:r>
              <w:rPr>
                <w:rFonts w:hint="eastAsia" w:ascii="宋体" w:hAnsi="宋体"/>
                <w:sz w:val="24"/>
                <w:szCs w:val="24"/>
              </w:rPr>
              <w:t xml:space="preserve">具有ITIL Foundation认证证书的得3分；</w:t>
            </w:r>
            <w:r>
              <w:rPr>
                <w:rFonts w:hint="eastAsia" w:ascii="宋体" w:hAnsi="宋体"/>
                <w:sz w:val="24"/>
                <w:szCs w:val="24"/>
              </w:rPr>
              <w:t xml:space="preserve">本项最高得10分。</w:t>
            </w:r>
            <w:r>
              <w:rPr>
                <w:rFonts w:ascii="宋体" w:hAnsi="宋体"/>
                <w:sz w:val="24"/>
                <w:szCs w:val="24"/>
              </w:rPr>
            </w:r>
            <w:r/>
          </w:p>
          <w:p>
            <w:pPr>
              <w:pStyle w:val="963"/>
              <w:spacing w:line="360" w:lineRule="auto"/>
              <w:rPr>
                <w:rFonts w:ascii="宋体" w:hAnsi="宋体"/>
                <w:b/>
                <w:sz w:val="24"/>
                <w:szCs w:val="24"/>
              </w:rPr>
            </w:pPr>
            <w:r>
              <w:rPr>
                <w:rFonts w:hint="eastAsia"/>
                <w:b/>
                <w:sz w:val="24"/>
                <w:szCs w:val="24"/>
              </w:rPr>
              <w:t xml:space="preserve">注：</w:t>
            </w:r>
            <w:r>
              <w:rPr>
                <w:rFonts w:ascii="宋体" w:hAnsi="宋体"/>
                <w:b/>
                <w:sz w:val="24"/>
                <w:szCs w:val="24"/>
              </w:rPr>
              <w:t xml:space="preserve">一人多证不重复计分，投标文件中</w:t>
            </w:r>
            <w:r>
              <w:rPr>
                <w:rFonts w:hint="eastAsia"/>
                <w:b/>
                <w:sz w:val="24"/>
                <w:szCs w:val="24"/>
              </w:rPr>
              <w:t xml:space="preserve">提供证书和2024年1月（含）以来任意一个月由投标人为其缴纳的社保证明材料并加盖投标人公章，否则不得分。</w:t>
            </w:r>
            <w:r>
              <w:rPr>
                <w:rFonts w:ascii="宋体" w:hAnsi="宋体"/>
                <w:b/>
                <w:sz w:val="24"/>
                <w:szCs w:val="24"/>
              </w:rPr>
            </w:r>
            <w:r/>
          </w:p>
        </w:tc>
      </w:tr>
      <w:tr>
        <w:trPr>
          <w:trHeight w:val="621"/>
        </w:trPr>
        <w:tc>
          <w:tcPr>
            <w:tcW w:w="1660" w:type="dxa"/>
            <w:vAlign w:val="center"/>
            <w:textDirection w:val="lrTb"/>
            <w:noWrap w:val="false"/>
          </w:tcPr>
          <w:p>
            <w:pPr>
              <w:pStyle w:val="963"/>
              <w:jc w:val="center"/>
              <w:spacing w:line="360" w:lineRule="auto"/>
              <w:rPr>
                <w:rFonts w:ascii="宋体" w:hAnsi="宋体" w:cs="宋体"/>
                <w:sz w:val="24"/>
                <w:szCs w:val="24"/>
              </w:rPr>
            </w:pPr>
            <w:r>
              <w:rPr>
                <w:rFonts w:hint="eastAsia" w:ascii="宋体" w:hAnsi="宋体" w:cs="宋体"/>
                <w:sz w:val="24"/>
                <w:szCs w:val="24"/>
              </w:rPr>
              <w:t xml:space="preserve">项目实施保障</w:t>
            </w:r>
            <w:r>
              <w:rPr>
                <w:rFonts w:ascii="宋体" w:hAnsi="宋体" w:cs="宋体"/>
                <w:sz w:val="24"/>
                <w:szCs w:val="24"/>
              </w:rPr>
            </w:r>
            <w:r/>
          </w:p>
          <w:p>
            <w:pPr>
              <w:pStyle w:val="963"/>
              <w:jc w:val="center"/>
              <w:spacing w:line="360" w:lineRule="auto"/>
              <w:rPr>
                <w:sz w:val="24"/>
                <w:szCs w:val="24"/>
              </w:rPr>
            </w:pPr>
            <w:r>
              <w:rPr>
                <w:rFonts w:hint="eastAsia" w:ascii="宋体" w:hAnsi="宋体" w:cs="宋体"/>
                <w:sz w:val="24"/>
                <w:szCs w:val="24"/>
              </w:rPr>
              <w:t xml:space="preserve">（12分）</w:t>
            </w:r>
            <w:r>
              <w:rPr>
                <w:sz w:val="24"/>
                <w:szCs w:val="24"/>
              </w:rPr>
            </w:r>
            <w:r/>
          </w:p>
        </w:tc>
        <w:tc>
          <w:tcPr>
            <w:tcW w:w="6845" w:type="dxa"/>
            <w:vAlign w:val="top"/>
            <w:textDirection w:val="lrTb"/>
            <w:noWrap w:val="false"/>
          </w:tcPr>
          <w:p>
            <w:pPr>
              <w:pStyle w:val="963"/>
              <w:spacing w:line="360" w:lineRule="auto"/>
              <w:rPr>
                <w:sz w:val="24"/>
                <w:szCs w:val="24"/>
              </w:rPr>
            </w:pPr>
            <w:r>
              <w:rPr>
                <w:rFonts w:hint="eastAsia"/>
                <w:sz w:val="24"/>
                <w:szCs w:val="24"/>
              </w:rPr>
              <w:t xml:space="preserve">1</w:t>
            </w:r>
            <w:r>
              <w:rPr>
                <w:rFonts w:hint="eastAsia"/>
                <w:sz w:val="24"/>
                <w:szCs w:val="24"/>
              </w:rPr>
              <w:t xml:space="preserve">、</w:t>
            </w:r>
            <w:r>
              <w:rPr>
                <w:rFonts w:hint="eastAsia"/>
                <w:sz w:val="24"/>
                <w:szCs w:val="24"/>
              </w:rPr>
              <w:t xml:space="preserve">投标人通过质量管理体系认证的得3分；</w:t>
            </w:r>
            <w:r>
              <w:rPr>
                <w:sz w:val="24"/>
                <w:szCs w:val="24"/>
              </w:rPr>
            </w:r>
            <w:r/>
          </w:p>
          <w:p>
            <w:pPr>
              <w:pStyle w:val="963"/>
              <w:spacing w:line="360" w:lineRule="auto"/>
              <w:rPr>
                <w:sz w:val="24"/>
                <w:szCs w:val="24"/>
              </w:rPr>
            </w:pPr>
            <w:r>
              <w:rPr>
                <w:rFonts w:hint="eastAsia"/>
                <w:sz w:val="24"/>
                <w:szCs w:val="24"/>
              </w:rPr>
              <w:t xml:space="preserve">2</w:t>
            </w:r>
            <w:r>
              <w:rPr>
                <w:rFonts w:hint="eastAsia"/>
                <w:sz w:val="24"/>
                <w:szCs w:val="24"/>
              </w:rPr>
              <w:t xml:space="preserve">、</w:t>
            </w:r>
            <w:r>
              <w:rPr>
                <w:rFonts w:hint="eastAsia"/>
                <w:sz w:val="24"/>
                <w:szCs w:val="24"/>
              </w:rPr>
              <w:t xml:space="preserve">投标人通过环境管理体系认证的得3分；</w:t>
            </w:r>
            <w:r>
              <w:rPr>
                <w:sz w:val="24"/>
                <w:szCs w:val="24"/>
              </w:rPr>
            </w:r>
            <w:r/>
          </w:p>
          <w:p>
            <w:pPr>
              <w:pStyle w:val="963"/>
              <w:spacing w:line="360" w:lineRule="auto"/>
              <w:rPr>
                <w:sz w:val="24"/>
                <w:szCs w:val="24"/>
              </w:rPr>
            </w:pPr>
            <w:r>
              <w:rPr>
                <w:rFonts w:hint="eastAsia"/>
                <w:sz w:val="24"/>
                <w:szCs w:val="24"/>
              </w:rPr>
              <w:t xml:space="preserve">3</w:t>
            </w:r>
            <w:r>
              <w:rPr>
                <w:rFonts w:hint="eastAsia"/>
                <w:sz w:val="24"/>
                <w:szCs w:val="24"/>
              </w:rPr>
              <w:t xml:space="preserve">、</w:t>
            </w:r>
            <w:r>
              <w:rPr>
                <w:rFonts w:hint="eastAsia"/>
                <w:sz w:val="24"/>
                <w:szCs w:val="24"/>
              </w:rPr>
              <w:t xml:space="preserve">投标人通过信息安全管理体系认证的得3分；</w:t>
            </w:r>
            <w:r>
              <w:rPr>
                <w:sz w:val="24"/>
                <w:szCs w:val="24"/>
              </w:rPr>
            </w:r>
            <w:r/>
          </w:p>
          <w:p>
            <w:pPr>
              <w:pStyle w:val="963"/>
              <w:spacing w:line="360" w:lineRule="auto"/>
              <w:rPr>
                <w:sz w:val="24"/>
                <w:szCs w:val="24"/>
              </w:rPr>
            </w:pPr>
            <w:r>
              <w:rPr>
                <w:rFonts w:hint="eastAsia"/>
                <w:sz w:val="24"/>
                <w:szCs w:val="24"/>
              </w:rPr>
              <w:t xml:space="preserve">4</w:t>
            </w:r>
            <w:r>
              <w:rPr>
                <w:rFonts w:hint="eastAsia"/>
                <w:sz w:val="24"/>
                <w:szCs w:val="24"/>
              </w:rPr>
              <w:t xml:space="preserve">、</w:t>
            </w:r>
            <w:r>
              <w:rPr>
                <w:rFonts w:hint="eastAsia"/>
                <w:sz w:val="24"/>
                <w:szCs w:val="24"/>
              </w:rPr>
              <w:t xml:space="preserve">投标人通过职业健康安全管理体系认证的得3分；</w:t>
            </w:r>
            <w:r>
              <w:rPr>
                <w:sz w:val="24"/>
                <w:szCs w:val="24"/>
              </w:rPr>
            </w:r>
            <w:r/>
          </w:p>
          <w:p>
            <w:pPr>
              <w:pStyle w:val="963"/>
              <w:jc w:val="left"/>
              <w:spacing w:line="360" w:lineRule="auto"/>
              <w:rPr>
                <w:rFonts w:ascii="宋体" w:hAnsi="宋体"/>
                <w:b/>
                <w:sz w:val="24"/>
                <w:szCs w:val="24"/>
              </w:rPr>
            </w:pPr>
            <w:r>
              <w:rPr>
                <w:rFonts w:hint="eastAsia"/>
                <w:b/>
                <w:sz w:val="24"/>
                <w:szCs w:val="24"/>
              </w:rPr>
              <w:t xml:space="preserve">注：以上1-4项投标文件中提供有效证书并加盖投标人公章，否则不得分。</w:t>
            </w:r>
            <w:r>
              <w:rPr>
                <w:rFonts w:ascii="宋体" w:hAnsi="宋体"/>
                <w:b/>
                <w:sz w:val="24"/>
                <w:szCs w:val="24"/>
              </w:rPr>
            </w:r>
            <w:r/>
          </w:p>
        </w:tc>
      </w:tr>
      <w:tr>
        <w:trPr>
          <w:trHeight w:val="621"/>
        </w:trPr>
        <w:tc>
          <w:tcPr>
            <w:tcW w:w="1660" w:type="dxa"/>
            <w:vAlign w:val="center"/>
            <w:textDirection w:val="lrTb"/>
            <w:noWrap w:val="false"/>
          </w:tcPr>
          <w:p>
            <w:pPr>
              <w:pStyle w:val="963"/>
              <w:jc w:val="center"/>
              <w:spacing w:line="360" w:lineRule="auto"/>
              <w:rPr>
                <w:sz w:val="24"/>
                <w:szCs w:val="24"/>
              </w:rPr>
            </w:pPr>
            <w:r>
              <w:rPr>
                <w:rFonts w:hint="eastAsia" w:ascii="宋体" w:hAnsi="宋体" w:cs="宋体"/>
                <w:sz w:val="24"/>
                <w:szCs w:val="24"/>
              </w:rPr>
              <w:t xml:space="preserve">履约能力（6分）</w:t>
            </w:r>
            <w:r>
              <w:rPr>
                <w:sz w:val="24"/>
                <w:szCs w:val="24"/>
              </w:rPr>
            </w:r>
            <w:r/>
          </w:p>
        </w:tc>
        <w:tc>
          <w:tcPr>
            <w:tcW w:w="6845" w:type="dxa"/>
            <w:vAlign w:val="top"/>
            <w:textDirection w:val="lrTb"/>
            <w:noWrap w:val="false"/>
          </w:tcPr>
          <w:p>
            <w:pPr>
              <w:pStyle w:val="963"/>
              <w:spacing w:line="360" w:lineRule="auto"/>
              <w:rPr>
                <w:rFonts w:ascii="宋体" w:hAnsi="宋体"/>
                <w:sz w:val="24"/>
                <w:szCs w:val="24"/>
              </w:rPr>
            </w:pPr>
            <w:r>
              <w:rPr>
                <w:rFonts w:hint="eastAsia" w:ascii="宋体" w:hAnsi="宋体"/>
                <w:sz w:val="24"/>
                <w:szCs w:val="24"/>
              </w:rPr>
              <w:t xml:space="preserve">1、投标人具有信息技术服务管理体系认证证书的</w:t>
            </w:r>
            <w:r>
              <w:rPr>
                <w:rFonts w:hint="eastAsia" w:ascii="宋体" w:hAnsi="宋体"/>
                <w:color w:val="000000"/>
                <w:sz w:val="24"/>
                <w:szCs w:val="24"/>
              </w:rPr>
              <w:t xml:space="preserve">得</w:t>
            </w:r>
            <w:r>
              <w:rPr>
                <w:rFonts w:ascii="宋体" w:hAnsi="宋体"/>
                <w:color w:val="000000"/>
                <w:sz w:val="24"/>
                <w:szCs w:val="24"/>
              </w:rPr>
              <w:t xml:space="preserve">3</w:t>
            </w:r>
            <w:r>
              <w:rPr>
                <w:rFonts w:hint="eastAsia" w:ascii="宋体" w:hAnsi="宋体"/>
                <w:color w:val="000000"/>
                <w:sz w:val="24"/>
                <w:szCs w:val="24"/>
              </w:rPr>
              <w:t xml:space="preserve">分</w:t>
            </w:r>
            <w:r>
              <w:rPr>
                <w:rFonts w:hint="eastAsia" w:ascii="宋体" w:hAnsi="宋体"/>
                <w:sz w:val="24"/>
                <w:szCs w:val="24"/>
              </w:rPr>
              <w:t xml:space="preserve">；</w:t>
            </w:r>
            <w:r>
              <w:rPr>
                <w:rFonts w:ascii="宋体" w:hAnsi="宋体"/>
                <w:sz w:val="24"/>
                <w:szCs w:val="24"/>
              </w:rPr>
            </w:r>
            <w:r/>
          </w:p>
          <w:p>
            <w:pPr>
              <w:pStyle w:val="963"/>
              <w:spacing w:line="360" w:lineRule="auto"/>
              <w:rPr>
                <w:sz w:val="24"/>
                <w:szCs w:val="24"/>
              </w:rPr>
            </w:pPr>
            <w:r>
              <w:rPr>
                <w:rFonts w:hint="eastAsia" w:ascii="宋体" w:hAnsi="宋体"/>
                <w:sz w:val="24"/>
                <w:szCs w:val="24"/>
              </w:rPr>
              <w:t xml:space="preserve">2、投标人具有CS信息系统建设和服务能力等级证书得3分；</w:t>
            </w:r>
            <w:r>
              <w:rPr>
                <w:sz w:val="24"/>
                <w:szCs w:val="24"/>
              </w:rPr>
            </w:r>
            <w:r/>
          </w:p>
          <w:p>
            <w:pPr>
              <w:pStyle w:val="963"/>
              <w:spacing w:line="360" w:lineRule="auto"/>
              <w:rPr>
                <w:rFonts w:ascii="宋体" w:hAnsi="宋体"/>
                <w:b/>
                <w:sz w:val="24"/>
                <w:szCs w:val="24"/>
              </w:rPr>
            </w:pPr>
            <w:r>
              <w:rPr>
                <w:rFonts w:hint="eastAsia"/>
                <w:b/>
                <w:sz w:val="24"/>
                <w:szCs w:val="24"/>
              </w:rPr>
              <w:t xml:space="preserve">注：1-2项投标文件中提供有效证书并加盖投标人公章，否则不得分。</w:t>
            </w:r>
            <w:r>
              <w:rPr>
                <w:rFonts w:ascii="宋体" w:hAnsi="宋体"/>
                <w:b/>
                <w:sz w:val="24"/>
                <w:szCs w:val="24"/>
              </w:rPr>
            </w:r>
            <w:r/>
          </w:p>
        </w:tc>
      </w:tr>
      <w:tr>
        <w:trPr>
          <w:trHeight w:val="621"/>
        </w:trPr>
        <w:tc>
          <w:tcPr>
            <w:tcW w:w="1660" w:type="dxa"/>
            <w:vAlign w:val="center"/>
            <w:textDirection w:val="lrTb"/>
            <w:noWrap w:val="false"/>
          </w:tcPr>
          <w:p>
            <w:pPr>
              <w:pStyle w:val="963"/>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企业实力</w:t>
            </w:r>
            <w:r>
              <w:rPr>
                <w:rFonts w:ascii="宋体" w:hAnsi="宋体" w:cs="宋体"/>
                <w:color w:val="000000"/>
                <w:sz w:val="24"/>
                <w:szCs w:val="24"/>
              </w:rPr>
            </w:r>
            <w:r/>
          </w:p>
          <w:p>
            <w:pPr>
              <w:pStyle w:val="963"/>
              <w:jc w:val="center"/>
              <w:spacing w:line="360" w:lineRule="auto"/>
              <w:widowControl/>
              <w:rPr>
                <w:color w:val="000000"/>
                <w:spacing w:val="-2"/>
                <w:sz w:val="24"/>
                <w:szCs w:val="24"/>
              </w:rPr>
            </w:pPr>
            <w:r>
              <w:rPr>
                <w:rFonts w:hint="eastAsia" w:ascii="宋体" w:hAnsi="宋体" w:cs="宋体"/>
                <w:color w:val="000000"/>
                <w:sz w:val="24"/>
                <w:szCs w:val="24"/>
              </w:rPr>
              <w:t xml:space="preserve">（10分）</w:t>
            </w:r>
            <w:r>
              <w:rPr>
                <w:color w:val="000000"/>
                <w:spacing w:val="-2"/>
                <w:sz w:val="24"/>
                <w:szCs w:val="24"/>
              </w:rPr>
            </w:r>
            <w:r/>
          </w:p>
        </w:tc>
        <w:tc>
          <w:tcPr>
            <w:tcW w:w="6845" w:type="dxa"/>
            <w:vAlign w:val="top"/>
            <w:textDirection w:val="lrTb"/>
            <w:noWrap w:val="false"/>
          </w:tcPr>
          <w:p>
            <w:pPr>
              <w:pStyle w:val="963"/>
              <w:spacing w:line="360" w:lineRule="auto"/>
              <w:rPr>
                <w:rFonts w:ascii="宋体" w:hAnsi="宋体"/>
                <w:sz w:val="24"/>
                <w:szCs w:val="24"/>
              </w:rPr>
            </w:pPr>
            <w:r>
              <w:rPr>
                <w:rFonts w:hint="eastAsia" w:ascii="宋体" w:hAnsi="宋体"/>
                <w:sz w:val="24"/>
                <w:szCs w:val="24"/>
              </w:rPr>
              <w:t xml:space="preserve">投标人具有如下相关的软件著作权证书，每有一类得1分，最高得10分，</w:t>
            </w:r>
            <w:r>
              <w:rPr>
                <w:rFonts w:ascii="宋体" w:hAnsi="宋体"/>
                <w:sz w:val="24"/>
                <w:szCs w:val="24"/>
              </w:rPr>
              <w:t xml:space="preserve"> </w:t>
            </w:r>
            <w:r/>
          </w:p>
          <w:p>
            <w:pPr>
              <w:pStyle w:val="963"/>
              <w:spacing w:line="360" w:lineRule="auto"/>
              <w:rPr>
                <w:rFonts w:ascii="宋体" w:hAnsi="宋体"/>
                <w:sz w:val="24"/>
                <w:szCs w:val="24"/>
              </w:rPr>
            </w:pPr>
            <w:r>
              <w:rPr>
                <w:rFonts w:hint="eastAsia" w:ascii="宋体" w:hAnsi="宋体"/>
                <w:sz w:val="24"/>
                <w:szCs w:val="24"/>
              </w:rPr>
              <w:t xml:space="preserve">1、大数据平台类（关键词含大数据、数据挖掘等）；</w:t>
            </w:r>
            <w:r>
              <w:rPr>
                <w:rFonts w:ascii="宋体" w:hAnsi="宋体"/>
                <w:sz w:val="24"/>
                <w:szCs w:val="24"/>
              </w:rPr>
            </w:r>
            <w:r/>
          </w:p>
          <w:p>
            <w:pPr>
              <w:pStyle w:val="963"/>
              <w:spacing w:line="360" w:lineRule="auto"/>
              <w:rPr>
                <w:rFonts w:ascii="宋体" w:hAnsi="宋体"/>
                <w:sz w:val="24"/>
                <w:szCs w:val="24"/>
              </w:rPr>
            </w:pPr>
            <w:r>
              <w:rPr>
                <w:rFonts w:hint="eastAsia" w:ascii="宋体" w:hAnsi="宋体"/>
                <w:sz w:val="24"/>
                <w:szCs w:val="24"/>
              </w:rPr>
              <w:t xml:space="preserve">2、大气环境综合管理类（关键词含大气分析、大气环境分析等）；</w:t>
            </w:r>
            <w:r>
              <w:rPr>
                <w:rFonts w:ascii="宋体" w:hAnsi="宋体"/>
                <w:sz w:val="24"/>
                <w:szCs w:val="24"/>
              </w:rPr>
            </w:r>
            <w:r/>
          </w:p>
          <w:p>
            <w:pPr>
              <w:pStyle w:val="963"/>
              <w:spacing w:line="360" w:lineRule="auto"/>
              <w:rPr>
                <w:rFonts w:ascii="宋体" w:hAnsi="宋体"/>
                <w:sz w:val="24"/>
                <w:szCs w:val="24"/>
              </w:rPr>
            </w:pPr>
            <w:r>
              <w:rPr>
                <w:rFonts w:hint="eastAsia" w:ascii="宋体" w:hAnsi="宋体"/>
                <w:sz w:val="24"/>
                <w:szCs w:val="24"/>
              </w:rPr>
              <w:t xml:space="preserve">3、水环境综合管理类（关键词含水质预测预警、水环境分析等）；</w:t>
            </w:r>
            <w:r>
              <w:rPr>
                <w:rFonts w:ascii="宋体" w:hAnsi="宋体"/>
                <w:sz w:val="24"/>
                <w:szCs w:val="24"/>
              </w:rPr>
            </w:r>
            <w:r/>
          </w:p>
          <w:p>
            <w:pPr>
              <w:pStyle w:val="963"/>
              <w:spacing w:line="360" w:lineRule="auto"/>
              <w:rPr>
                <w:rFonts w:ascii="宋体" w:hAnsi="宋体"/>
                <w:sz w:val="24"/>
                <w:szCs w:val="24"/>
              </w:rPr>
            </w:pPr>
            <w:r>
              <w:rPr>
                <w:rFonts w:hint="eastAsia" w:ascii="宋体" w:hAnsi="宋体"/>
                <w:sz w:val="24"/>
                <w:szCs w:val="24"/>
              </w:rPr>
              <w:t xml:space="preserve">4、土壤环境综合管理类（关键词含土壤监测等）；</w:t>
            </w:r>
            <w:r>
              <w:rPr>
                <w:rFonts w:ascii="宋体" w:hAnsi="宋体"/>
                <w:sz w:val="24"/>
                <w:szCs w:val="24"/>
              </w:rPr>
            </w:r>
            <w:r/>
          </w:p>
          <w:p>
            <w:pPr>
              <w:pStyle w:val="963"/>
              <w:spacing w:line="360" w:lineRule="auto"/>
              <w:rPr>
                <w:rFonts w:ascii="宋体" w:hAnsi="宋体"/>
                <w:sz w:val="24"/>
                <w:szCs w:val="24"/>
              </w:rPr>
            </w:pPr>
            <w:r>
              <w:rPr>
                <w:rFonts w:hint="eastAsia" w:ascii="宋体" w:hAnsi="宋体"/>
                <w:sz w:val="24"/>
                <w:szCs w:val="24"/>
              </w:rPr>
              <w:t xml:space="preserve">5、固废环境综合管理类（关键词含固废处理等）；</w:t>
            </w:r>
            <w:r>
              <w:rPr>
                <w:rFonts w:ascii="宋体" w:hAnsi="宋体"/>
                <w:sz w:val="24"/>
                <w:szCs w:val="24"/>
              </w:rPr>
            </w:r>
            <w:r/>
          </w:p>
          <w:p>
            <w:pPr>
              <w:pStyle w:val="963"/>
              <w:spacing w:line="360" w:lineRule="auto"/>
              <w:rPr>
                <w:rFonts w:ascii="宋体" w:hAnsi="宋体"/>
                <w:sz w:val="24"/>
                <w:szCs w:val="24"/>
              </w:rPr>
            </w:pPr>
            <w:r>
              <w:rPr>
                <w:rFonts w:hint="eastAsia" w:ascii="宋体" w:hAnsi="宋体"/>
                <w:sz w:val="24"/>
                <w:szCs w:val="24"/>
              </w:rPr>
              <w:t xml:space="preserve">6、噪声环境综合管理类（关键词含噪声减排等）；</w:t>
            </w:r>
            <w:r>
              <w:rPr>
                <w:rFonts w:ascii="宋体" w:hAnsi="宋体"/>
                <w:sz w:val="24"/>
                <w:szCs w:val="24"/>
              </w:rPr>
            </w:r>
            <w:r/>
          </w:p>
          <w:p>
            <w:pPr>
              <w:pStyle w:val="963"/>
              <w:spacing w:line="360" w:lineRule="auto"/>
              <w:rPr>
                <w:rFonts w:ascii="宋体" w:hAnsi="宋体"/>
                <w:sz w:val="24"/>
                <w:szCs w:val="24"/>
              </w:rPr>
            </w:pPr>
            <w:r>
              <w:rPr>
                <w:rFonts w:hint="eastAsia" w:ascii="宋体" w:hAnsi="宋体"/>
                <w:sz w:val="24"/>
                <w:szCs w:val="24"/>
              </w:rPr>
              <w:t xml:space="preserve">7、机动车环境综合管理类（关键词含柴油车监控、移动污染源监控等）；</w:t>
            </w:r>
            <w:r>
              <w:rPr>
                <w:rFonts w:ascii="宋体" w:hAnsi="宋体"/>
                <w:sz w:val="24"/>
                <w:szCs w:val="24"/>
              </w:rPr>
            </w:r>
            <w:r/>
          </w:p>
          <w:p>
            <w:pPr>
              <w:pStyle w:val="963"/>
              <w:spacing w:line="360" w:lineRule="auto"/>
              <w:rPr>
                <w:rFonts w:ascii="宋体" w:hAnsi="宋体"/>
                <w:sz w:val="24"/>
                <w:szCs w:val="24"/>
              </w:rPr>
            </w:pPr>
            <w:r>
              <w:rPr>
                <w:rFonts w:hint="eastAsia" w:ascii="宋体" w:hAnsi="宋体"/>
                <w:sz w:val="24"/>
                <w:szCs w:val="24"/>
              </w:rPr>
              <w:t xml:space="preserve">8、污染源综合管理类（关键词含污染源分析、污染源自动监控、溯源分析等）；</w:t>
            </w:r>
            <w:r>
              <w:rPr>
                <w:rFonts w:ascii="宋体" w:hAnsi="宋体"/>
                <w:sz w:val="24"/>
                <w:szCs w:val="24"/>
              </w:rPr>
            </w:r>
            <w:r/>
          </w:p>
          <w:p>
            <w:pPr>
              <w:pStyle w:val="963"/>
              <w:spacing w:line="360" w:lineRule="auto"/>
              <w:rPr>
                <w:rFonts w:ascii="宋体" w:hAnsi="宋体"/>
                <w:sz w:val="24"/>
                <w:szCs w:val="24"/>
              </w:rPr>
            </w:pPr>
            <w:r>
              <w:rPr>
                <w:rFonts w:hint="eastAsia" w:ascii="宋体" w:hAnsi="宋体"/>
                <w:sz w:val="24"/>
                <w:szCs w:val="24"/>
              </w:rPr>
              <w:t xml:space="preserve">9、工业园区综合管理类（关键词含园区管理等）；</w:t>
            </w:r>
            <w:r>
              <w:rPr>
                <w:rFonts w:ascii="宋体" w:hAnsi="宋体"/>
                <w:sz w:val="24"/>
                <w:szCs w:val="24"/>
              </w:rPr>
            </w:r>
            <w:r/>
          </w:p>
          <w:p>
            <w:pPr>
              <w:pStyle w:val="963"/>
              <w:spacing w:line="360" w:lineRule="auto"/>
              <w:rPr>
                <w:rFonts w:ascii="宋体" w:hAnsi="宋体"/>
                <w:sz w:val="24"/>
                <w:szCs w:val="24"/>
              </w:rPr>
            </w:pPr>
            <w:r>
              <w:rPr>
                <w:rFonts w:hint="eastAsia" w:ascii="宋体" w:hAnsi="宋体"/>
                <w:sz w:val="24"/>
                <w:szCs w:val="24"/>
              </w:rPr>
              <w:t xml:space="preserve">10、应急响应与处置类（关键词含应急响应等）；</w:t>
            </w:r>
            <w:r>
              <w:rPr>
                <w:rFonts w:ascii="宋体" w:hAnsi="宋体"/>
                <w:sz w:val="24"/>
                <w:szCs w:val="24"/>
              </w:rPr>
            </w:r>
            <w:r/>
          </w:p>
          <w:p>
            <w:pPr>
              <w:pStyle w:val="963"/>
              <w:spacing w:line="360" w:lineRule="auto"/>
              <w:rPr>
                <w:rFonts w:ascii="宋体" w:hAnsi="宋体"/>
                <w:sz w:val="24"/>
                <w:szCs w:val="24"/>
              </w:rPr>
            </w:pPr>
            <w:r>
              <w:rPr>
                <w:rFonts w:hint="eastAsia" w:ascii="宋体" w:hAnsi="宋体"/>
                <w:sz w:val="24"/>
                <w:szCs w:val="24"/>
              </w:rPr>
              <w:t xml:space="preserve">11、政务综合管理类（关键词含政务管理等）；</w:t>
            </w:r>
            <w:r>
              <w:rPr>
                <w:rFonts w:ascii="宋体" w:hAnsi="宋体"/>
                <w:sz w:val="24"/>
                <w:szCs w:val="24"/>
              </w:rPr>
            </w:r>
            <w:r/>
          </w:p>
          <w:p>
            <w:pPr>
              <w:pStyle w:val="963"/>
              <w:spacing w:line="360" w:lineRule="auto"/>
              <w:rPr>
                <w:rFonts w:ascii="宋体" w:hAnsi="宋体"/>
                <w:sz w:val="24"/>
                <w:szCs w:val="24"/>
              </w:rPr>
            </w:pPr>
            <w:r>
              <w:rPr>
                <w:rFonts w:hint="eastAsia" w:ascii="宋体" w:hAnsi="宋体"/>
                <w:sz w:val="24"/>
                <w:szCs w:val="24"/>
              </w:rPr>
              <w:t xml:space="preserve">12、公共服务管理类（关键词含公共服务等）；</w:t>
            </w:r>
            <w:r>
              <w:rPr>
                <w:rFonts w:ascii="宋体" w:hAnsi="宋体"/>
                <w:sz w:val="24"/>
                <w:szCs w:val="24"/>
              </w:rPr>
            </w:r>
            <w:r/>
          </w:p>
          <w:p>
            <w:pPr>
              <w:pStyle w:val="963"/>
              <w:spacing w:line="360" w:lineRule="auto"/>
              <w:rPr>
                <w:rFonts w:ascii="宋体" w:hAnsi="宋体"/>
                <w:sz w:val="24"/>
                <w:szCs w:val="24"/>
              </w:rPr>
            </w:pPr>
            <w:r>
              <w:rPr>
                <w:rFonts w:hint="eastAsia" w:ascii="宋体" w:hAnsi="宋体"/>
                <w:sz w:val="24"/>
                <w:szCs w:val="24"/>
              </w:rPr>
              <w:t xml:space="preserve">13、生态环境大数据应用类（关键词含生态环境分析等）；</w:t>
            </w:r>
            <w:r>
              <w:rPr>
                <w:rFonts w:ascii="宋体" w:hAnsi="宋体"/>
                <w:sz w:val="24"/>
                <w:szCs w:val="24"/>
              </w:rPr>
            </w:r>
            <w:r/>
          </w:p>
          <w:p>
            <w:pPr>
              <w:pStyle w:val="963"/>
              <w:spacing w:line="360" w:lineRule="auto"/>
              <w:rPr>
                <w:rFonts w:ascii="宋体" w:hAnsi="宋体"/>
                <w:sz w:val="24"/>
              </w:rPr>
            </w:pPr>
            <w:r>
              <w:rPr>
                <w:rFonts w:hint="eastAsia" w:ascii="宋体" w:hAnsi="宋体"/>
                <w:sz w:val="24"/>
              </w:rPr>
              <w:t xml:space="preserve">14、自然生态综合管理类（关键词含生态管理等）。</w:t>
            </w:r>
            <w:r>
              <w:rPr>
                <w:rFonts w:ascii="宋体" w:hAnsi="宋体"/>
                <w:sz w:val="24"/>
              </w:rPr>
            </w:r>
            <w:r/>
          </w:p>
          <w:p>
            <w:pPr>
              <w:pStyle w:val="963"/>
              <w:spacing w:line="360" w:lineRule="auto"/>
              <w:rPr>
                <w:rFonts w:ascii="宋体" w:hAnsi="宋体"/>
                <w:b/>
                <w:sz w:val="24"/>
                <w:szCs w:val="24"/>
              </w:rPr>
            </w:pPr>
            <w:r>
              <w:rPr>
                <w:rFonts w:hint="eastAsia" w:ascii="宋体" w:hAnsi="宋体"/>
                <w:b/>
                <w:sz w:val="24"/>
                <w:szCs w:val="24"/>
              </w:rPr>
              <w:t xml:space="preserve">注：投标文件中提供软件著作权证书并加盖投标人公章；如果证书名称或包含的关键词不完全一致，由评标委员会根据投标人提供的证书等证明材料统一认定；</w:t>
            </w:r>
            <w:r>
              <w:rPr>
                <w:b/>
                <w:bCs/>
                <w:color w:val="000000"/>
                <w:sz w:val="24"/>
                <w:szCs w:val="24"/>
              </w:rPr>
              <w:t xml:space="preserve">否则不得分。</w:t>
            </w:r>
            <w:r>
              <w:rPr>
                <w:rFonts w:ascii="宋体" w:hAnsi="宋体"/>
                <w:b/>
                <w:sz w:val="24"/>
                <w:szCs w:val="24"/>
              </w:rPr>
            </w:r>
            <w:r/>
          </w:p>
        </w:tc>
      </w:tr>
      <w:tr>
        <w:trPr>
          <w:trHeight w:val="621"/>
        </w:trPr>
        <w:tc>
          <w:tcPr>
            <w:tcW w:w="1660" w:type="dxa"/>
            <w:vAlign w:val="center"/>
            <w:textDirection w:val="lrTb"/>
            <w:noWrap w:val="false"/>
          </w:tcPr>
          <w:p>
            <w:pPr>
              <w:pStyle w:val="963"/>
              <w:jc w:val="center"/>
              <w:spacing w:line="360" w:lineRule="auto"/>
              <w:rPr>
                <w:rFonts w:ascii="宋体" w:hAnsi="宋体" w:cs="宋体"/>
                <w:sz w:val="24"/>
                <w:szCs w:val="24"/>
              </w:rPr>
            </w:pPr>
            <w:r>
              <w:rPr>
                <w:rFonts w:hint="eastAsia" w:ascii="宋体" w:hAnsi="宋体" w:cs="宋体"/>
                <w:sz w:val="24"/>
                <w:szCs w:val="24"/>
              </w:rPr>
              <w:t xml:space="preserve">业绩</w:t>
            </w:r>
            <w:r>
              <w:rPr>
                <w:rFonts w:ascii="宋体" w:hAnsi="宋体" w:cs="宋体"/>
                <w:sz w:val="24"/>
                <w:szCs w:val="24"/>
              </w:rPr>
            </w:r>
            <w:r/>
          </w:p>
          <w:p>
            <w:pPr>
              <w:pStyle w:val="963"/>
              <w:jc w:val="center"/>
              <w:spacing w:line="360" w:lineRule="auto"/>
              <w:widowControl/>
              <w:rPr>
                <w:color w:val="000000"/>
                <w:sz w:val="24"/>
                <w:szCs w:val="24"/>
              </w:rPr>
            </w:pPr>
            <w:r>
              <w:rPr>
                <w:rFonts w:hint="eastAsia" w:ascii="宋体" w:hAnsi="宋体" w:cs="宋体"/>
                <w:sz w:val="24"/>
                <w:szCs w:val="24"/>
              </w:rPr>
              <w:t xml:space="preserve">（16分）</w:t>
            </w:r>
            <w:r>
              <w:rPr>
                <w:color w:val="000000"/>
                <w:sz w:val="24"/>
                <w:szCs w:val="24"/>
              </w:rPr>
            </w:r>
            <w:r/>
          </w:p>
        </w:tc>
        <w:tc>
          <w:tcPr>
            <w:tcW w:w="6845" w:type="dxa"/>
            <w:vAlign w:val="top"/>
            <w:textDirection w:val="lrTb"/>
            <w:noWrap w:val="false"/>
          </w:tcPr>
          <w:p>
            <w:pPr>
              <w:pStyle w:val="963"/>
              <w:spacing w:line="360" w:lineRule="auto"/>
              <w:rPr>
                <w:rFonts w:ascii="宋体" w:hAnsi="宋体"/>
                <w:sz w:val="24"/>
                <w:szCs w:val="24"/>
              </w:rPr>
            </w:pPr>
            <w:r>
              <w:rPr>
                <w:rFonts w:hint="eastAsia" w:ascii="宋体" w:hAnsi="宋体"/>
                <w:sz w:val="24"/>
                <w:szCs w:val="24"/>
              </w:rPr>
              <w:t xml:space="preserve">1、自2020年1月1日（含）以来（以合同签订时间为准），投标人具有信息化类运维项目业绩的，每提供一</w:t>
            </w:r>
            <w:r>
              <w:rPr>
                <w:rFonts w:hint="eastAsia" w:ascii="宋体" w:hAnsi="宋体"/>
                <w:sz w:val="24"/>
                <w:szCs w:val="24"/>
              </w:rPr>
              <w:t xml:space="preserve">份合同</w:t>
            </w:r>
            <w:r>
              <w:rPr>
                <w:rFonts w:hint="eastAsia" w:ascii="宋体" w:hAnsi="宋体"/>
                <w:sz w:val="24"/>
                <w:szCs w:val="24"/>
              </w:rPr>
              <w:t xml:space="preserve">得2分，本项最高得10分。</w:t>
            </w:r>
            <w:r>
              <w:rPr>
                <w:rFonts w:ascii="宋体" w:hAnsi="宋体"/>
                <w:sz w:val="24"/>
                <w:szCs w:val="24"/>
              </w:rPr>
            </w:r>
            <w:r/>
          </w:p>
          <w:p>
            <w:pPr>
              <w:pStyle w:val="963"/>
              <w:spacing w:line="360" w:lineRule="auto"/>
              <w:rPr>
                <w:rFonts w:ascii="宋体" w:hAnsi="宋体"/>
                <w:sz w:val="24"/>
                <w:szCs w:val="24"/>
              </w:rPr>
            </w:pPr>
            <w:r>
              <w:rPr>
                <w:rFonts w:hint="eastAsia" w:ascii="宋体" w:hAnsi="宋体"/>
                <w:sz w:val="24"/>
                <w:szCs w:val="24"/>
              </w:rPr>
              <w:t xml:space="preserve">2、自2020年1月1日（含）以来（以合同签订时间为准），投标人具有软件开发业绩的；每提供一份合同得3分，最高得6分。</w:t>
            </w:r>
            <w:r>
              <w:rPr>
                <w:rFonts w:ascii="宋体" w:hAnsi="宋体"/>
                <w:sz w:val="24"/>
                <w:szCs w:val="24"/>
              </w:rPr>
            </w:r>
            <w:r/>
          </w:p>
          <w:p>
            <w:pPr>
              <w:pStyle w:val="963"/>
              <w:spacing w:line="360" w:lineRule="auto"/>
              <w:rPr>
                <w:rFonts w:ascii="宋体" w:hAnsi="宋体"/>
                <w:b/>
                <w:sz w:val="24"/>
                <w:szCs w:val="24"/>
              </w:rPr>
            </w:pPr>
            <w:r>
              <w:rPr>
                <w:rFonts w:hint="eastAsia" w:ascii="宋体" w:hAnsi="宋体"/>
                <w:b/>
                <w:sz w:val="24"/>
                <w:szCs w:val="24"/>
              </w:rPr>
              <w:t xml:space="preserve">注：以上1-2项投标文件中提供合同并加盖投标人公章</w:t>
            </w:r>
            <w:r>
              <w:rPr>
                <w:b/>
                <w:bCs/>
                <w:color w:val="000000"/>
                <w:sz w:val="24"/>
                <w:szCs w:val="24"/>
              </w:rPr>
              <w:t xml:space="preserve">，否则不得分。</w:t>
            </w:r>
            <w:r>
              <w:rPr>
                <w:rFonts w:ascii="宋体" w:hAnsi="宋体"/>
                <w:b/>
                <w:sz w:val="24"/>
                <w:szCs w:val="24"/>
              </w:rPr>
            </w:r>
            <w:r/>
          </w:p>
        </w:tc>
      </w:tr>
    </w:tbl>
    <w:p>
      <w:pPr>
        <w:pStyle w:val="963"/>
        <w:ind w:firstLine="480"/>
        <w:jc w:val="left"/>
        <w:spacing w:line="360" w:lineRule="auto"/>
        <w:rPr>
          <w:sz w:val="24"/>
          <w:szCs w:val="24"/>
        </w:rPr>
      </w:pPr>
      <w:r>
        <w:rPr>
          <w:rFonts w:hint="eastAsia"/>
          <w:sz w:val="24"/>
          <w:szCs w:val="24"/>
        </w:rPr>
        <w:t xml:space="preserve">（3）商务分（36分）</w:t>
      </w:r>
      <w:r>
        <w:rPr>
          <w:sz w:val="24"/>
          <w:szCs w:val="24"/>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963"/>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rPr>
                <w:rFonts w:ascii="黑体" w:hAnsi="黑体" w:eastAsia="黑体"/>
                <w:color w:val="000000"/>
                <w:sz w:val="24"/>
                <w:szCs w:val="24"/>
              </w:rPr>
            </w:r>
            <w:r/>
          </w:p>
        </w:tc>
        <w:tc>
          <w:tcPr>
            <w:tcW w:w="6845" w:type="dxa"/>
            <w:vAlign w:val="center"/>
            <w:textDirection w:val="lrTb"/>
            <w:noWrap w:val="false"/>
          </w:tcPr>
          <w:p>
            <w:pPr>
              <w:pStyle w:val="963"/>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rPr>
                <w:rFonts w:ascii="黑体" w:hAnsi="黑体" w:eastAsia="黑体"/>
                <w:color w:val="000000"/>
                <w:sz w:val="24"/>
                <w:szCs w:val="24"/>
              </w:rPr>
            </w:r>
            <w:r/>
          </w:p>
        </w:tc>
      </w:tr>
      <w:tr>
        <w:trPr>
          <w:trHeight w:val="621"/>
        </w:trPr>
        <w:tc>
          <w:tcPr>
            <w:tcW w:w="1660" w:type="dxa"/>
            <w:vAlign w:val="center"/>
            <w:textDirection w:val="lrTb"/>
            <w:noWrap w:val="false"/>
          </w:tcPr>
          <w:p>
            <w:pPr>
              <w:pStyle w:val="963"/>
              <w:jc w:val="center"/>
              <w:spacing w:line="360" w:lineRule="auto"/>
              <w:rPr>
                <w:sz w:val="24"/>
                <w:szCs w:val="24"/>
              </w:rPr>
            </w:pPr>
            <w:r>
              <w:rPr>
                <w:rFonts w:hint="eastAsia" w:ascii="宋体" w:hAnsi="宋体" w:cs="宋体"/>
                <w:sz w:val="24"/>
                <w:szCs w:val="24"/>
              </w:rPr>
              <w:t xml:space="preserve">运维服务实施方案(9分)</w:t>
            </w:r>
            <w:r>
              <w:rPr>
                <w:sz w:val="24"/>
                <w:szCs w:val="24"/>
              </w:rPr>
            </w:r>
            <w:r/>
          </w:p>
        </w:tc>
        <w:tc>
          <w:tcPr>
            <w:tcW w:w="6845" w:type="dxa"/>
            <w:vAlign w:val="top"/>
            <w:textDirection w:val="lrTb"/>
            <w:noWrap w:val="false"/>
          </w:tcPr>
          <w:p>
            <w:pPr>
              <w:pStyle w:val="1002"/>
              <w:spacing w:before="0" w:beforeAutospacing="0" w:after="0" w:afterAutospacing="0" w:line="360" w:lineRule="auto"/>
              <w:widowControl/>
              <w:rPr>
                <w:rFonts w:ascii="宋体" w:hAnsi="宋体" w:cs="宋体"/>
                <w:szCs w:val="24"/>
              </w:rPr>
            </w:pPr>
            <w:r>
              <w:rPr>
                <w:rFonts w:hint="eastAsia" w:ascii="宋体" w:hAnsi="宋体" w:cs="宋体"/>
                <w:szCs w:val="24"/>
              </w:rPr>
              <w:t xml:space="preserve">投标人针对采购需求提供运维服务实施方案，包含但不限于对本项目服务范围的了解、项目运行现状分析、服务流程阐述等。</w:t>
            </w:r>
            <w:r>
              <w:rPr>
                <w:rFonts w:ascii="宋体" w:hAnsi="宋体" w:cs="宋体"/>
                <w:szCs w:val="24"/>
              </w:rPr>
            </w:r>
            <w:r/>
          </w:p>
          <w:p>
            <w:pPr>
              <w:pStyle w:val="1002"/>
              <w:spacing w:before="0" w:beforeAutospacing="0" w:after="0" w:afterAutospacing="0" w:line="360" w:lineRule="auto"/>
              <w:widowControl/>
              <w:rPr>
                <w:rFonts w:ascii="宋体" w:hAnsi="宋体" w:cs="宋体"/>
                <w:szCs w:val="24"/>
              </w:rPr>
            </w:pPr>
            <w:r>
              <w:rPr>
                <w:rFonts w:hint="eastAsia" w:ascii="宋体" w:hAnsi="宋体" w:cs="宋体"/>
                <w:szCs w:val="24"/>
              </w:rPr>
              <w:t xml:space="preserve">方案内容完整，对项目的服务范围足够了解、项目运行现状熟悉，服务流程清晰得9分；</w:t>
            </w:r>
            <w:r>
              <w:rPr>
                <w:rFonts w:ascii="宋体" w:hAnsi="宋体" w:cs="宋体"/>
                <w:szCs w:val="24"/>
              </w:rPr>
            </w:r>
            <w:r/>
          </w:p>
          <w:p>
            <w:pPr>
              <w:pStyle w:val="1002"/>
              <w:spacing w:before="0" w:beforeAutospacing="0" w:after="0" w:afterAutospacing="0" w:line="360" w:lineRule="auto"/>
              <w:widowControl/>
              <w:rPr>
                <w:rFonts w:ascii="宋体" w:hAnsi="宋体" w:cs="宋体"/>
                <w:szCs w:val="24"/>
              </w:rPr>
            </w:pPr>
            <w:r>
              <w:rPr>
                <w:rFonts w:hint="eastAsia" w:ascii="宋体" w:hAnsi="宋体" w:cs="宋体"/>
                <w:szCs w:val="24"/>
              </w:rPr>
              <w:t xml:space="preserve">方案内容比较完整，对项目的服务范围比较了解、项目运行现状比较熟悉，服务流程较为清晰得7分；</w:t>
            </w:r>
            <w:r>
              <w:rPr>
                <w:rFonts w:ascii="宋体" w:hAnsi="宋体" w:cs="宋体"/>
                <w:szCs w:val="24"/>
              </w:rPr>
            </w:r>
            <w:r/>
          </w:p>
          <w:p>
            <w:pPr>
              <w:pStyle w:val="1002"/>
              <w:spacing w:before="0" w:beforeAutospacing="0" w:after="0" w:afterAutospacing="0" w:line="360" w:lineRule="auto"/>
              <w:widowControl/>
              <w:rPr>
                <w:rFonts w:ascii="宋体" w:hAnsi="宋体" w:cs="宋体"/>
                <w:szCs w:val="24"/>
              </w:rPr>
            </w:pPr>
            <w:r>
              <w:rPr>
                <w:rFonts w:hint="eastAsia" w:ascii="宋体" w:hAnsi="宋体" w:cs="宋体"/>
                <w:szCs w:val="24"/>
              </w:rPr>
              <w:t xml:space="preserve">方案简单，对项目的服务范围了解一般、项目运行现状了解一般、服务流程不够清晰得5分；</w:t>
            </w:r>
            <w:r>
              <w:rPr>
                <w:rFonts w:ascii="宋体" w:hAnsi="宋体" w:cs="宋体"/>
                <w:szCs w:val="24"/>
              </w:rPr>
            </w:r>
            <w:r/>
          </w:p>
          <w:p>
            <w:pPr>
              <w:pStyle w:val="963"/>
              <w:spacing w:line="360" w:lineRule="auto"/>
              <w:rPr>
                <w:rFonts w:ascii="宋体" w:hAnsi="宋体"/>
                <w:sz w:val="24"/>
                <w:szCs w:val="24"/>
              </w:rPr>
            </w:pPr>
            <w:r>
              <w:rPr>
                <w:rFonts w:hint="eastAsia" w:ascii="宋体" w:hAnsi="宋体" w:cs="宋体"/>
                <w:sz w:val="24"/>
                <w:szCs w:val="24"/>
              </w:rPr>
              <w:t xml:space="preserve">该项未见阐述不得分。</w:t>
            </w:r>
            <w:r>
              <w:rPr>
                <w:rFonts w:ascii="宋体" w:hAnsi="宋体"/>
                <w:sz w:val="24"/>
                <w:szCs w:val="24"/>
              </w:rPr>
            </w:r>
            <w:r/>
          </w:p>
        </w:tc>
      </w:tr>
      <w:tr>
        <w:trPr>
          <w:trHeight w:val="621"/>
        </w:trPr>
        <w:tc>
          <w:tcPr>
            <w:tcW w:w="1660" w:type="dxa"/>
            <w:vAlign w:val="center"/>
            <w:textDirection w:val="lrTb"/>
            <w:noWrap w:val="false"/>
          </w:tcPr>
          <w:p>
            <w:pPr>
              <w:pStyle w:val="1002"/>
              <w:jc w:val="center"/>
              <w:spacing w:before="0" w:beforeAutospacing="0" w:after="0" w:afterAutospacing="0" w:line="360" w:lineRule="auto"/>
              <w:widowControl/>
              <w:rPr>
                <w:rFonts w:ascii="宋体" w:hAnsi="宋体" w:cs="宋体"/>
                <w:szCs w:val="24"/>
              </w:rPr>
            </w:pPr>
            <w:r>
              <w:rPr>
                <w:rFonts w:hint="eastAsia" w:ascii="宋体" w:hAnsi="宋体" w:cs="宋体"/>
                <w:szCs w:val="24"/>
              </w:rPr>
              <w:t xml:space="preserve">运维人员考核管理方案</w:t>
            </w:r>
            <w:r>
              <w:rPr>
                <w:rFonts w:ascii="宋体" w:hAnsi="宋体" w:cs="宋体"/>
                <w:szCs w:val="24"/>
              </w:rPr>
            </w:r>
            <w:r/>
          </w:p>
          <w:p>
            <w:pPr>
              <w:pStyle w:val="963"/>
              <w:jc w:val="center"/>
              <w:spacing w:line="360" w:lineRule="auto"/>
              <w:rPr>
                <w:sz w:val="24"/>
                <w:szCs w:val="24"/>
              </w:rPr>
            </w:pPr>
            <w:r>
              <w:rPr>
                <w:rFonts w:hint="eastAsia" w:ascii="宋体" w:hAnsi="宋体" w:cs="宋体"/>
                <w:sz w:val="24"/>
                <w:szCs w:val="24"/>
              </w:rPr>
              <w:t xml:space="preserve">（9分）</w:t>
            </w:r>
            <w:r>
              <w:rPr>
                <w:sz w:val="24"/>
                <w:szCs w:val="24"/>
              </w:rPr>
            </w:r>
            <w:r/>
          </w:p>
        </w:tc>
        <w:tc>
          <w:tcPr>
            <w:tcW w:w="6845" w:type="dxa"/>
            <w:vAlign w:val="top"/>
            <w:textDirection w:val="lrTb"/>
            <w:noWrap w:val="false"/>
          </w:tcPr>
          <w:p>
            <w:pPr>
              <w:pStyle w:val="1002"/>
              <w:spacing w:before="0" w:beforeAutospacing="0" w:after="0" w:afterAutospacing="0" w:line="360" w:lineRule="auto"/>
              <w:widowControl/>
              <w:rPr>
                <w:rFonts w:ascii="宋体" w:hAnsi="宋体" w:cs="宋体"/>
                <w:szCs w:val="24"/>
              </w:rPr>
            </w:pPr>
            <w:r>
              <w:rPr>
                <w:rFonts w:hint="eastAsia" w:ascii="宋体" w:hAnsi="宋体" w:cs="宋体"/>
                <w:szCs w:val="24"/>
              </w:rPr>
              <w:t xml:space="preserve">投标人针对采购需求提供运维人员考核管理方案，包含但不限于管理制度、绩效考核等。</w:t>
            </w:r>
            <w:r>
              <w:rPr>
                <w:rFonts w:ascii="宋体" w:hAnsi="宋体" w:cs="宋体"/>
                <w:szCs w:val="24"/>
              </w:rPr>
            </w:r>
            <w:r/>
          </w:p>
          <w:p>
            <w:pPr>
              <w:pStyle w:val="1002"/>
              <w:spacing w:before="0" w:beforeAutospacing="0" w:after="0" w:afterAutospacing="0" w:line="360" w:lineRule="auto"/>
              <w:widowControl/>
              <w:rPr>
                <w:rFonts w:ascii="宋体" w:hAnsi="宋体" w:cs="宋体"/>
                <w:szCs w:val="24"/>
              </w:rPr>
            </w:pPr>
            <w:r>
              <w:rPr>
                <w:rFonts w:hint="eastAsia" w:ascii="宋体" w:hAnsi="宋体" w:cs="宋体"/>
                <w:szCs w:val="24"/>
              </w:rPr>
              <w:t xml:space="preserve">管理方案切实可行、完善全面、科学合理，得9分；</w:t>
            </w:r>
            <w:r>
              <w:rPr>
                <w:rFonts w:ascii="宋体" w:hAnsi="宋体" w:cs="宋体"/>
                <w:szCs w:val="24"/>
              </w:rPr>
            </w:r>
            <w:r/>
          </w:p>
          <w:p>
            <w:pPr>
              <w:pStyle w:val="1002"/>
              <w:spacing w:before="0" w:beforeAutospacing="0" w:after="0" w:afterAutospacing="0" w:line="360" w:lineRule="auto"/>
              <w:widowControl/>
              <w:rPr>
                <w:rFonts w:ascii="宋体" w:hAnsi="宋体" w:cs="宋体"/>
                <w:szCs w:val="24"/>
              </w:rPr>
            </w:pPr>
            <w:r>
              <w:rPr>
                <w:rFonts w:hint="eastAsia" w:ascii="宋体" w:hAnsi="宋体" w:cs="宋体"/>
                <w:szCs w:val="24"/>
              </w:rPr>
              <w:t xml:space="preserve">管理方案具有可行性，方案较合理，得7分；</w:t>
            </w:r>
            <w:r>
              <w:rPr>
                <w:rFonts w:ascii="宋体" w:hAnsi="宋体" w:cs="宋体"/>
                <w:szCs w:val="24"/>
              </w:rPr>
            </w:r>
            <w:r/>
          </w:p>
          <w:p>
            <w:pPr>
              <w:pStyle w:val="1002"/>
              <w:spacing w:before="0" w:beforeAutospacing="0" w:after="0" w:afterAutospacing="0" w:line="360" w:lineRule="auto"/>
              <w:widowControl/>
              <w:rPr>
                <w:rFonts w:ascii="宋体" w:hAnsi="宋体" w:cs="宋体"/>
                <w:szCs w:val="24"/>
              </w:rPr>
            </w:pPr>
            <w:r>
              <w:rPr>
                <w:rFonts w:hint="eastAsia" w:ascii="宋体" w:hAnsi="宋体" w:cs="宋体"/>
                <w:szCs w:val="24"/>
              </w:rPr>
              <w:t xml:space="preserve">管理方案可行性较差，方案合理性较差，得5分；</w:t>
            </w:r>
            <w:r>
              <w:rPr>
                <w:rFonts w:ascii="宋体" w:hAnsi="宋体" w:cs="宋体"/>
                <w:szCs w:val="24"/>
              </w:rPr>
            </w:r>
            <w:r/>
          </w:p>
          <w:p>
            <w:pPr>
              <w:pStyle w:val="963"/>
              <w:spacing w:line="360" w:lineRule="auto"/>
              <w:rPr>
                <w:rFonts w:ascii="宋体" w:hAnsi="宋体"/>
                <w:sz w:val="24"/>
                <w:szCs w:val="24"/>
              </w:rPr>
            </w:pPr>
            <w:r>
              <w:rPr>
                <w:rFonts w:hint="eastAsia" w:ascii="宋体" w:hAnsi="宋体" w:cs="宋体"/>
                <w:sz w:val="24"/>
                <w:szCs w:val="24"/>
              </w:rPr>
              <w:t xml:space="preserve">该项未见阐述不得分。</w:t>
            </w:r>
            <w:r>
              <w:rPr>
                <w:rFonts w:ascii="宋体" w:hAnsi="宋体"/>
                <w:sz w:val="24"/>
                <w:szCs w:val="24"/>
              </w:rPr>
            </w:r>
            <w:r/>
          </w:p>
        </w:tc>
      </w:tr>
      <w:tr>
        <w:trPr>
          <w:trHeight w:val="621"/>
        </w:trPr>
        <w:tc>
          <w:tcPr>
            <w:tcW w:w="1660" w:type="dxa"/>
            <w:vAlign w:val="center"/>
            <w:textDirection w:val="lrTb"/>
            <w:noWrap w:val="false"/>
          </w:tcPr>
          <w:p>
            <w:pPr>
              <w:pStyle w:val="1002"/>
              <w:jc w:val="center"/>
              <w:spacing w:before="0" w:beforeAutospacing="0" w:after="0" w:afterAutospacing="0" w:line="360" w:lineRule="auto"/>
              <w:widowControl/>
              <w:rPr>
                <w:rFonts w:ascii="宋体" w:hAnsi="宋体" w:cs="宋体"/>
                <w:szCs w:val="24"/>
              </w:rPr>
            </w:pPr>
            <w:r>
              <w:rPr>
                <w:rFonts w:hint="eastAsia" w:ascii="宋体" w:hAnsi="宋体" w:cs="宋体"/>
                <w:szCs w:val="24"/>
              </w:rPr>
              <w:t xml:space="preserve">培训方案</w:t>
            </w:r>
            <w:r>
              <w:rPr>
                <w:rFonts w:ascii="宋体" w:hAnsi="宋体" w:cs="宋体"/>
                <w:szCs w:val="24"/>
              </w:rPr>
            </w:r>
            <w:r/>
          </w:p>
          <w:p>
            <w:pPr>
              <w:pStyle w:val="963"/>
              <w:jc w:val="center"/>
              <w:spacing w:line="360" w:lineRule="auto"/>
              <w:rPr>
                <w:sz w:val="24"/>
                <w:szCs w:val="24"/>
              </w:rPr>
            </w:pPr>
            <w:r>
              <w:rPr>
                <w:rFonts w:hint="eastAsia" w:ascii="宋体" w:hAnsi="宋体" w:cs="宋体"/>
                <w:sz w:val="24"/>
                <w:szCs w:val="24"/>
              </w:rPr>
              <w:t xml:space="preserve">(9分)</w:t>
            </w:r>
            <w:r>
              <w:rPr>
                <w:sz w:val="24"/>
                <w:szCs w:val="24"/>
              </w:rPr>
            </w:r>
            <w:r/>
          </w:p>
        </w:tc>
        <w:tc>
          <w:tcPr>
            <w:tcW w:w="6845" w:type="dxa"/>
            <w:vAlign w:val="top"/>
            <w:textDirection w:val="lrTb"/>
            <w:noWrap w:val="false"/>
          </w:tcPr>
          <w:p>
            <w:pPr>
              <w:pStyle w:val="1002"/>
              <w:spacing w:before="0" w:beforeAutospacing="0" w:after="0" w:afterAutospacing="0" w:line="360" w:lineRule="auto"/>
              <w:widowControl/>
              <w:rPr>
                <w:rFonts w:ascii="宋体" w:hAnsi="宋体" w:cs="宋体"/>
                <w:szCs w:val="24"/>
              </w:rPr>
            </w:pPr>
            <w:r>
              <w:rPr>
                <w:rFonts w:hint="eastAsia" w:ascii="宋体" w:hAnsi="宋体" w:cs="宋体"/>
                <w:szCs w:val="24"/>
              </w:rPr>
              <w:t xml:space="preserve">投标人</w:t>
            </w:r>
            <w:r>
              <w:rPr>
                <w:rFonts w:hint="eastAsia" w:ascii="宋体" w:hAnsi="宋体" w:cs="宋体"/>
                <w:szCs w:val="24"/>
              </w:rPr>
              <w:t xml:space="preserve">针对采购需求</w:t>
            </w:r>
            <w:r>
              <w:rPr>
                <w:rFonts w:hint="eastAsia" w:ascii="宋体" w:hAnsi="宋体" w:cs="宋体"/>
                <w:szCs w:val="24"/>
              </w:rPr>
              <w:t xml:space="preserve">提供培训方案，包括但不限于培训对象与内容、培训方式、课时安排等。</w:t>
            </w:r>
            <w:r>
              <w:rPr>
                <w:rFonts w:ascii="宋体" w:hAnsi="宋体" w:cs="宋体"/>
                <w:szCs w:val="24"/>
              </w:rPr>
            </w:r>
            <w:r/>
          </w:p>
          <w:p>
            <w:pPr>
              <w:pStyle w:val="1002"/>
              <w:spacing w:before="0" w:beforeAutospacing="0" w:after="0" w:afterAutospacing="0" w:line="360" w:lineRule="auto"/>
              <w:widowControl/>
              <w:rPr>
                <w:rFonts w:ascii="宋体" w:hAnsi="宋体" w:cs="宋体"/>
                <w:szCs w:val="24"/>
              </w:rPr>
            </w:pPr>
            <w:r>
              <w:rPr>
                <w:rFonts w:hint="eastAsia" w:ascii="宋体" w:hAnsi="宋体" w:cs="宋体"/>
                <w:szCs w:val="24"/>
              </w:rPr>
              <w:t xml:space="preserve">培训计划及培训内容方案安排合理可行，满足用户要求得9分；</w:t>
            </w:r>
            <w:r>
              <w:rPr>
                <w:rFonts w:ascii="宋体" w:hAnsi="宋体" w:cs="宋体"/>
                <w:szCs w:val="24"/>
              </w:rPr>
            </w:r>
            <w:r/>
          </w:p>
          <w:p>
            <w:pPr>
              <w:pStyle w:val="1002"/>
              <w:spacing w:before="0" w:beforeAutospacing="0" w:after="0" w:afterAutospacing="0" w:line="360" w:lineRule="auto"/>
              <w:widowControl/>
              <w:rPr>
                <w:rFonts w:ascii="宋体" w:hAnsi="宋体" w:cs="宋体"/>
                <w:szCs w:val="24"/>
              </w:rPr>
            </w:pPr>
            <w:r>
              <w:rPr>
                <w:rFonts w:hint="eastAsia" w:ascii="宋体" w:hAnsi="宋体" w:cs="宋体"/>
                <w:szCs w:val="24"/>
              </w:rPr>
              <w:t xml:space="preserve">培训计划及培训内容方面安排较为合理可行得7分；</w:t>
            </w:r>
            <w:r>
              <w:rPr>
                <w:rFonts w:ascii="宋体" w:hAnsi="宋体" w:cs="宋体"/>
                <w:szCs w:val="24"/>
              </w:rPr>
            </w:r>
            <w:r/>
          </w:p>
          <w:p>
            <w:pPr>
              <w:pStyle w:val="1002"/>
              <w:spacing w:before="0" w:beforeAutospacing="0" w:after="0" w:afterAutospacing="0" w:line="360" w:lineRule="auto"/>
              <w:widowControl/>
              <w:rPr>
                <w:rFonts w:ascii="宋体" w:hAnsi="宋体" w:cs="宋体"/>
                <w:szCs w:val="24"/>
              </w:rPr>
            </w:pPr>
            <w:r>
              <w:rPr>
                <w:rFonts w:hint="eastAsia" w:ascii="宋体" w:hAnsi="宋体" w:cs="宋体"/>
                <w:szCs w:val="24"/>
              </w:rPr>
              <w:t xml:space="preserve">培训计划及培训内容方面安排一般或方案不完整得5分。</w:t>
            </w:r>
            <w:r>
              <w:rPr>
                <w:rFonts w:ascii="宋体" w:hAnsi="宋体" w:cs="宋体"/>
                <w:szCs w:val="24"/>
              </w:rPr>
            </w:r>
            <w:r/>
          </w:p>
          <w:p>
            <w:pPr>
              <w:pStyle w:val="963"/>
              <w:spacing w:line="360" w:lineRule="auto"/>
              <w:rPr>
                <w:rFonts w:ascii="宋体" w:hAnsi="宋体"/>
                <w:sz w:val="24"/>
                <w:szCs w:val="24"/>
              </w:rPr>
            </w:pPr>
            <w:r>
              <w:rPr>
                <w:rFonts w:hint="eastAsia" w:ascii="宋体" w:hAnsi="宋体" w:cs="宋体"/>
                <w:sz w:val="24"/>
                <w:szCs w:val="24"/>
              </w:rPr>
              <w:t xml:space="preserve">该项未见阐述不得分。</w:t>
            </w:r>
            <w:r>
              <w:rPr>
                <w:rFonts w:ascii="宋体" w:hAnsi="宋体"/>
                <w:sz w:val="24"/>
                <w:szCs w:val="24"/>
              </w:rPr>
            </w:r>
            <w:r/>
          </w:p>
        </w:tc>
      </w:tr>
      <w:tr>
        <w:trPr>
          <w:trHeight w:val="621"/>
        </w:trPr>
        <w:tc>
          <w:tcPr>
            <w:tcW w:w="1660" w:type="dxa"/>
            <w:vAlign w:val="center"/>
            <w:textDirection w:val="lrTb"/>
            <w:noWrap w:val="false"/>
          </w:tcPr>
          <w:p>
            <w:pPr>
              <w:pStyle w:val="963"/>
              <w:jc w:val="center"/>
              <w:spacing w:line="360" w:lineRule="auto"/>
              <w:widowControl/>
              <w:rPr>
                <w:rFonts w:ascii="宋体" w:hAnsi="宋体" w:cs="宋体"/>
                <w:sz w:val="24"/>
                <w:szCs w:val="24"/>
              </w:rPr>
            </w:pPr>
            <w:r>
              <w:rPr>
                <w:rFonts w:hint="eastAsia" w:ascii="宋体" w:hAnsi="宋体" w:cs="宋体"/>
                <w:sz w:val="24"/>
                <w:szCs w:val="24"/>
              </w:rPr>
              <w:t xml:space="preserve">服务保障方案(9分)</w:t>
            </w:r>
            <w:r>
              <w:rPr>
                <w:rFonts w:ascii="宋体" w:hAnsi="宋体" w:cs="宋体"/>
                <w:sz w:val="24"/>
                <w:szCs w:val="24"/>
              </w:rPr>
            </w:r>
            <w:r/>
          </w:p>
        </w:tc>
        <w:tc>
          <w:tcPr>
            <w:tcW w:w="6845" w:type="dxa"/>
            <w:vAlign w:val="top"/>
            <w:textDirection w:val="lrTb"/>
            <w:noWrap w:val="false"/>
          </w:tcPr>
          <w:p>
            <w:pPr>
              <w:pStyle w:val="1002"/>
              <w:spacing w:before="0" w:beforeAutospacing="0" w:after="0" w:afterAutospacing="0" w:line="360" w:lineRule="auto"/>
              <w:widowControl/>
              <w:rPr>
                <w:rFonts w:ascii="宋体" w:hAnsi="宋体" w:cs="宋体"/>
                <w:szCs w:val="24"/>
              </w:rPr>
            </w:pPr>
            <w:r>
              <w:rPr>
                <w:rFonts w:hint="eastAsia" w:ascii="宋体" w:hAnsi="宋体" w:cs="宋体"/>
                <w:szCs w:val="24"/>
              </w:rPr>
              <w:t xml:space="preserve">投标人针对采购需求提供服务保障方案，包括但不限于项目质量保障措施及方案、项目进度保障措施及方案、项目安全保障措施及方案等。</w:t>
            </w:r>
            <w:r>
              <w:rPr>
                <w:rFonts w:ascii="宋体" w:hAnsi="宋体" w:cs="宋体"/>
                <w:szCs w:val="24"/>
              </w:rPr>
            </w:r>
            <w:r/>
          </w:p>
          <w:p>
            <w:pPr>
              <w:pStyle w:val="1002"/>
              <w:spacing w:before="0" w:beforeAutospacing="0" w:after="0" w:afterAutospacing="0" w:line="360" w:lineRule="auto"/>
              <w:widowControl/>
              <w:rPr>
                <w:rFonts w:ascii="宋体" w:hAnsi="宋体" w:cs="宋体"/>
                <w:szCs w:val="24"/>
              </w:rPr>
            </w:pPr>
            <w:r>
              <w:rPr>
                <w:rFonts w:hint="eastAsia" w:ascii="宋体" w:hAnsi="宋体" w:cs="宋体"/>
                <w:szCs w:val="24"/>
              </w:rPr>
              <w:t xml:space="preserve">方案阐述详细，支撑保障措施完善的得9分；</w:t>
            </w:r>
            <w:r>
              <w:rPr>
                <w:rFonts w:ascii="宋体" w:hAnsi="宋体" w:cs="宋体"/>
                <w:szCs w:val="24"/>
              </w:rPr>
            </w:r>
            <w:r/>
          </w:p>
          <w:p>
            <w:pPr>
              <w:pStyle w:val="1002"/>
              <w:spacing w:before="0" w:beforeAutospacing="0" w:after="0" w:afterAutospacing="0" w:line="360" w:lineRule="auto"/>
              <w:widowControl/>
              <w:rPr>
                <w:rFonts w:ascii="宋体" w:hAnsi="宋体" w:cs="宋体"/>
                <w:szCs w:val="24"/>
              </w:rPr>
            </w:pPr>
            <w:r>
              <w:rPr>
                <w:rFonts w:hint="eastAsia" w:ascii="宋体" w:hAnsi="宋体" w:cs="宋体"/>
                <w:szCs w:val="24"/>
              </w:rPr>
              <w:t xml:space="preserve">方案阐述较详细，支撑保障措施较完善的得7分；</w:t>
            </w:r>
            <w:r>
              <w:rPr>
                <w:rFonts w:ascii="宋体" w:hAnsi="宋体" w:cs="宋体"/>
                <w:szCs w:val="24"/>
              </w:rPr>
            </w:r>
            <w:r/>
          </w:p>
          <w:p>
            <w:pPr>
              <w:pStyle w:val="1002"/>
              <w:spacing w:before="0" w:beforeAutospacing="0" w:after="0" w:afterAutospacing="0" w:line="360" w:lineRule="auto"/>
              <w:widowControl/>
              <w:rPr>
                <w:rFonts w:ascii="宋体" w:hAnsi="宋体" w:cs="宋体"/>
                <w:szCs w:val="24"/>
              </w:rPr>
            </w:pPr>
            <w:r>
              <w:rPr>
                <w:rFonts w:hint="eastAsia" w:ascii="宋体" w:hAnsi="宋体" w:cs="宋体"/>
                <w:szCs w:val="24"/>
              </w:rPr>
              <w:t xml:space="preserve">方案简单粗糙，可实施性一般的得5分；</w:t>
            </w:r>
            <w:r>
              <w:rPr>
                <w:rFonts w:ascii="宋体" w:hAnsi="宋体" w:cs="宋体"/>
                <w:szCs w:val="24"/>
              </w:rPr>
            </w:r>
            <w:r/>
          </w:p>
          <w:p>
            <w:pPr>
              <w:pStyle w:val="963"/>
              <w:spacing w:line="360" w:lineRule="auto"/>
              <w:widowControl/>
              <w:rPr>
                <w:rFonts w:ascii="宋体" w:hAnsi="宋体" w:cs="宋体"/>
                <w:sz w:val="24"/>
                <w:szCs w:val="24"/>
              </w:rPr>
            </w:pPr>
            <w:r>
              <w:rPr>
                <w:rFonts w:hint="eastAsia" w:ascii="宋体" w:hAnsi="宋体" w:cs="宋体"/>
                <w:sz w:val="24"/>
                <w:szCs w:val="24"/>
              </w:rPr>
              <w:t xml:space="preserve">该项未见阐述不得分。</w:t>
            </w:r>
            <w:r>
              <w:rPr>
                <w:rFonts w:ascii="宋体" w:hAnsi="宋体" w:cs="宋体"/>
                <w:sz w:val="24"/>
                <w:szCs w:val="24"/>
              </w:rPr>
            </w:r>
            <w:r/>
          </w:p>
        </w:tc>
      </w:tr>
    </w:tbl>
    <w:p>
      <w:pPr>
        <w:pStyle w:val="963"/>
        <w:jc w:val="left"/>
        <w:widowControl/>
        <w:rPr>
          <w:rFonts w:ascii="黑体" w:hAnsi="黑体" w:eastAsia="黑体"/>
          <w:bCs/>
          <w:sz w:val="44"/>
          <w:szCs w:val="44"/>
        </w:rPr>
      </w:pPr>
      <w:r/>
      <w:bookmarkStart w:id="10" w:name="_Toc155796361"/>
      <w:r>
        <w:rPr>
          <w:rFonts w:ascii="黑体" w:hAnsi="黑体" w:eastAsia="黑体"/>
          <w:b/>
        </w:rPr>
        <w:br w:type="page" w:clear="all"/>
      </w:r>
      <w:r>
        <w:rPr>
          <w:rFonts w:ascii="黑体" w:hAnsi="黑体" w:eastAsia="黑体"/>
          <w:bCs/>
          <w:sz w:val="44"/>
          <w:szCs w:val="44"/>
        </w:rPr>
      </w:r>
      <w:r/>
    </w:p>
    <w:p>
      <w:pPr>
        <w:pStyle w:val="964"/>
        <w:jc w:val="center"/>
        <w:spacing w:before="156" w:after="156" w:line="360" w:lineRule="auto"/>
        <w:rPr>
          <w:rFonts w:ascii="黑体" w:hAnsi="黑体" w:eastAsia="黑体"/>
          <w:b w:val="0"/>
        </w:rPr>
      </w:pPr>
      <w:r>
        <w:rPr>
          <w:rFonts w:hint="eastAsia" w:ascii="黑体" w:hAnsi="黑体" w:eastAsia="黑体"/>
          <w:b w:val="0"/>
        </w:rPr>
        <w:t xml:space="preserve">第六章  投标文件格式</w:t>
      </w:r>
      <w:bookmarkEnd w:id="10"/>
      <w:r>
        <w:rPr>
          <w:rFonts w:ascii="黑体" w:hAnsi="黑体" w:eastAsia="黑体"/>
          <w:b w:val="0"/>
        </w:rPr>
      </w:r>
      <w:r/>
    </w:p>
    <w:p>
      <w:pPr>
        <w:pStyle w:val="963"/>
        <w:jc w:val="left"/>
        <w:spacing w:line="500" w:lineRule="exact"/>
        <w:rPr>
          <w:sz w:val="24"/>
          <w:szCs w:val="24"/>
        </w:rPr>
      </w:pPr>
      <w:r>
        <w:rPr>
          <w:sz w:val="24"/>
          <w:szCs w:val="24"/>
        </w:rPr>
      </w:r>
      <w:r/>
    </w:p>
    <w:p>
      <w:pPr>
        <w:pStyle w:val="963"/>
        <w:jc w:val="center"/>
        <w:rPr>
          <w:rFonts w:ascii="宋体" w:hAnsi="宋体"/>
          <w:b/>
          <w:color w:val="000000"/>
          <w:sz w:val="72"/>
          <w:szCs w:val="21"/>
        </w:rPr>
      </w:pPr>
      <w:r>
        <w:rPr>
          <w:rFonts w:ascii="宋体" w:hAnsi="宋体"/>
          <w:b/>
          <w:color w:val="000000"/>
          <w:sz w:val="72"/>
          <w:szCs w:val="21"/>
        </w:rPr>
      </w:r>
      <w:r/>
    </w:p>
    <w:p>
      <w:pPr>
        <w:pStyle w:val="963"/>
        <w:jc w:val="center"/>
        <w:rPr>
          <w:rFonts w:ascii="宋体" w:hAnsi="宋体"/>
          <w:b/>
          <w:color w:val="000000"/>
          <w:sz w:val="72"/>
          <w:szCs w:val="21"/>
        </w:rPr>
      </w:pPr>
      <w:r>
        <w:rPr>
          <w:rFonts w:hint="eastAsia" w:ascii="宋体" w:hAnsi="宋体"/>
          <w:b/>
          <w:color w:val="000000"/>
          <w:sz w:val="72"/>
          <w:szCs w:val="21"/>
        </w:rPr>
        <w:t xml:space="preserve">投  标  文  件</w:t>
      </w:r>
      <w:r>
        <w:rPr>
          <w:rFonts w:ascii="宋体" w:hAnsi="宋体"/>
          <w:b/>
          <w:color w:val="000000"/>
          <w:sz w:val="72"/>
          <w:szCs w:val="21"/>
        </w:rPr>
      </w:r>
      <w:r/>
    </w:p>
    <w:p>
      <w:pPr>
        <w:pStyle w:val="963"/>
        <w:jc w:val="center"/>
        <w:rPr>
          <w:rFonts w:ascii="宋体" w:hAnsi="宋体"/>
          <w:b/>
          <w:color w:val="000000"/>
          <w:sz w:val="72"/>
          <w:szCs w:val="21"/>
        </w:rPr>
      </w:pPr>
      <w:r>
        <w:rPr>
          <w:rFonts w:ascii="宋体" w:hAnsi="宋体"/>
          <w:b/>
          <w:color w:val="000000"/>
          <w:sz w:val="72"/>
          <w:szCs w:val="21"/>
        </w:rPr>
      </w:r>
      <w:r/>
    </w:p>
    <w:p>
      <w:pPr>
        <w:pStyle w:val="963"/>
        <w:jc w:val="center"/>
        <w:rPr>
          <w:rFonts w:ascii="宋体" w:hAnsi="宋体"/>
          <w:b/>
          <w:color w:val="000000"/>
          <w:sz w:val="72"/>
          <w:szCs w:val="21"/>
        </w:rPr>
      </w:pPr>
      <w:r>
        <w:rPr>
          <w:rFonts w:ascii="宋体" w:hAnsi="宋体"/>
          <w:b/>
          <w:color w:val="000000"/>
          <w:sz w:val="72"/>
          <w:szCs w:val="21"/>
        </w:rPr>
      </w:r>
      <w:r/>
    </w:p>
    <w:p>
      <w:pPr>
        <w:pStyle w:val="963"/>
        <w:jc w:val="center"/>
        <w:rPr>
          <w:rFonts w:ascii="宋体" w:hAnsi="宋体"/>
          <w:b/>
          <w:color w:val="000000"/>
          <w:sz w:val="36"/>
          <w:szCs w:val="21"/>
        </w:rPr>
      </w:pPr>
      <w:r>
        <w:rPr>
          <w:rFonts w:ascii="宋体" w:hAnsi="宋体"/>
          <w:b/>
          <w:color w:val="000000"/>
          <w:sz w:val="36"/>
          <w:szCs w:val="21"/>
        </w:rPr>
      </w:r>
      <w:r/>
    </w:p>
    <w:p>
      <w:pPr>
        <w:pStyle w:val="963"/>
        <w:jc w:val="center"/>
        <w:rPr>
          <w:rFonts w:ascii="宋体" w:hAnsi="宋体"/>
          <w:b/>
          <w:color w:val="000000"/>
          <w:sz w:val="36"/>
          <w:szCs w:val="21"/>
        </w:rPr>
      </w:pPr>
      <w:r>
        <w:rPr>
          <w:rFonts w:ascii="宋体" w:hAnsi="宋体"/>
          <w:b/>
          <w:color w:val="000000"/>
          <w:sz w:val="36"/>
          <w:szCs w:val="21"/>
        </w:rPr>
      </w:r>
      <w:r/>
    </w:p>
    <w:p>
      <w:pPr>
        <w:pStyle w:val="963"/>
        <w:jc w:val="center"/>
        <w:rPr>
          <w:rFonts w:ascii="宋体" w:hAnsi="宋体"/>
          <w:b/>
          <w:color w:val="000000"/>
          <w:sz w:val="36"/>
          <w:szCs w:val="21"/>
        </w:rPr>
      </w:pPr>
      <w:r>
        <w:rPr>
          <w:rFonts w:ascii="宋体" w:hAnsi="宋体"/>
          <w:b/>
          <w:color w:val="000000"/>
          <w:sz w:val="36"/>
          <w:szCs w:val="21"/>
        </w:rPr>
      </w:r>
      <w:r/>
    </w:p>
    <w:p>
      <w:pPr>
        <w:pStyle w:val="963"/>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ascii="宋体" w:hAnsi="宋体"/>
          <w:b/>
          <w:color w:val="000000"/>
          <w:sz w:val="36"/>
          <w:szCs w:val="21"/>
        </w:rPr>
      </w:r>
      <w:r/>
    </w:p>
    <w:p>
      <w:pPr>
        <w:pStyle w:val="963"/>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963"/>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ascii="宋体" w:hAnsi="宋体"/>
          <w:b/>
          <w:color w:val="000000"/>
          <w:sz w:val="36"/>
          <w:szCs w:val="21"/>
          <w:u w:val="single"/>
        </w:rPr>
      </w:r>
      <w:r/>
    </w:p>
    <w:p>
      <w:pPr>
        <w:pStyle w:val="963"/>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963"/>
        <w:jc w:val="center"/>
        <w:spacing w:line="440" w:lineRule="exact"/>
        <w:rPr>
          <w:rFonts w:ascii="宋体" w:hAnsi="宋体"/>
          <w:b/>
          <w:bCs/>
          <w:color w:val="000000"/>
          <w:sz w:val="32"/>
          <w:szCs w:val="32"/>
        </w:rPr>
      </w:pPr>
      <w:r>
        <w:rPr>
          <w:rFonts w:ascii="宋体" w:hAnsi="宋体"/>
          <w:b/>
          <w:bCs/>
          <w:color w:val="000000"/>
          <w:sz w:val="32"/>
          <w:szCs w:val="32"/>
        </w:rPr>
      </w:r>
      <w:r/>
    </w:p>
    <w:p>
      <w:pPr>
        <w:pStyle w:val="963"/>
        <w:spacing w:line="440" w:lineRule="exact"/>
        <w:rPr>
          <w:rFonts w:ascii="宋体" w:hAnsi="宋体"/>
          <w:color w:val="000000"/>
          <w:szCs w:val="21"/>
        </w:rPr>
      </w:pPr>
      <w:r>
        <w:rPr>
          <w:rFonts w:ascii="宋体" w:hAnsi="宋体"/>
          <w:color w:val="000000"/>
          <w:szCs w:val="21"/>
        </w:rPr>
      </w:r>
      <w:r/>
    </w:p>
    <w:p>
      <w:pPr>
        <w:pStyle w:val="963"/>
        <w:jc w:val="left"/>
        <w:spacing w:line="500" w:lineRule="exact"/>
        <w:rPr>
          <w:sz w:val="24"/>
          <w:szCs w:val="24"/>
        </w:rPr>
      </w:pPr>
      <w:r>
        <w:rPr>
          <w:sz w:val="24"/>
          <w:szCs w:val="24"/>
        </w:rPr>
      </w:r>
      <w:r/>
    </w:p>
    <w:p>
      <w:pPr>
        <w:pStyle w:val="963"/>
        <w:jc w:val="left"/>
        <w:spacing w:line="500" w:lineRule="exact"/>
        <w:rPr>
          <w:sz w:val="24"/>
          <w:szCs w:val="24"/>
        </w:rPr>
      </w:pPr>
      <w:r>
        <w:rPr>
          <w:sz w:val="24"/>
          <w:szCs w:val="24"/>
        </w:rPr>
      </w:r>
      <w:r/>
    </w:p>
    <w:p>
      <w:pPr>
        <w:pStyle w:val="963"/>
        <w:jc w:val="left"/>
        <w:spacing w:line="500" w:lineRule="exact"/>
        <w:rPr>
          <w:sz w:val="24"/>
          <w:szCs w:val="24"/>
        </w:rPr>
      </w:pPr>
      <w:r>
        <w:rPr>
          <w:sz w:val="24"/>
          <w:szCs w:val="24"/>
        </w:rPr>
      </w:r>
      <w:r/>
    </w:p>
    <w:p>
      <w:pPr>
        <w:pStyle w:val="963"/>
        <w:jc w:val="left"/>
        <w:widowControl/>
        <w:rPr>
          <w:sz w:val="24"/>
          <w:szCs w:val="24"/>
        </w:rPr>
      </w:pPr>
      <w:r>
        <w:rPr>
          <w:sz w:val="24"/>
          <w:szCs w:val="24"/>
        </w:rPr>
        <w:br w:type="page" w:clear="all"/>
      </w:r>
      <w:r>
        <w:rPr>
          <w:sz w:val="24"/>
          <w:szCs w:val="24"/>
        </w:rPr>
      </w:r>
      <w:r/>
    </w:p>
    <w:p>
      <w:pPr>
        <w:pStyle w:val="963"/>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rPr>
          <w:rFonts w:ascii="宋体" w:hAnsi="宋体" w:cs="宋体"/>
          <w:i/>
          <w:sz w:val="36"/>
          <w:szCs w:val="36"/>
          <w:u w:val="single"/>
        </w:rPr>
      </w:r>
      <w:r/>
    </w:p>
    <w:p>
      <w:pPr>
        <w:pStyle w:val="963"/>
      </w:pPr>
      <w:r/>
      <w:r/>
    </w:p>
    <w:p>
      <w:pPr>
        <w:pStyle w:val="963"/>
      </w:pPr>
      <w:r/>
      <w:r/>
    </w:p>
    <w:p>
      <w:pPr>
        <w:pStyle w:val="963"/>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rPr>
          <w:rFonts w:ascii="Arial" w:hAnsi="Arial" w:cs="Arial"/>
          <w:i/>
          <w:sz w:val="36"/>
          <w:u w:val="single"/>
        </w:rPr>
      </w:r>
      <w:r/>
    </w:p>
    <w:p>
      <w:pPr>
        <w:pStyle w:val="963"/>
        <w:ind w:firstLine="480"/>
        <w:jc w:val="left"/>
        <w:spacing w:line="500" w:lineRule="exact"/>
        <w:rPr>
          <w:sz w:val="24"/>
          <w:szCs w:val="24"/>
        </w:rPr>
      </w:pPr>
      <w:r>
        <w:rPr>
          <w:rFonts w:hint="eastAsia"/>
          <w:sz w:val="24"/>
          <w:szCs w:val="24"/>
        </w:rPr>
        <w:t xml:space="preserve">（成立不满一年无需提供）</w:t>
      </w:r>
      <w:r>
        <w:rPr>
          <w:sz w:val="24"/>
          <w:szCs w:val="24"/>
        </w:rPr>
      </w:r>
      <w:r/>
    </w:p>
    <w:p>
      <w:pPr>
        <w:pStyle w:val="963"/>
      </w:pPr>
      <w:r/>
      <w:r/>
    </w:p>
    <w:p>
      <w:pPr>
        <w:pStyle w:val="963"/>
      </w:pPr>
      <w:r/>
      <w:r/>
    </w:p>
    <w:p>
      <w:pPr>
        <w:pStyle w:val="963"/>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rPr>
          <w:rFonts w:ascii="Arial" w:hAnsi="Arial" w:cs="Arial"/>
          <w:i/>
          <w:iCs/>
          <w:sz w:val="36"/>
          <w:u w:val="single"/>
        </w:rPr>
      </w:r>
      <w:r/>
    </w:p>
    <w:p>
      <w:pPr>
        <w:pStyle w:val="963"/>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rPr>
          <w:sz w:val="24"/>
          <w:szCs w:val="24"/>
        </w:rPr>
      </w:r>
      <w:r/>
    </w:p>
    <w:p>
      <w:pPr>
        <w:pStyle w:val="963"/>
      </w:pPr>
      <w:r/>
      <w:r/>
    </w:p>
    <w:p>
      <w:pPr>
        <w:pStyle w:val="963"/>
      </w:pPr>
      <w:r/>
      <w:r/>
    </w:p>
    <w:p>
      <w:pPr>
        <w:pStyle w:val="963"/>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rPr>
          <w:rFonts w:ascii="黑体" w:hAnsi="黑体" w:eastAsia="黑体" w:cs="宋体"/>
          <w:bCs/>
          <w:sz w:val="36"/>
          <w:szCs w:val="28"/>
        </w:rPr>
      </w:r>
      <w:r/>
    </w:p>
    <w:p>
      <w:pPr>
        <w:pStyle w:val="963"/>
        <w:jc w:val="left"/>
        <w:rPr>
          <w:rFonts w:ascii="MS Mincho"/>
          <w:color w:val="000000"/>
          <w:szCs w:val="24"/>
        </w:rPr>
      </w:pPr>
      <w:r>
        <w:rPr>
          <w:rFonts w:ascii="MS Mincho"/>
          <w:color w:val="000000"/>
          <w:szCs w:val="24"/>
        </w:rPr>
      </w:r>
      <w:r/>
    </w:p>
    <w:p>
      <w:pPr>
        <w:pStyle w:val="963"/>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rPr>
          <w:sz w:val="24"/>
          <w:szCs w:val="24"/>
        </w:rPr>
      </w:r>
      <w:r/>
    </w:p>
    <w:p>
      <w:pPr>
        <w:pStyle w:val="963"/>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sz w:val="24"/>
          <w:szCs w:val="24"/>
        </w:rPr>
      </w:r>
      <w:r/>
    </w:p>
    <w:p>
      <w:pPr>
        <w:pStyle w:val="963"/>
        <w:ind w:firstLine="480"/>
        <w:jc w:val="left"/>
        <w:spacing w:line="500" w:lineRule="exact"/>
        <w:rPr>
          <w:sz w:val="24"/>
          <w:szCs w:val="24"/>
        </w:rPr>
      </w:pPr>
      <w:r>
        <w:rPr>
          <w:rFonts w:hint="eastAsia"/>
          <w:sz w:val="24"/>
          <w:szCs w:val="24"/>
        </w:rPr>
        <w:t xml:space="preserve">（1）具有良好的商业信誉和健全的财务会计制度（财务状况报告）；</w:t>
      </w:r>
      <w:r>
        <w:rPr>
          <w:sz w:val="24"/>
          <w:szCs w:val="24"/>
        </w:rPr>
      </w:r>
      <w:r/>
    </w:p>
    <w:p>
      <w:pPr>
        <w:pStyle w:val="963"/>
        <w:ind w:firstLine="480"/>
        <w:jc w:val="left"/>
        <w:spacing w:line="500" w:lineRule="exact"/>
        <w:rPr>
          <w:sz w:val="24"/>
          <w:szCs w:val="24"/>
        </w:rPr>
      </w:pPr>
      <w:r>
        <w:rPr>
          <w:rFonts w:hint="eastAsia"/>
          <w:sz w:val="24"/>
          <w:szCs w:val="24"/>
        </w:rPr>
        <w:t xml:space="preserve">（2）有依法缴纳税收和社会保障资金的良好记录。</w:t>
      </w:r>
      <w:r>
        <w:rPr>
          <w:sz w:val="24"/>
          <w:szCs w:val="24"/>
        </w:rPr>
      </w:r>
      <w:r/>
    </w:p>
    <w:p>
      <w:pPr>
        <w:pStyle w:val="963"/>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sz w:val="24"/>
          <w:szCs w:val="24"/>
        </w:rPr>
      </w:r>
      <w:r/>
    </w:p>
    <w:p>
      <w:pPr>
        <w:pStyle w:val="963"/>
        <w:ind w:firstLine="480"/>
        <w:jc w:val="left"/>
        <w:spacing w:line="500" w:lineRule="exact"/>
        <w:rPr>
          <w:sz w:val="24"/>
          <w:szCs w:val="24"/>
        </w:rPr>
      </w:pPr>
      <w:r>
        <w:rPr>
          <w:rFonts w:hint="eastAsia"/>
          <w:sz w:val="24"/>
          <w:szCs w:val="24"/>
        </w:rPr>
        <w:t xml:space="preserve">特此承诺</w:t>
      </w:r>
      <w:r>
        <w:rPr>
          <w:sz w:val="24"/>
          <w:szCs w:val="24"/>
        </w:rPr>
      </w:r>
      <w:r/>
    </w:p>
    <w:p>
      <w:pPr>
        <w:pStyle w:val="963"/>
        <w:ind w:firstLine="480"/>
        <w:jc w:val="left"/>
        <w:spacing w:line="500" w:lineRule="exact"/>
        <w:rPr>
          <w:sz w:val="24"/>
          <w:szCs w:val="24"/>
        </w:rPr>
      </w:pPr>
      <w:r>
        <w:rPr>
          <w:sz w:val="24"/>
          <w:szCs w:val="24"/>
        </w:rPr>
      </w:r>
      <w:r/>
    </w:p>
    <w:p>
      <w:pPr>
        <w:pStyle w:val="963"/>
        <w:ind w:firstLine="480"/>
        <w:jc w:val="left"/>
        <w:spacing w:line="500" w:lineRule="exact"/>
        <w:rPr>
          <w:sz w:val="24"/>
          <w:szCs w:val="24"/>
        </w:rPr>
      </w:pPr>
      <w:r>
        <w:rPr>
          <w:rFonts w:hint="eastAsia"/>
          <w:sz w:val="24"/>
          <w:szCs w:val="24"/>
        </w:rPr>
        <w:t xml:space="preserve">供应商（公章）：</w:t>
      </w:r>
      <w:r>
        <w:rPr>
          <w:sz w:val="24"/>
          <w:szCs w:val="24"/>
        </w:rPr>
      </w:r>
      <w:r/>
    </w:p>
    <w:p>
      <w:pPr>
        <w:pStyle w:val="963"/>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rPr>
          <w:sz w:val="24"/>
          <w:szCs w:val="24"/>
        </w:rPr>
      </w:r>
      <w:r/>
    </w:p>
    <w:p>
      <w:pPr>
        <w:pStyle w:val="963"/>
        <w:ind w:firstLine="480"/>
        <w:jc w:val="left"/>
        <w:spacing w:line="500" w:lineRule="exact"/>
        <w:rPr>
          <w:sz w:val="24"/>
          <w:szCs w:val="24"/>
        </w:rPr>
      </w:pPr>
      <w:r>
        <w:rPr>
          <w:rFonts w:hint="eastAsia"/>
          <w:sz w:val="24"/>
          <w:szCs w:val="24"/>
        </w:rPr>
        <w:t xml:space="preserve">日期：    年     月     日</w:t>
      </w:r>
      <w:r>
        <w:rPr>
          <w:sz w:val="24"/>
          <w:szCs w:val="24"/>
        </w:rPr>
      </w:r>
      <w:r/>
    </w:p>
    <w:p>
      <w:pPr>
        <w:pStyle w:val="963"/>
      </w:pPr>
      <w:r/>
      <w:r/>
    </w:p>
    <w:p>
      <w:pPr>
        <w:pStyle w:val="963"/>
      </w:pPr>
      <w:r/>
      <w:r/>
    </w:p>
    <w:p>
      <w:pPr>
        <w:pStyle w:val="963"/>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rPr>
          <w:rFonts w:ascii="Arial" w:hAnsi="Arial" w:cs="Arial"/>
          <w:i/>
          <w:iCs/>
          <w:sz w:val="36"/>
          <w:u w:val="single"/>
        </w:rPr>
      </w:r>
      <w:r/>
    </w:p>
    <w:p>
      <w:pPr>
        <w:pStyle w:val="963"/>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rPr>
          <w:sz w:val="24"/>
          <w:szCs w:val="24"/>
        </w:rPr>
      </w:r>
      <w:r/>
    </w:p>
    <w:p>
      <w:pPr>
        <w:pStyle w:val="963"/>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rPr>
          <w:sz w:val="24"/>
          <w:szCs w:val="24"/>
        </w:rPr>
      </w:r>
      <w:r/>
    </w:p>
    <w:p>
      <w:pPr>
        <w:pStyle w:val="963"/>
        <w:ind w:firstLine="48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。（须附证明材料）</w:t>
      </w:r>
      <w:r>
        <w:rPr>
          <w:sz w:val="24"/>
          <w:szCs w:val="24"/>
        </w:rPr>
      </w:r>
      <w:r/>
    </w:p>
    <w:p>
      <w:pPr>
        <w:pStyle w:val="963"/>
        <w:jc w:val="left"/>
        <w:rPr>
          <w:sz w:val="24"/>
          <w:szCs w:val="24"/>
        </w:rPr>
      </w:pPr>
      <w:r>
        <w:rPr>
          <w:sz w:val="24"/>
          <w:szCs w:val="24"/>
        </w:rPr>
      </w:r>
      <w:r/>
    </w:p>
    <w:p>
      <w:pPr>
        <w:pStyle w:val="963"/>
        <w:ind w:firstLine="48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。（须附证明材料）</w:t>
      </w:r>
      <w:r>
        <w:rPr>
          <w:sz w:val="24"/>
          <w:szCs w:val="24"/>
        </w:rPr>
      </w:r>
      <w:r/>
    </w:p>
    <w:p>
      <w:pPr>
        <w:pStyle w:val="963"/>
        <w:ind w:firstLine="480"/>
        <w:spacing w:line="360" w:lineRule="auto"/>
        <w:rPr>
          <w:sz w:val="24"/>
          <w:szCs w:val="24"/>
        </w:rPr>
      </w:pPr>
      <w:r>
        <w:rPr>
          <w:sz w:val="24"/>
          <w:szCs w:val="24"/>
        </w:rPr>
      </w:r>
      <w:r/>
    </w:p>
    <w:p>
      <w:pPr>
        <w:pStyle w:val="963"/>
        <w:ind w:firstLine="480"/>
        <w:spacing w:line="360" w:lineRule="auto"/>
        <w:rPr>
          <w:sz w:val="24"/>
          <w:szCs w:val="24"/>
        </w:rPr>
      </w:pPr>
      <w:r>
        <w:rPr>
          <w:sz w:val="24"/>
          <w:szCs w:val="24"/>
        </w:rPr>
      </w:r>
      <w:r/>
    </w:p>
    <w:p>
      <w:pPr>
        <w:pStyle w:val="963"/>
        <w:ind w:firstLine="480"/>
        <w:spacing w:line="360" w:lineRule="auto"/>
        <w:rPr>
          <w:sz w:val="24"/>
          <w:szCs w:val="24"/>
        </w:rPr>
      </w:pPr>
      <w:r>
        <w:rPr>
          <w:rFonts w:hint="eastAsia"/>
          <w:sz w:val="24"/>
          <w:szCs w:val="24"/>
        </w:rPr>
        <w:t xml:space="preserve">投标人（盖章）：</w:t>
      </w:r>
      <w:r>
        <w:rPr>
          <w:sz w:val="24"/>
          <w:szCs w:val="24"/>
        </w:rPr>
      </w:r>
      <w:r/>
    </w:p>
    <w:p>
      <w:pPr>
        <w:pStyle w:val="963"/>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963"/>
        <w:ind w:firstLine="480"/>
        <w:spacing w:line="360" w:lineRule="auto"/>
        <w:rPr>
          <w:sz w:val="24"/>
          <w:szCs w:val="24"/>
        </w:rPr>
      </w:pPr>
      <w:r>
        <w:rPr>
          <w:rFonts w:hint="eastAsia"/>
          <w:sz w:val="24"/>
          <w:szCs w:val="24"/>
        </w:rPr>
        <w:t xml:space="preserve">日期：    年     月     日</w:t>
      </w:r>
      <w:r>
        <w:rPr>
          <w:sz w:val="24"/>
          <w:szCs w:val="24"/>
        </w:rPr>
      </w:r>
      <w:r/>
    </w:p>
    <w:p>
      <w:pPr>
        <w:pStyle w:val="963"/>
        <w:jc w:val="left"/>
        <w:rPr>
          <w:rFonts w:ascii="MS Mincho"/>
          <w:color w:val="000000"/>
          <w:szCs w:val="24"/>
        </w:rPr>
      </w:pPr>
      <w:r>
        <w:rPr>
          <w:rFonts w:ascii="MS Mincho"/>
          <w:color w:val="000000"/>
          <w:szCs w:val="24"/>
        </w:rPr>
      </w:r>
      <w:r/>
    </w:p>
    <w:p>
      <w:pPr>
        <w:pStyle w:val="963"/>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rPr>
          <w:rFonts w:ascii="Times New Roman" w:hAnsi="Times New Roman"/>
          <w:color w:val="000000"/>
          <w:sz w:val="24"/>
          <w:szCs w:val="24"/>
        </w:rPr>
      </w:r>
      <w:r/>
    </w:p>
    <w:p>
      <w:pPr>
        <w:pStyle w:val="963"/>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963"/>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963"/>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rPr>
          <w:rFonts w:ascii="Arial" w:hAnsi="Arial" w:cs="Arial"/>
          <w:i/>
          <w:iCs/>
          <w:sz w:val="36"/>
          <w:u w:val="single"/>
        </w:rPr>
      </w:r>
      <w:r/>
    </w:p>
    <w:p>
      <w:pPr>
        <w:pStyle w:val="963"/>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rPr>
          <w:rFonts w:ascii="宋体" w:hAnsi="宋体"/>
          <w:b/>
          <w:bCs/>
          <w:color w:val="000000"/>
          <w:sz w:val="44"/>
          <w:szCs w:val="44"/>
        </w:rPr>
      </w:r>
      <w:r/>
    </w:p>
    <w:p>
      <w:pPr>
        <w:pStyle w:val="963"/>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rPr>
          <w:sz w:val="24"/>
          <w:szCs w:val="24"/>
        </w:rPr>
      </w:r>
      <w:r/>
    </w:p>
    <w:p>
      <w:pPr>
        <w:pStyle w:val="963"/>
        <w:ind w:firstLine="480"/>
        <w:jc w:val="left"/>
        <w:spacing w:line="500" w:lineRule="exact"/>
        <w:rPr>
          <w:sz w:val="24"/>
          <w:szCs w:val="24"/>
        </w:rPr>
      </w:pPr>
      <w:r>
        <w:rPr>
          <w:sz w:val="24"/>
          <w:szCs w:val="24"/>
        </w:rPr>
      </w:r>
      <w:r/>
    </w:p>
    <w:p>
      <w:pPr>
        <w:pStyle w:val="963"/>
        <w:ind w:firstLine="480"/>
        <w:jc w:val="left"/>
        <w:spacing w:line="500" w:lineRule="exact"/>
        <w:rPr>
          <w:sz w:val="24"/>
          <w:szCs w:val="24"/>
        </w:rPr>
      </w:pPr>
      <w:r>
        <w:rPr>
          <w:rFonts w:hint="eastAsia"/>
          <w:sz w:val="24"/>
          <w:szCs w:val="24"/>
        </w:rPr>
        <w:t xml:space="preserve">投标人（盖章）：</w:t>
      </w:r>
      <w:r>
        <w:rPr>
          <w:sz w:val="24"/>
          <w:szCs w:val="24"/>
        </w:rPr>
      </w:r>
      <w:r/>
    </w:p>
    <w:p>
      <w:pPr>
        <w:pStyle w:val="963"/>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963"/>
        <w:ind w:firstLine="480"/>
        <w:jc w:val="left"/>
        <w:spacing w:line="500" w:lineRule="exact"/>
        <w:rPr>
          <w:sz w:val="24"/>
          <w:szCs w:val="24"/>
        </w:rPr>
      </w:pPr>
      <w:r>
        <w:rPr>
          <w:rFonts w:hint="eastAsia"/>
          <w:sz w:val="24"/>
          <w:szCs w:val="24"/>
        </w:rPr>
        <w:t xml:space="preserve">日期：    年     月     日</w:t>
      </w:r>
      <w:r>
        <w:rPr>
          <w:sz w:val="24"/>
          <w:szCs w:val="24"/>
        </w:rPr>
      </w:r>
      <w:r/>
    </w:p>
    <w:p>
      <w:pPr>
        <w:pStyle w:val="963"/>
      </w:pPr>
      <w:r/>
      <w:r/>
    </w:p>
    <w:p>
      <w:pPr>
        <w:pStyle w:val="963"/>
        <w:ind w:firstLine="482"/>
        <w:rPr>
          <w:b/>
          <w:color w:val="ff0000"/>
          <w:sz w:val="24"/>
          <w:szCs w:val="24"/>
        </w:rPr>
      </w:pPr>
      <w:r>
        <w:rPr>
          <w:rFonts w:hint="eastAsia"/>
          <w:b/>
          <w:color w:val="ff0000"/>
          <w:sz w:val="24"/>
          <w:szCs w:val="24"/>
        </w:rPr>
        <w:t xml:space="preserve">以联合体方式投标的投标人（仅限</w:t>
      </w:r>
      <w:r>
        <w:rPr>
          <w:rFonts w:hint="eastAsia"/>
          <w:b/>
          <w:color w:val="ff0000"/>
          <w:sz w:val="24"/>
          <w:szCs w:val="24"/>
        </w:rPr>
        <w:t xml:space="preserve">采购包2</w:t>
      </w:r>
      <w:r>
        <w:rPr>
          <w:rFonts w:hint="eastAsia"/>
          <w:b/>
          <w:color w:val="ff0000"/>
          <w:sz w:val="24"/>
          <w:szCs w:val="24"/>
        </w:rPr>
        <w:t xml:space="preserve">），上述一至五要求的材料，联合体成员均须提供。</w:t>
      </w:r>
      <w:r>
        <w:rPr>
          <w:b/>
          <w:color w:val="ff0000"/>
          <w:sz w:val="24"/>
          <w:szCs w:val="24"/>
        </w:rPr>
      </w:r>
      <w:r/>
    </w:p>
    <w:p>
      <w:pPr>
        <w:pStyle w:val="963"/>
      </w:pPr>
      <w:r/>
      <w:r/>
    </w:p>
    <w:p>
      <w:pPr>
        <w:pStyle w:val="963"/>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rPr>
          <w:rFonts w:ascii="Arial" w:hAnsi="Arial" w:cs="Arial"/>
          <w:i/>
          <w:iCs/>
          <w:sz w:val="36"/>
          <w:u w:val="single"/>
        </w:rPr>
      </w:r>
      <w:r/>
    </w:p>
    <w:p>
      <w:pPr>
        <w:pStyle w:val="963"/>
        <w:ind w:firstLine="480"/>
        <w:jc w:val="left"/>
        <w:spacing w:line="500" w:lineRule="exact"/>
        <w:rPr>
          <w:sz w:val="24"/>
          <w:szCs w:val="24"/>
        </w:rPr>
      </w:pPr>
      <w:r>
        <w:rPr>
          <w:rFonts w:hint="eastAsia"/>
          <w:sz w:val="24"/>
          <w:szCs w:val="24"/>
        </w:rPr>
        <w:t xml:space="preserve">（如有，请按要求提供）</w:t>
      </w:r>
      <w:r>
        <w:rPr>
          <w:sz w:val="24"/>
          <w:szCs w:val="24"/>
        </w:rPr>
      </w:r>
      <w:r/>
    </w:p>
    <w:p>
      <w:pPr>
        <w:pStyle w:val="963"/>
      </w:pPr>
      <w:r/>
      <w:r/>
    </w:p>
    <w:p>
      <w:pPr>
        <w:pStyle w:val="963"/>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rPr>
          <w:rFonts w:ascii="Arial" w:hAnsi="Arial" w:cs="Arial"/>
          <w:i/>
          <w:iCs/>
          <w:sz w:val="36"/>
          <w:u w:val="single"/>
        </w:rPr>
      </w:r>
      <w:r/>
    </w:p>
    <w:p>
      <w:pPr>
        <w:pStyle w:val="963"/>
        <w:ind w:firstLine="480"/>
        <w:jc w:val="left"/>
        <w:spacing w:line="500" w:lineRule="exact"/>
        <w:rPr>
          <w:sz w:val="24"/>
          <w:szCs w:val="24"/>
        </w:rPr>
      </w:pPr>
      <w:r>
        <w:rPr>
          <w:rFonts w:hint="eastAsia"/>
          <w:sz w:val="24"/>
          <w:szCs w:val="24"/>
        </w:rPr>
        <w:t xml:space="preserve">（如有，请按要求提供）</w:t>
      </w:r>
      <w:r>
        <w:rPr>
          <w:sz w:val="24"/>
          <w:szCs w:val="24"/>
        </w:rPr>
      </w:r>
      <w:r/>
    </w:p>
    <w:p>
      <w:pPr>
        <w:pStyle w:val="963"/>
      </w:pPr>
      <w:r/>
      <w:r/>
    </w:p>
    <w:p>
      <w:pPr>
        <w:pStyle w:val="963"/>
        <w:ind w:firstLine="480"/>
        <w:jc w:val="left"/>
        <w:spacing w:line="500" w:lineRule="exact"/>
        <w:rPr>
          <w:sz w:val="24"/>
          <w:szCs w:val="24"/>
        </w:rPr>
      </w:pPr>
      <w:r>
        <w:rPr>
          <w:rFonts w:hint="eastAsia"/>
          <w:sz w:val="24"/>
          <w:szCs w:val="24"/>
        </w:rPr>
        <w:t xml:space="preserve">（</w:t>
      </w:r>
      <w:r>
        <w:rPr>
          <w:rFonts w:hint="eastAsia"/>
          <w:b/>
          <w:color w:val="ff0000"/>
          <w:sz w:val="24"/>
          <w:szCs w:val="24"/>
        </w:rPr>
        <w:t xml:space="preserve">采购包</w:t>
      </w:r>
      <w:r>
        <w:rPr>
          <w:rFonts w:hint="eastAsia"/>
          <w:b/>
          <w:color w:val="ff0000"/>
          <w:sz w:val="24"/>
          <w:szCs w:val="24"/>
        </w:rPr>
        <w:t xml:space="preserve">1、</w:t>
      </w:r>
      <w:r>
        <w:rPr>
          <w:rFonts w:hint="eastAsia"/>
          <w:b/>
          <w:color w:val="ff0000"/>
          <w:sz w:val="24"/>
          <w:szCs w:val="24"/>
        </w:rPr>
        <w:t xml:space="preserve">2、3</w:t>
      </w:r>
      <w:r>
        <w:rPr>
          <w:rFonts w:hint="eastAsia"/>
          <w:b/>
          <w:color w:val="ff0000"/>
          <w:sz w:val="24"/>
          <w:szCs w:val="24"/>
        </w:rPr>
        <w:t xml:space="preserve">：专门面向中型企业、小型企业、微型企业、残疾人福利性单位、监狱企业进行采购，符合要求的投标人须提供《中小企业声明函》（详见第六部分投标文件格式）或《残疾人福利性单位声明函》（详见第六部分投标文件格式）或属于监狱企业的证明文件，否则投标无效。</w:t>
      </w:r>
      <w:r>
        <w:rPr>
          <w:rFonts w:hint="eastAsia"/>
          <w:sz w:val="24"/>
          <w:szCs w:val="24"/>
        </w:rPr>
        <w:t xml:space="preserve">）</w:t>
      </w:r>
      <w:r>
        <w:rPr>
          <w:sz w:val="24"/>
          <w:szCs w:val="24"/>
        </w:rPr>
      </w:r>
      <w:r/>
    </w:p>
    <w:p>
      <w:pPr>
        <w:pStyle w:val="963"/>
      </w:pPr>
      <w:r/>
      <w:r/>
    </w:p>
    <w:p>
      <w:pPr>
        <w:pStyle w:val="963"/>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rPr>
          <w:rFonts w:ascii="Arial" w:hAnsi="Arial" w:cs="Arial"/>
          <w:i/>
          <w:iCs/>
          <w:sz w:val="36"/>
          <w:u w:val="single"/>
        </w:rPr>
      </w:r>
      <w:r/>
    </w:p>
    <w:p>
      <w:pPr>
        <w:pStyle w:val="963"/>
        <w:ind w:firstLine="480"/>
        <w:jc w:val="left"/>
        <w:spacing w:line="500" w:lineRule="exact"/>
        <w:rPr>
          <w:sz w:val="24"/>
          <w:szCs w:val="24"/>
        </w:rPr>
      </w:pPr>
      <w:r>
        <w:rPr>
          <w:rFonts w:hint="eastAsia"/>
          <w:sz w:val="24"/>
          <w:szCs w:val="24"/>
        </w:rPr>
        <w:t xml:space="preserve">（如有，请按要求提供）</w:t>
      </w:r>
      <w:r>
        <w:rPr>
          <w:sz w:val="24"/>
          <w:szCs w:val="24"/>
        </w:rPr>
      </w:r>
      <w:r/>
    </w:p>
    <w:p>
      <w:pPr>
        <w:pStyle w:val="963"/>
      </w:pPr>
      <w:r/>
      <w:r/>
    </w:p>
    <w:p>
      <w:pPr>
        <w:pStyle w:val="963"/>
      </w:pPr>
      <w:r/>
      <w:r/>
    </w:p>
    <w:p>
      <w:pPr>
        <w:pStyle w:val="963"/>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rPr>
          <w:rFonts w:ascii="Arial" w:hAnsi="Arial" w:cs="Arial"/>
          <w:i/>
          <w:iCs/>
          <w:sz w:val="36"/>
          <w:u w:val="single"/>
        </w:rPr>
      </w:r>
      <w:r/>
    </w:p>
    <w:p>
      <w:pPr>
        <w:pStyle w:val="963"/>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rPr>
          <w:rFonts w:ascii="宋体" w:hAnsi="宋体"/>
          <w:b/>
          <w:color w:val="000000"/>
          <w:sz w:val="36"/>
          <w:szCs w:val="36"/>
        </w:rPr>
      </w:r>
      <w:r/>
    </w:p>
    <w:p>
      <w:pPr>
        <w:pStyle w:val="963"/>
        <w:spacing w:line="360" w:lineRule="auto"/>
        <w:rPr>
          <w:sz w:val="24"/>
          <w:szCs w:val="24"/>
        </w:rPr>
      </w:pPr>
      <w:r>
        <w:rPr>
          <w:sz w:val="24"/>
          <w:szCs w:val="24"/>
        </w:rPr>
        <w:t xml:space="preserve">致：</w:t>
      </w:r>
      <w:r>
        <w:rPr>
          <w:rFonts w:hint="eastAsia"/>
          <w:sz w:val="24"/>
          <w:szCs w:val="24"/>
          <w:u w:val="single"/>
        </w:rPr>
        <w:t xml:space="preserve">采购单位</w:t>
      </w:r>
      <w:r>
        <w:rPr>
          <w:sz w:val="24"/>
          <w:szCs w:val="24"/>
        </w:rPr>
      </w:r>
      <w:r/>
    </w:p>
    <w:p>
      <w:pPr>
        <w:pStyle w:val="963"/>
        <w:ind w:firstLine="420"/>
        <w:jc w:val="left"/>
        <w:spacing w:line="360" w:lineRule="auto"/>
        <w:rPr>
          <w:sz w:val="24"/>
          <w:szCs w:val="24"/>
        </w:rPr>
      </w:pPr>
      <w:r>
        <w:rPr>
          <w:rFonts w:hint="eastAsia"/>
          <w:sz w:val="24"/>
          <w:szCs w:val="24"/>
        </w:rPr>
        <w:t xml:space="preserve">本人</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系</w:t>
      </w:r>
      <w:r>
        <w:rPr>
          <w:rFonts w:hint="eastAsia"/>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u w:val="single"/>
        </w:rPr>
        <w:t xml:space="preserve"> </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rPr>
          <w:sz w:val="24"/>
          <w:szCs w:val="24"/>
        </w:rPr>
      </w:r>
      <w:r/>
    </w:p>
    <w:p>
      <w:pPr>
        <w:pStyle w:val="963"/>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rPr>
          <w:sz w:val="24"/>
          <w:szCs w:val="24"/>
        </w:rPr>
      </w:r>
      <w:r/>
    </w:p>
    <w:p>
      <w:pPr>
        <w:pStyle w:val="963"/>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pStyle w:val="963"/>
        <w:ind w:firstLine="420"/>
        <w:jc w:val="left"/>
        <w:spacing w:line="360" w:lineRule="auto"/>
        <w:rPr>
          <w:sz w:val="24"/>
          <w:szCs w:val="24"/>
        </w:rPr>
      </w:pPr>
      <w:r>
        <w:rPr>
          <w:sz w:val="24"/>
          <w:szCs w:val="24"/>
        </w:rPr>
      </w:r>
      <w:r/>
    </w:p>
    <w:p>
      <w:pPr>
        <w:pStyle w:val="963"/>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rPr>
          <w:sz w:val="24"/>
          <w:szCs w:val="24"/>
        </w:rPr>
      </w:r>
      <w:r/>
    </w:p>
    <w:p>
      <w:pPr>
        <w:pStyle w:val="963"/>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sz w:val="24"/>
          <w:szCs w:val="24"/>
        </w:rPr>
      </w:r>
      <w:r/>
    </w:p>
    <w:p>
      <w:pPr>
        <w:pStyle w:val="963"/>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sz w:val="24"/>
          <w:szCs w:val="24"/>
        </w:rPr>
      </w:r>
      <w:r/>
    </w:p>
    <w:p>
      <w:pPr>
        <w:pStyle w:val="963"/>
        <w:spacing w:line="360" w:lineRule="auto"/>
        <w:rPr>
          <w:sz w:val="24"/>
          <w:szCs w:val="24"/>
        </w:rPr>
      </w:pPr>
      <w:r>
        <w:rPr>
          <w:rFonts w:hint="eastAsia"/>
          <w:sz w:val="24"/>
          <w:szCs w:val="24"/>
        </w:rPr>
        <w:t xml:space="preserve">日期：    年     月     日</w:t>
      </w:r>
      <w:r>
        <w:rPr>
          <w:sz w:val="24"/>
          <w:szCs w:val="24"/>
        </w:rPr>
      </w:r>
      <w:r/>
    </w:p>
    <w:p>
      <w:pPr>
        <w:pStyle w:val="963"/>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63"/>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6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6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6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96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6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6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963"/>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6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6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6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96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6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6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963"/>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rPr>
          <w:sz w:val="24"/>
          <w:szCs w:val="24"/>
        </w:rPr>
      </w:r>
      <w:r/>
    </w:p>
    <w:p>
      <w:pPr>
        <w:pStyle w:val="963"/>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rPr>
          <w:sz w:val="24"/>
          <w:szCs w:val="24"/>
        </w:rPr>
      </w:r>
      <w:r/>
    </w:p>
    <w:p>
      <w:pPr>
        <w:pStyle w:val="963"/>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rPr>
          <w:sz w:val="24"/>
          <w:szCs w:val="24"/>
        </w:rPr>
      </w:r>
      <w:r/>
    </w:p>
    <w:p>
      <w:pPr>
        <w:pStyle w:val="963"/>
        <w:ind w:firstLine="480"/>
        <w:jc w:val="left"/>
        <w:spacing w:line="360" w:lineRule="auto"/>
        <w:tabs>
          <w:tab w:val="left" w:pos="5580" w:leader="none"/>
        </w:tabs>
        <w:rPr>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rPr>
          <w:sz w:val="24"/>
          <w:szCs w:val="24"/>
        </w:rPr>
      </w:r>
      <w:r/>
    </w:p>
    <w:p>
      <w:pPr>
        <w:pStyle w:val="963"/>
      </w:pPr>
      <w:r/>
      <w:r/>
    </w:p>
    <w:p>
      <w:pPr>
        <w:pStyle w:val="963"/>
      </w:pPr>
      <w:r/>
      <w:r/>
    </w:p>
    <w:p>
      <w:pPr>
        <w:pStyle w:val="963"/>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rPr>
          <w:rFonts w:ascii="宋体" w:hAnsi="宋体"/>
          <w:b/>
          <w:color w:val="000000"/>
          <w:sz w:val="36"/>
          <w:szCs w:val="36"/>
        </w:rPr>
      </w:r>
      <w:r/>
    </w:p>
    <w:p>
      <w:pPr>
        <w:pStyle w:val="963"/>
        <w:spacing w:line="200" w:lineRule="exact"/>
        <w:rPr>
          <w:rFonts w:ascii="宋体" w:hAnsi="宋体"/>
          <w:sz w:val="20"/>
          <w:szCs w:val="20"/>
        </w:rPr>
      </w:pPr>
      <w:r>
        <w:rPr>
          <w:rFonts w:ascii="宋体" w:hAnsi="宋体"/>
          <w:sz w:val="20"/>
          <w:szCs w:val="20"/>
        </w:rPr>
      </w:r>
      <w:r/>
    </w:p>
    <w:p>
      <w:pPr>
        <w:pStyle w:val="963"/>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rPr>
          <w:rFonts w:ascii="宋体" w:hAnsi="宋体"/>
          <w:color w:val="000000"/>
          <w:sz w:val="24"/>
          <w:szCs w:val="24"/>
        </w:rPr>
      </w:r>
      <w:r/>
    </w:p>
    <w:p>
      <w:pPr>
        <w:pStyle w:val="963"/>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rPr>
          <w:rFonts w:ascii="宋体" w:hAnsi="宋体"/>
          <w:sz w:val="24"/>
          <w:szCs w:val="24"/>
        </w:rPr>
      </w:r>
      <w:r/>
    </w:p>
    <w:p>
      <w:pPr>
        <w:pStyle w:val="963"/>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rPr>
        <w:t xml:space="preserve">性别：</w:t>
      </w:r>
      <w:r>
        <w:rPr>
          <w:rFonts w:hint="eastAsia" w:ascii="宋体" w:hAnsi="宋体"/>
          <w:sz w:val="24"/>
          <w:szCs w:val="24"/>
          <w:u w:val="single"/>
        </w:rPr>
        <w:t xml:space="preserve">        </w:t>
      </w:r>
      <w:r>
        <w:rPr>
          <w:rFonts w:ascii="宋体" w:hAnsi="宋体"/>
          <w:sz w:val="24"/>
          <w:szCs w:val="24"/>
        </w:rPr>
        <w:t xml:space="preserve">年龄：</w:t>
      </w:r>
      <w:r>
        <w:rPr>
          <w:rFonts w:hint="eastAsia" w:ascii="宋体" w:hAnsi="宋体"/>
          <w:sz w:val="24"/>
          <w:szCs w:val="24"/>
          <w:u w:val="single"/>
        </w:rPr>
        <w:t xml:space="preserve">        </w:t>
      </w:r>
      <w:r>
        <w:rPr>
          <w:rFonts w:ascii="宋体" w:hAnsi="宋体"/>
          <w:sz w:val="24"/>
          <w:szCs w:val="24"/>
        </w:rPr>
        <w:t xml:space="preserve">职务：</w:t>
      </w:r>
      <w:r>
        <w:rPr>
          <w:rFonts w:hint="eastAsia" w:ascii="宋体" w:hAnsi="宋体"/>
          <w:sz w:val="24"/>
          <w:szCs w:val="24"/>
          <w:u w:val="single"/>
        </w:rPr>
        <w:t xml:space="preserve">        </w:t>
      </w:r>
      <w:r>
        <w:rPr>
          <w:rFonts w:ascii="宋体" w:hAnsi="宋体"/>
          <w:sz w:val="24"/>
          <w:szCs w:val="24"/>
        </w:rPr>
      </w:r>
      <w:r/>
    </w:p>
    <w:p>
      <w:pPr>
        <w:pStyle w:val="963"/>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963"/>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rFonts w:hint="eastAsia" w:ascii="宋体" w:hAnsi="宋体"/>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ascii="宋体" w:hAnsi="宋体"/>
          <w:sz w:val="24"/>
          <w:szCs w:val="24"/>
        </w:rPr>
        <w:t xml:space="preserve">的法定代表人（单位负责人）。</w:t>
      </w:r>
      <w:r>
        <w:rPr>
          <w:rFonts w:ascii="宋体" w:hAnsi="宋体"/>
          <w:sz w:val="24"/>
          <w:szCs w:val="24"/>
        </w:rPr>
      </w:r>
      <w:r/>
    </w:p>
    <w:p>
      <w:pPr>
        <w:pStyle w:val="963"/>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963"/>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963"/>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rPr>
          <w:rFonts w:ascii="宋体" w:hAnsi="宋体"/>
          <w:spacing w:val="-3"/>
          <w:sz w:val="24"/>
          <w:szCs w:val="24"/>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6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6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6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96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6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6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963"/>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pStyle w:val="963"/>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rPr>
          <w:sz w:val="24"/>
          <w:szCs w:val="24"/>
        </w:rPr>
      </w:r>
      <w:r/>
    </w:p>
    <w:p>
      <w:pPr>
        <w:pStyle w:val="963"/>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rPr>
          <w:sz w:val="24"/>
          <w:szCs w:val="24"/>
        </w:rPr>
      </w:r>
      <w:r/>
    </w:p>
    <w:p>
      <w:pPr>
        <w:pStyle w:val="963"/>
        <w:spacing w:line="360" w:lineRule="auto"/>
        <w:rPr>
          <w:sz w:val="24"/>
          <w:szCs w:val="24"/>
        </w:rPr>
      </w:pPr>
      <w:r>
        <w:rPr>
          <w:sz w:val="24"/>
          <w:szCs w:val="24"/>
        </w:rPr>
      </w:r>
      <w:r/>
    </w:p>
    <w:p>
      <w:pPr>
        <w:pStyle w:val="963"/>
        <w:spacing w:line="360" w:lineRule="auto"/>
        <w:rPr>
          <w:sz w:val="24"/>
          <w:szCs w:val="24"/>
        </w:rPr>
      </w:pPr>
      <w:r>
        <w:rPr>
          <w:rFonts w:hint="eastAsia"/>
          <w:sz w:val="24"/>
          <w:szCs w:val="24"/>
        </w:rPr>
        <w:t xml:space="preserve">日期：    年     月     日</w:t>
      </w:r>
      <w:r>
        <w:rPr>
          <w:sz w:val="24"/>
          <w:szCs w:val="24"/>
        </w:rPr>
      </w:r>
      <w:r/>
    </w:p>
    <w:p>
      <w:pPr>
        <w:pStyle w:val="963"/>
        <w:spacing w:line="360" w:lineRule="auto"/>
        <w:rPr>
          <w:sz w:val="24"/>
          <w:szCs w:val="24"/>
        </w:rPr>
      </w:pPr>
      <w:r>
        <w:rPr>
          <w:sz w:val="24"/>
          <w:szCs w:val="24"/>
        </w:rPr>
      </w:r>
      <w:r/>
    </w:p>
    <w:p>
      <w:pPr>
        <w:pStyle w:val="963"/>
      </w:pPr>
      <w:r/>
      <w:r/>
    </w:p>
    <w:p>
      <w:pPr>
        <w:pStyle w:val="963"/>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rPr>
          <w:rFonts w:ascii="黑体" w:hAnsi="黑体" w:eastAsia="黑体"/>
          <w:b/>
          <w:i/>
          <w:color w:val="000000"/>
          <w:sz w:val="32"/>
          <w:szCs w:val="32"/>
          <w:u w:val="single"/>
        </w:rPr>
      </w:r>
      <w:r/>
    </w:p>
    <w:p>
      <w:pPr>
        <w:pStyle w:val="963"/>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rPr>
          <w:rFonts w:ascii="Times New Roman" w:hAnsi="Times New Roman"/>
          <w:color w:val="000000"/>
          <w:sz w:val="24"/>
          <w:szCs w:val="24"/>
        </w:rPr>
      </w:r>
      <w:r/>
    </w:p>
    <w:p>
      <w:pPr>
        <w:pStyle w:val="963"/>
        <w:jc w:val="left"/>
        <w:spacing w:line="500" w:lineRule="exact"/>
        <w:rPr>
          <w:rFonts w:ascii="宋体" w:hAnsi="宋体"/>
          <w:color w:val="000000"/>
          <w:sz w:val="24"/>
          <w:szCs w:val="21"/>
        </w:rPr>
      </w:pPr>
      <w:r>
        <w:rPr>
          <w:rFonts w:hint="eastAsia" w:ascii="宋体" w:hAnsi="宋体"/>
          <w:color w:val="000000"/>
          <w:sz w:val="24"/>
          <w:szCs w:val="21"/>
        </w:rPr>
        <w:t xml:space="preserve">致：连云港市公共资源交易中心</w:t>
      </w:r>
      <w:r>
        <w:rPr>
          <w:rFonts w:ascii="宋体" w:hAnsi="宋体"/>
          <w:color w:val="000000"/>
          <w:sz w:val="24"/>
          <w:szCs w:val="21"/>
        </w:rPr>
      </w:r>
      <w:r/>
    </w:p>
    <w:p>
      <w:pPr>
        <w:pStyle w:val="963"/>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rPr>
          <w:rFonts w:ascii="宋体" w:hAnsi="宋体"/>
          <w:color w:val="000000"/>
          <w:sz w:val="24"/>
          <w:szCs w:val="21"/>
        </w:rPr>
      </w:r>
      <w:r/>
    </w:p>
    <w:p>
      <w:pPr>
        <w:pStyle w:val="963"/>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rPr>
          <w:rFonts w:ascii="宋体" w:hAnsi="宋体"/>
          <w:color w:val="000000"/>
          <w:sz w:val="24"/>
          <w:szCs w:val="21"/>
        </w:rPr>
      </w:r>
      <w:r/>
    </w:p>
    <w:p>
      <w:pPr>
        <w:pStyle w:val="963"/>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1.按招标文件规定的各项要求，向买方提供所需服务（包含与服务相关的货物、工程）。</w:t>
      </w:r>
      <w:r>
        <w:rPr>
          <w:rFonts w:ascii="宋体" w:hAnsi="宋体"/>
          <w:color w:val="000000"/>
          <w:sz w:val="24"/>
          <w:szCs w:val="21"/>
        </w:rPr>
      </w:r>
      <w:r/>
    </w:p>
    <w:p>
      <w:pPr>
        <w:pStyle w:val="963"/>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ascii="宋体" w:hAnsi="宋体"/>
          <w:color w:val="000000"/>
          <w:sz w:val="24"/>
          <w:szCs w:val="21"/>
        </w:rPr>
      </w:r>
      <w:r/>
    </w:p>
    <w:p>
      <w:pPr>
        <w:pStyle w:val="963"/>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ascii="宋体" w:hAnsi="宋体"/>
          <w:color w:val="000000"/>
          <w:sz w:val="24"/>
          <w:szCs w:val="21"/>
        </w:rPr>
      </w:r>
      <w:r/>
    </w:p>
    <w:p>
      <w:pPr>
        <w:pStyle w:val="963"/>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ascii="宋体" w:hAnsi="宋体"/>
          <w:color w:val="000000"/>
          <w:sz w:val="24"/>
          <w:szCs w:val="21"/>
        </w:rPr>
      </w:r>
      <w:r/>
    </w:p>
    <w:p>
      <w:pPr>
        <w:pStyle w:val="963"/>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ascii="宋体" w:hAnsi="宋体"/>
          <w:color w:val="000000"/>
          <w:sz w:val="24"/>
          <w:szCs w:val="21"/>
        </w:rPr>
      </w:r>
      <w:r/>
    </w:p>
    <w:p>
      <w:pPr>
        <w:pStyle w:val="963"/>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ascii="宋体" w:hAnsi="宋体"/>
          <w:color w:val="000000"/>
          <w:sz w:val="24"/>
          <w:szCs w:val="21"/>
        </w:rPr>
      </w:r>
      <w:r/>
    </w:p>
    <w:p>
      <w:pPr>
        <w:pStyle w:val="963"/>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ascii="宋体" w:hAnsi="宋体"/>
          <w:color w:val="000000"/>
          <w:sz w:val="24"/>
          <w:szCs w:val="21"/>
        </w:rPr>
      </w:r>
      <w:r/>
    </w:p>
    <w:p>
      <w:pPr>
        <w:pStyle w:val="963"/>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rPr>
          <w:rFonts w:ascii="宋体" w:hAnsi="宋体"/>
          <w:color w:val="000000"/>
          <w:sz w:val="24"/>
          <w:szCs w:val="21"/>
        </w:rPr>
      </w:r>
      <w:r/>
    </w:p>
    <w:p>
      <w:pPr>
        <w:pStyle w:val="963"/>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rPr>
          <w:rFonts w:ascii="宋体" w:hAnsi="宋体"/>
          <w:color w:val="000000"/>
          <w:sz w:val="24"/>
          <w:szCs w:val="21"/>
        </w:rPr>
      </w:r>
      <w:r/>
    </w:p>
    <w:p>
      <w:pPr>
        <w:pStyle w:val="963"/>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rPr>
          <w:rFonts w:ascii="宋体" w:hAnsi="宋体"/>
          <w:color w:val="000000"/>
          <w:sz w:val="24"/>
          <w:szCs w:val="21"/>
        </w:rPr>
      </w:r>
      <w:r/>
    </w:p>
    <w:p>
      <w:pPr>
        <w:pStyle w:val="963"/>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rPr>
          <w:rFonts w:ascii="宋体" w:hAnsi="宋体"/>
          <w:color w:val="000000"/>
          <w:sz w:val="24"/>
          <w:szCs w:val="21"/>
        </w:rPr>
      </w:r>
      <w:r/>
    </w:p>
    <w:p>
      <w:pPr>
        <w:pStyle w:val="963"/>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rPr>
          <w:rFonts w:ascii="宋体" w:hAnsi="宋体"/>
          <w:color w:val="000000"/>
          <w:sz w:val="24"/>
          <w:szCs w:val="21"/>
        </w:rPr>
      </w:r>
      <w:r/>
    </w:p>
    <w:p>
      <w:pPr>
        <w:pStyle w:val="963"/>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rPr>
          <w:rFonts w:ascii="宋体" w:hAnsi="宋体"/>
          <w:color w:val="000000"/>
          <w:sz w:val="24"/>
          <w:szCs w:val="21"/>
        </w:rPr>
      </w:r>
      <w:r/>
    </w:p>
    <w:p>
      <w:pPr>
        <w:pStyle w:val="963"/>
      </w:pPr>
      <w:r/>
      <w:r/>
    </w:p>
    <w:p>
      <w:pPr>
        <w:pStyle w:val="963"/>
      </w:pPr>
      <w:r/>
      <w:r/>
    </w:p>
    <w:p>
      <w:pPr>
        <w:pStyle w:val="963"/>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963"/>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963"/>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963"/>
      </w:pPr>
      <w:r/>
      <w:r/>
    </w:p>
    <w:p>
      <w:pPr>
        <w:pStyle w:val="963"/>
      </w:pPr>
      <w:r/>
      <w:r/>
    </w:p>
    <w:p>
      <w:pPr>
        <w:pStyle w:val="963"/>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十一、中小企业声明函（服务）（分包号：**）</w:t>
      </w:r>
      <w:r>
        <w:rPr>
          <w:rFonts w:ascii="Arial" w:hAnsi="Arial" w:cs="Arial"/>
          <w:sz w:val="36"/>
        </w:rPr>
      </w:r>
      <w:r/>
    </w:p>
    <w:p>
      <w:pPr>
        <w:pStyle w:val="963"/>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rPr>
          <w:rFonts w:ascii="宋体" w:hAnsi="宋体"/>
          <w:color w:val="000000"/>
          <w:sz w:val="24"/>
          <w:szCs w:val="24"/>
        </w:rPr>
      </w:r>
      <w:r/>
    </w:p>
    <w:p>
      <w:pPr>
        <w:pStyle w:val="963"/>
        <w:ind w:firstLine="480"/>
        <w:spacing w:line="500" w:lineRule="exact"/>
        <w:rPr>
          <w:rFonts w:ascii="宋体" w:hAnsi="宋体"/>
          <w:sz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4"/>
        </w:rPr>
        <w:t xml:space="preserve">）采购活动，提供的</w:t>
      </w:r>
      <w:r>
        <w:rPr>
          <w:rFonts w:ascii="宋体" w:hAnsi="宋体"/>
          <w:sz w:val="24"/>
        </w:rPr>
        <w:t xml:space="preserve">服务全部由符合政策要求的中小企业承接。</w:t>
      </w:r>
      <w:r>
        <w:rPr>
          <w:rFonts w:ascii="宋体" w:hAnsi="宋体"/>
          <w:sz w:val="24"/>
        </w:rPr>
      </w:r>
      <w:r/>
    </w:p>
    <w:p>
      <w:pPr>
        <w:pStyle w:val="963"/>
        <w:ind w:firstLine="480"/>
        <w:spacing w:line="500" w:lineRule="exact"/>
        <w:rPr>
          <w:rFonts w:ascii="宋体" w:hAnsi="宋体"/>
          <w:i/>
          <w:color w:val="000000"/>
          <w:sz w:val="24"/>
          <w:szCs w:val="24"/>
          <w:u w:val="single"/>
        </w:rPr>
      </w:pP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963"/>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ascii="宋体" w:hAnsi="宋体"/>
          <w:color w:val="000000"/>
          <w:sz w:val="24"/>
          <w:szCs w:val="24"/>
        </w:rPr>
      </w:r>
      <w:r/>
    </w:p>
    <w:p>
      <w:pPr>
        <w:pStyle w:val="963"/>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ascii="宋体" w:hAnsi="宋体"/>
          <w:color w:val="000000"/>
          <w:sz w:val="24"/>
          <w:szCs w:val="24"/>
        </w:rPr>
      </w:r>
      <w:r/>
    </w:p>
    <w:p>
      <w:pPr>
        <w:pStyle w:val="963"/>
        <w:ind w:right="1620"/>
        <w:spacing w:line="560" w:lineRule="exact"/>
        <w:rPr>
          <w:rFonts w:ascii="宋体" w:hAnsi="宋体"/>
          <w:color w:val="000000"/>
          <w:sz w:val="24"/>
          <w:szCs w:val="24"/>
        </w:rPr>
      </w:pPr>
      <w:r>
        <w:rPr>
          <w:rFonts w:ascii="宋体" w:hAnsi="宋体"/>
          <w:color w:val="000000"/>
          <w:sz w:val="24"/>
          <w:szCs w:val="24"/>
        </w:rPr>
      </w:r>
      <w:r/>
    </w:p>
    <w:p>
      <w:pPr>
        <w:pStyle w:val="963"/>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rPr>
          <w:rFonts w:ascii="宋体" w:hAnsi="宋体"/>
          <w:color w:val="000000"/>
          <w:sz w:val="24"/>
          <w:szCs w:val="24"/>
        </w:rPr>
      </w:r>
      <w:r/>
    </w:p>
    <w:p>
      <w:pPr>
        <w:pStyle w:val="963"/>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963"/>
        <w:ind w:right="480"/>
        <w:jc w:val="left"/>
        <w:spacing w:line="360" w:lineRule="auto"/>
        <w:rPr>
          <w:rFonts w:ascii="宋体" w:hAnsi="宋体"/>
          <w:sz w:val="24"/>
          <w:szCs w:val="24"/>
        </w:rPr>
      </w:pPr>
      <w:r>
        <w:rPr>
          <w:rFonts w:ascii="宋体" w:hAnsi="宋体"/>
          <w:sz w:val="24"/>
          <w:szCs w:val="24"/>
        </w:rPr>
      </w:r>
      <w:r/>
    </w:p>
    <w:p>
      <w:pPr>
        <w:pStyle w:val="963"/>
        <w:ind w:right="480"/>
        <w:jc w:val="left"/>
        <w:spacing w:line="360" w:lineRule="auto"/>
        <w:rPr>
          <w:rFonts w:ascii="宋体" w:hAnsi="宋体"/>
          <w:sz w:val="24"/>
          <w:szCs w:val="24"/>
        </w:rPr>
      </w:pPr>
      <w:r>
        <w:rPr>
          <w:rFonts w:ascii="宋体" w:hAnsi="宋体"/>
          <w:sz w:val="24"/>
          <w:szCs w:val="24"/>
        </w:rPr>
      </w:r>
      <w:r/>
    </w:p>
    <w:p>
      <w:pPr>
        <w:pStyle w:val="963"/>
        <w:ind w:right="480"/>
        <w:jc w:val="left"/>
        <w:spacing w:line="360" w:lineRule="auto"/>
        <w:rPr>
          <w:rFonts w:ascii="宋体" w:hAnsi="宋体"/>
          <w:sz w:val="24"/>
          <w:szCs w:val="24"/>
        </w:rPr>
      </w:pPr>
      <w:r>
        <w:rPr>
          <w:rFonts w:hint="eastAsia" w:ascii="宋体" w:hAnsi="宋体"/>
          <w:sz w:val="24"/>
          <w:szCs w:val="24"/>
        </w:rPr>
        <w:t xml:space="preserve">填报说明：</w:t>
      </w:r>
      <w:r>
        <w:rPr>
          <w:rFonts w:ascii="宋体" w:hAnsi="宋体"/>
          <w:sz w:val="24"/>
          <w:szCs w:val="24"/>
        </w:rPr>
      </w:r>
      <w:r/>
    </w:p>
    <w:p>
      <w:pPr>
        <w:pStyle w:val="963"/>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rPr>
          <w:rFonts w:ascii="宋体" w:hAnsi="宋体"/>
          <w:sz w:val="24"/>
          <w:szCs w:val="24"/>
        </w:rPr>
      </w:r>
      <w:r/>
    </w:p>
    <w:p>
      <w:pPr>
        <w:pStyle w:val="963"/>
        <w:ind w:firstLine="480"/>
        <w:jc w:val="left"/>
        <w:spacing w:line="360" w:lineRule="auto"/>
        <w:rPr>
          <w:rFonts w:ascii="宋体" w:hAnsi="宋体"/>
          <w:sz w:val="24"/>
          <w:szCs w:val="24"/>
        </w:rPr>
      </w:pPr>
      <w:r>
        <w:rPr>
          <w:rFonts w:hint="eastAsia" w:ascii="宋体" w:hAnsi="宋体"/>
          <w:sz w:val="24"/>
          <w:szCs w:val="24"/>
        </w:rPr>
        <w:t xml:space="preserve">2、请供应商如实填写，</w:t>
      </w:r>
      <w:r>
        <w:rPr>
          <w:rFonts w:hint="eastAsia" w:ascii="宋体" w:hAnsi="宋体"/>
          <w:sz w:val="24"/>
        </w:rPr>
        <w:t xml:space="preserve">所填内容将作为评审的依据</w:t>
      </w:r>
      <w:r>
        <w:rPr>
          <w:rFonts w:hint="eastAsia" w:ascii="宋体" w:hAnsi="宋体"/>
          <w:sz w:val="24"/>
          <w:szCs w:val="24"/>
        </w:rPr>
        <w:t xml:space="preserve">，如填写不完整或不一致或填写有误，</w:t>
      </w:r>
      <w:r>
        <w:rPr>
          <w:rFonts w:hint="eastAsia" w:ascii="宋体" w:hAnsi="宋体"/>
          <w:sz w:val="24"/>
          <w:szCs w:val="24"/>
        </w:rPr>
        <w:t xml:space="preserve">供应商承担一切不利后果</w:t>
      </w:r>
      <w:r>
        <w:rPr>
          <w:rFonts w:hint="eastAsia" w:ascii="宋体" w:hAnsi="宋体"/>
          <w:sz w:val="24"/>
          <w:szCs w:val="24"/>
        </w:rPr>
        <w:t xml:space="preserve">。</w:t>
      </w:r>
      <w:r>
        <w:rPr>
          <w:rFonts w:ascii="宋体" w:hAnsi="宋体"/>
          <w:sz w:val="24"/>
          <w:szCs w:val="24"/>
        </w:rPr>
      </w:r>
      <w:r/>
    </w:p>
    <w:p>
      <w:pPr>
        <w:pStyle w:val="963"/>
        <w:ind w:firstLine="480"/>
        <w:jc w:val="left"/>
        <w:spacing w:line="360" w:lineRule="auto"/>
        <w:rPr>
          <w:rFonts w:ascii="宋体" w:hAnsi="宋体"/>
          <w:sz w:val="24"/>
          <w:szCs w:val="24"/>
        </w:rPr>
      </w:pPr>
      <w:r>
        <w:rPr>
          <w:rFonts w:hint="eastAsia" w:ascii="宋体" w:hAnsi="宋体"/>
          <w:sz w:val="24"/>
          <w:szCs w:val="24"/>
        </w:rPr>
        <w:t xml:space="preserve">3、中标人的《中小企业声明函》随中标结果公开，接受社会监督。</w:t>
      </w:r>
      <w:r>
        <w:rPr>
          <w:rFonts w:ascii="宋体" w:hAnsi="宋体"/>
          <w:sz w:val="24"/>
          <w:szCs w:val="24"/>
        </w:rPr>
      </w:r>
      <w:r/>
    </w:p>
    <w:p>
      <w:pPr>
        <w:pStyle w:val="963"/>
      </w:pPr>
      <w:r/>
      <w:r/>
    </w:p>
    <w:p>
      <w:pPr>
        <w:pStyle w:val="963"/>
      </w:pPr>
      <w:r/>
      <w:r/>
    </w:p>
    <w:p>
      <w:pPr>
        <w:pStyle w:val="963"/>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rPr>
          <w:rFonts w:ascii="Arial" w:hAnsi="Arial" w:cs="Arial"/>
          <w:sz w:val="36"/>
        </w:rPr>
      </w:r>
      <w:r/>
    </w:p>
    <w:p>
      <w:pPr>
        <w:pStyle w:val="963"/>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rPr>
          <w:rFonts w:ascii="宋体" w:hAnsi="宋体"/>
          <w:color w:val="000000"/>
          <w:sz w:val="24"/>
          <w:szCs w:val="21"/>
        </w:rPr>
      </w:r>
      <w:r/>
    </w:p>
    <w:p>
      <w:pPr>
        <w:pStyle w:val="963"/>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w:t>
      </w:r>
      <w:r>
        <w:rPr>
          <w:rFonts w:hint="eastAsia" w:ascii="宋体" w:hAnsi="宋体"/>
          <w:color w:val="000000"/>
          <w:sz w:val="24"/>
          <w:szCs w:val="21"/>
          <w:u w:val="single"/>
        </w:rPr>
        <w:t xml:space="preserve">           </w:t>
      </w:r>
      <w:r>
        <w:rPr>
          <w:rFonts w:hint="eastAsia" w:ascii="宋体" w:hAnsi="宋体"/>
          <w:color w:val="000000"/>
          <w:sz w:val="24"/>
          <w:szCs w:val="21"/>
        </w:rPr>
        <w:t xml:space="preserve">单位的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1"/>
        </w:rPr>
        <w:t xml:space="preserve">）采购活动由本单位提供全部服务。</w:t>
      </w:r>
      <w:r>
        <w:rPr>
          <w:rFonts w:ascii="宋体" w:hAnsi="宋体"/>
          <w:color w:val="000000"/>
          <w:sz w:val="24"/>
          <w:szCs w:val="21"/>
        </w:rPr>
      </w:r>
      <w:r/>
    </w:p>
    <w:p>
      <w:pPr>
        <w:pStyle w:val="963"/>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ascii="宋体" w:hAnsi="宋体"/>
          <w:color w:val="000000"/>
          <w:sz w:val="24"/>
          <w:szCs w:val="21"/>
        </w:rPr>
      </w:r>
      <w:r/>
    </w:p>
    <w:p>
      <w:pPr>
        <w:pStyle w:val="963"/>
        <w:ind w:firstLine="480"/>
        <w:spacing w:line="500" w:lineRule="exact"/>
        <w:rPr>
          <w:rFonts w:ascii="宋体" w:hAnsi="宋体"/>
          <w:color w:val="000000"/>
          <w:sz w:val="24"/>
          <w:szCs w:val="21"/>
        </w:rPr>
      </w:pPr>
      <w:r>
        <w:rPr>
          <w:rFonts w:ascii="宋体" w:hAnsi="宋体"/>
          <w:color w:val="000000"/>
          <w:sz w:val="24"/>
          <w:szCs w:val="21"/>
        </w:rPr>
      </w:r>
      <w:r/>
    </w:p>
    <w:p>
      <w:pPr>
        <w:pStyle w:val="963"/>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rPr>
          <w:rFonts w:ascii="宋体" w:hAnsi="宋体"/>
          <w:color w:val="000000"/>
          <w:sz w:val="24"/>
          <w:szCs w:val="24"/>
        </w:rPr>
      </w:r>
      <w:r/>
    </w:p>
    <w:p>
      <w:pPr>
        <w:pStyle w:val="963"/>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963"/>
      </w:pPr>
      <w:r/>
      <w:r/>
    </w:p>
    <w:p>
      <w:pPr>
        <w:pStyle w:val="963"/>
      </w:pPr>
      <w:r/>
      <w:r/>
    </w:p>
    <w:p>
      <w:pPr>
        <w:pStyle w:val="963"/>
        <w:spacing w:line="360" w:lineRule="auto"/>
        <w:rPr>
          <w:rFonts w:ascii="宋体" w:hAnsi="宋体"/>
          <w:bCs/>
          <w:sz w:val="24"/>
          <w:szCs w:val="24"/>
        </w:rPr>
      </w:pPr>
      <w:r>
        <w:rPr>
          <w:rFonts w:hint="eastAsia" w:ascii="宋体" w:hAnsi="宋体"/>
          <w:bCs/>
          <w:sz w:val="24"/>
          <w:szCs w:val="24"/>
        </w:rPr>
        <w:t xml:space="preserve">填报说明：</w:t>
      </w:r>
      <w:r>
        <w:rPr>
          <w:rFonts w:ascii="宋体" w:hAnsi="宋体"/>
          <w:bCs/>
          <w:sz w:val="24"/>
          <w:szCs w:val="24"/>
        </w:rPr>
      </w:r>
      <w:r/>
    </w:p>
    <w:p>
      <w:pPr>
        <w:pStyle w:val="963"/>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w:t>
      </w:r>
      <w:r>
        <w:rPr>
          <w:rFonts w:hint="eastAsia" w:ascii="宋体" w:hAnsi="宋体"/>
          <w:bCs/>
          <w:sz w:val="24"/>
        </w:rPr>
        <w:t xml:space="preserve">所填内容将作为评审的依据</w:t>
      </w:r>
      <w:r>
        <w:rPr>
          <w:rFonts w:hint="eastAsia" w:ascii="宋体" w:hAnsi="宋体"/>
          <w:sz w:val="24"/>
          <w:szCs w:val="24"/>
        </w:rPr>
        <w:t xml:space="preserve">，如填写不完整或不一致或填写有误，</w:t>
      </w:r>
      <w:r>
        <w:rPr>
          <w:rFonts w:hint="eastAsia" w:ascii="宋体" w:hAnsi="宋体"/>
          <w:sz w:val="24"/>
          <w:szCs w:val="24"/>
        </w:rPr>
        <w:t xml:space="preserve">供应商承担一切不利后果</w:t>
      </w:r>
      <w:r>
        <w:rPr>
          <w:rFonts w:hint="eastAsia" w:ascii="宋体" w:hAnsi="宋体"/>
          <w:sz w:val="24"/>
          <w:szCs w:val="24"/>
        </w:rPr>
        <w:t xml:space="preserve">。</w:t>
      </w:r>
      <w:r>
        <w:rPr>
          <w:rFonts w:ascii="宋体" w:hAnsi="宋体"/>
          <w:bCs/>
          <w:sz w:val="24"/>
          <w:szCs w:val="24"/>
        </w:rPr>
      </w:r>
      <w:r/>
    </w:p>
    <w:p>
      <w:pPr>
        <w:pStyle w:val="963"/>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rPr>
          <w:rFonts w:ascii="Times New Roman" w:hAnsi="Times New Roman"/>
          <w:sz w:val="24"/>
          <w:szCs w:val="24"/>
        </w:rPr>
      </w:r>
      <w:r/>
    </w:p>
    <w:p>
      <w:pPr>
        <w:pStyle w:val="963"/>
      </w:pPr>
      <w:r/>
      <w:r/>
    </w:p>
    <w:p>
      <w:pPr>
        <w:pStyle w:val="963"/>
      </w:pPr>
      <w:r/>
      <w:r/>
    </w:p>
    <w:p>
      <w:pPr>
        <w:pStyle w:val="963"/>
      </w:pPr>
      <w:r/>
      <w:r/>
    </w:p>
    <w:p>
      <w:pPr>
        <w:pStyle w:val="963"/>
        <w:jc w:val="left"/>
        <w:keepLines/>
        <w:keepNext/>
        <w:spacing w:before="360" w:after="200" w:line="360" w:lineRule="auto"/>
        <w:rPr>
          <w:rFonts w:ascii="Arial" w:hAnsi="Arial" w:cs="Arial"/>
          <w:sz w:val="36"/>
        </w:rPr>
        <w:outlineLvl w:val="1"/>
      </w:pPr>
      <w:r>
        <w:rPr>
          <w:rFonts w:hint="eastAsia" w:ascii="Arial" w:hAnsi="Arial" w:cs="Arial"/>
          <w:sz w:val="36"/>
        </w:rPr>
        <w:t xml:space="preserve">十三、联合体协议（参考格式）（分包号：</w:t>
      </w:r>
      <w:r>
        <w:rPr>
          <w:rFonts w:hint="eastAsia" w:ascii="Arial" w:hAnsi="Arial" w:cs="Arial"/>
          <w:sz w:val="36"/>
        </w:rPr>
        <w:t xml:space="preserve">采购包2</w:t>
      </w:r>
      <w:r>
        <w:rPr>
          <w:rFonts w:hint="eastAsia" w:ascii="Arial" w:hAnsi="Arial" w:cs="Arial"/>
          <w:sz w:val="36"/>
        </w:rPr>
        <w:t xml:space="preserve">）</w:t>
      </w:r>
      <w:r>
        <w:rPr>
          <w:rFonts w:ascii="Arial" w:hAnsi="Arial" w:cs="Arial"/>
          <w:sz w:val="36"/>
        </w:rPr>
      </w:r>
      <w:r/>
    </w:p>
    <w:p>
      <w:pPr>
        <w:pStyle w:val="963"/>
        <w:jc w:val="center"/>
        <w:spacing w:line="360" w:lineRule="auto"/>
        <w:tabs>
          <w:tab w:val="left" w:pos="360" w:leader="none"/>
        </w:tabs>
        <w:rPr>
          <w:rFonts w:ascii="宋体" w:hAnsi="宋体"/>
          <w:color w:val="000000"/>
          <w:sz w:val="24"/>
          <w:szCs w:val="21"/>
          <w:u w:val="single"/>
        </w:rPr>
      </w:pPr>
      <w:r>
        <w:rPr>
          <w:rFonts w:hint="eastAsia" w:ascii="黑体" w:hAnsi="黑体" w:eastAsia="黑体" w:cs="宋体"/>
          <w:bCs/>
          <w:sz w:val="36"/>
          <w:szCs w:val="28"/>
        </w:rPr>
        <w:t xml:space="preserve">联合体协议</w:t>
      </w:r>
      <w:r>
        <w:rPr>
          <w:rFonts w:ascii="宋体" w:hAnsi="宋体"/>
          <w:color w:val="000000"/>
          <w:sz w:val="24"/>
          <w:szCs w:val="21"/>
          <w:u w:val="single"/>
        </w:rPr>
      </w:r>
      <w:r/>
    </w:p>
    <w:p>
      <w:pPr>
        <w:pStyle w:val="963"/>
        <w:spacing w:line="500" w:lineRule="exact"/>
        <w:rPr>
          <w:rFonts w:ascii="宋体" w:hAnsi="宋体"/>
          <w:color w:val="000000"/>
          <w:sz w:val="24"/>
          <w:szCs w:val="21"/>
        </w:rPr>
      </w:pPr>
      <w:r>
        <w:rPr>
          <w:rFonts w:hint="eastAsia" w:ascii="宋体" w:hAnsi="宋体"/>
          <w:color w:val="000000"/>
          <w:sz w:val="24"/>
          <w:szCs w:val="21"/>
          <w:u w:val="single"/>
        </w:rPr>
        <w:t xml:space="preserve">（联合体中各供应商全称）</w:t>
      </w:r>
      <w:r>
        <w:rPr>
          <w:rFonts w:hint="eastAsia" w:ascii="宋体" w:hAnsi="宋体"/>
          <w:color w:val="000000"/>
          <w:sz w:val="24"/>
          <w:szCs w:val="21"/>
        </w:rPr>
        <w:t xml:space="preserve">在此达成以下协议：</w:t>
      </w:r>
      <w:r>
        <w:rPr>
          <w:rFonts w:ascii="宋体" w:hAnsi="宋体"/>
          <w:color w:val="000000"/>
          <w:sz w:val="24"/>
          <w:szCs w:val="21"/>
        </w:rPr>
      </w:r>
      <w:r/>
    </w:p>
    <w:p>
      <w:pPr>
        <w:pStyle w:val="963"/>
        <w:ind w:firstLine="480"/>
        <w:spacing w:line="50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4"/>
        </w:rPr>
        <w:t xml:space="preserve">连云港市公共资源交易中心</w:t>
      </w:r>
      <w:r>
        <w:rPr>
          <w:rFonts w:hint="eastAsia" w:ascii="宋体" w:hAnsi="宋体"/>
          <w:color w:val="000000"/>
          <w:sz w:val="24"/>
          <w:szCs w:val="21"/>
        </w:rPr>
        <w:t xml:space="preserve">组织的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szCs w:val="21"/>
        </w:rPr>
        <w:t xml:space="preserve">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rPr>
          <w:rFonts w:ascii="宋体" w:hAnsi="宋体"/>
          <w:color w:val="000000"/>
          <w:sz w:val="24"/>
          <w:szCs w:val="21"/>
        </w:rPr>
      </w:r>
      <w:r/>
    </w:p>
    <w:p>
      <w:pPr>
        <w:pStyle w:val="963"/>
        <w:ind w:firstLine="480"/>
        <w:spacing w:line="50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部分工作，并承担相应的责任……。（注：联合体中各供应商都应明示所承担的工作和相应的责任）。</w:t>
      </w:r>
      <w:r>
        <w:rPr>
          <w:rFonts w:ascii="宋体" w:hAnsi="宋体"/>
          <w:color w:val="000000"/>
          <w:sz w:val="24"/>
          <w:szCs w:val="21"/>
        </w:rPr>
      </w:r>
      <w:r/>
    </w:p>
    <w:p>
      <w:pPr>
        <w:pStyle w:val="963"/>
        <w:ind w:firstLine="480"/>
        <w:spacing w:line="50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hint="eastAsia" w:ascii="宋体" w:hAnsi="宋体"/>
          <w:color w:val="000000"/>
          <w:sz w:val="24"/>
          <w:szCs w:val="21"/>
          <w:u w:val="single"/>
        </w:rPr>
        <w:t xml:space="preserve">  </w:t>
      </w:r>
      <w:r>
        <w:rPr>
          <w:rFonts w:ascii="宋体" w:hAnsi="宋体"/>
          <w:color w:val="000000"/>
          <w:sz w:val="24"/>
          <w:szCs w:val="21"/>
          <w:u w:val="single"/>
        </w:rPr>
        <w:t xml:space="preserve"> </w:t>
      </w:r>
      <w:r>
        <w:rPr>
          <w:rFonts w:ascii="宋体" w:hAnsi="宋体"/>
          <w:color w:val="000000"/>
          <w:sz w:val="24"/>
          <w:szCs w:val="21"/>
        </w:rPr>
        <w:t xml:space="preserve">%</w:t>
      </w:r>
      <w:r>
        <w:rPr>
          <w:rFonts w:hint="eastAsia" w:ascii="宋体" w:hAnsi="宋体"/>
          <w:color w:val="000000"/>
          <w:sz w:val="24"/>
          <w:szCs w:val="21"/>
        </w:rPr>
        <w:t xml:space="preserve">。（可选）</w:t>
      </w:r>
      <w:r>
        <w:rPr>
          <w:rFonts w:ascii="宋体" w:hAnsi="宋体"/>
          <w:color w:val="000000"/>
          <w:sz w:val="24"/>
          <w:szCs w:val="21"/>
        </w:rPr>
      </w:r>
      <w:r/>
    </w:p>
    <w:p>
      <w:pPr>
        <w:pStyle w:val="963"/>
        <w:ind w:firstLine="480"/>
        <w:spacing w:line="500" w:lineRule="exact"/>
        <w:rPr>
          <w:rFonts w:ascii="宋体" w:hAnsi="宋体"/>
          <w:color w:val="000000"/>
          <w:sz w:val="24"/>
          <w:szCs w:val="21"/>
        </w:rPr>
      </w:pPr>
      <w:r>
        <w:rPr>
          <w:rFonts w:ascii="宋体" w:hAnsi="宋体"/>
          <w:color w:val="000000"/>
          <w:sz w:val="24"/>
          <w:szCs w:val="21"/>
        </w:rPr>
      </w:r>
      <w:r/>
    </w:p>
    <w:p>
      <w:pPr>
        <w:pStyle w:val="963"/>
        <w:ind w:firstLine="480"/>
        <w:spacing w:line="500" w:lineRule="exact"/>
        <w:rPr>
          <w:rFonts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rPr>
          <w:rFonts w:ascii="宋体" w:hAnsi="宋体"/>
          <w:color w:val="000000"/>
          <w:sz w:val="24"/>
          <w:szCs w:val="21"/>
        </w:rPr>
      </w:r>
      <w:r/>
    </w:p>
    <w:p>
      <w:pPr>
        <w:pStyle w:val="963"/>
        <w:ind w:firstLine="480"/>
        <w:spacing w:line="360" w:lineRule="auto"/>
        <w:rPr>
          <w:rFonts w:ascii="宋体" w:hAnsi="宋体"/>
          <w:color w:val="000000"/>
          <w:sz w:val="24"/>
          <w:szCs w:val="21"/>
        </w:rPr>
      </w:pPr>
      <w:r>
        <w:rPr>
          <w:rFonts w:hint="eastAsia" w:ascii="宋体" w:hAnsi="宋体"/>
          <w:color w:val="000000"/>
          <w:sz w:val="24"/>
          <w:szCs w:val="21"/>
        </w:rPr>
        <w:t xml:space="preserve">供应商1全称（公章）：</w:t>
      </w:r>
      <w:r>
        <w:rPr>
          <w:rFonts w:ascii="宋体" w:hAnsi="宋体"/>
          <w:color w:val="000000"/>
          <w:sz w:val="24"/>
          <w:szCs w:val="21"/>
        </w:rPr>
        <w:t xml:space="preserve">     </w:t>
      </w:r>
      <w:r>
        <w:rPr>
          <w:rFonts w:ascii="宋体" w:hAnsi="宋体"/>
          <w:color w:val="000000"/>
          <w:sz w:val="24"/>
          <w:szCs w:val="21"/>
        </w:rPr>
      </w:r>
      <w:r/>
    </w:p>
    <w:p>
      <w:pPr>
        <w:pStyle w:val="963"/>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t xml:space="preserve">  </w:t>
      </w:r>
      <w:r>
        <w:rPr>
          <w:rFonts w:ascii="宋体" w:hAnsi="宋体"/>
          <w:color w:val="000000"/>
          <w:sz w:val="24"/>
          <w:szCs w:val="21"/>
        </w:rPr>
      </w:r>
      <w:r/>
    </w:p>
    <w:p>
      <w:pPr>
        <w:pStyle w:val="963"/>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rPr>
          <w:rFonts w:ascii="宋体" w:hAnsi="宋体"/>
          <w:color w:val="000000"/>
          <w:sz w:val="24"/>
          <w:szCs w:val="21"/>
        </w:rPr>
      </w:r>
      <w:r/>
    </w:p>
    <w:p>
      <w:pPr>
        <w:pStyle w:val="963"/>
        <w:ind w:firstLine="480"/>
        <w:spacing w:line="360" w:lineRule="auto"/>
        <w:rPr>
          <w:rFonts w:ascii="宋体" w:hAnsi="宋体"/>
          <w:sz w:val="24"/>
          <w:szCs w:val="24"/>
        </w:rPr>
      </w:pPr>
      <w:r>
        <w:rPr>
          <w:rFonts w:ascii="宋体" w:hAnsi="宋体"/>
          <w:sz w:val="24"/>
          <w:szCs w:val="24"/>
        </w:rPr>
      </w:r>
      <w:r/>
    </w:p>
    <w:p>
      <w:pPr>
        <w:pStyle w:val="963"/>
        <w:ind w:firstLine="480"/>
        <w:spacing w:line="360" w:lineRule="auto"/>
        <w:rPr>
          <w:rFonts w:ascii="宋体" w:hAnsi="宋体"/>
          <w:color w:val="000000"/>
          <w:sz w:val="24"/>
          <w:szCs w:val="21"/>
        </w:rPr>
      </w:pPr>
      <w:r>
        <w:rPr>
          <w:rFonts w:hint="eastAsia" w:ascii="宋体" w:hAnsi="宋体"/>
          <w:color w:val="000000"/>
          <w:sz w:val="24"/>
          <w:szCs w:val="21"/>
        </w:rPr>
        <w:t xml:space="preserve">供应商2全称（公章）：</w:t>
      </w:r>
      <w:r>
        <w:rPr>
          <w:rFonts w:ascii="宋体" w:hAnsi="宋体"/>
          <w:color w:val="000000"/>
          <w:sz w:val="24"/>
          <w:szCs w:val="21"/>
        </w:rPr>
        <w:t xml:space="preserve">     </w:t>
      </w:r>
      <w:r>
        <w:rPr>
          <w:rFonts w:ascii="宋体" w:hAnsi="宋体"/>
          <w:color w:val="000000"/>
          <w:sz w:val="24"/>
          <w:szCs w:val="21"/>
        </w:rPr>
      </w:r>
      <w:r/>
    </w:p>
    <w:p>
      <w:pPr>
        <w:pStyle w:val="963"/>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t xml:space="preserve">  </w:t>
      </w:r>
      <w:r>
        <w:rPr>
          <w:rFonts w:ascii="宋体" w:hAnsi="宋体"/>
          <w:color w:val="000000"/>
          <w:sz w:val="24"/>
          <w:szCs w:val="21"/>
        </w:rPr>
      </w:r>
      <w:r/>
    </w:p>
    <w:p>
      <w:pPr>
        <w:pStyle w:val="963"/>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rPr>
          <w:rFonts w:ascii="宋体" w:hAnsi="宋体"/>
          <w:color w:val="000000"/>
          <w:sz w:val="24"/>
          <w:szCs w:val="21"/>
        </w:rPr>
      </w:r>
      <w:r/>
    </w:p>
    <w:p>
      <w:pPr>
        <w:pStyle w:val="963"/>
        <w:ind w:firstLine="480"/>
        <w:spacing w:line="360" w:lineRule="auto"/>
        <w:rPr>
          <w:rFonts w:ascii="宋体" w:hAnsi="宋体"/>
          <w:sz w:val="24"/>
          <w:szCs w:val="24"/>
        </w:rPr>
      </w:pPr>
      <w:r>
        <w:rPr>
          <w:rFonts w:ascii="宋体" w:hAnsi="宋体"/>
          <w:sz w:val="24"/>
          <w:szCs w:val="24"/>
        </w:rPr>
      </w:r>
      <w:r/>
    </w:p>
    <w:p>
      <w:pPr>
        <w:pStyle w:val="963"/>
        <w:ind w:firstLine="480"/>
        <w:spacing w:line="50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p>
      <w:pPr>
        <w:pStyle w:val="963"/>
        <w:ind w:firstLine="480"/>
        <w:spacing w:line="500" w:lineRule="exact"/>
        <w:rPr>
          <w:rFonts w:ascii="宋体" w:hAnsi="宋体"/>
          <w:sz w:val="24"/>
          <w:szCs w:val="24"/>
        </w:rPr>
      </w:pPr>
      <w:r>
        <w:rPr>
          <w:rFonts w:ascii="宋体" w:hAnsi="宋体"/>
          <w:sz w:val="24"/>
          <w:szCs w:val="24"/>
        </w:rPr>
      </w:r>
      <w:r/>
    </w:p>
    <w:p>
      <w:pPr>
        <w:pStyle w:val="963"/>
        <w:ind w:firstLine="480"/>
        <w:spacing w:line="500" w:lineRule="exact"/>
      </w:pPr>
      <w:r>
        <w:rPr>
          <w:rFonts w:hint="eastAsia" w:ascii="宋体" w:hAnsi="宋体"/>
          <w:color w:val="000000"/>
          <w:sz w:val="24"/>
          <w:szCs w:val="21"/>
        </w:rPr>
        <w:t xml:space="preserve">备注：本招标文件中要求加盖公章的内容，仅需加盖牵头单位的公章。</w:t>
      </w:r>
      <w:r/>
    </w:p>
    <w:p>
      <w:pPr>
        <w:pStyle w:val="963"/>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十四、投标分项报价表（分包号：**）</w:t>
      </w:r>
      <w:r>
        <w:rPr>
          <w:rFonts w:ascii="Arial" w:hAnsi="Arial" w:cs="Arial"/>
          <w:i/>
          <w:iCs/>
          <w:sz w:val="36"/>
          <w:u w:val="single"/>
        </w:rPr>
      </w:r>
      <w:r/>
    </w:p>
    <w:p>
      <w:pPr>
        <w:pStyle w:val="963"/>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rPr>
          <w:rFonts w:ascii="黑体" w:hAnsi="黑体" w:eastAsia="黑体" w:cs="宋体"/>
          <w:bCs/>
          <w:sz w:val="36"/>
          <w:szCs w:val="28"/>
        </w:rPr>
      </w:r>
      <w:r/>
    </w:p>
    <w:p>
      <w:pPr>
        <w:pStyle w:val="963"/>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rPr>
          <w:rFonts w:ascii="宋体" w:hAnsi="宋体"/>
          <w:bCs/>
          <w:color w:val="000000"/>
          <w:sz w:val="24"/>
          <w:szCs w:val="24"/>
        </w:rPr>
      </w:r>
      <w:r/>
    </w:p>
    <w:p>
      <w:pPr>
        <w:pStyle w:val="963"/>
        <w:jc w:val="right"/>
        <w:spacing w:line="360" w:lineRule="auto"/>
        <w:rPr>
          <w:rFonts w:ascii="宋体" w:hAnsi="宋体"/>
          <w:color w:val="000000"/>
          <w:szCs w:val="24"/>
        </w:rPr>
      </w:pPr>
      <w:r>
        <w:rPr>
          <w:rFonts w:hint="eastAsia" w:ascii="宋体" w:hAnsi="宋体"/>
          <w:color w:val="000000"/>
          <w:szCs w:val="24"/>
        </w:rPr>
        <w:t xml:space="preserve">单位：元</w:t>
      </w:r>
      <w:r>
        <w:rPr>
          <w:rFonts w:ascii="宋体" w:hAnsi="宋体"/>
          <w:color w:val="000000"/>
          <w:szCs w:val="24"/>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trHeight w:val="898"/>
        </w:trPr>
        <w:tc>
          <w:tcPr>
            <w:tcW w:w="896" w:type="dxa"/>
            <w:vAlign w:val="center"/>
            <w:textDirection w:val="lrTb"/>
            <w:noWrap w:val="false"/>
          </w:tcPr>
          <w:p>
            <w:pPr>
              <w:pStyle w:val="963"/>
              <w:jc w:val="center"/>
              <w:spacing w:line="560" w:lineRule="exact"/>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tcW w:w="1756" w:type="dxa"/>
            <w:vAlign w:val="center"/>
            <w:textDirection w:val="lrTb"/>
            <w:noWrap w:val="false"/>
          </w:tcPr>
          <w:p>
            <w:pPr>
              <w:pStyle w:val="963"/>
              <w:jc w:val="center"/>
              <w:spacing w:line="560" w:lineRule="exact"/>
              <w:rPr>
                <w:rFonts w:ascii="宋体" w:hAnsi="宋体"/>
                <w:color w:val="000000"/>
                <w:sz w:val="24"/>
              </w:rPr>
            </w:pPr>
            <w:r>
              <w:rPr>
                <w:rFonts w:hint="eastAsia" w:ascii="宋体" w:hAnsi="宋体"/>
                <w:color w:val="000000"/>
                <w:sz w:val="24"/>
              </w:rPr>
              <w:t xml:space="preserve">产品、服务（标的）名称</w:t>
            </w:r>
            <w:r>
              <w:rPr>
                <w:rFonts w:ascii="宋体" w:hAnsi="宋体"/>
                <w:color w:val="000000"/>
                <w:sz w:val="24"/>
              </w:rPr>
            </w:r>
            <w:r/>
          </w:p>
        </w:tc>
        <w:tc>
          <w:tcPr>
            <w:tcW w:w="1417" w:type="dxa"/>
            <w:vAlign w:val="center"/>
            <w:textDirection w:val="lrTb"/>
            <w:noWrap w:val="false"/>
          </w:tcPr>
          <w:p>
            <w:pPr>
              <w:pStyle w:val="963"/>
              <w:jc w:val="center"/>
              <w:spacing w:line="560" w:lineRule="exact"/>
              <w:rPr>
                <w:rFonts w:ascii="宋体" w:hAnsi="宋体"/>
                <w:color w:val="000000"/>
                <w:sz w:val="24"/>
              </w:rPr>
            </w:pPr>
            <w:r>
              <w:rPr>
                <w:rFonts w:hint="eastAsia" w:ascii="宋体" w:hAnsi="宋体"/>
                <w:color w:val="000000"/>
                <w:sz w:val="24"/>
              </w:rPr>
              <w:t xml:space="preserve">分项单位</w:t>
            </w:r>
            <w:r>
              <w:rPr>
                <w:rFonts w:ascii="宋体" w:hAnsi="宋体"/>
                <w:color w:val="000000"/>
                <w:sz w:val="24"/>
              </w:rPr>
            </w:r>
            <w:r/>
          </w:p>
        </w:tc>
        <w:tc>
          <w:tcPr>
            <w:tcW w:w="993" w:type="dxa"/>
            <w:vAlign w:val="center"/>
            <w:textDirection w:val="lrTb"/>
            <w:noWrap w:val="false"/>
          </w:tcPr>
          <w:p>
            <w:pPr>
              <w:pStyle w:val="963"/>
              <w:jc w:val="center"/>
              <w:spacing w:line="560" w:lineRule="exact"/>
              <w:rPr>
                <w:rFonts w:ascii="宋体" w:hAnsi="宋体"/>
                <w:color w:val="000000"/>
                <w:sz w:val="24"/>
              </w:rPr>
            </w:pPr>
            <w:r>
              <w:rPr>
                <w:rFonts w:hint="eastAsia" w:ascii="宋体" w:hAnsi="宋体"/>
                <w:color w:val="000000"/>
                <w:sz w:val="24"/>
              </w:rPr>
              <w:t xml:space="preserve">数量</w:t>
            </w:r>
            <w:r>
              <w:rPr>
                <w:rFonts w:ascii="宋体" w:hAnsi="宋体"/>
                <w:color w:val="000000"/>
                <w:sz w:val="24"/>
              </w:rPr>
            </w:r>
            <w:r/>
          </w:p>
        </w:tc>
        <w:tc>
          <w:tcPr>
            <w:tcW w:w="1093" w:type="dxa"/>
            <w:vAlign w:val="center"/>
            <w:textDirection w:val="lrTb"/>
            <w:noWrap w:val="false"/>
          </w:tcPr>
          <w:p>
            <w:pPr>
              <w:pStyle w:val="963"/>
              <w:jc w:val="center"/>
              <w:spacing w:line="560" w:lineRule="exact"/>
              <w:rPr>
                <w:rFonts w:ascii="宋体" w:hAnsi="宋体"/>
                <w:color w:val="000000"/>
                <w:sz w:val="24"/>
              </w:rPr>
            </w:pPr>
            <w:r>
              <w:rPr>
                <w:rFonts w:hint="eastAsia" w:ascii="宋体" w:hAnsi="宋体"/>
                <w:color w:val="000000"/>
                <w:sz w:val="24"/>
              </w:rPr>
              <w:t xml:space="preserve">单价</w:t>
            </w:r>
            <w:r>
              <w:rPr>
                <w:rFonts w:ascii="宋体" w:hAnsi="宋体"/>
                <w:color w:val="000000"/>
                <w:sz w:val="24"/>
              </w:rPr>
            </w:r>
            <w:r/>
          </w:p>
        </w:tc>
        <w:tc>
          <w:tcPr>
            <w:tcW w:w="2350" w:type="dxa"/>
            <w:vAlign w:val="center"/>
            <w:textDirection w:val="lrTb"/>
            <w:noWrap w:val="false"/>
          </w:tcPr>
          <w:p>
            <w:pPr>
              <w:pStyle w:val="963"/>
              <w:jc w:val="center"/>
              <w:spacing w:line="560" w:lineRule="exact"/>
              <w:rPr>
                <w:rFonts w:ascii="宋体" w:hAnsi="宋体"/>
                <w:color w:val="000000"/>
                <w:sz w:val="24"/>
              </w:rPr>
            </w:pPr>
            <w:r>
              <w:rPr>
                <w:rFonts w:hint="eastAsia" w:ascii="宋体" w:hAnsi="宋体"/>
                <w:color w:val="000000"/>
                <w:sz w:val="24"/>
              </w:rPr>
              <w:t xml:space="preserve">单项</w:t>
            </w:r>
            <w:r>
              <w:rPr>
                <w:rFonts w:ascii="宋体" w:hAnsi="宋体"/>
                <w:color w:val="000000"/>
                <w:sz w:val="24"/>
              </w:rPr>
            </w:r>
            <w:r/>
          </w:p>
          <w:p>
            <w:pPr>
              <w:pStyle w:val="963"/>
              <w:jc w:val="center"/>
              <w:spacing w:line="560" w:lineRule="exact"/>
              <w:rPr>
                <w:rFonts w:ascii="宋体" w:hAnsi="宋体"/>
                <w:color w:val="000000"/>
                <w:sz w:val="24"/>
              </w:rPr>
            </w:pPr>
            <w:r>
              <w:rPr>
                <w:rFonts w:hint="eastAsia" w:ascii="宋体" w:hAnsi="宋体"/>
                <w:color w:val="000000"/>
                <w:sz w:val="24"/>
              </w:rPr>
              <w:t xml:space="preserve">合计价</w:t>
            </w:r>
            <w:r>
              <w:rPr>
                <w:rFonts w:ascii="宋体" w:hAnsi="宋体"/>
                <w:color w:val="000000"/>
                <w:sz w:val="24"/>
              </w:rPr>
            </w:r>
            <w:r/>
          </w:p>
        </w:tc>
      </w:tr>
      <w:tr>
        <w:trPr>
          <w:cantSplit/>
          <w:trHeight w:val="501"/>
        </w:trPr>
        <w:tc>
          <w:tcPr>
            <w:tcW w:w="896" w:type="dxa"/>
            <w:vAlign w:val="center"/>
            <w:textDirection w:val="lrTb"/>
            <w:noWrap w:val="false"/>
          </w:tcPr>
          <w:p>
            <w:pPr>
              <w:pStyle w:val="963"/>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pStyle w:val="963"/>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963"/>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pStyle w:val="963"/>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pStyle w:val="963"/>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pStyle w:val="963"/>
              <w:jc w:val="center"/>
              <w:spacing w:line="560" w:lineRule="exact"/>
              <w:rPr>
                <w:rFonts w:ascii="宋体" w:hAnsi="宋体"/>
                <w:color w:val="000000"/>
                <w:sz w:val="24"/>
              </w:rPr>
            </w:pPr>
            <w:r>
              <w:rPr>
                <w:rFonts w:ascii="宋体" w:hAnsi="宋体"/>
                <w:color w:val="000000"/>
                <w:sz w:val="24"/>
              </w:rPr>
            </w:r>
            <w:r/>
          </w:p>
        </w:tc>
      </w:tr>
      <w:tr>
        <w:trPr>
          <w:cantSplit/>
          <w:trHeight w:val="501"/>
        </w:trPr>
        <w:tc>
          <w:tcPr>
            <w:tcW w:w="896" w:type="dxa"/>
            <w:vAlign w:val="center"/>
            <w:textDirection w:val="lrTb"/>
            <w:noWrap w:val="false"/>
          </w:tcPr>
          <w:p>
            <w:pPr>
              <w:pStyle w:val="963"/>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pStyle w:val="963"/>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963"/>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pStyle w:val="963"/>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pStyle w:val="963"/>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pStyle w:val="963"/>
              <w:jc w:val="center"/>
              <w:spacing w:line="560" w:lineRule="exact"/>
              <w:rPr>
                <w:rFonts w:ascii="宋体" w:hAnsi="宋体"/>
                <w:color w:val="000000"/>
                <w:sz w:val="24"/>
              </w:rPr>
            </w:pPr>
            <w:r>
              <w:rPr>
                <w:rFonts w:ascii="宋体" w:hAnsi="宋体"/>
                <w:color w:val="000000"/>
                <w:sz w:val="24"/>
              </w:rPr>
            </w:r>
            <w:r/>
          </w:p>
        </w:tc>
      </w:tr>
      <w:tr>
        <w:trPr>
          <w:cantSplit/>
          <w:trHeight w:val="501"/>
        </w:trPr>
        <w:tc>
          <w:tcPr>
            <w:tcW w:w="896" w:type="dxa"/>
            <w:vAlign w:val="center"/>
            <w:textDirection w:val="lrTb"/>
            <w:noWrap w:val="false"/>
          </w:tcPr>
          <w:p>
            <w:pPr>
              <w:pStyle w:val="963"/>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pStyle w:val="963"/>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963"/>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pStyle w:val="963"/>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pStyle w:val="963"/>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pStyle w:val="963"/>
              <w:jc w:val="center"/>
              <w:spacing w:line="560" w:lineRule="exact"/>
              <w:rPr>
                <w:rFonts w:ascii="宋体" w:hAnsi="宋体"/>
                <w:color w:val="000000"/>
                <w:sz w:val="24"/>
              </w:rPr>
            </w:pPr>
            <w:r>
              <w:rPr>
                <w:rFonts w:ascii="宋体" w:hAnsi="宋体"/>
                <w:color w:val="000000"/>
                <w:sz w:val="24"/>
              </w:rPr>
            </w:r>
            <w:r/>
          </w:p>
        </w:tc>
      </w:tr>
      <w:tr>
        <w:trPr>
          <w:cantSplit/>
          <w:trHeight w:val="501"/>
        </w:trPr>
        <w:tc>
          <w:tcPr>
            <w:gridSpan w:val="5"/>
            <w:tcW w:w="6155" w:type="dxa"/>
            <w:vAlign w:val="center"/>
            <w:textDirection w:val="lrTb"/>
            <w:noWrap w:val="false"/>
          </w:tcPr>
          <w:p>
            <w:pPr>
              <w:pStyle w:val="963"/>
              <w:jc w:val="center"/>
              <w:spacing w:line="560" w:lineRule="exact"/>
              <w:rPr>
                <w:rFonts w:ascii="宋体" w:hAnsi="宋体"/>
                <w:color w:val="000000"/>
                <w:sz w:val="24"/>
              </w:rPr>
            </w:pPr>
            <w:r>
              <w:rPr>
                <w:rFonts w:hint="eastAsia" w:ascii="宋体" w:hAnsi="宋体"/>
                <w:color w:val="000000"/>
                <w:sz w:val="24"/>
              </w:rPr>
              <w:t xml:space="preserve">总计（元）</w:t>
            </w:r>
            <w:r>
              <w:rPr>
                <w:rFonts w:ascii="宋体" w:hAnsi="宋体"/>
                <w:color w:val="000000"/>
                <w:sz w:val="24"/>
              </w:rPr>
            </w:r>
            <w:r/>
          </w:p>
        </w:tc>
        <w:tc>
          <w:tcPr>
            <w:tcW w:w="2350" w:type="dxa"/>
            <w:vAlign w:val="center"/>
            <w:textDirection w:val="lrTb"/>
            <w:noWrap w:val="false"/>
          </w:tcPr>
          <w:p>
            <w:pPr>
              <w:pStyle w:val="963"/>
              <w:jc w:val="center"/>
              <w:spacing w:line="560" w:lineRule="exact"/>
              <w:rPr>
                <w:rFonts w:ascii="宋体" w:hAnsi="宋体"/>
                <w:color w:val="000000"/>
                <w:sz w:val="24"/>
              </w:rPr>
            </w:pPr>
            <w:r>
              <w:rPr>
                <w:rFonts w:ascii="宋体" w:hAnsi="宋体"/>
                <w:color w:val="000000"/>
                <w:sz w:val="24"/>
              </w:rPr>
            </w:r>
            <w:r/>
          </w:p>
        </w:tc>
      </w:tr>
    </w:tbl>
    <w:p>
      <w:pPr>
        <w:pStyle w:val="963"/>
        <w:ind w:firstLine="420"/>
        <w:spacing w:line="360" w:lineRule="auto"/>
        <w:rPr>
          <w:rFonts w:ascii="Times New Roman" w:hAnsi="Times New Roman"/>
          <w:color w:val="000000"/>
          <w:szCs w:val="24"/>
        </w:rPr>
      </w:pPr>
      <w:r>
        <w:rPr>
          <w:rFonts w:ascii="Times New Roman" w:hAnsi="Times New Roman"/>
          <w:color w:val="000000"/>
          <w:szCs w:val="24"/>
        </w:rPr>
      </w:r>
      <w:r/>
    </w:p>
    <w:p>
      <w:pPr>
        <w:pStyle w:val="963"/>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rPr>
          <w:rFonts w:ascii="Times New Roman" w:hAnsi="Times New Roman"/>
          <w:color w:val="000000"/>
          <w:szCs w:val="24"/>
        </w:rPr>
      </w:r>
      <w:r/>
    </w:p>
    <w:p>
      <w:pPr>
        <w:pStyle w:val="963"/>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rPr>
          <w:rFonts w:ascii="Times New Roman" w:hAnsi="Times New Roman"/>
          <w:color w:val="000000"/>
          <w:szCs w:val="24"/>
        </w:rPr>
      </w:r>
      <w:r/>
    </w:p>
    <w:p>
      <w:pPr>
        <w:pStyle w:val="963"/>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rPr>
          <w:rFonts w:ascii="宋体" w:hAnsi="宋体"/>
          <w:color w:val="000000"/>
          <w:szCs w:val="24"/>
        </w:rPr>
      </w:r>
      <w:r/>
    </w:p>
    <w:p>
      <w:pPr>
        <w:pStyle w:val="963"/>
      </w:pPr>
      <w:r/>
      <w:r/>
    </w:p>
    <w:p>
      <w:pPr>
        <w:pStyle w:val="963"/>
      </w:pPr>
      <w:r/>
      <w:r/>
    </w:p>
    <w:p>
      <w:pPr>
        <w:pStyle w:val="963"/>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十五、技术要求响应及偏离表（分包号：**）</w:t>
      </w:r>
      <w:r>
        <w:rPr>
          <w:rFonts w:ascii="Arial" w:hAnsi="Arial" w:cs="Arial"/>
          <w:i/>
          <w:iCs/>
          <w:sz w:val="36"/>
          <w:u w:val="single"/>
        </w:rPr>
      </w:r>
      <w:r/>
    </w:p>
    <w:p>
      <w:pPr>
        <w:pStyle w:val="963"/>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rPr>
          <w:rFonts w:ascii="黑体" w:hAnsi="黑体" w:eastAsia="黑体" w:cs="宋体"/>
          <w:bCs/>
          <w:sz w:val="36"/>
          <w:szCs w:val="28"/>
        </w:rPr>
      </w:r>
      <w:r/>
    </w:p>
    <w:p>
      <w:pPr>
        <w:pStyle w:val="963"/>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rPr>
          <w:rFonts w:ascii="Arial" w:hAnsi="Arial" w:cs="Arial"/>
          <w:sz w:val="36"/>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963"/>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3273" w:type="dxa"/>
            <w:vAlign w:val="center"/>
            <w:textDirection w:val="lrTb"/>
            <w:noWrap w:val="false"/>
          </w:tcPr>
          <w:p>
            <w:pPr>
              <w:pStyle w:val="963"/>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24" w:type="dxa"/>
            <w:vAlign w:val="center"/>
            <w:textDirection w:val="lrTb"/>
            <w:noWrap w:val="false"/>
          </w:tcPr>
          <w:p>
            <w:pPr>
              <w:pStyle w:val="963"/>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9" w:type="dxa"/>
            <w:vAlign w:val="center"/>
            <w:textDirection w:val="lrTb"/>
            <w:noWrap w:val="false"/>
          </w:tcPr>
          <w:p>
            <w:pPr>
              <w:pStyle w:val="963"/>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09" w:type="dxa"/>
            <w:vAlign w:val="center"/>
            <w:textDirection w:val="lrTb"/>
            <w:noWrap w:val="false"/>
          </w:tcPr>
          <w:p>
            <w:pPr>
              <w:pStyle w:val="963"/>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73" w:type="dxa"/>
            <w:vAlign w:val="center"/>
            <w:textDirection w:val="lrTb"/>
            <w:noWrap w:val="false"/>
          </w:tcPr>
          <w:p>
            <w:pPr>
              <w:pStyle w:val="963"/>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963"/>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963"/>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963"/>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73" w:type="dxa"/>
            <w:vAlign w:val="center"/>
            <w:textDirection w:val="lrTb"/>
            <w:noWrap w:val="false"/>
          </w:tcPr>
          <w:p>
            <w:pPr>
              <w:pStyle w:val="963"/>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963"/>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963"/>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963"/>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73" w:type="dxa"/>
            <w:vAlign w:val="center"/>
            <w:textDirection w:val="lrTb"/>
            <w:noWrap w:val="false"/>
          </w:tcPr>
          <w:p>
            <w:pPr>
              <w:pStyle w:val="963"/>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963"/>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963"/>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963"/>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3273" w:type="dxa"/>
            <w:vAlign w:val="center"/>
            <w:textDirection w:val="lrTb"/>
            <w:noWrap w:val="false"/>
          </w:tcPr>
          <w:p>
            <w:pPr>
              <w:pStyle w:val="963"/>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963"/>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963"/>
              <w:jc w:val="center"/>
              <w:rPr>
                <w:rFonts w:ascii="宋体" w:hAnsi="宋体"/>
                <w:color w:val="000000"/>
                <w:sz w:val="24"/>
                <w:szCs w:val="24"/>
              </w:rPr>
            </w:pPr>
            <w:r>
              <w:rPr>
                <w:rFonts w:ascii="宋体" w:hAnsi="宋体"/>
                <w:color w:val="000000"/>
                <w:sz w:val="24"/>
                <w:szCs w:val="24"/>
              </w:rPr>
            </w:r>
            <w:r/>
          </w:p>
        </w:tc>
      </w:tr>
    </w:tbl>
    <w:p>
      <w:pPr>
        <w:pStyle w:val="963"/>
        <w:ind w:firstLine="480"/>
        <w:spacing w:line="500" w:lineRule="exact"/>
        <w:rPr>
          <w:rFonts w:ascii="宋体" w:hAnsi="宋体"/>
          <w:color w:val="000000"/>
          <w:sz w:val="24"/>
          <w:szCs w:val="24"/>
        </w:rPr>
      </w:pPr>
      <w:r>
        <w:rPr>
          <w:rFonts w:ascii="宋体" w:hAnsi="宋体"/>
          <w:color w:val="000000"/>
          <w:sz w:val="24"/>
          <w:szCs w:val="24"/>
        </w:rPr>
      </w:r>
      <w:r/>
    </w:p>
    <w:p>
      <w:pPr>
        <w:pStyle w:val="963"/>
        <w:ind w:firstLine="480"/>
        <w:spacing w:line="500" w:lineRule="exact"/>
        <w:rPr>
          <w:rFonts w:ascii="宋体" w:hAnsi="宋体"/>
          <w:color w:val="000000"/>
          <w:sz w:val="24"/>
          <w:szCs w:val="24"/>
        </w:rPr>
      </w:pPr>
      <w:r>
        <w:rPr>
          <w:rFonts w:ascii="宋体" w:hAnsi="宋体"/>
          <w:color w:val="000000"/>
          <w:sz w:val="24"/>
          <w:szCs w:val="24"/>
        </w:rPr>
      </w:r>
      <w:r/>
    </w:p>
    <w:p>
      <w:pPr>
        <w:pStyle w:val="963"/>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963"/>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963"/>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963"/>
      </w:pPr>
      <w:r/>
      <w:r/>
    </w:p>
    <w:p>
      <w:pPr>
        <w:pStyle w:val="963"/>
      </w:pPr>
      <w:r/>
      <w:r/>
    </w:p>
    <w:p>
      <w:pPr>
        <w:pStyle w:val="963"/>
        <w:jc w:val="left"/>
        <w:keepLines/>
        <w:keepNext/>
        <w:spacing w:before="360" w:after="200" w:line="360" w:lineRule="auto"/>
        <w:rPr>
          <w:rFonts w:ascii="Arial" w:hAnsi="Arial" w:cs="Arial"/>
          <w:i/>
          <w:iCs/>
          <w:sz w:val="36"/>
          <w:u w:val="single"/>
        </w:rPr>
        <w:outlineLvl w:val="1"/>
      </w:pPr>
      <w:r/>
      <w:bookmarkStart w:id="11" w:name="_Hlt26955054"/>
      <w:r/>
      <w:bookmarkEnd w:id="11"/>
      <w:r>
        <w:rPr>
          <w:rFonts w:hint="eastAsia" w:ascii="Arial" w:hAnsi="Arial" w:cs="Arial"/>
          <w:i/>
          <w:iCs/>
          <w:sz w:val="36"/>
          <w:u w:val="single"/>
        </w:rPr>
        <w:t xml:space="preserve">十六、商务要求响应及偏离表（分包号：**）</w:t>
      </w:r>
      <w:r>
        <w:rPr>
          <w:rFonts w:ascii="Arial" w:hAnsi="Arial" w:cs="Arial"/>
          <w:i/>
          <w:iCs/>
          <w:sz w:val="36"/>
          <w:u w:val="single"/>
        </w:rPr>
      </w:r>
      <w:r/>
    </w:p>
    <w:p>
      <w:pPr>
        <w:pStyle w:val="963"/>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rPr>
          <w:rFonts w:ascii="黑体" w:hAnsi="黑体" w:eastAsia="黑体" w:cs="宋体"/>
          <w:bCs/>
          <w:sz w:val="36"/>
          <w:szCs w:val="28"/>
        </w:rPr>
      </w:r>
      <w:r/>
    </w:p>
    <w:p>
      <w:pPr>
        <w:pStyle w:val="963"/>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963"/>
              <w:jc w:val="center"/>
              <w:rPr>
                <w:rFonts w:ascii="宋体" w:hAnsi="宋体"/>
                <w:color w:val="000000"/>
                <w:sz w:val="24"/>
                <w:szCs w:val="24"/>
              </w:rPr>
            </w:pPr>
            <w:r/>
            <w:bookmarkStart w:id="12" w:name="_Hlt24879081"/>
            <w:r/>
            <w:bookmarkEnd w:id="12"/>
            <w:r/>
            <w:bookmarkStart w:id="13" w:name="_Hlt26782999"/>
            <w:r/>
            <w:bookmarkEnd w:id="13"/>
            <w:r/>
            <w:bookmarkStart w:id="14" w:name="_Hlt26671372"/>
            <w:r/>
            <w:bookmarkEnd w:id="14"/>
            <w:r/>
            <w:bookmarkStart w:id="15" w:name="_Hlt26955056"/>
            <w:r/>
            <w:bookmarkEnd w:id="15"/>
            <w:r/>
            <w:bookmarkStart w:id="16" w:name="_Hlt26609391"/>
            <w:r/>
            <w:bookmarkEnd w:id="16"/>
            <w:r/>
            <w:bookmarkStart w:id="17" w:name="_Hlt26580838"/>
            <w:r/>
            <w:bookmarkEnd w:id="17"/>
            <w:r/>
            <w:bookmarkStart w:id="18" w:name="_Hlt26671343"/>
            <w:r/>
            <w:bookmarkEnd w:id="18"/>
            <w:r/>
            <w:bookmarkStart w:id="19" w:name="_Hlt26955064"/>
            <w:r/>
            <w:bookmarkEnd w:id="19"/>
            <w:r>
              <w:rPr>
                <w:rFonts w:hint="eastAsia" w:ascii="宋体" w:hAnsi="宋体"/>
                <w:color w:val="000000"/>
                <w:sz w:val="24"/>
                <w:szCs w:val="24"/>
              </w:rPr>
              <w:t xml:space="preserve">序号</w:t>
            </w:r>
            <w:r>
              <w:rPr>
                <w:rFonts w:ascii="宋体" w:hAnsi="宋体"/>
                <w:color w:val="000000"/>
                <w:sz w:val="24"/>
                <w:szCs w:val="24"/>
              </w:rPr>
            </w:r>
            <w:r/>
          </w:p>
        </w:tc>
        <w:tc>
          <w:tcPr>
            <w:tcW w:w="3263" w:type="dxa"/>
            <w:vAlign w:val="center"/>
            <w:textDirection w:val="lrTb"/>
            <w:noWrap w:val="false"/>
          </w:tcPr>
          <w:p>
            <w:pPr>
              <w:pStyle w:val="963"/>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34" w:type="dxa"/>
            <w:vAlign w:val="center"/>
            <w:textDirection w:val="lrTb"/>
            <w:noWrap w:val="false"/>
          </w:tcPr>
          <w:p>
            <w:pPr>
              <w:pStyle w:val="963"/>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1" w:type="dxa"/>
            <w:vAlign w:val="center"/>
            <w:textDirection w:val="lrTb"/>
            <w:noWrap w:val="false"/>
          </w:tcPr>
          <w:p>
            <w:pPr>
              <w:pStyle w:val="963"/>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17" w:type="dxa"/>
            <w:vAlign w:val="center"/>
            <w:textDirection w:val="lrTb"/>
            <w:noWrap w:val="false"/>
          </w:tcPr>
          <w:p>
            <w:pPr>
              <w:pStyle w:val="963"/>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63" w:type="dxa"/>
            <w:vAlign w:val="center"/>
            <w:textDirection w:val="lrTb"/>
            <w:noWrap w:val="false"/>
          </w:tcPr>
          <w:p>
            <w:pPr>
              <w:pStyle w:val="963"/>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963"/>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963"/>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963"/>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63" w:type="dxa"/>
            <w:vAlign w:val="center"/>
            <w:textDirection w:val="lrTb"/>
            <w:noWrap w:val="false"/>
          </w:tcPr>
          <w:p>
            <w:pPr>
              <w:pStyle w:val="963"/>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963"/>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963"/>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963"/>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63" w:type="dxa"/>
            <w:vAlign w:val="center"/>
            <w:textDirection w:val="lrTb"/>
            <w:noWrap w:val="false"/>
          </w:tcPr>
          <w:p>
            <w:pPr>
              <w:pStyle w:val="963"/>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963"/>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963"/>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963"/>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3263" w:type="dxa"/>
            <w:vAlign w:val="center"/>
            <w:textDirection w:val="lrTb"/>
            <w:noWrap w:val="false"/>
          </w:tcPr>
          <w:p>
            <w:pPr>
              <w:pStyle w:val="963"/>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963"/>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963"/>
              <w:jc w:val="center"/>
              <w:rPr>
                <w:rFonts w:ascii="宋体" w:hAnsi="宋体"/>
                <w:color w:val="000000"/>
                <w:sz w:val="24"/>
                <w:szCs w:val="24"/>
              </w:rPr>
            </w:pPr>
            <w:r>
              <w:rPr>
                <w:rFonts w:ascii="宋体" w:hAnsi="宋体"/>
                <w:color w:val="000000"/>
                <w:sz w:val="24"/>
                <w:szCs w:val="24"/>
              </w:rPr>
            </w:r>
            <w:r/>
          </w:p>
        </w:tc>
      </w:tr>
    </w:tbl>
    <w:p>
      <w:pPr>
        <w:pStyle w:val="963"/>
        <w:ind w:firstLine="480"/>
        <w:spacing w:line="500" w:lineRule="exact"/>
        <w:rPr>
          <w:rFonts w:ascii="宋体" w:hAnsi="宋体"/>
          <w:color w:val="000000"/>
          <w:sz w:val="24"/>
          <w:szCs w:val="24"/>
        </w:rPr>
      </w:pPr>
      <w:r>
        <w:rPr>
          <w:rFonts w:ascii="宋体" w:hAnsi="宋体"/>
          <w:color w:val="000000"/>
          <w:sz w:val="24"/>
          <w:szCs w:val="24"/>
        </w:rPr>
      </w:r>
      <w:r/>
    </w:p>
    <w:p>
      <w:pPr>
        <w:pStyle w:val="963"/>
        <w:ind w:firstLine="480"/>
        <w:spacing w:line="500" w:lineRule="exact"/>
        <w:rPr>
          <w:rFonts w:ascii="宋体" w:hAnsi="宋体"/>
          <w:color w:val="000000"/>
          <w:sz w:val="24"/>
          <w:szCs w:val="24"/>
        </w:rPr>
      </w:pPr>
      <w:r>
        <w:rPr>
          <w:rFonts w:ascii="宋体" w:hAnsi="宋体"/>
          <w:color w:val="000000"/>
          <w:sz w:val="24"/>
          <w:szCs w:val="24"/>
        </w:rPr>
      </w:r>
      <w:r/>
    </w:p>
    <w:p>
      <w:pPr>
        <w:pStyle w:val="963"/>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963"/>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963"/>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963"/>
      </w:pPr>
      <w:r/>
      <w:bookmarkStart w:id="20" w:name="_格式2__法定代表人授权书"/>
      <w:r/>
      <w:bookmarkEnd w:id="20"/>
      <w:r/>
      <w:bookmarkStart w:id="21" w:name="_Hlt26955066"/>
      <w:r/>
      <w:bookmarkEnd w:id="21"/>
      <w:r/>
      <w:bookmarkStart w:id="22" w:name="_Hlt26609389"/>
      <w:r/>
      <w:bookmarkEnd w:id="22"/>
      <w:r/>
      <w:bookmarkStart w:id="23" w:name="_Hlt26671374"/>
      <w:r/>
      <w:bookmarkEnd w:id="23"/>
      <w:r/>
      <w:r/>
    </w:p>
    <w:p>
      <w:pPr>
        <w:pStyle w:val="963"/>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十七、类似项目业绩一览表（分包号：**）</w:t>
      </w:r>
      <w:r>
        <w:rPr>
          <w:rFonts w:ascii="Arial" w:hAnsi="Arial" w:cs="Arial"/>
          <w:iCs/>
          <w:sz w:val="36"/>
        </w:rPr>
      </w:r>
      <w:r/>
    </w:p>
    <w:p>
      <w:pPr>
        <w:pStyle w:val="963"/>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rPr>
          <w:rFonts w:ascii="黑体" w:hAnsi="黑体" w:eastAsia="黑体" w:cs="宋体"/>
          <w:bCs/>
          <w:sz w:val="36"/>
          <w:szCs w:val="28"/>
        </w:rPr>
      </w:r>
      <w:r/>
    </w:p>
    <w:p>
      <w:pPr>
        <w:pStyle w:val="963"/>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963"/>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2686" w:type="dxa"/>
            <w:vAlign w:val="center"/>
            <w:textDirection w:val="lrTb"/>
            <w:noWrap w:val="false"/>
          </w:tcPr>
          <w:p>
            <w:pPr>
              <w:pStyle w:val="963"/>
              <w:jc w:val="center"/>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tc>
        <w:tc>
          <w:tcPr>
            <w:tcW w:w="1850" w:type="dxa"/>
            <w:vAlign w:val="center"/>
            <w:textDirection w:val="lrTb"/>
            <w:noWrap w:val="false"/>
          </w:tcPr>
          <w:p>
            <w:pPr>
              <w:pStyle w:val="963"/>
              <w:jc w:val="center"/>
              <w:rPr>
                <w:rFonts w:ascii="宋体" w:hAnsi="宋体"/>
                <w:color w:val="000000"/>
                <w:sz w:val="24"/>
                <w:szCs w:val="24"/>
              </w:rPr>
            </w:pPr>
            <w:r>
              <w:rPr>
                <w:rFonts w:hint="eastAsia" w:ascii="宋体" w:hAnsi="宋体"/>
                <w:color w:val="000000"/>
                <w:sz w:val="24"/>
                <w:szCs w:val="24"/>
              </w:rPr>
              <w:t xml:space="preserve">签订时间</w:t>
            </w:r>
            <w:r>
              <w:rPr>
                <w:rFonts w:ascii="宋体" w:hAnsi="宋体"/>
                <w:color w:val="000000"/>
                <w:sz w:val="24"/>
                <w:szCs w:val="24"/>
              </w:rPr>
            </w:r>
            <w:r/>
          </w:p>
        </w:tc>
        <w:tc>
          <w:tcPr>
            <w:tcW w:w="1985" w:type="dxa"/>
            <w:vAlign w:val="center"/>
            <w:textDirection w:val="lrTb"/>
            <w:noWrap w:val="false"/>
          </w:tcPr>
          <w:p>
            <w:pPr>
              <w:pStyle w:val="963"/>
              <w:jc w:val="center"/>
              <w:rPr>
                <w:rFonts w:ascii="宋体" w:hAnsi="宋体"/>
                <w:color w:val="000000"/>
                <w:sz w:val="24"/>
                <w:szCs w:val="24"/>
              </w:rPr>
            </w:pPr>
            <w:r>
              <w:rPr>
                <w:rFonts w:hint="eastAsia" w:ascii="宋体" w:hAnsi="宋体"/>
                <w:color w:val="000000"/>
                <w:sz w:val="24"/>
                <w:szCs w:val="24"/>
              </w:rPr>
              <w:t xml:space="preserve">采购单位</w:t>
            </w:r>
            <w:r>
              <w:rPr>
                <w:rFonts w:ascii="宋体" w:hAnsi="宋体"/>
                <w:color w:val="000000"/>
                <w:sz w:val="24"/>
                <w:szCs w:val="24"/>
              </w:rPr>
            </w:r>
            <w:r/>
          </w:p>
        </w:tc>
        <w:tc>
          <w:tcPr>
            <w:tcW w:w="1309" w:type="dxa"/>
            <w:vAlign w:val="center"/>
            <w:textDirection w:val="lrTb"/>
            <w:noWrap w:val="false"/>
          </w:tcPr>
          <w:p>
            <w:pPr>
              <w:pStyle w:val="963"/>
              <w:jc w:val="center"/>
              <w:rPr>
                <w:rFonts w:ascii="宋体" w:hAnsi="宋体"/>
                <w:color w:val="000000"/>
                <w:sz w:val="24"/>
                <w:szCs w:val="24"/>
              </w:rPr>
            </w:pPr>
            <w:r>
              <w:rPr>
                <w:rFonts w:hint="eastAsia" w:ascii="宋体" w:hAnsi="宋体"/>
                <w:color w:val="000000"/>
                <w:sz w:val="24"/>
                <w:szCs w:val="24"/>
              </w:rPr>
              <w:t xml:space="preserve">主要标的</w:t>
            </w:r>
            <w:r>
              <w:rPr>
                <w:rFonts w:ascii="宋体" w:hAnsi="宋体"/>
                <w:color w:val="000000"/>
                <w:sz w:val="24"/>
                <w:szCs w:val="24"/>
              </w:rPr>
            </w:r>
            <w:r/>
          </w:p>
        </w:tc>
      </w:tr>
      <w:tr>
        <w:trPr>
          <w:cantSplit/>
          <w:trHeight w:val="640"/>
        </w:trPr>
        <w:tc>
          <w:tcPr>
            <w:tcW w:w="675" w:type="dxa"/>
            <w:vAlign w:val="center"/>
            <w:textDirection w:val="lrTb"/>
            <w:noWrap w:val="false"/>
          </w:tcPr>
          <w:p>
            <w:pPr>
              <w:pStyle w:val="963"/>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686" w:type="dxa"/>
            <w:vAlign w:val="center"/>
            <w:textDirection w:val="lrTb"/>
            <w:noWrap w:val="false"/>
          </w:tcPr>
          <w:p>
            <w:pPr>
              <w:pStyle w:val="963"/>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963"/>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963"/>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963"/>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963"/>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2686" w:type="dxa"/>
            <w:vAlign w:val="center"/>
            <w:textDirection w:val="lrTb"/>
            <w:noWrap w:val="false"/>
          </w:tcPr>
          <w:p>
            <w:pPr>
              <w:pStyle w:val="963"/>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963"/>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963"/>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963"/>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963"/>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2686" w:type="dxa"/>
            <w:vAlign w:val="center"/>
            <w:textDirection w:val="lrTb"/>
            <w:noWrap w:val="false"/>
          </w:tcPr>
          <w:p>
            <w:pPr>
              <w:pStyle w:val="963"/>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963"/>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963"/>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963"/>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963"/>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2686" w:type="dxa"/>
            <w:vAlign w:val="center"/>
            <w:textDirection w:val="lrTb"/>
            <w:noWrap w:val="false"/>
          </w:tcPr>
          <w:p>
            <w:pPr>
              <w:pStyle w:val="963"/>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963"/>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963"/>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963"/>
              <w:jc w:val="center"/>
              <w:rPr>
                <w:rFonts w:ascii="宋体" w:hAnsi="宋体"/>
                <w:color w:val="000000"/>
                <w:sz w:val="24"/>
                <w:szCs w:val="24"/>
              </w:rPr>
            </w:pPr>
            <w:r>
              <w:rPr>
                <w:rFonts w:ascii="宋体" w:hAnsi="宋体"/>
                <w:color w:val="000000"/>
                <w:sz w:val="24"/>
                <w:szCs w:val="24"/>
              </w:rPr>
            </w:r>
            <w:r/>
          </w:p>
        </w:tc>
      </w:tr>
    </w:tbl>
    <w:p>
      <w:pPr>
        <w:pStyle w:val="963"/>
        <w:ind w:firstLine="480"/>
        <w:spacing w:line="500" w:lineRule="exact"/>
        <w:rPr>
          <w:rFonts w:ascii="宋体" w:hAnsi="宋体"/>
          <w:color w:val="000000"/>
          <w:sz w:val="24"/>
          <w:szCs w:val="24"/>
        </w:rPr>
      </w:pPr>
      <w:r>
        <w:rPr>
          <w:rFonts w:ascii="宋体" w:hAnsi="宋体"/>
          <w:color w:val="000000"/>
          <w:sz w:val="24"/>
          <w:szCs w:val="24"/>
        </w:rPr>
      </w:r>
      <w:r/>
    </w:p>
    <w:p>
      <w:pPr>
        <w:pStyle w:val="963"/>
        <w:ind w:firstLine="480"/>
        <w:spacing w:line="500" w:lineRule="exact"/>
        <w:rPr>
          <w:rFonts w:ascii="宋体" w:hAnsi="宋体"/>
          <w:color w:val="000000"/>
          <w:sz w:val="24"/>
          <w:szCs w:val="24"/>
        </w:rPr>
      </w:pPr>
      <w:r>
        <w:rPr>
          <w:rFonts w:ascii="宋体" w:hAnsi="宋体"/>
          <w:color w:val="000000"/>
          <w:sz w:val="24"/>
          <w:szCs w:val="24"/>
        </w:rPr>
      </w:r>
      <w:r/>
    </w:p>
    <w:p>
      <w:pPr>
        <w:pStyle w:val="963"/>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963"/>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963"/>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963"/>
      </w:pPr>
      <w:r/>
      <w:r/>
    </w:p>
    <w:p>
      <w:pPr>
        <w:pStyle w:val="963"/>
      </w:pPr>
      <w:r/>
      <w:r/>
    </w:p>
    <w:p>
      <w:pPr>
        <w:pStyle w:val="963"/>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十八、项目团队人员一览表（分包号：**）</w:t>
      </w:r>
      <w:r>
        <w:rPr>
          <w:rFonts w:ascii="Arial" w:hAnsi="Arial" w:cs="Arial"/>
          <w:iCs/>
          <w:sz w:val="36"/>
        </w:rPr>
      </w:r>
      <w:r/>
    </w:p>
    <w:p>
      <w:pPr>
        <w:pStyle w:val="963"/>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rPr>
          <w:rFonts w:ascii="黑体" w:hAnsi="黑体" w:eastAsia="黑体" w:cs="宋体"/>
          <w:bCs/>
          <w:sz w:val="36"/>
          <w:szCs w:val="28"/>
        </w:rPr>
      </w:r>
      <w:r/>
    </w:p>
    <w:p>
      <w:pPr>
        <w:pStyle w:val="963"/>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trPr>
        <w:tc>
          <w:tcPr>
            <w:tcW w:w="951" w:type="dxa"/>
            <w:vAlign w:val="center"/>
            <w:textDirection w:val="lrTb"/>
            <w:noWrap w:val="false"/>
          </w:tcPr>
          <w:p>
            <w:pPr>
              <w:pStyle w:val="963"/>
              <w:jc w:val="center"/>
              <w:rPr>
                <w:rFonts w:ascii="宋体" w:hAnsi="宋体"/>
                <w:color w:val="000000"/>
                <w:sz w:val="24"/>
                <w:szCs w:val="24"/>
              </w:rPr>
            </w:pPr>
            <w:r>
              <w:rPr>
                <w:rFonts w:hint="eastAsia" w:ascii="宋体" w:hAnsi="宋体"/>
                <w:color w:val="000000"/>
                <w:sz w:val="24"/>
                <w:szCs w:val="24"/>
              </w:rPr>
              <w:t xml:space="preserve">姓名</w:t>
            </w:r>
            <w:r>
              <w:rPr>
                <w:rFonts w:ascii="宋体" w:hAnsi="宋体"/>
                <w:color w:val="000000"/>
                <w:sz w:val="24"/>
                <w:szCs w:val="24"/>
              </w:rPr>
            </w:r>
            <w:r/>
          </w:p>
        </w:tc>
        <w:tc>
          <w:tcPr>
            <w:tcW w:w="1446" w:type="dxa"/>
            <w:vAlign w:val="center"/>
            <w:textDirection w:val="lrTb"/>
            <w:noWrap w:val="false"/>
          </w:tcPr>
          <w:p>
            <w:pPr>
              <w:pStyle w:val="963"/>
              <w:jc w:val="center"/>
              <w:rPr>
                <w:rFonts w:ascii="宋体" w:hAnsi="宋体"/>
                <w:color w:val="000000"/>
                <w:sz w:val="24"/>
                <w:szCs w:val="24"/>
              </w:rPr>
            </w:pPr>
            <w:r>
              <w:rPr>
                <w:rFonts w:hint="eastAsia" w:ascii="宋体" w:hAnsi="宋体"/>
                <w:color w:val="000000"/>
                <w:sz w:val="24"/>
                <w:szCs w:val="24"/>
              </w:rPr>
              <w:t xml:space="preserve">本项目拟担任职务</w:t>
            </w:r>
            <w:r>
              <w:rPr>
                <w:rFonts w:ascii="宋体" w:hAnsi="宋体"/>
                <w:color w:val="000000"/>
                <w:sz w:val="24"/>
                <w:szCs w:val="24"/>
              </w:rPr>
            </w:r>
            <w:r/>
          </w:p>
        </w:tc>
        <w:tc>
          <w:tcPr>
            <w:tcW w:w="2239" w:type="dxa"/>
            <w:vAlign w:val="center"/>
            <w:textDirection w:val="lrTb"/>
            <w:noWrap w:val="false"/>
          </w:tcPr>
          <w:p>
            <w:pPr>
              <w:pStyle w:val="963"/>
              <w:jc w:val="center"/>
              <w:rPr>
                <w:rFonts w:ascii="宋体" w:hAnsi="宋体"/>
                <w:color w:val="000000"/>
                <w:sz w:val="24"/>
                <w:szCs w:val="24"/>
              </w:rPr>
            </w:pPr>
            <w:r>
              <w:rPr>
                <w:rFonts w:hint="eastAsia" w:ascii="宋体" w:hAnsi="宋体"/>
                <w:color w:val="000000"/>
                <w:sz w:val="24"/>
                <w:szCs w:val="24"/>
              </w:rPr>
              <w:t xml:space="preserve">技术职称、专业资质</w:t>
            </w:r>
            <w:r>
              <w:rPr>
                <w:rFonts w:ascii="宋体" w:hAnsi="宋体"/>
                <w:color w:val="000000"/>
                <w:sz w:val="24"/>
                <w:szCs w:val="24"/>
              </w:rPr>
            </w:r>
            <w:r/>
          </w:p>
        </w:tc>
        <w:tc>
          <w:tcPr>
            <w:tcW w:w="1134" w:type="dxa"/>
            <w:vAlign w:val="center"/>
            <w:textDirection w:val="lrTb"/>
            <w:noWrap w:val="false"/>
          </w:tcPr>
          <w:p>
            <w:pPr>
              <w:pStyle w:val="963"/>
              <w:jc w:val="center"/>
              <w:rPr>
                <w:rFonts w:ascii="宋体" w:hAnsi="宋体"/>
                <w:color w:val="000000"/>
                <w:sz w:val="24"/>
                <w:szCs w:val="24"/>
                <w:highlight w:val="yellow"/>
              </w:rPr>
            </w:pPr>
            <w:r>
              <w:rPr>
                <w:rFonts w:hint="eastAsia" w:ascii="宋体" w:hAnsi="宋体"/>
                <w:color w:val="000000"/>
                <w:sz w:val="24"/>
                <w:szCs w:val="24"/>
                <w:highlight w:val="yellow"/>
              </w:rPr>
              <w:t xml:space="preserve">学历</w:t>
            </w:r>
            <w:r>
              <w:rPr>
                <w:rFonts w:ascii="宋体" w:hAnsi="宋体"/>
                <w:color w:val="000000"/>
                <w:sz w:val="24"/>
                <w:szCs w:val="24"/>
                <w:highlight w:val="yellow"/>
              </w:rPr>
            </w:r>
            <w:r/>
          </w:p>
        </w:tc>
        <w:tc>
          <w:tcPr>
            <w:tcW w:w="1134" w:type="dxa"/>
            <w:vAlign w:val="center"/>
            <w:textDirection w:val="lrTb"/>
            <w:noWrap w:val="false"/>
          </w:tcPr>
          <w:p>
            <w:pPr>
              <w:pStyle w:val="963"/>
              <w:jc w:val="center"/>
              <w:rPr>
                <w:rFonts w:ascii="宋体" w:hAnsi="宋体"/>
                <w:color w:val="000000"/>
                <w:sz w:val="24"/>
                <w:szCs w:val="24"/>
                <w:highlight w:val="yellow"/>
              </w:rPr>
            </w:pPr>
            <w:r>
              <w:rPr>
                <w:rFonts w:hint="eastAsia" w:ascii="宋体" w:hAnsi="宋体"/>
                <w:color w:val="000000"/>
                <w:sz w:val="24"/>
                <w:szCs w:val="24"/>
                <w:highlight w:val="yellow"/>
              </w:rPr>
              <w:t xml:space="preserve">年龄</w:t>
            </w:r>
            <w:r>
              <w:rPr>
                <w:rFonts w:ascii="宋体" w:hAnsi="宋体"/>
                <w:color w:val="000000"/>
                <w:sz w:val="24"/>
                <w:szCs w:val="24"/>
                <w:highlight w:val="yellow"/>
              </w:rPr>
            </w:r>
            <w:r/>
          </w:p>
        </w:tc>
        <w:tc>
          <w:tcPr>
            <w:tcW w:w="1601" w:type="dxa"/>
            <w:vAlign w:val="center"/>
            <w:textDirection w:val="lrTb"/>
            <w:noWrap w:val="false"/>
          </w:tcPr>
          <w:p>
            <w:pPr>
              <w:pStyle w:val="963"/>
              <w:jc w:val="center"/>
              <w:rPr>
                <w:rFonts w:ascii="宋体" w:hAnsi="宋体"/>
                <w:color w:val="000000"/>
                <w:sz w:val="24"/>
                <w:szCs w:val="24"/>
              </w:rPr>
            </w:pPr>
            <w:r>
              <w:rPr>
                <w:rFonts w:hint="eastAsia" w:ascii="宋体" w:hAnsi="宋体"/>
                <w:color w:val="000000"/>
                <w:sz w:val="24"/>
                <w:szCs w:val="24"/>
              </w:rPr>
              <w:t xml:space="preserve">主要资历及担任过的职务</w:t>
            </w:r>
            <w:r>
              <w:rPr>
                <w:rFonts w:ascii="宋体" w:hAnsi="宋体"/>
                <w:color w:val="000000"/>
                <w:sz w:val="24"/>
                <w:szCs w:val="24"/>
              </w:rPr>
            </w:r>
            <w:r/>
          </w:p>
        </w:tc>
      </w:tr>
      <w:tr>
        <w:trPr>
          <w:cantSplit/>
          <w:trHeight w:val="640"/>
        </w:trPr>
        <w:tc>
          <w:tcPr>
            <w:tcW w:w="951" w:type="dxa"/>
            <w:vAlign w:val="center"/>
            <w:textDirection w:val="lrTb"/>
            <w:noWrap w:val="false"/>
          </w:tcPr>
          <w:p>
            <w:pPr>
              <w:pStyle w:val="963"/>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963"/>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963"/>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963"/>
              <w:jc w:val="center"/>
              <w:rPr>
                <w:rFonts w:ascii="宋体" w:hAnsi="宋体"/>
                <w:color w:val="000000"/>
                <w:sz w:val="24"/>
                <w:szCs w:val="24"/>
              </w:rPr>
            </w:pPr>
            <w:r>
              <w:rPr>
                <w:rFonts w:ascii="宋体" w:hAnsi="宋体"/>
                <w:color w:val="000000"/>
                <w:sz w:val="24"/>
                <w:szCs w:val="24"/>
              </w:rPr>
              <w:t xml:space="preserve">根据项目需求、评分办法确定一览表格式</w:t>
            </w:r>
            <w:r>
              <w:rPr>
                <w:rFonts w:ascii="宋体" w:hAnsi="宋体"/>
                <w:color w:val="000000"/>
                <w:sz w:val="24"/>
                <w:szCs w:val="24"/>
              </w:rPr>
            </w:r>
            <w:r/>
          </w:p>
        </w:tc>
        <w:tc>
          <w:tcPr>
            <w:tcW w:w="1134" w:type="dxa"/>
            <w:vAlign w:val="center"/>
            <w:textDirection w:val="lrTb"/>
            <w:noWrap w:val="false"/>
          </w:tcPr>
          <w:p>
            <w:pPr>
              <w:pStyle w:val="963"/>
              <w:jc w:val="center"/>
              <w:rPr>
                <w:rFonts w:ascii="宋体" w:hAnsi="宋体"/>
                <w:color w:val="000000"/>
                <w:sz w:val="24"/>
                <w:szCs w:val="24"/>
              </w:rPr>
            </w:pPr>
            <w:r>
              <w:rPr>
                <w:rFonts w:ascii="宋体" w:hAnsi="宋体"/>
                <w:color w:val="000000"/>
                <w:sz w:val="24"/>
                <w:szCs w:val="24"/>
              </w:rPr>
              <w:t xml:space="preserve">根据项目需求、评分办法确定一览表格式</w:t>
            </w:r>
            <w:r>
              <w:rPr>
                <w:rFonts w:ascii="宋体" w:hAnsi="宋体"/>
                <w:color w:val="000000"/>
                <w:sz w:val="24"/>
                <w:szCs w:val="24"/>
              </w:rPr>
            </w:r>
            <w:r/>
          </w:p>
        </w:tc>
        <w:tc>
          <w:tcPr>
            <w:tcW w:w="1601" w:type="dxa"/>
            <w:vAlign w:val="center"/>
            <w:textDirection w:val="lrTb"/>
            <w:noWrap w:val="false"/>
          </w:tcPr>
          <w:p>
            <w:pPr>
              <w:pStyle w:val="963"/>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963"/>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963"/>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963"/>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963"/>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963"/>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963"/>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963"/>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963"/>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963"/>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963"/>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963"/>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963"/>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963"/>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963"/>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963"/>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963"/>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963"/>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963"/>
              <w:jc w:val="center"/>
              <w:rPr>
                <w:rFonts w:ascii="宋体" w:hAnsi="宋体"/>
                <w:color w:val="000000"/>
                <w:sz w:val="24"/>
                <w:szCs w:val="24"/>
              </w:rPr>
            </w:pPr>
            <w:r>
              <w:rPr>
                <w:rFonts w:ascii="宋体" w:hAnsi="宋体"/>
                <w:color w:val="000000"/>
                <w:sz w:val="24"/>
                <w:szCs w:val="24"/>
              </w:rPr>
            </w:r>
            <w:r/>
          </w:p>
        </w:tc>
      </w:tr>
    </w:tbl>
    <w:p>
      <w:pPr>
        <w:pStyle w:val="963"/>
        <w:ind w:firstLine="480"/>
        <w:spacing w:line="500" w:lineRule="exact"/>
        <w:rPr>
          <w:rFonts w:ascii="宋体" w:hAnsi="宋体"/>
          <w:color w:val="000000"/>
          <w:sz w:val="24"/>
          <w:szCs w:val="24"/>
        </w:rPr>
      </w:pPr>
      <w:r>
        <w:rPr>
          <w:rFonts w:ascii="宋体" w:hAnsi="宋体"/>
          <w:color w:val="000000"/>
          <w:sz w:val="24"/>
          <w:szCs w:val="24"/>
        </w:rPr>
      </w:r>
      <w:r/>
    </w:p>
    <w:p>
      <w:pPr>
        <w:pStyle w:val="963"/>
        <w:ind w:firstLine="480"/>
        <w:spacing w:line="500" w:lineRule="exact"/>
        <w:rPr>
          <w:rFonts w:ascii="宋体" w:hAnsi="宋体"/>
          <w:color w:val="000000"/>
          <w:sz w:val="24"/>
          <w:szCs w:val="24"/>
        </w:rPr>
      </w:pPr>
      <w:r>
        <w:rPr>
          <w:rFonts w:ascii="宋体" w:hAnsi="宋体"/>
          <w:color w:val="000000"/>
          <w:sz w:val="24"/>
          <w:szCs w:val="24"/>
        </w:rPr>
      </w:r>
      <w:r/>
    </w:p>
    <w:p>
      <w:pPr>
        <w:pStyle w:val="963"/>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963"/>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963"/>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963"/>
      </w:pPr>
      <w:r/>
      <w:r/>
    </w:p>
    <w:p>
      <w:pPr>
        <w:pStyle w:val="963"/>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十九、开标一览表</w:t>
      </w:r>
      <w:r>
        <w:rPr>
          <w:rFonts w:ascii="Arial" w:hAnsi="Arial" w:cs="Arial"/>
          <w:i/>
          <w:sz w:val="36"/>
          <w:u w:val="single"/>
        </w:rPr>
      </w:r>
      <w:r/>
    </w:p>
    <w:p>
      <w:pPr>
        <w:pStyle w:val="963"/>
        <w:jc w:val="left"/>
        <w:spacing w:line="360" w:lineRule="auto"/>
        <w:rPr>
          <w:rFonts w:ascii="Arial" w:hAnsi="Arial" w:cs="Arial"/>
          <w:color w:val="000000"/>
          <w:sz w:val="36"/>
        </w:rPr>
      </w:pPr>
      <w:r>
        <w:rPr>
          <w:rFonts w:hint="eastAsia" w:ascii="宋体" w:hAnsi="宋体" w:cs="方正仿宋_GBK"/>
          <w:color w:val="000000"/>
          <w:sz w:val="24"/>
          <w:szCs w:val="24"/>
        </w:rPr>
        <w:t xml:space="preserve">项目编号：      分包号：</w:t>
      </w:r>
      <w:r>
        <w:rPr>
          <w:rFonts w:ascii="宋体" w:hAnsi="宋体"/>
          <w:bCs/>
          <w:color w:val="000000"/>
          <w:sz w:val="24"/>
          <w:szCs w:val="24"/>
        </w:rPr>
        <w:t xml:space="preserve"> </w:t>
      </w:r>
      <w:r>
        <w:rPr>
          <w:rFonts w:ascii="Arial" w:hAnsi="Arial" w:cs="Arial"/>
          <w:color w:val="000000"/>
          <w:sz w:val="36"/>
        </w:rPr>
      </w:r>
      <w:r/>
    </w:p>
    <w:p>
      <w:pPr>
        <w:pStyle w:val="963"/>
        <w:ind w:firstLine="480"/>
        <w:jc w:val="right"/>
        <w:spacing w:line="500" w:lineRule="exact"/>
        <w:rPr>
          <w:rFonts w:ascii="Times New Roman" w:hAnsi="Times New Roman"/>
          <w:color w:val="000000"/>
          <w:sz w:val="24"/>
          <w:szCs w:val="24"/>
        </w:rPr>
      </w:pPr>
      <w:r>
        <w:rPr>
          <w:rFonts w:ascii="Times New Roman" w:hAnsi="Times New Roman"/>
          <w:color w:val="000000"/>
          <w:sz w:val="24"/>
          <w:szCs w:val="24"/>
        </w:rPr>
        <w:t xml:space="preserve">货币单位：人民币元</w:t>
      </w:r>
      <w:r>
        <w:rPr>
          <w:rFonts w:ascii="Times New Roman" w:hAnsi="Times New Roman"/>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vAlign w:val="top"/>
            <w:textDirection w:val="lrTb"/>
            <w:noWrap w:val="false"/>
          </w:tcPr>
          <w:p>
            <w:pPr>
              <w:pStyle w:val="963"/>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项目名称</w:t>
            </w:r>
            <w:r>
              <w:rPr>
                <w:rFonts w:ascii="Times New Roman" w:hAnsi="Times New Roman"/>
                <w:color w:val="000000"/>
                <w:sz w:val="24"/>
                <w:szCs w:val="24"/>
              </w:rPr>
            </w:r>
            <w:r/>
          </w:p>
        </w:tc>
        <w:tc>
          <w:tcPr>
            <w:tcW w:w="2841" w:type="dxa"/>
            <w:vAlign w:val="top"/>
            <w:textDirection w:val="lrTb"/>
            <w:noWrap w:val="false"/>
          </w:tcPr>
          <w:p>
            <w:pPr>
              <w:pStyle w:val="963"/>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项目内容</w:t>
            </w:r>
            <w:r>
              <w:rPr>
                <w:rFonts w:ascii="Times New Roman" w:hAnsi="Times New Roman"/>
                <w:color w:val="000000"/>
                <w:sz w:val="24"/>
                <w:szCs w:val="24"/>
              </w:rPr>
            </w:r>
            <w:r/>
          </w:p>
        </w:tc>
        <w:tc>
          <w:tcPr>
            <w:tcW w:w="2841" w:type="dxa"/>
            <w:vAlign w:val="top"/>
            <w:textDirection w:val="lrTb"/>
            <w:noWrap w:val="false"/>
          </w:tcPr>
          <w:p>
            <w:pPr>
              <w:pStyle w:val="963"/>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w:t>
            </w:r>
            <w:r>
              <w:rPr>
                <w:rFonts w:hint="eastAsia" w:ascii="Times New Roman" w:hAnsi="Times New Roman"/>
                <w:color w:val="000000"/>
                <w:sz w:val="24"/>
                <w:szCs w:val="24"/>
              </w:rPr>
              <w:t xml:space="preserve">（小写）</w:t>
            </w:r>
            <w:r>
              <w:rPr>
                <w:rFonts w:ascii="Times New Roman" w:hAnsi="Times New Roman"/>
                <w:color w:val="000000"/>
                <w:sz w:val="24"/>
                <w:szCs w:val="24"/>
              </w:rPr>
            </w:r>
            <w:r/>
          </w:p>
        </w:tc>
      </w:tr>
      <w:tr>
        <w:trPr/>
        <w:tc>
          <w:tcPr>
            <w:tcW w:w="2840" w:type="dxa"/>
            <w:vAlign w:val="top"/>
            <w:textDirection w:val="lrTb"/>
            <w:noWrap w:val="false"/>
          </w:tcPr>
          <w:p>
            <w:pPr>
              <w:pStyle w:val="963"/>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c>
          <w:tcPr>
            <w:tcW w:w="2841" w:type="dxa"/>
            <w:vAlign w:val="top"/>
            <w:textDirection w:val="lrTb"/>
            <w:noWrap w:val="false"/>
          </w:tcPr>
          <w:p>
            <w:pPr>
              <w:pStyle w:val="963"/>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详见投标文件</w:t>
            </w:r>
            <w:r>
              <w:rPr>
                <w:rFonts w:ascii="Times New Roman" w:hAnsi="Times New Roman"/>
                <w:color w:val="000000"/>
                <w:sz w:val="24"/>
                <w:szCs w:val="24"/>
              </w:rPr>
            </w:r>
            <w:r/>
          </w:p>
        </w:tc>
        <w:tc>
          <w:tcPr>
            <w:tcW w:w="2841" w:type="dxa"/>
            <w:vAlign w:val="top"/>
            <w:textDirection w:val="lrTb"/>
            <w:noWrap w:val="false"/>
          </w:tcPr>
          <w:p>
            <w:pPr>
              <w:pStyle w:val="963"/>
              <w:jc w:val="center"/>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元</w:t>
            </w:r>
            <w:r>
              <w:rPr>
                <w:rFonts w:ascii="Times New Roman" w:hAnsi="Times New Roman"/>
                <w:color w:val="000000"/>
                <w:sz w:val="24"/>
                <w:szCs w:val="24"/>
              </w:rPr>
            </w:r>
            <w:r/>
          </w:p>
        </w:tc>
      </w:tr>
      <w:tr>
        <w:trPr/>
        <w:tc>
          <w:tcPr>
            <w:tcW w:w="2840" w:type="dxa"/>
            <w:vAlign w:val="top"/>
            <w:textDirection w:val="lrTb"/>
            <w:noWrap w:val="false"/>
          </w:tcPr>
          <w:p>
            <w:pPr>
              <w:pStyle w:val="963"/>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总价（大写）</w:t>
            </w:r>
            <w:r>
              <w:rPr>
                <w:rFonts w:ascii="Times New Roman" w:hAnsi="Times New Roman"/>
                <w:color w:val="000000"/>
                <w:sz w:val="24"/>
                <w:szCs w:val="24"/>
              </w:rPr>
            </w:r>
            <w:r/>
          </w:p>
        </w:tc>
        <w:tc>
          <w:tcPr>
            <w:gridSpan w:val="2"/>
            <w:tcW w:w="5682" w:type="dxa"/>
            <w:vAlign w:val="top"/>
            <w:textDirection w:val="lrTb"/>
            <w:noWrap w:val="false"/>
          </w:tcPr>
          <w:p>
            <w:pPr>
              <w:pStyle w:val="963"/>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r>
    </w:tbl>
    <w:p>
      <w:pPr>
        <w:pStyle w:val="963"/>
        <w:spacing w:line="500" w:lineRule="exact"/>
        <w:rPr>
          <w:rFonts w:ascii="Times New Roman" w:hAnsi="Times New Roman"/>
          <w:color w:val="000000"/>
          <w:sz w:val="24"/>
          <w:szCs w:val="24"/>
        </w:rPr>
      </w:pPr>
      <w:r>
        <w:rPr>
          <w:rFonts w:ascii="Times New Roman" w:hAnsi="Times New Roman"/>
          <w:color w:val="000000"/>
          <w:sz w:val="24"/>
          <w:szCs w:val="24"/>
        </w:rPr>
        <w:t xml:space="preserve">投标人公章：</w:t>
      </w:r>
      <w:r>
        <w:rPr>
          <w:rFonts w:hint="eastAsia" w:ascii="Times New Roman" w:hAnsi="Times New Roman"/>
          <w:color w:val="000000"/>
          <w:sz w:val="24"/>
          <w:szCs w:val="24"/>
        </w:rPr>
        <w:t xml:space="preserve">             （电子签章）</w:t>
      </w:r>
      <w:r>
        <w:rPr>
          <w:rFonts w:ascii="Times New Roman" w:hAnsi="Times New Roman"/>
          <w:color w:val="000000"/>
          <w:sz w:val="24"/>
          <w:szCs w:val="24"/>
        </w:rPr>
      </w:r>
      <w:r/>
    </w:p>
    <w:p>
      <w:pPr>
        <w:pStyle w:val="963"/>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rPr>
          <w:rFonts w:ascii="黑体" w:hAnsi="黑体" w:eastAsia="黑体" w:cs="仿宋"/>
          <w:bCs/>
          <w:color w:val="000000"/>
          <w:sz w:val="40"/>
          <w:szCs w:val="32"/>
        </w:rPr>
      </w:r>
      <w:r/>
    </w:p>
    <w:p>
      <w:pPr>
        <w:pStyle w:val="963"/>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rPr>
          <w:rFonts w:ascii="黑体" w:hAnsi="黑体" w:eastAsia="黑体" w:cs="仿宋"/>
          <w:bCs/>
          <w:color w:val="000000"/>
          <w:sz w:val="40"/>
          <w:szCs w:val="32"/>
        </w:rPr>
      </w:r>
      <w:r/>
    </w:p>
    <w:p>
      <w:pPr>
        <w:pStyle w:val="963"/>
        <w:spacing w:line="500" w:lineRule="exact"/>
        <w:rPr>
          <w:rFonts w:ascii="宋体" w:hAnsi="宋体" w:cs="仿宋"/>
          <w:bCs/>
          <w:color w:val="000000"/>
          <w:sz w:val="24"/>
          <w:szCs w:val="24"/>
        </w:rPr>
      </w:pP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bCs/>
          <w:color w:val="000000"/>
          <w:sz w:val="24"/>
          <w:szCs w:val="24"/>
        </w:rPr>
      </w:r>
      <w:r/>
    </w:p>
    <w:p>
      <w:pPr>
        <w:pStyle w:val="963"/>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rPr>
          <w:rFonts w:ascii="黑体" w:hAnsi="黑体" w:eastAsia="黑体" w:cs="仿宋"/>
          <w:bCs/>
          <w:color w:val="000000"/>
          <w:sz w:val="24"/>
          <w:szCs w:val="24"/>
        </w:rPr>
      </w:r>
      <w:r/>
    </w:p>
    <w:p>
      <w:pPr>
        <w:pStyle w:val="963"/>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63"/>
        <w:spacing w:line="50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63"/>
        <w:spacing w:line="50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63"/>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63"/>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63"/>
        <w:spacing w:line="50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63"/>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rPr>
          <w:rFonts w:ascii="黑体" w:hAnsi="黑体" w:eastAsia="黑体" w:cs="仿宋"/>
          <w:bCs/>
          <w:color w:val="000000"/>
          <w:sz w:val="24"/>
          <w:szCs w:val="24"/>
        </w:rPr>
      </w:r>
      <w:r/>
    </w:p>
    <w:p>
      <w:pPr>
        <w:pStyle w:val="963"/>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63"/>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63"/>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63"/>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63"/>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rPr>
          <w:rFonts w:ascii="黑体" w:hAnsi="黑体" w:eastAsia="黑体" w:cs="仿宋"/>
          <w:bCs/>
          <w:color w:val="000000"/>
          <w:sz w:val="24"/>
          <w:szCs w:val="24"/>
        </w:rPr>
      </w:r>
      <w:r/>
    </w:p>
    <w:p>
      <w:pPr>
        <w:pStyle w:val="963"/>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63"/>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63"/>
        <w:spacing w:line="500" w:lineRule="exact"/>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63"/>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63"/>
        <w:spacing w:line="50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63"/>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963"/>
        <w:spacing w:line="50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63"/>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rPr>
          <w:rFonts w:ascii="黑体" w:hAnsi="黑体" w:eastAsia="黑体" w:cs="仿宋"/>
          <w:bCs/>
          <w:color w:val="000000"/>
          <w:sz w:val="24"/>
          <w:szCs w:val="24"/>
        </w:rPr>
      </w:r>
      <w:r/>
    </w:p>
    <w:p>
      <w:pPr>
        <w:pStyle w:val="963"/>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63"/>
        <w:spacing w:line="50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963"/>
        <w:spacing w:line="50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963"/>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963"/>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963"/>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color w:val="000000"/>
          <w:sz w:val="24"/>
          <w:szCs w:val="24"/>
        </w:rPr>
      </w:r>
      <w:r/>
    </w:p>
    <w:p>
      <w:pPr>
        <w:pStyle w:val="963"/>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963"/>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963"/>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963"/>
        <w:ind w:firstLine="480"/>
        <w:jc w:val="left"/>
        <w:spacing w:line="500" w:lineRule="exact"/>
        <w:widowControl/>
        <w:rPr>
          <w:rFonts w:hint="eastAsia" w:ascii="宋体" w:hAnsi="宋体"/>
          <w:b/>
          <w:color w:val="ff0000"/>
          <w:sz w:val="24"/>
          <w:szCs w:val="24"/>
        </w:rPr>
      </w:pPr>
      <w:r>
        <w:rPr>
          <w:rFonts w:hint="eastAsia" w:ascii="宋体" w:hAnsi="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仿宋">
    <w:panose1 w:val="02010609060101010101"/>
  </w:font>
  <w:font w:name="Wingdings">
    <w:panose1 w:val="05000000000000000000"/>
  </w:font>
  <w:font w:name="Century Schoolbook">
    <w:panose1 w:val="02040604050505020304"/>
  </w:font>
  <w:font w:name="Courier New">
    <w:panose1 w:val="02070309020205020404"/>
  </w:font>
  <w:font w:name="MS Mincho">
    <w:panose1 w:val="02020603050405090304"/>
  </w:font>
  <w:font w:name="Tahoma">
    <w:panose1 w:val="020B0604030504040204"/>
  </w:font>
  <w:font w:name="楷体_GB2312">
    <w:panose1 w:val="02010609060101010101"/>
  </w:font>
  <w:font w:name="仿宋_GB2312">
    <w:panose1 w:val="02010609060101010101"/>
  </w:font>
  <w:font w:name="华文中宋">
    <w:panose1 w:val="02010600040101010101"/>
  </w:font>
  <w:font w:name="Verdana">
    <w:panose1 w:val="020B0604030504040204"/>
  </w:font>
  <w:font w:name="黑体">
    <w:panose1 w:val="02010609060101010101"/>
  </w:font>
  <w:font w:name="Cambria">
    <w:panose1 w:val="02040503050406030204"/>
  </w:font>
  <w:font w:name="Arial Unicode MS">
    <w:panose1 w:val="020B0604020202020204"/>
  </w:font>
  <w:font w:name="Arial">
    <w:panose1 w:val="020B0604020202020204"/>
  </w:font>
  <w:font w:name="隶书">
    <w:panose1 w:val="02010509060101010101"/>
  </w:font>
  <w:font w:name="monospace">
    <w:panose1 w:val="020B0503020202020204"/>
  </w:font>
  <w:font w:name="宋体">
    <w:panose1 w:val="02010600030101010101"/>
  </w:font>
  <w:font w:name="Times New Roman">
    <w:panose1 w:val="02020603050405020304"/>
  </w:font>
  <w:font w:name="微软雅黑">
    <w:panose1 w:val="020B0503020204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center"/>
    </w:pPr>
    <w:r/>
    <w:r/>
  </w:p>
  <w:p>
    <w:pPr>
      <w:pStyle w:val="99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center"/>
    </w:pPr>
    <w:r>
      <w:fldChar w:fldCharType="begin"/>
    </w:r>
    <w:r>
      <w:instrText xml:space="preserve"> PAGE   \* MERGEFORMAT </w:instrText>
    </w:r>
    <w:r>
      <w:fldChar w:fldCharType="separate"/>
    </w:r>
    <w:r>
      <w:rPr>
        <w:lang w:val="zh-CN"/>
      </w:rPr>
      <w:t xml:space="preserve">102</w:t>
    </w:r>
    <w:r>
      <w:rPr>
        <w:lang w:val="zh-CN"/>
      </w:rPr>
      <w:fldChar w:fldCharType="end"/>
    </w:r>
    <w:r/>
  </w:p>
  <w:p>
    <w:pPr>
      <w:pStyle w:val="99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9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tab"/>
      <w:lvlText w:val="%1、"/>
      <w:lvlJc w:val="left"/>
      <w:pPr>
        <w:pStyle w:val="963"/>
        <w:ind w:left="0" w:firstLine="0"/>
        <w:tabs>
          <w:tab w:val="left" w:pos="0" w:leader="none"/>
        </w:tabs>
      </w:pPr>
      <w:rPr>
        <w:rFonts w:hint="eastAsia" w:ascii="宋体" w:hAnsi="宋体" w:eastAsia="宋体" w:cs="宋体"/>
        <w:b/>
        <w:bCs/>
        <w:sz w:val="28"/>
        <w:szCs w:val="28"/>
      </w:rPr>
    </w:lvl>
    <w:lvl w:ilvl="1">
      <w:start w:val="4"/>
      <w:numFmt w:val="decimal"/>
      <w:isLgl w:val="false"/>
      <w:suff w:val="tab"/>
      <w:lvlText w:val=" %1.%2"/>
      <w:lvlJc w:val="left"/>
      <w:pPr>
        <w:pStyle w:val="963"/>
        <w:ind w:left="0" w:firstLine="0"/>
        <w:tabs>
          <w:tab w:val="left" w:pos="0" w:leader="none"/>
        </w:tabs>
      </w:pPr>
      <w:rPr>
        <w:rFonts w:hint="eastAsia" w:ascii="Times New Roman" w:hAnsi="Times New Roman" w:eastAsia="宋体" w:cs="宋体"/>
        <w:sz w:val="24"/>
        <w:szCs w:val="24"/>
      </w:rPr>
    </w:lvl>
    <w:lvl w:ilvl="2">
      <w:start w:val="1"/>
      <w:numFmt w:val="decimal"/>
      <w:isLgl w:val="false"/>
      <w:suff w:val="tab"/>
      <w:lvlText w:val="  %1.%2.%3"/>
      <w:lvlJc w:val="left"/>
      <w:pPr>
        <w:pStyle w:val="963"/>
        <w:ind w:left="0" w:firstLine="0"/>
        <w:tabs>
          <w:tab w:val="left" w:pos="0" w:leader="none"/>
        </w:tabs>
      </w:pPr>
      <w:rPr>
        <w:rFonts w:hint="eastAsia" w:ascii="Times New Roman" w:hAnsi="Times New Roman" w:eastAsia="宋体" w:cs="宋体"/>
        <w:sz w:val="24"/>
        <w:szCs w:val="24"/>
      </w:rPr>
    </w:lvl>
    <w:lvl w:ilvl="3">
      <w:start w:val="1"/>
      <w:numFmt w:val="decimal"/>
      <w:isLgl w:val="false"/>
      <w:suff w:val="tab"/>
      <w:lvlText w:val="  %1.%2.%3.%4"/>
      <w:lvlJc w:val="left"/>
      <w:pPr>
        <w:pStyle w:val="963"/>
        <w:ind w:left="0" w:firstLine="0"/>
        <w:tabs>
          <w:tab w:val="left" w:pos="0" w:leader="none"/>
        </w:tabs>
      </w:pPr>
      <w:rPr>
        <w:rFonts w:hint="eastAsia" w:ascii="Times New Roman" w:hAnsi="Times New Roman" w:eastAsia="宋体" w:cs="宋体"/>
        <w:sz w:val="24"/>
        <w:szCs w:val="24"/>
      </w:rPr>
    </w:lvl>
    <w:lvl w:ilvl="4">
      <w:start w:val="1"/>
      <w:numFmt w:val="decimal"/>
      <w:isLgl w:val="false"/>
      <w:suff w:val="tab"/>
      <w:lvlText w:val="  %1.%2.%3.%4.%5"/>
      <w:lvlJc w:val="left"/>
      <w:pPr>
        <w:pStyle w:val="963"/>
        <w:ind w:left="0" w:firstLine="0"/>
        <w:tabs>
          <w:tab w:val="left" w:pos="0" w:leader="none"/>
        </w:tabs>
      </w:pPr>
      <w:rPr>
        <w:rFonts w:hint="eastAsia" w:ascii="Times New Roman" w:hAnsi="Times New Roman" w:eastAsia="宋体" w:cs="宋体"/>
        <w:sz w:val="24"/>
        <w:szCs w:val="24"/>
      </w:rPr>
    </w:lvl>
    <w:lvl w:ilvl="5">
      <w:start w:val="1"/>
      <w:numFmt w:val="decimal"/>
      <w:isLgl w:val="false"/>
      <w:suff w:val="tab"/>
      <w:lvlText w:val="  %1.%2.%3.%4.%5.%6"/>
      <w:lvlJc w:val="left"/>
      <w:pPr>
        <w:pStyle w:val="963"/>
        <w:ind w:left="0" w:firstLine="0"/>
        <w:tabs>
          <w:tab w:val="left" w:pos="0" w:leader="none"/>
        </w:tabs>
      </w:pPr>
      <w:rPr>
        <w:rFonts w:hint="eastAsia" w:ascii="Times New Roman" w:hAnsi="Times New Roman" w:eastAsia="宋体" w:cs="宋体"/>
        <w:sz w:val="24"/>
        <w:szCs w:val="24"/>
      </w:rPr>
    </w:lvl>
    <w:lvl w:ilvl="6">
      <w:start w:val="1"/>
      <w:numFmt w:val="decimal"/>
      <w:isLgl w:val="false"/>
      <w:suff w:val="tab"/>
      <w:lvlText w:val="  %1.%2.%3.%4.%5.%6.%7"/>
      <w:lvlJc w:val="left"/>
      <w:pPr>
        <w:pStyle w:val="963"/>
        <w:ind w:left="0" w:firstLine="0"/>
        <w:tabs>
          <w:tab w:val="left" w:pos="0" w:leader="none"/>
        </w:tabs>
      </w:pPr>
      <w:rPr>
        <w:rFonts w:hint="eastAsia" w:ascii="Times New Roman" w:hAnsi="Times New Roman" w:eastAsia="宋体" w:cs="宋体"/>
        <w:sz w:val="24"/>
        <w:szCs w:val="24"/>
      </w:rPr>
    </w:lvl>
    <w:lvl w:ilvl="7">
      <w:start w:val="1"/>
      <w:numFmt w:val="decimal"/>
      <w:isLgl w:val="false"/>
      <w:suff w:val="tab"/>
      <w:lvlText w:val="  %1.%2.%3.%4.%5.%6.%7.%8"/>
      <w:lvlJc w:val="left"/>
      <w:pPr>
        <w:pStyle w:val="963"/>
        <w:ind w:left="0" w:firstLine="0"/>
        <w:tabs>
          <w:tab w:val="left" w:pos="0" w:leader="none"/>
        </w:tabs>
      </w:pPr>
      <w:rPr>
        <w:rFonts w:hint="eastAsia" w:ascii="Times New Roman" w:hAnsi="Times New Roman" w:eastAsia="宋体" w:cs="宋体"/>
        <w:sz w:val="24"/>
        <w:szCs w:val="24"/>
      </w:rPr>
    </w:lvl>
    <w:lvl w:ilvl="8">
      <w:start w:val="1"/>
      <w:numFmt w:val="decimal"/>
      <w:isLgl w:val="false"/>
      <w:suff w:val="tab"/>
      <w:lvlText w:val="  %1.%2.%3.%4.%5.%6.%7.%8.%9"/>
      <w:lvlJc w:val="left"/>
      <w:pPr>
        <w:pStyle w:val="963"/>
        <w:ind w:left="0" w:firstLine="0"/>
        <w:tabs>
          <w:tab w:val="left" w:pos="0" w:leader="none"/>
        </w:tabs>
      </w:pPr>
      <w:rPr>
        <w:rFonts w:hint="eastAsia" w:ascii="Times New Roman" w:hAnsi="Times New Roman" w:eastAsia="宋体" w:cs="宋体"/>
        <w:sz w:val="24"/>
        <w:szCs w:val="24"/>
      </w:rPr>
    </w:lvl>
  </w:abstractNum>
  <w:abstractNum w:abstractNumId="3">
    <w:multiLevelType w:val="hybridMultilevel"/>
    <w:lvl w:ilvl="0">
      <w:start w:val="1"/>
      <w:numFmt w:val="decimal"/>
      <w:isLgl w:val="false"/>
      <w:suff w:val="nothing"/>
      <w:lvlText w:val="（%1）"/>
      <w:lvlJc w:val="left"/>
      <w:pPr>
        <w:pStyle w:val="963"/>
      </w:pPr>
      <w:rPr>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pStyle w:val="9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pStyle w:val="9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pStyle w:val="9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pStyle w:val="9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pStyle w:val="9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pStyle w:val="9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963"/>
      </w:pPr>
      <w:rPr>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pStyle w:val="9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9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pStyle w:val="9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pStyle w:val="963"/>
        <w:ind w:left="425" w:hanging="425"/>
      </w:pPr>
      <w:rPr>
        <w:rFonts w:ascii="Times New Roman" w:hAnsi="Times New Roman" w:cs="Times New Roman"/>
      </w:rPr>
    </w:lvl>
    <w:lvl w:ilvl="1">
      <w:start w:val="1"/>
      <w:numFmt w:val="decimal"/>
      <w:isLgl w:val="false"/>
      <w:suff w:val="tab"/>
      <w:lvlText w:val="%2."/>
      <w:lvlJc w:val="left"/>
      <w:pPr>
        <w:pStyle w:val="963"/>
        <w:ind w:left="1440" w:hanging="360"/>
        <w:tabs>
          <w:tab w:val="left" w:pos="1440" w:leader="none"/>
        </w:tabs>
      </w:pPr>
    </w:lvl>
    <w:lvl w:ilvl="2">
      <w:start w:val="1"/>
      <w:numFmt w:val="decimal"/>
      <w:isLgl w:val="false"/>
      <w:suff w:val="tab"/>
      <w:lvlText w:val="%3."/>
      <w:lvlJc w:val="left"/>
      <w:pPr>
        <w:pStyle w:val="963"/>
        <w:ind w:left="2160" w:hanging="360"/>
        <w:tabs>
          <w:tab w:val="left" w:pos="2160" w:leader="none"/>
        </w:tabs>
      </w:pPr>
    </w:lvl>
    <w:lvl w:ilvl="3">
      <w:start w:val="1"/>
      <w:numFmt w:val="decimal"/>
      <w:isLgl w:val="false"/>
      <w:suff w:val="tab"/>
      <w:lvlText w:val="%4."/>
      <w:lvlJc w:val="left"/>
      <w:pPr>
        <w:pStyle w:val="963"/>
        <w:ind w:left="2880" w:hanging="360"/>
        <w:tabs>
          <w:tab w:val="left" w:pos="2880" w:leader="none"/>
        </w:tabs>
      </w:pPr>
    </w:lvl>
    <w:lvl w:ilvl="4">
      <w:start w:val="1"/>
      <w:numFmt w:val="decimal"/>
      <w:isLgl w:val="false"/>
      <w:suff w:val="tab"/>
      <w:lvlText w:val="%5."/>
      <w:lvlJc w:val="left"/>
      <w:pPr>
        <w:pStyle w:val="963"/>
        <w:ind w:left="3600" w:hanging="360"/>
        <w:tabs>
          <w:tab w:val="left" w:pos="3600" w:leader="none"/>
        </w:tabs>
      </w:pPr>
    </w:lvl>
    <w:lvl w:ilvl="5">
      <w:start w:val="1"/>
      <w:numFmt w:val="decimal"/>
      <w:isLgl w:val="false"/>
      <w:suff w:val="tab"/>
      <w:lvlText w:val="%6."/>
      <w:lvlJc w:val="left"/>
      <w:pPr>
        <w:pStyle w:val="963"/>
        <w:ind w:left="4320" w:hanging="360"/>
        <w:tabs>
          <w:tab w:val="left" w:pos="4320" w:leader="none"/>
        </w:tabs>
      </w:pPr>
    </w:lvl>
    <w:lvl w:ilvl="6">
      <w:start w:val="1"/>
      <w:numFmt w:val="decimal"/>
      <w:isLgl w:val="false"/>
      <w:suff w:val="tab"/>
      <w:lvlText w:val="%7."/>
      <w:lvlJc w:val="left"/>
      <w:pPr>
        <w:pStyle w:val="963"/>
        <w:ind w:left="5040" w:hanging="360"/>
        <w:tabs>
          <w:tab w:val="left" w:pos="5040" w:leader="none"/>
        </w:tabs>
      </w:pPr>
    </w:lvl>
    <w:lvl w:ilvl="7">
      <w:start w:val="1"/>
      <w:numFmt w:val="decimal"/>
      <w:isLgl w:val="false"/>
      <w:suff w:val="tab"/>
      <w:lvlText w:val="%8."/>
      <w:lvlJc w:val="left"/>
      <w:pPr>
        <w:pStyle w:val="963"/>
        <w:ind w:left="5760" w:hanging="360"/>
        <w:tabs>
          <w:tab w:val="left" w:pos="5760" w:leader="none"/>
        </w:tabs>
      </w:pPr>
    </w:lvl>
    <w:lvl w:ilvl="8">
      <w:start w:val="1"/>
      <w:numFmt w:val="decimal"/>
      <w:isLgl w:val="false"/>
      <w:suff w:val="tab"/>
      <w:lvlText w:val="%9."/>
      <w:lvlJc w:val="left"/>
      <w:pPr>
        <w:pStyle w:val="963"/>
        <w:ind w:left="6480" w:hanging="360"/>
        <w:tabs>
          <w:tab w:val="left" w:pos="6480" w:leader="none"/>
        </w:tabs>
      </w:pPr>
    </w:lvl>
  </w:abstractNum>
  <w:abstractNum w:abstractNumId="15">
    <w:multiLevelType w:val="hybridMultilevel"/>
    <w:lvl w:ilvl="0">
      <w:start w:val="1"/>
      <w:numFmt w:val="decimal"/>
      <w:pStyle w:val="1069"/>
      <w:isLgl w:val="false"/>
      <w:suff w:val="tab"/>
      <w:lvlText w:val="%1"/>
      <w:lvlJc w:val="left"/>
      <w:pPr>
        <w:pStyle w:val="963"/>
        <w:ind w:left="284" w:hanging="284"/>
        <w:tabs>
          <w:tab w:val="left" w:pos="360" w:leader="none"/>
        </w:tabs>
      </w:pPr>
      <w:rPr>
        <w:rFonts w:ascii="Times New Roman" w:hAnsi="Times New Roman"/>
        <w:b/>
        <w:i w:val="0"/>
        <w:sz w:val="28"/>
      </w:rPr>
    </w:lvl>
    <w:lvl w:ilvl="1">
      <w:start w:val="1"/>
      <w:numFmt w:val="decimal"/>
      <w:pStyle w:val="1063"/>
      <w:isLgl w:val="false"/>
      <w:suff w:val="tab"/>
      <w:lvlText w:val="%1.%2"/>
      <w:lvlJc w:val="left"/>
      <w:pPr>
        <w:pStyle w:val="963"/>
        <w:ind w:left="1021" w:hanging="596"/>
        <w:tabs>
          <w:tab w:val="left" w:pos="1021" w:leader="none"/>
        </w:tabs>
      </w:pPr>
      <w:rPr>
        <w:rFonts w:ascii="Times New Roman" w:hAnsi="Times New Roman"/>
        <w:b/>
        <w:i w:val="0"/>
        <w:sz w:val="28"/>
      </w:rPr>
    </w:lvl>
    <w:lvl w:ilvl="2">
      <w:start w:val="1"/>
      <w:numFmt w:val="decimal"/>
      <w:isLgl w:val="false"/>
      <w:suff w:val="tab"/>
      <w:lvlText w:val="%1.%2.%3"/>
      <w:lvlJc w:val="left"/>
      <w:pPr>
        <w:pStyle w:val="963"/>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pStyle w:val="963"/>
        <w:ind w:left="2155" w:hanging="1078"/>
        <w:tabs>
          <w:tab w:val="left" w:pos="2155" w:leader="none"/>
        </w:tabs>
      </w:pPr>
      <w:rPr>
        <w:rFonts w:ascii="Arial" w:hAnsi="Arial"/>
        <w:b w:val="0"/>
        <w:i w:val="0"/>
        <w:sz w:val="24"/>
      </w:rPr>
    </w:lvl>
    <w:lvl w:ilvl="4">
      <w:start w:val="1"/>
      <w:numFmt w:val="decimal"/>
      <w:isLgl w:val="false"/>
      <w:suff w:val="tab"/>
      <w:lvlText w:val="%1.%2.%3.%4.%5"/>
      <w:lvlJc w:val="left"/>
      <w:pPr>
        <w:pStyle w:val="963"/>
        <w:ind w:left="2551" w:hanging="850"/>
        <w:tabs>
          <w:tab w:val="left" w:pos="3141" w:leader="none"/>
        </w:tabs>
      </w:pPr>
      <w:rPr>
        <w:rFonts w:hint="eastAsia"/>
      </w:rPr>
    </w:lvl>
    <w:lvl w:ilvl="5">
      <w:start w:val="1"/>
      <w:numFmt w:val="decimal"/>
      <w:isLgl w:val="false"/>
      <w:suff w:val="tab"/>
      <w:lvlText w:val="%1.%2.%3.%4.%5.%6"/>
      <w:lvlJc w:val="left"/>
      <w:pPr>
        <w:pStyle w:val="963"/>
        <w:ind w:left="3260" w:hanging="1134"/>
        <w:tabs>
          <w:tab w:val="left" w:pos="3566" w:leader="none"/>
        </w:tabs>
      </w:pPr>
      <w:rPr>
        <w:rFonts w:hint="eastAsia"/>
      </w:rPr>
    </w:lvl>
    <w:lvl w:ilvl="6">
      <w:start w:val="1"/>
      <w:numFmt w:val="decimal"/>
      <w:isLgl w:val="false"/>
      <w:suff w:val="tab"/>
      <w:lvlText w:val="%1.%2.%3.%4.%5.%6.%7"/>
      <w:lvlJc w:val="left"/>
      <w:pPr>
        <w:pStyle w:val="963"/>
        <w:ind w:left="3827" w:hanging="1276"/>
        <w:tabs>
          <w:tab w:val="left" w:pos="4351" w:leader="none"/>
        </w:tabs>
      </w:pPr>
      <w:rPr>
        <w:rFonts w:hint="eastAsia"/>
      </w:rPr>
    </w:lvl>
    <w:lvl w:ilvl="7">
      <w:start w:val="1"/>
      <w:numFmt w:val="decimal"/>
      <w:isLgl w:val="false"/>
      <w:suff w:val="tab"/>
      <w:lvlText w:val="%1.%2.%3.%4.%5.%6.%7.%8"/>
      <w:lvlJc w:val="left"/>
      <w:pPr>
        <w:pStyle w:val="963"/>
        <w:ind w:left="4394" w:hanging="1418"/>
        <w:tabs>
          <w:tab w:val="left" w:pos="5136" w:leader="none"/>
        </w:tabs>
      </w:pPr>
      <w:rPr>
        <w:rFonts w:hint="eastAsia"/>
      </w:rPr>
    </w:lvl>
    <w:lvl w:ilvl="8">
      <w:start w:val="1"/>
      <w:numFmt w:val="decimal"/>
      <w:isLgl w:val="false"/>
      <w:suff w:val="tab"/>
      <w:lvlText w:val="%1.%2.%3.%4.%5.%6.%7.%8.%9"/>
      <w:lvlJc w:val="left"/>
      <w:pPr>
        <w:pStyle w:val="963"/>
        <w:ind w:left="5102" w:hanging="1700"/>
        <w:tabs>
          <w:tab w:val="left" w:pos="5562" w:leader="none"/>
        </w:tabs>
      </w:pPr>
      <w:rPr>
        <w:rFonts w:hint="eastAsia"/>
      </w:rPr>
    </w:lvl>
  </w:abstractNum>
  <w:abstractNum w:abstractNumId="16">
    <w:multiLevelType w:val="hybridMultilevel"/>
    <w:lvl w:ilvl="0">
      <w:start w:val="1"/>
      <w:numFmt w:val="decimal"/>
      <w:pStyle w:val="1072"/>
      <w:isLgl w:val="false"/>
      <w:suff w:val="tab"/>
      <w:lvlText w:val="%1."/>
      <w:lvlJc w:val="left"/>
      <w:pPr>
        <w:pStyle w:val="963"/>
        <w:ind w:left="840" w:hanging="420"/>
        <w:tabs>
          <w:tab w:val="left" w:pos="840" w:leader="none"/>
        </w:tabs>
      </w:pPr>
    </w:lvl>
    <w:lvl w:ilvl="1">
      <w:start w:val="1"/>
      <w:numFmt w:val="lowerLetter"/>
      <w:isLgl w:val="false"/>
      <w:suff w:val="tab"/>
      <w:lvlText w:val="%2)"/>
      <w:lvlJc w:val="left"/>
      <w:pPr>
        <w:pStyle w:val="963"/>
        <w:ind w:left="1260" w:hanging="420"/>
        <w:tabs>
          <w:tab w:val="left" w:pos="1260" w:leader="none"/>
        </w:tabs>
      </w:pPr>
    </w:lvl>
    <w:lvl w:ilvl="2">
      <w:start w:val="1"/>
      <w:numFmt w:val="lowerRoman"/>
      <w:isLgl w:val="false"/>
      <w:suff w:val="tab"/>
      <w:lvlText w:val="%3."/>
      <w:lvlJc w:val="right"/>
      <w:pPr>
        <w:pStyle w:val="963"/>
        <w:ind w:left="1680" w:hanging="420"/>
        <w:tabs>
          <w:tab w:val="left" w:pos="1680" w:leader="none"/>
        </w:tabs>
      </w:pPr>
    </w:lvl>
    <w:lvl w:ilvl="3">
      <w:start w:val="1"/>
      <w:numFmt w:val="decimal"/>
      <w:isLgl w:val="false"/>
      <w:suff w:val="tab"/>
      <w:lvlText w:val="%4."/>
      <w:lvlJc w:val="left"/>
      <w:pPr>
        <w:pStyle w:val="963"/>
        <w:ind w:left="2100" w:hanging="420"/>
        <w:tabs>
          <w:tab w:val="left" w:pos="2100" w:leader="none"/>
        </w:tabs>
      </w:pPr>
    </w:lvl>
    <w:lvl w:ilvl="4">
      <w:start w:val="1"/>
      <w:numFmt w:val="lowerLetter"/>
      <w:isLgl w:val="false"/>
      <w:suff w:val="tab"/>
      <w:lvlText w:val="%5)"/>
      <w:lvlJc w:val="left"/>
      <w:pPr>
        <w:pStyle w:val="963"/>
        <w:ind w:left="2520" w:hanging="420"/>
        <w:tabs>
          <w:tab w:val="left" w:pos="2520" w:leader="none"/>
        </w:tabs>
      </w:pPr>
    </w:lvl>
    <w:lvl w:ilvl="5">
      <w:start w:val="1"/>
      <w:numFmt w:val="lowerRoman"/>
      <w:isLgl w:val="false"/>
      <w:suff w:val="tab"/>
      <w:lvlText w:val="%6."/>
      <w:lvlJc w:val="right"/>
      <w:pPr>
        <w:pStyle w:val="963"/>
        <w:ind w:left="2940" w:hanging="420"/>
        <w:tabs>
          <w:tab w:val="left" w:pos="2940" w:leader="none"/>
        </w:tabs>
      </w:pPr>
    </w:lvl>
    <w:lvl w:ilvl="6">
      <w:start w:val="1"/>
      <w:numFmt w:val="decimal"/>
      <w:isLgl w:val="false"/>
      <w:suff w:val="tab"/>
      <w:lvlText w:val="%7."/>
      <w:lvlJc w:val="left"/>
      <w:pPr>
        <w:pStyle w:val="963"/>
        <w:ind w:left="3360" w:hanging="420"/>
        <w:tabs>
          <w:tab w:val="left" w:pos="3360" w:leader="none"/>
        </w:tabs>
      </w:pPr>
    </w:lvl>
    <w:lvl w:ilvl="7">
      <w:start w:val="1"/>
      <w:numFmt w:val="lowerLetter"/>
      <w:isLgl w:val="false"/>
      <w:suff w:val="tab"/>
      <w:lvlText w:val="%8)"/>
      <w:lvlJc w:val="left"/>
      <w:pPr>
        <w:pStyle w:val="963"/>
        <w:ind w:left="3780" w:hanging="420"/>
        <w:tabs>
          <w:tab w:val="left" w:pos="3780" w:leader="none"/>
        </w:tabs>
      </w:pPr>
    </w:lvl>
    <w:lvl w:ilvl="8">
      <w:start w:val="1"/>
      <w:numFmt w:val="lowerRoman"/>
      <w:isLgl w:val="false"/>
      <w:suff w:val="tab"/>
      <w:lvlText w:val="%9."/>
      <w:lvlJc w:val="right"/>
      <w:pPr>
        <w:pStyle w:val="963"/>
        <w:ind w:left="4200" w:hanging="420"/>
        <w:tabs>
          <w:tab w:val="left" w:pos="4200" w:leader="none"/>
        </w:tabs>
      </w:pPr>
    </w:lvl>
  </w:abstractNum>
  <w:abstractNum w:abstractNumId="17">
    <w:multiLevelType w:val="hybridMultilevel"/>
    <w:lvl w:ilvl="0">
      <w:start w:val="14"/>
      <w:numFmt w:val="decimal"/>
      <w:isLgl w:val="false"/>
      <w:suff w:val="tab"/>
      <w:lvlText w:val="%1、"/>
      <w:lvlJc w:val="left"/>
      <w:pPr>
        <w:pStyle w:val="963"/>
        <w:ind w:left="420" w:hanging="420"/>
      </w:pPr>
    </w:lvl>
    <w:lvl w:ilvl="1">
      <w:start w:val="1"/>
      <w:numFmt w:val="lowerLetter"/>
      <w:isLgl w:val="false"/>
      <w:suff w:val="tab"/>
      <w:lvlText w:val="%2)"/>
      <w:lvlJc w:val="left"/>
      <w:pPr>
        <w:pStyle w:val="963"/>
        <w:ind w:left="840" w:hanging="420"/>
      </w:pPr>
    </w:lvl>
    <w:lvl w:ilvl="2">
      <w:start w:val="1"/>
      <w:numFmt w:val="lowerRoman"/>
      <w:isLgl w:val="false"/>
      <w:suff w:val="tab"/>
      <w:lvlText w:val="%3."/>
      <w:lvlJc w:val="right"/>
      <w:pPr>
        <w:pStyle w:val="963"/>
        <w:ind w:left="1260" w:hanging="420"/>
      </w:pPr>
    </w:lvl>
    <w:lvl w:ilvl="3">
      <w:start w:val="1"/>
      <w:numFmt w:val="decimal"/>
      <w:isLgl w:val="false"/>
      <w:suff w:val="tab"/>
      <w:lvlText w:val="%4."/>
      <w:lvlJc w:val="left"/>
      <w:pPr>
        <w:pStyle w:val="963"/>
        <w:ind w:left="1680" w:hanging="420"/>
      </w:pPr>
    </w:lvl>
    <w:lvl w:ilvl="4">
      <w:start w:val="1"/>
      <w:numFmt w:val="lowerLetter"/>
      <w:isLgl w:val="false"/>
      <w:suff w:val="tab"/>
      <w:lvlText w:val="%5)"/>
      <w:lvlJc w:val="left"/>
      <w:pPr>
        <w:pStyle w:val="963"/>
        <w:ind w:left="2100" w:hanging="420"/>
      </w:pPr>
    </w:lvl>
    <w:lvl w:ilvl="5">
      <w:start w:val="1"/>
      <w:numFmt w:val="lowerRoman"/>
      <w:isLgl w:val="false"/>
      <w:suff w:val="tab"/>
      <w:lvlText w:val="%6."/>
      <w:lvlJc w:val="right"/>
      <w:pPr>
        <w:pStyle w:val="963"/>
        <w:ind w:left="2520" w:hanging="420"/>
      </w:pPr>
    </w:lvl>
    <w:lvl w:ilvl="6">
      <w:start w:val="1"/>
      <w:numFmt w:val="decimal"/>
      <w:isLgl w:val="false"/>
      <w:suff w:val="tab"/>
      <w:lvlText w:val="%7."/>
      <w:lvlJc w:val="left"/>
      <w:pPr>
        <w:pStyle w:val="963"/>
        <w:ind w:left="2940" w:hanging="420"/>
      </w:pPr>
    </w:lvl>
    <w:lvl w:ilvl="7">
      <w:start w:val="1"/>
      <w:numFmt w:val="lowerLetter"/>
      <w:isLgl w:val="false"/>
      <w:suff w:val="tab"/>
      <w:lvlText w:val="%8)"/>
      <w:lvlJc w:val="left"/>
      <w:pPr>
        <w:pStyle w:val="963"/>
        <w:ind w:left="3360" w:hanging="420"/>
      </w:pPr>
    </w:lvl>
    <w:lvl w:ilvl="8">
      <w:start w:val="1"/>
      <w:numFmt w:val="lowerRoman"/>
      <w:isLgl w:val="false"/>
      <w:suff w:val="tab"/>
      <w:lvlText w:val="%9."/>
      <w:lvlJc w:val="right"/>
      <w:pPr>
        <w:pStyle w:val="963"/>
        <w:ind w:left="3780" w:hanging="420"/>
      </w:pPr>
    </w:lvl>
  </w:abstractNum>
  <w:abstractNum w:abstractNumId="18">
    <w:multiLevelType w:val="hybridMultilevel"/>
    <w:lvl w:ilvl="0">
      <w:start w:val="1"/>
      <w:numFmt w:val="decimalEnclosedCircleChinese"/>
      <w:isLgl w:val="false"/>
      <w:suff w:val="nothing"/>
      <w:lvlText w:val="%1　"/>
      <w:lvlJc w:val="left"/>
      <w:pPr>
        <w:pStyle w:val="963"/>
        <w:ind w:left="0" w:firstLine="400"/>
      </w:pPr>
      <w:rPr>
        <w:rFonts w:hint="eastAsia" w:ascii="宋体" w:hAnsi="宋体" w:eastAsia="宋体"/>
      </w:rPr>
    </w:lvl>
    <w:lvl w:ilvl="1">
      <w:start w:val="1"/>
      <w:numFmt w:val="decimal"/>
      <w:isLgl w:val="false"/>
      <w:suff w:val="tab"/>
      <w:lvlText w:val="%2."/>
      <w:lvlJc w:val="left"/>
      <w:pPr>
        <w:pStyle w:val="963"/>
        <w:ind w:left="1440" w:hanging="360"/>
        <w:tabs>
          <w:tab w:val="left" w:pos="1440" w:leader="none"/>
        </w:tabs>
      </w:pPr>
    </w:lvl>
    <w:lvl w:ilvl="2">
      <w:start w:val="1"/>
      <w:numFmt w:val="decimal"/>
      <w:isLgl w:val="false"/>
      <w:suff w:val="tab"/>
      <w:lvlText w:val="%3."/>
      <w:lvlJc w:val="left"/>
      <w:pPr>
        <w:pStyle w:val="963"/>
        <w:ind w:left="2160" w:hanging="360"/>
        <w:tabs>
          <w:tab w:val="left" w:pos="2160" w:leader="none"/>
        </w:tabs>
      </w:pPr>
    </w:lvl>
    <w:lvl w:ilvl="3">
      <w:start w:val="1"/>
      <w:numFmt w:val="decimal"/>
      <w:isLgl w:val="false"/>
      <w:suff w:val="tab"/>
      <w:lvlText w:val="%4."/>
      <w:lvlJc w:val="left"/>
      <w:pPr>
        <w:pStyle w:val="963"/>
        <w:ind w:left="2880" w:hanging="360"/>
        <w:tabs>
          <w:tab w:val="left" w:pos="2880" w:leader="none"/>
        </w:tabs>
      </w:pPr>
    </w:lvl>
    <w:lvl w:ilvl="4">
      <w:start w:val="1"/>
      <w:numFmt w:val="decimal"/>
      <w:isLgl w:val="false"/>
      <w:suff w:val="tab"/>
      <w:lvlText w:val="%5."/>
      <w:lvlJc w:val="left"/>
      <w:pPr>
        <w:pStyle w:val="963"/>
        <w:ind w:left="3600" w:hanging="360"/>
        <w:tabs>
          <w:tab w:val="left" w:pos="3600" w:leader="none"/>
        </w:tabs>
      </w:pPr>
    </w:lvl>
    <w:lvl w:ilvl="5">
      <w:start w:val="1"/>
      <w:numFmt w:val="decimal"/>
      <w:isLgl w:val="false"/>
      <w:suff w:val="tab"/>
      <w:lvlText w:val="%6."/>
      <w:lvlJc w:val="left"/>
      <w:pPr>
        <w:pStyle w:val="963"/>
        <w:ind w:left="4320" w:hanging="360"/>
        <w:tabs>
          <w:tab w:val="left" w:pos="4320" w:leader="none"/>
        </w:tabs>
      </w:pPr>
    </w:lvl>
    <w:lvl w:ilvl="6">
      <w:start w:val="1"/>
      <w:numFmt w:val="decimal"/>
      <w:isLgl w:val="false"/>
      <w:suff w:val="tab"/>
      <w:lvlText w:val="%7."/>
      <w:lvlJc w:val="left"/>
      <w:pPr>
        <w:pStyle w:val="963"/>
        <w:ind w:left="5040" w:hanging="360"/>
        <w:tabs>
          <w:tab w:val="left" w:pos="5040" w:leader="none"/>
        </w:tabs>
      </w:pPr>
    </w:lvl>
    <w:lvl w:ilvl="7">
      <w:start w:val="1"/>
      <w:numFmt w:val="decimal"/>
      <w:isLgl w:val="false"/>
      <w:suff w:val="tab"/>
      <w:lvlText w:val="%8."/>
      <w:lvlJc w:val="left"/>
      <w:pPr>
        <w:pStyle w:val="963"/>
        <w:ind w:left="5760" w:hanging="360"/>
        <w:tabs>
          <w:tab w:val="left" w:pos="5760" w:leader="none"/>
        </w:tabs>
      </w:pPr>
    </w:lvl>
    <w:lvl w:ilvl="8">
      <w:start w:val="1"/>
      <w:numFmt w:val="decimal"/>
      <w:isLgl w:val="false"/>
      <w:suff w:val="tab"/>
      <w:lvlText w:val="%9."/>
      <w:lvlJc w:val="left"/>
      <w:pPr>
        <w:pStyle w:val="963"/>
        <w:ind w:left="6480" w:hanging="360"/>
        <w:tabs>
          <w:tab w:val="left" w:pos="6480" w:leader="none"/>
        </w:tabs>
      </w:pPr>
    </w:lvl>
  </w:abstractNum>
  <w:abstractNum w:abstractNumId="19">
    <w:multiLevelType w:val="hybridMultilevel"/>
    <w:lvl w:ilvl="0">
      <w:start w:val="1"/>
      <w:numFmt w:val="decimal"/>
      <w:isLgl w:val="false"/>
      <w:suff w:val="space"/>
      <w:lvlText w:val="(%1)"/>
      <w:lvlJc w:val="left"/>
      <w:pPr>
        <w:pStyle w:val="9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space"/>
      <w:lvlText w:val="(%1)"/>
      <w:lvlJc w:val="left"/>
      <w:pPr>
        <w:pStyle w:val="9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EnclosedCircleChinese"/>
      <w:isLgl w:val="false"/>
      <w:suff w:val="nothing"/>
      <w:lvlText w:val="%1　"/>
      <w:lvlJc w:val="left"/>
      <w:pPr>
        <w:pStyle w:val="963"/>
        <w:ind w:left="0" w:firstLine="400"/>
      </w:pPr>
      <w:rPr>
        <w:rFonts w:hint="eastAsia" w:ascii="宋体" w:hAnsi="宋体" w:eastAsia="宋体"/>
      </w:rPr>
    </w:lvl>
    <w:lvl w:ilvl="1">
      <w:start w:val="1"/>
      <w:numFmt w:val="decimal"/>
      <w:isLgl w:val="false"/>
      <w:suff w:val="tab"/>
      <w:lvlText w:val="%2."/>
      <w:lvlJc w:val="left"/>
      <w:pPr>
        <w:pStyle w:val="963"/>
        <w:ind w:left="1440" w:hanging="360"/>
        <w:tabs>
          <w:tab w:val="left" w:pos="1440" w:leader="none"/>
        </w:tabs>
      </w:pPr>
    </w:lvl>
    <w:lvl w:ilvl="2">
      <w:start w:val="1"/>
      <w:numFmt w:val="decimal"/>
      <w:isLgl w:val="false"/>
      <w:suff w:val="tab"/>
      <w:lvlText w:val="%3."/>
      <w:lvlJc w:val="left"/>
      <w:pPr>
        <w:pStyle w:val="963"/>
        <w:ind w:left="2160" w:hanging="360"/>
        <w:tabs>
          <w:tab w:val="left" w:pos="2160" w:leader="none"/>
        </w:tabs>
      </w:pPr>
    </w:lvl>
    <w:lvl w:ilvl="3">
      <w:start w:val="1"/>
      <w:numFmt w:val="decimal"/>
      <w:isLgl w:val="false"/>
      <w:suff w:val="tab"/>
      <w:lvlText w:val="%4."/>
      <w:lvlJc w:val="left"/>
      <w:pPr>
        <w:pStyle w:val="963"/>
        <w:ind w:left="2880" w:hanging="360"/>
        <w:tabs>
          <w:tab w:val="left" w:pos="2880" w:leader="none"/>
        </w:tabs>
      </w:pPr>
    </w:lvl>
    <w:lvl w:ilvl="4">
      <w:start w:val="1"/>
      <w:numFmt w:val="decimal"/>
      <w:isLgl w:val="false"/>
      <w:suff w:val="tab"/>
      <w:lvlText w:val="%5."/>
      <w:lvlJc w:val="left"/>
      <w:pPr>
        <w:pStyle w:val="963"/>
        <w:ind w:left="3600" w:hanging="360"/>
        <w:tabs>
          <w:tab w:val="left" w:pos="3600" w:leader="none"/>
        </w:tabs>
      </w:pPr>
    </w:lvl>
    <w:lvl w:ilvl="5">
      <w:start w:val="1"/>
      <w:numFmt w:val="decimal"/>
      <w:isLgl w:val="false"/>
      <w:suff w:val="tab"/>
      <w:lvlText w:val="%6."/>
      <w:lvlJc w:val="left"/>
      <w:pPr>
        <w:pStyle w:val="963"/>
        <w:ind w:left="4320" w:hanging="360"/>
        <w:tabs>
          <w:tab w:val="left" w:pos="4320" w:leader="none"/>
        </w:tabs>
      </w:pPr>
    </w:lvl>
    <w:lvl w:ilvl="6">
      <w:start w:val="1"/>
      <w:numFmt w:val="decimal"/>
      <w:isLgl w:val="false"/>
      <w:suff w:val="tab"/>
      <w:lvlText w:val="%7."/>
      <w:lvlJc w:val="left"/>
      <w:pPr>
        <w:pStyle w:val="963"/>
        <w:ind w:left="5040" w:hanging="360"/>
        <w:tabs>
          <w:tab w:val="left" w:pos="5040" w:leader="none"/>
        </w:tabs>
      </w:pPr>
    </w:lvl>
    <w:lvl w:ilvl="7">
      <w:start w:val="1"/>
      <w:numFmt w:val="decimal"/>
      <w:isLgl w:val="false"/>
      <w:suff w:val="tab"/>
      <w:lvlText w:val="%8."/>
      <w:lvlJc w:val="left"/>
      <w:pPr>
        <w:pStyle w:val="963"/>
        <w:ind w:left="5760" w:hanging="360"/>
        <w:tabs>
          <w:tab w:val="left" w:pos="5760" w:leader="none"/>
        </w:tabs>
      </w:pPr>
    </w:lvl>
    <w:lvl w:ilvl="8">
      <w:start w:val="1"/>
      <w:numFmt w:val="decimal"/>
      <w:isLgl w:val="false"/>
      <w:suff w:val="tab"/>
      <w:lvlText w:val="%9."/>
      <w:lvlJc w:val="left"/>
      <w:pPr>
        <w:pStyle w:val="963"/>
        <w:ind w:left="6480" w:hanging="360"/>
        <w:tabs>
          <w:tab w:val="left" w:pos="6480" w:leader="none"/>
        </w:tabs>
      </w:pPr>
    </w:lvl>
  </w:abstractNum>
  <w:abstractNum w:abstractNumId="22">
    <w:multiLevelType w:val="hybridMultilevel"/>
    <w:lvl w:ilvl="0">
      <w:start w:val="1"/>
      <w:numFmt w:val="decimal"/>
      <w:isLgl w:val="false"/>
      <w:suff w:val="tab"/>
      <w:lvlText w:val="%1)"/>
      <w:lvlJc w:val="left"/>
      <w:pPr>
        <w:pStyle w:val="963"/>
        <w:ind w:left="425" w:hanging="425"/>
      </w:pPr>
      <w:rPr>
        <w:rFonts w:ascii="Times New Roman" w:hAnsi="Times New Roman" w:cs="Times New Roman"/>
      </w:rPr>
    </w:lvl>
    <w:lvl w:ilvl="1">
      <w:start w:val="1"/>
      <w:numFmt w:val="decimal"/>
      <w:isLgl w:val="false"/>
      <w:suff w:val="tab"/>
      <w:lvlText w:val="%2."/>
      <w:lvlJc w:val="left"/>
      <w:pPr>
        <w:pStyle w:val="963"/>
        <w:ind w:left="1440" w:hanging="360"/>
        <w:tabs>
          <w:tab w:val="left" w:pos="1440" w:leader="none"/>
        </w:tabs>
      </w:pPr>
    </w:lvl>
    <w:lvl w:ilvl="2">
      <w:start w:val="1"/>
      <w:numFmt w:val="decimal"/>
      <w:isLgl w:val="false"/>
      <w:suff w:val="tab"/>
      <w:lvlText w:val="%3."/>
      <w:lvlJc w:val="left"/>
      <w:pPr>
        <w:pStyle w:val="963"/>
        <w:ind w:left="2160" w:hanging="360"/>
        <w:tabs>
          <w:tab w:val="left" w:pos="2160" w:leader="none"/>
        </w:tabs>
      </w:pPr>
    </w:lvl>
    <w:lvl w:ilvl="3">
      <w:start w:val="1"/>
      <w:numFmt w:val="decimal"/>
      <w:isLgl w:val="false"/>
      <w:suff w:val="tab"/>
      <w:lvlText w:val="%4."/>
      <w:lvlJc w:val="left"/>
      <w:pPr>
        <w:pStyle w:val="963"/>
        <w:ind w:left="2880" w:hanging="360"/>
        <w:tabs>
          <w:tab w:val="left" w:pos="2880" w:leader="none"/>
        </w:tabs>
      </w:pPr>
    </w:lvl>
    <w:lvl w:ilvl="4">
      <w:start w:val="1"/>
      <w:numFmt w:val="decimal"/>
      <w:isLgl w:val="false"/>
      <w:suff w:val="tab"/>
      <w:lvlText w:val="%5."/>
      <w:lvlJc w:val="left"/>
      <w:pPr>
        <w:pStyle w:val="963"/>
        <w:ind w:left="3600" w:hanging="360"/>
        <w:tabs>
          <w:tab w:val="left" w:pos="3600" w:leader="none"/>
        </w:tabs>
      </w:pPr>
    </w:lvl>
    <w:lvl w:ilvl="5">
      <w:start w:val="1"/>
      <w:numFmt w:val="decimal"/>
      <w:isLgl w:val="false"/>
      <w:suff w:val="tab"/>
      <w:lvlText w:val="%6."/>
      <w:lvlJc w:val="left"/>
      <w:pPr>
        <w:pStyle w:val="963"/>
        <w:ind w:left="4320" w:hanging="360"/>
        <w:tabs>
          <w:tab w:val="left" w:pos="4320" w:leader="none"/>
        </w:tabs>
      </w:pPr>
    </w:lvl>
    <w:lvl w:ilvl="6">
      <w:start w:val="1"/>
      <w:numFmt w:val="decimal"/>
      <w:isLgl w:val="false"/>
      <w:suff w:val="tab"/>
      <w:lvlText w:val="%7."/>
      <w:lvlJc w:val="left"/>
      <w:pPr>
        <w:pStyle w:val="963"/>
        <w:ind w:left="5040" w:hanging="360"/>
        <w:tabs>
          <w:tab w:val="left" w:pos="5040" w:leader="none"/>
        </w:tabs>
      </w:pPr>
    </w:lvl>
    <w:lvl w:ilvl="7">
      <w:start w:val="1"/>
      <w:numFmt w:val="decimal"/>
      <w:isLgl w:val="false"/>
      <w:suff w:val="tab"/>
      <w:lvlText w:val="%8."/>
      <w:lvlJc w:val="left"/>
      <w:pPr>
        <w:pStyle w:val="963"/>
        <w:ind w:left="5760" w:hanging="360"/>
        <w:tabs>
          <w:tab w:val="left" w:pos="5760" w:leader="none"/>
        </w:tabs>
      </w:pPr>
    </w:lvl>
    <w:lvl w:ilvl="8">
      <w:start w:val="1"/>
      <w:numFmt w:val="decimal"/>
      <w:isLgl w:val="false"/>
      <w:suff w:val="tab"/>
      <w:lvlText w:val="%9."/>
      <w:lvlJc w:val="left"/>
      <w:pPr>
        <w:pStyle w:val="963"/>
        <w:ind w:left="6480" w:hanging="360"/>
        <w:tabs>
          <w:tab w:val="left" w:pos="6480" w:leader="none"/>
        </w:tabs>
      </w:pPr>
    </w:lvl>
  </w:abstractNum>
  <w:abstractNum w:abstractNumId="23">
    <w:multiLevelType w:val="hybridMultilevel"/>
    <w:lvl w:ilvl="0">
      <w:start w:val="1"/>
      <w:numFmt w:val="decimal"/>
      <w:isLgl w:val="false"/>
      <w:suff w:val="tab"/>
      <w:lvlText w:val="(%1)"/>
      <w:lvlJc w:val="left"/>
      <w:pPr>
        <w:pStyle w:val="963"/>
        <w:ind w:left="425" w:hanging="425"/>
      </w:pPr>
      <w:rPr>
        <w:rFonts w:ascii="Times New Roman" w:hAnsi="Times New Roman" w:cs="Times New Roman"/>
      </w:rPr>
    </w:lvl>
    <w:lvl w:ilvl="1">
      <w:start w:val="1"/>
      <w:numFmt w:val="decimal"/>
      <w:isLgl w:val="false"/>
      <w:suff w:val="tab"/>
      <w:lvlText w:val="%2."/>
      <w:lvlJc w:val="left"/>
      <w:pPr>
        <w:pStyle w:val="963"/>
        <w:ind w:left="1440" w:hanging="360"/>
        <w:tabs>
          <w:tab w:val="left" w:pos="1440" w:leader="none"/>
        </w:tabs>
      </w:pPr>
    </w:lvl>
    <w:lvl w:ilvl="2">
      <w:start w:val="1"/>
      <w:numFmt w:val="decimal"/>
      <w:isLgl w:val="false"/>
      <w:suff w:val="tab"/>
      <w:lvlText w:val="%3."/>
      <w:lvlJc w:val="left"/>
      <w:pPr>
        <w:pStyle w:val="963"/>
        <w:ind w:left="2160" w:hanging="360"/>
        <w:tabs>
          <w:tab w:val="left" w:pos="2160" w:leader="none"/>
        </w:tabs>
      </w:pPr>
    </w:lvl>
    <w:lvl w:ilvl="3">
      <w:start w:val="1"/>
      <w:numFmt w:val="decimal"/>
      <w:isLgl w:val="false"/>
      <w:suff w:val="tab"/>
      <w:lvlText w:val="%4."/>
      <w:lvlJc w:val="left"/>
      <w:pPr>
        <w:pStyle w:val="963"/>
        <w:ind w:left="2880" w:hanging="360"/>
        <w:tabs>
          <w:tab w:val="left" w:pos="2880" w:leader="none"/>
        </w:tabs>
      </w:pPr>
    </w:lvl>
    <w:lvl w:ilvl="4">
      <w:start w:val="1"/>
      <w:numFmt w:val="decimal"/>
      <w:isLgl w:val="false"/>
      <w:suff w:val="tab"/>
      <w:lvlText w:val="%5."/>
      <w:lvlJc w:val="left"/>
      <w:pPr>
        <w:pStyle w:val="963"/>
        <w:ind w:left="3600" w:hanging="360"/>
        <w:tabs>
          <w:tab w:val="left" w:pos="3600" w:leader="none"/>
        </w:tabs>
      </w:pPr>
    </w:lvl>
    <w:lvl w:ilvl="5">
      <w:start w:val="1"/>
      <w:numFmt w:val="decimal"/>
      <w:isLgl w:val="false"/>
      <w:suff w:val="tab"/>
      <w:lvlText w:val="%6."/>
      <w:lvlJc w:val="left"/>
      <w:pPr>
        <w:pStyle w:val="963"/>
        <w:ind w:left="4320" w:hanging="360"/>
        <w:tabs>
          <w:tab w:val="left" w:pos="4320" w:leader="none"/>
        </w:tabs>
      </w:pPr>
    </w:lvl>
    <w:lvl w:ilvl="6">
      <w:start w:val="1"/>
      <w:numFmt w:val="decimal"/>
      <w:isLgl w:val="false"/>
      <w:suff w:val="tab"/>
      <w:lvlText w:val="%7."/>
      <w:lvlJc w:val="left"/>
      <w:pPr>
        <w:pStyle w:val="963"/>
        <w:ind w:left="5040" w:hanging="360"/>
        <w:tabs>
          <w:tab w:val="left" w:pos="5040" w:leader="none"/>
        </w:tabs>
      </w:pPr>
    </w:lvl>
    <w:lvl w:ilvl="7">
      <w:start w:val="1"/>
      <w:numFmt w:val="decimal"/>
      <w:isLgl w:val="false"/>
      <w:suff w:val="tab"/>
      <w:lvlText w:val="%8."/>
      <w:lvlJc w:val="left"/>
      <w:pPr>
        <w:pStyle w:val="963"/>
        <w:ind w:left="5760" w:hanging="360"/>
        <w:tabs>
          <w:tab w:val="left" w:pos="5760" w:leader="none"/>
        </w:tabs>
      </w:pPr>
    </w:lvl>
    <w:lvl w:ilvl="8">
      <w:start w:val="1"/>
      <w:numFmt w:val="decimal"/>
      <w:isLgl w:val="false"/>
      <w:suff w:val="tab"/>
      <w:lvlText w:val="%9."/>
      <w:lvlJc w:val="left"/>
      <w:pPr>
        <w:pStyle w:val="963"/>
        <w:ind w:left="6480" w:hanging="360"/>
        <w:tabs>
          <w:tab w:val="left" w:pos="6480" w:leader="none"/>
        </w:tabs>
      </w:pPr>
    </w:lvl>
  </w:abstractNum>
  <w:abstractNum w:abstractNumId="24">
    <w:multiLevelType w:val="hybridMultilevel"/>
    <w:lvl w:ilvl="0">
      <w:start w:val="1"/>
      <w:numFmt w:val="decimal"/>
      <w:isLgl w:val="false"/>
      <w:suff w:val="space"/>
      <w:lvlText w:val="(%1)"/>
      <w:lvlJc w:val="left"/>
      <w:pPr>
        <w:pStyle w:val="9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lowerLetter"/>
      <w:isLgl w:val="false"/>
      <w:suff w:val="tab"/>
      <w:lvlText w:val="%1."/>
      <w:lvlJc w:val="left"/>
      <w:pPr>
        <w:pStyle w:val="963"/>
        <w:ind w:left="425" w:hanging="425"/>
      </w:pPr>
      <w:rPr>
        <w:rFonts w:ascii="Times New Roman" w:hAnsi="Times New Roman" w:cs="Times New Roman"/>
      </w:rPr>
    </w:lvl>
    <w:lvl w:ilvl="1">
      <w:start w:val="1"/>
      <w:numFmt w:val="decimal"/>
      <w:isLgl w:val="false"/>
      <w:suff w:val="tab"/>
      <w:lvlText w:val="%2."/>
      <w:lvlJc w:val="left"/>
      <w:pPr>
        <w:pStyle w:val="963"/>
        <w:ind w:left="1440" w:hanging="360"/>
        <w:tabs>
          <w:tab w:val="left" w:pos="1440" w:leader="none"/>
        </w:tabs>
      </w:pPr>
    </w:lvl>
    <w:lvl w:ilvl="2">
      <w:start w:val="1"/>
      <w:numFmt w:val="decimal"/>
      <w:isLgl w:val="false"/>
      <w:suff w:val="tab"/>
      <w:lvlText w:val="%3."/>
      <w:lvlJc w:val="left"/>
      <w:pPr>
        <w:pStyle w:val="963"/>
        <w:ind w:left="2160" w:hanging="360"/>
        <w:tabs>
          <w:tab w:val="left" w:pos="2160" w:leader="none"/>
        </w:tabs>
      </w:pPr>
    </w:lvl>
    <w:lvl w:ilvl="3">
      <w:start w:val="1"/>
      <w:numFmt w:val="decimal"/>
      <w:isLgl w:val="false"/>
      <w:suff w:val="tab"/>
      <w:lvlText w:val="%4."/>
      <w:lvlJc w:val="left"/>
      <w:pPr>
        <w:pStyle w:val="963"/>
        <w:ind w:left="2880" w:hanging="360"/>
        <w:tabs>
          <w:tab w:val="left" w:pos="2880" w:leader="none"/>
        </w:tabs>
      </w:pPr>
    </w:lvl>
    <w:lvl w:ilvl="4">
      <w:start w:val="1"/>
      <w:numFmt w:val="decimal"/>
      <w:isLgl w:val="false"/>
      <w:suff w:val="tab"/>
      <w:lvlText w:val="%5."/>
      <w:lvlJc w:val="left"/>
      <w:pPr>
        <w:pStyle w:val="963"/>
        <w:ind w:left="3600" w:hanging="360"/>
        <w:tabs>
          <w:tab w:val="left" w:pos="3600" w:leader="none"/>
        </w:tabs>
      </w:pPr>
    </w:lvl>
    <w:lvl w:ilvl="5">
      <w:start w:val="1"/>
      <w:numFmt w:val="decimal"/>
      <w:isLgl w:val="false"/>
      <w:suff w:val="tab"/>
      <w:lvlText w:val="%6."/>
      <w:lvlJc w:val="left"/>
      <w:pPr>
        <w:pStyle w:val="963"/>
        <w:ind w:left="4320" w:hanging="360"/>
        <w:tabs>
          <w:tab w:val="left" w:pos="4320" w:leader="none"/>
        </w:tabs>
      </w:pPr>
    </w:lvl>
    <w:lvl w:ilvl="6">
      <w:start w:val="1"/>
      <w:numFmt w:val="decimal"/>
      <w:isLgl w:val="false"/>
      <w:suff w:val="tab"/>
      <w:lvlText w:val="%7."/>
      <w:lvlJc w:val="left"/>
      <w:pPr>
        <w:pStyle w:val="963"/>
        <w:ind w:left="5040" w:hanging="360"/>
        <w:tabs>
          <w:tab w:val="left" w:pos="5040" w:leader="none"/>
        </w:tabs>
      </w:pPr>
    </w:lvl>
    <w:lvl w:ilvl="7">
      <w:start w:val="1"/>
      <w:numFmt w:val="decimal"/>
      <w:isLgl w:val="false"/>
      <w:suff w:val="tab"/>
      <w:lvlText w:val="%8."/>
      <w:lvlJc w:val="left"/>
      <w:pPr>
        <w:pStyle w:val="963"/>
        <w:ind w:left="5760" w:hanging="360"/>
        <w:tabs>
          <w:tab w:val="left" w:pos="5760" w:leader="none"/>
        </w:tabs>
      </w:pPr>
    </w:lvl>
    <w:lvl w:ilvl="8">
      <w:start w:val="1"/>
      <w:numFmt w:val="decimal"/>
      <w:isLgl w:val="false"/>
      <w:suff w:val="tab"/>
      <w:lvlText w:val="%9."/>
      <w:lvlJc w:val="left"/>
      <w:pPr>
        <w:pStyle w:val="963"/>
        <w:ind w:left="6480" w:hanging="360"/>
        <w:tabs>
          <w:tab w:val="left" w:pos="6480" w:leader="none"/>
        </w:tabs>
      </w:pPr>
    </w:lvl>
  </w:abstractNum>
  <w:abstractNum w:abstractNumId="26">
    <w:multiLevelType w:val="hybridMultilevel"/>
    <w:lvl w:ilvl="0">
      <w:start w:val="1"/>
      <w:numFmt w:val="decimal"/>
      <w:isLgl w:val="false"/>
      <w:suff w:val="nothing"/>
      <w:lvlText w:val="%1、"/>
      <w:lvlJc w:val="left"/>
      <w:pPr>
        <w:pStyle w:val="9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2"/>
      <w:numFmt w:val="decimal"/>
      <w:isLgl w:val="false"/>
      <w:suff w:val="nothing"/>
      <w:lvlText w:val="%1、"/>
      <w:lvlJc w:val="left"/>
      <w:pPr>
        <w:pStyle w:val="9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lowerLetter"/>
      <w:isLgl w:val="false"/>
      <w:suff w:val="tab"/>
      <w:lvlText w:val="%1."/>
      <w:lvlJc w:val="left"/>
      <w:pPr>
        <w:pStyle w:val="963"/>
        <w:ind w:left="425" w:hanging="425"/>
      </w:pPr>
      <w:rPr>
        <w:rFonts w:ascii="Times New Roman" w:hAnsi="Times New Roman" w:cs="Times New Roman"/>
      </w:rPr>
    </w:lvl>
    <w:lvl w:ilvl="1">
      <w:start w:val="1"/>
      <w:numFmt w:val="decimal"/>
      <w:isLgl w:val="false"/>
      <w:suff w:val="tab"/>
      <w:lvlText w:val="%2."/>
      <w:lvlJc w:val="left"/>
      <w:pPr>
        <w:pStyle w:val="963"/>
        <w:ind w:left="1440" w:hanging="360"/>
        <w:tabs>
          <w:tab w:val="left" w:pos="1440" w:leader="none"/>
        </w:tabs>
      </w:pPr>
    </w:lvl>
    <w:lvl w:ilvl="2">
      <w:start w:val="1"/>
      <w:numFmt w:val="decimal"/>
      <w:isLgl w:val="false"/>
      <w:suff w:val="tab"/>
      <w:lvlText w:val="%3."/>
      <w:lvlJc w:val="left"/>
      <w:pPr>
        <w:pStyle w:val="963"/>
        <w:ind w:left="2160" w:hanging="360"/>
        <w:tabs>
          <w:tab w:val="left" w:pos="2160" w:leader="none"/>
        </w:tabs>
      </w:pPr>
    </w:lvl>
    <w:lvl w:ilvl="3">
      <w:start w:val="1"/>
      <w:numFmt w:val="decimal"/>
      <w:isLgl w:val="false"/>
      <w:suff w:val="tab"/>
      <w:lvlText w:val="%4."/>
      <w:lvlJc w:val="left"/>
      <w:pPr>
        <w:pStyle w:val="963"/>
        <w:ind w:left="2880" w:hanging="360"/>
        <w:tabs>
          <w:tab w:val="left" w:pos="2880" w:leader="none"/>
        </w:tabs>
      </w:pPr>
    </w:lvl>
    <w:lvl w:ilvl="4">
      <w:start w:val="1"/>
      <w:numFmt w:val="decimal"/>
      <w:isLgl w:val="false"/>
      <w:suff w:val="tab"/>
      <w:lvlText w:val="%5."/>
      <w:lvlJc w:val="left"/>
      <w:pPr>
        <w:pStyle w:val="963"/>
        <w:ind w:left="3600" w:hanging="360"/>
        <w:tabs>
          <w:tab w:val="left" w:pos="3600" w:leader="none"/>
        </w:tabs>
      </w:pPr>
    </w:lvl>
    <w:lvl w:ilvl="5">
      <w:start w:val="1"/>
      <w:numFmt w:val="decimal"/>
      <w:isLgl w:val="false"/>
      <w:suff w:val="tab"/>
      <w:lvlText w:val="%6."/>
      <w:lvlJc w:val="left"/>
      <w:pPr>
        <w:pStyle w:val="963"/>
        <w:ind w:left="4320" w:hanging="360"/>
        <w:tabs>
          <w:tab w:val="left" w:pos="4320" w:leader="none"/>
        </w:tabs>
      </w:pPr>
    </w:lvl>
    <w:lvl w:ilvl="6">
      <w:start w:val="1"/>
      <w:numFmt w:val="decimal"/>
      <w:isLgl w:val="false"/>
      <w:suff w:val="tab"/>
      <w:lvlText w:val="%7."/>
      <w:lvlJc w:val="left"/>
      <w:pPr>
        <w:pStyle w:val="963"/>
        <w:ind w:left="5040" w:hanging="360"/>
        <w:tabs>
          <w:tab w:val="left" w:pos="5040" w:leader="none"/>
        </w:tabs>
      </w:pPr>
    </w:lvl>
    <w:lvl w:ilvl="7">
      <w:start w:val="1"/>
      <w:numFmt w:val="decimal"/>
      <w:isLgl w:val="false"/>
      <w:suff w:val="tab"/>
      <w:lvlText w:val="%8."/>
      <w:lvlJc w:val="left"/>
      <w:pPr>
        <w:pStyle w:val="963"/>
        <w:ind w:left="5760" w:hanging="360"/>
        <w:tabs>
          <w:tab w:val="left" w:pos="5760" w:leader="none"/>
        </w:tabs>
      </w:pPr>
    </w:lvl>
    <w:lvl w:ilvl="8">
      <w:start w:val="1"/>
      <w:numFmt w:val="decimal"/>
      <w:isLgl w:val="false"/>
      <w:suff w:val="tab"/>
      <w:lvlText w:val="%9."/>
      <w:lvlJc w:val="left"/>
      <w:pPr>
        <w:pStyle w:val="963"/>
        <w:ind w:left="6480" w:hanging="360"/>
        <w:tabs>
          <w:tab w:val="left" w:pos="6480" w:leader="none"/>
        </w:tabs>
      </w:pPr>
    </w:lvl>
  </w:abstractNum>
  <w:abstractNum w:abstractNumId="29">
    <w:multiLevelType w:val="hybridMultilevel"/>
    <w:lvl w:ilvl="0">
      <w:start w:val="2"/>
      <w:numFmt w:val="chineseCounting"/>
      <w:isLgl w:val="false"/>
      <w:suff w:val="tab"/>
      <w:lvlText w:val="%1、"/>
      <w:lvlJc w:val="left"/>
      <w:pPr>
        <w:pStyle w:val="963"/>
        <w:ind w:left="0" w:firstLine="0"/>
        <w:tabs>
          <w:tab w:val="left" w:pos="0" w:leader="none"/>
        </w:tabs>
      </w:pPr>
      <w:rPr>
        <w:rFonts w:hint="eastAsia" w:ascii="宋体" w:hAnsi="宋体" w:eastAsia="宋体" w:cs="宋体"/>
        <w:b/>
        <w:bCs/>
        <w:sz w:val="28"/>
        <w:szCs w:val="28"/>
      </w:rPr>
    </w:lvl>
    <w:lvl w:ilvl="1">
      <w:start w:val="5"/>
      <w:numFmt w:val="decimal"/>
      <w:isLgl w:val="false"/>
      <w:suff w:val="tab"/>
      <w:lvlText w:val=" %1.%2"/>
      <w:lvlJc w:val="left"/>
      <w:pPr>
        <w:pStyle w:val="963"/>
        <w:ind w:left="0" w:firstLine="0"/>
        <w:tabs>
          <w:tab w:val="left" w:pos="0" w:leader="none"/>
        </w:tabs>
      </w:pPr>
      <w:rPr>
        <w:rFonts w:hint="eastAsia" w:ascii="Times New Roman" w:hAnsi="Times New Roman" w:eastAsia="宋体" w:cs="宋体"/>
        <w:sz w:val="24"/>
        <w:szCs w:val="24"/>
      </w:rPr>
    </w:lvl>
    <w:lvl w:ilvl="2">
      <w:start w:val="1"/>
      <w:numFmt w:val="decimal"/>
      <w:isLgl w:val="false"/>
      <w:suff w:val="tab"/>
      <w:lvlText w:val="  %1.%2.%3"/>
      <w:lvlJc w:val="left"/>
      <w:pPr>
        <w:pStyle w:val="963"/>
        <w:ind w:left="0" w:firstLine="0"/>
        <w:tabs>
          <w:tab w:val="left" w:pos="0" w:leader="none"/>
        </w:tabs>
      </w:pPr>
      <w:rPr>
        <w:rFonts w:hint="eastAsia" w:ascii="Times New Roman" w:hAnsi="Times New Roman" w:eastAsia="宋体" w:cs="宋体"/>
        <w:sz w:val="24"/>
        <w:szCs w:val="24"/>
      </w:rPr>
    </w:lvl>
    <w:lvl w:ilvl="3">
      <w:start w:val="1"/>
      <w:numFmt w:val="decimal"/>
      <w:isLgl w:val="false"/>
      <w:suff w:val="tab"/>
      <w:lvlText w:val="  %1.%2.%3.%4"/>
      <w:lvlJc w:val="left"/>
      <w:pPr>
        <w:pStyle w:val="963"/>
        <w:ind w:left="0" w:firstLine="0"/>
        <w:tabs>
          <w:tab w:val="left" w:pos="0" w:leader="none"/>
        </w:tabs>
      </w:pPr>
      <w:rPr>
        <w:rFonts w:hint="eastAsia" w:ascii="Times New Roman" w:hAnsi="Times New Roman" w:eastAsia="宋体" w:cs="宋体"/>
        <w:sz w:val="24"/>
        <w:szCs w:val="24"/>
      </w:rPr>
    </w:lvl>
    <w:lvl w:ilvl="4">
      <w:start w:val="1"/>
      <w:numFmt w:val="decimal"/>
      <w:isLgl w:val="false"/>
      <w:suff w:val="tab"/>
      <w:lvlText w:val="  %1.%2.%3.%4.%5"/>
      <w:lvlJc w:val="left"/>
      <w:pPr>
        <w:pStyle w:val="963"/>
        <w:ind w:left="0" w:firstLine="0"/>
        <w:tabs>
          <w:tab w:val="left" w:pos="0" w:leader="none"/>
        </w:tabs>
      </w:pPr>
      <w:rPr>
        <w:rFonts w:hint="eastAsia" w:ascii="Times New Roman" w:hAnsi="Times New Roman" w:eastAsia="宋体" w:cs="宋体"/>
        <w:sz w:val="24"/>
        <w:szCs w:val="24"/>
      </w:rPr>
    </w:lvl>
    <w:lvl w:ilvl="5">
      <w:start w:val="1"/>
      <w:numFmt w:val="decimal"/>
      <w:isLgl w:val="false"/>
      <w:suff w:val="tab"/>
      <w:lvlText w:val="  %1.%2.%3.%4.%5.%6"/>
      <w:lvlJc w:val="left"/>
      <w:pPr>
        <w:pStyle w:val="963"/>
        <w:ind w:left="0" w:firstLine="0"/>
        <w:tabs>
          <w:tab w:val="left" w:pos="0" w:leader="none"/>
        </w:tabs>
      </w:pPr>
      <w:rPr>
        <w:rFonts w:hint="eastAsia" w:ascii="Times New Roman" w:hAnsi="Times New Roman" w:eastAsia="宋体" w:cs="宋体"/>
        <w:sz w:val="24"/>
        <w:szCs w:val="24"/>
      </w:rPr>
    </w:lvl>
    <w:lvl w:ilvl="6">
      <w:start w:val="1"/>
      <w:numFmt w:val="decimal"/>
      <w:isLgl w:val="false"/>
      <w:suff w:val="tab"/>
      <w:lvlText w:val="  %1.%2.%3.%4.%5.%6.%7"/>
      <w:lvlJc w:val="left"/>
      <w:pPr>
        <w:pStyle w:val="963"/>
        <w:ind w:left="0" w:firstLine="0"/>
        <w:tabs>
          <w:tab w:val="left" w:pos="0" w:leader="none"/>
        </w:tabs>
      </w:pPr>
      <w:rPr>
        <w:rFonts w:hint="eastAsia" w:ascii="Times New Roman" w:hAnsi="Times New Roman" w:eastAsia="宋体" w:cs="宋体"/>
        <w:sz w:val="24"/>
        <w:szCs w:val="24"/>
      </w:rPr>
    </w:lvl>
    <w:lvl w:ilvl="7">
      <w:start w:val="1"/>
      <w:numFmt w:val="decimal"/>
      <w:isLgl w:val="false"/>
      <w:suff w:val="tab"/>
      <w:lvlText w:val="  %1.%2.%3.%4.%5.%6.%7.%8"/>
      <w:lvlJc w:val="left"/>
      <w:pPr>
        <w:pStyle w:val="963"/>
        <w:ind w:left="0" w:firstLine="0"/>
        <w:tabs>
          <w:tab w:val="left" w:pos="0" w:leader="none"/>
        </w:tabs>
      </w:pPr>
      <w:rPr>
        <w:rFonts w:hint="eastAsia" w:ascii="Times New Roman" w:hAnsi="Times New Roman" w:eastAsia="宋体" w:cs="宋体"/>
        <w:sz w:val="24"/>
        <w:szCs w:val="24"/>
      </w:rPr>
    </w:lvl>
    <w:lvl w:ilvl="8">
      <w:start w:val="1"/>
      <w:numFmt w:val="decimal"/>
      <w:isLgl w:val="false"/>
      <w:suff w:val="tab"/>
      <w:lvlText w:val="  %1.%2.%3.%4.%5.%6.%7.%8.%9"/>
      <w:lvlJc w:val="left"/>
      <w:pPr>
        <w:pStyle w:val="963"/>
        <w:ind w:left="0" w:firstLine="0"/>
        <w:tabs>
          <w:tab w:val="left" w:pos="0" w:leader="none"/>
        </w:tabs>
      </w:pPr>
      <w:rPr>
        <w:rFonts w:hint="eastAsia" w:ascii="Times New Roman" w:hAnsi="Times New Roman" w:eastAsia="宋体" w:cs="宋体"/>
        <w:sz w:val="24"/>
        <w:szCs w:val="24"/>
      </w:rPr>
    </w:lvl>
  </w:abstractNum>
  <w:abstractNum w:abstractNumId="30">
    <w:multiLevelType w:val="hybridMultilevel"/>
    <w:lvl w:ilvl="0">
      <w:start w:val="1"/>
      <w:numFmt w:val="decimal"/>
      <w:isLgl w:val="false"/>
      <w:suff w:val="space"/>
      <w:lvlText w:val="(%1)"/>
      <w:lvlJc w:val="left"/>
      <w:pPr>
        <w:pStyle w:val="9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2"/>
      <w:numFmt w:val="chineseCounting"/>
      <w:isLgl w:val="false"/>
      <w:suff w:val="tab"/>
      <w:lvlText w:val="%1、"/>
      <w:lvlJc w:val="left"/>
      <w:pPr>
        <w:pStyle w:val="963"/>
        <w:ind w:left="0" w:firstLine="0"/>
        <w:tabs>
          <w:tab w:val="left" w:pos="0" w:leader="none"/>
        </w:tabs>
      </w:pPr>
      <w:rPr>
        <w:rFonts w:hint="eastAsia" w:ascii="宋体" w:hAnsi="宋体" w:eastAsia="宋体" w:cs="宋体"/>
        <w:b/>
        <w:bCs/>
        <w:sz w:val="28"/>
        <w:szCs w:val="28"/>
      </w:rPr>
    </w:lvl>
    <w:lvl w:ilvl="1">
      <w:start w:val="3"/>
      <w:numFmt w:val="decimal"/>
      <w:isLgl w:val="false"/>
      <w:suff w:val="tab"/>
      <w:lvlText w:val=" %1.%2"/>
      <w:lvlJc w:val="left"/>
      <w:pPr>
        <w:pStyle w:val="963"/>
        <w:ind w:left="0" w:firstLine="0"/>
        <w:tabs>
          <w:tab w:val="left" w:pos="0" w:leader="none"/>
        </w:tabs>
      </w:pPr>
      <w:rPr>
        <w:rFonts w:hint="eastAsia" w:ascii="Times New Roman" w:hAnsi="Times New Roman" w:eastAsia="宋体" w:cs="宋体"/>
        <w:sz w:val="24"/>
        <w:szCs w:val="24"/>
      </w:rPr>
    </w:lvl>
    <w:lvl w:ilvl="2">
      <w:start w:val="1"/>
      <w:numFmt w:val="decimal"/>
      <w:isLgl w:val="false"/>
      <w:suff w:val="tab"/>
      <w:lvlText w:val="  %1.%2.%3"/>
      <w:lvlJc w:val="left"/>
      <w:pPr>
        <w:pStyle w:val="963"/>
        <w:ind w:left="0" w:firstLine="0"/>
        <w:tabs>
          <w:tab w:val="left" w:pos="0" w:leader="none"/>
        </w:tabs>
      </w:pPr>
      <w:rPr>
        <w:rFonts w:hint="eastAsia" w:ascii="Times New Roman" w:hAnsi="Times New Roman" w:eastAsia="宋体" w:cs="宋体"/>
        <w:sz w:val="24"/>
        <w:szCs w:val="24"/>
      </w:rPr>
    </w:lvl>
    <w:lvl w:ilvl="3">
      <w:start w:val="1"/>
      <w:numFmt w:val="decimal"/>
      <w:isLgl w:val="false"/>
      <w:suff w:val="tab"/>
      <w:lvlText w:val="  %1.%2.%3.%4"/>
      <w:lvlJc w:val="left"/>
      <w:pPr>
        <w:pStyle w:val="963"/>
        <w:ind w:left="0" w:firstLine="0"/>
        <w:tabs>
          <w:tab w:val="left" w:pos="0" w:leader="none"/>
        </w:tabs>
      </w:pPr>
      <w:rPr>
        <w:rFonts w:hint="eastAsia" w:ascii="Times New Roman" w:hAnsi="Times New Roman" w:eastAsia="宋体" w:cs="宋体"/>
        <w:sz w:val="24"/>
        <w:szCs w:val="24"/>
      </w:rPr>
    </w:lvl>
    <w:lvl w:ilvl="4">
      <w:start w:val="1"/>
      <w:numFmt w:val="decimal"/>
      <w:isLgl w:val="false"/>
      <w:suff w:val="tab"/>
      <w:lvlText w:val="  %1.%2.%3.%4.%5"/>
      <w:lvlJc w:val="left"/>
      <w:pPr>
        <w:pStyle w:val="963"/>
        <w:ind w:left="0" w:firstLine="0"/>
        <w:tabs>
          <w:tab w:val="left" w:pos="0" w:leader="none"/>
        </w:tabs>
      </w:pPr>
      <w:rPr>
        <w:rFonts w:hint="eastAsia" w:ascii="Times New Roman" w:hAnsi="Times New Roman" w:eastAsia="宋体" w:cs="宋体"/>
        <w:sz w:val="24"/>
        <w:szCs w:val="24"/>
      </w:rPr>
    </w:lvl>
    <w:lvl w:ilvl="5">
      <w:start w:val="1"/>
      <w:numFmt w:val="decimal"/>
      <w:isLgl w:val="false"/>
      <w:suff w:val="tab"/>
      <w:lvlText w:val="  %1.%2.%3.%4.%5.%6"/>
      <w:lvlJc w:val="left"/>
      <w:pPr>
        <w:pStyle w:val="963"/>
        <w:ind w:left="0" w:firstLine="0"/>
        <w:tabs>
          <w:tab w:val="left" w:pos="0" w:leader="none"/>
        </w:tabs>
      </w:pPr>
      <w:rPr>
        <w:rFonts w:hint="eastAsia" w:ascii="Times New Roman" w:hAnsi="Times New Roman" w:eastAsia="宋体" w:cs="宋体"/>
        <w:sz w:val="24"/>
        <w:szCs w:val="24"/>
      </w:rPr>
    </w:lvl>
    <w:lvl w:ilvl="6">
      <w:start w:val="1"/>
      <w:numFmt w:val="decimal"/>
      <w:isLgl w:val="false"/>
      <w:suff w:val="tab"/>
      <w:lvlText w:val="  %1.%2.%3.%4.%5.%6.%7"/>
      <w:lvlJc w:val="left"/>
      <w:pPr>
        <w:pStyle w:val="963"/>
        <w:ind w:left="0" w:firstLine="0"/>
        <w:tabs>
          <w:tab w:val="left" w:pos="0" w:leader="none"/>
        </w:tabs>
      </w:pPr>
      <w:rPr>
        <w:rFonts w:hint="eastAsia" w:ascii="Times New Roman" w:hAnsi="Times New Roman" w:eastAsia="宋体" w:cs="宋体"/>
        <w:sz w:val="24"/>
        <w:szCs w:val="24"/>
      </w:rPr>
    </w:lvl>
    <w:lvl w:ilvl="7">
      <w:start w:val="1"/>
      <w:numFmt w:val="decimal"/>
      <w:isLgl w:val="false"/>
      <w:suff w:val="tab"/>
      <w:lvlText w:val="  %1.%2.%3.%4.%5.%6.%7.%8"/>
      <w:lvlJc w:val="left"/>
      <w:pPr>
        <w:pStyle w:val="963"/>
        <w:ind w:left="0" w:firstLine="0"/>
        <w:tabs>
          <w:tab w:val="left" w:pos="0" w:leader="none"/>
        </w:tabs>
      </w:pPr>
      <w:rPr>
        <w:rFonts w:hint="eastAsia" w:ascii="Times New Roman" w:hAnsi="Times New Roman" w:eastAsia="宋体" w:cs="宋体"/>
        <w:sz w:val="24"/>
        <w:szCs w:val="24"/>
      </w:rPr>
    </w:lvl>
    <w:lvl w:ilvl="8">
      <w:start w:val="1"/>
      <w:numFmt w:val="decimal"/>
      <w:isLgl w:val="false"/>
      <w:suff w:val="tab"/>
      <w:lvlText w:val="  %1.%2.%3.%4.%5.%6.%7.%8.%9"/>
      <w:lvlJc w:val="left"/>
      <w:pPr>
        <w:pStyle w:val="963"/>
        <w:ind w:left="0" w:firstLine="0"/>
        <w:tabs>
          <w:tab w:val="left" w:pos="0" w:leader="none"/>
        </w:tabs>
      </w:pPr>
      <w:rPr>
        <w:rFonts w:hint="eastAsia" w:ascii="Times New Roman" w:hAnsi="Times New Roman" w:eastAsia="宋体" w:cs="宋体"/>
        <w:sz w:val="24"/>
        <w:szCs w:val="24"/>
      </w:rPr>
    </w:lvl>
  </w:abstractNum>
  <w:abstractNum w:abstractNumId="32">
    <w:multiLevelType w:val="hybridMultilevel"/>
    <w:lvl w:ilvl="0">
      <w:start w:val="1"/>
      <w:numFmt w:val="decimal"/>
      <w:isLgl w:val="false"/>
      <w:suff w:val="space"/>
      <w:lvlText w:val="(%1)"/>
      <w:lvlJc w:val="left"/>
      <w:pPr>
        <w:pStyle w:val="9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lowerLetter"/>
      <w:isLgl w:val="false"/>
      <w:suff w:val="tab"/>
      <w:lvlText w:val="%1."/>
      <w:lvlJc w:val="left"/>
      <w:pPr>
        <w:pStyle w:val="963"/>
        <w:ind w:left="425" w:hanging="425"/>
      </w:pPr>
      <w:rPr>
        <w:rFonts w:ascii="Times New Roman" w:hAnsi="Times New Roman" w:cs="Times New Roman"/>
      </w:rPr>
    </w:lvl>
    <w:lvl w:ilvl="1">
      <w:start w:val="1"/>
      <w:numFmt w:val="decimal"/>
      <w:isLgl w:val="false"/>
      <w:suff w:val="tab"/>
      <w:lvlText w:val="%2."/>
      <w:lvlJc w:val="left"/>
      <w:pPr>
        <w:pStyle w:val="963"/>
        <w:ind w:left="1440" w:hanging="360"/>
        <w:tabs>
          <w:tab w:val="left" w:pos="1440" w:leader="none"/>
        </w:tabs>
      </w:pPr>
    </w:lvl>
    <w:lvl w:ilvl="2">
      <w:start w:val="1"/>
      <w:numFmt w:val="decimal"/>
      <w:isLgl w:val="false"/>
      <w:suff w:val="tab"/>
      <w:lvlText w:val="%3."/>
      <w:lvlJc w:val="left"/>
      <w:pPr>
        <w:pStyle w:val="963"/>
        <w:ind w:left="2160" w:hanging="360"/>
        <w:tabs>
          <w:tab w:val="left" w:pos="2160" w:leader="none"/>
        </w:tabs>
      </w:pPr>
    </w:lvl>
    <w:lvl w:ilvl="3">
      <w:start w:val="1"/>
      <w:numFmt w:val="decimal"/>
      <w:isLgl w:val="false"/>
      <w:suff w:val="tab"/>
      <w:lvlText w:val="%4."/>
      <w:lvlJc w:val="left"/>
      <w:pPr>
        <w:pStyle w:val="963"/>
        <w:ind w:left="2880" w:hanging="360"/>
        <w:tabs>
          <w:tab w:val="left" w:pos="2880" w:leader="none"/>
        </w:tabs>
      </w:pPr>
    </w:lvl>
    <w:lvl w:ilvl="4">
      <w:start w:val="1"/>
      <w:numFmt w:val="decimal"/>
      <w:isLgl w:val="false"/>
      <w:suff w:val="tab"/>
      <w:lvlText w:val="%5."/>
      <w:lvlJc w:val="left"/>
      <w:pPr>
        <w:pStyle w:val="963"/>
        <w:ind w:left="3600" w:hanging="360"/>
        <w:tabs>
          <w:tab w:val="left" w:pos="3600" w:leader="none"/>
        </w:tabs>
      </w:pPr>
    </w:lvl>
    <w:lvl w:ilvl="5">
      <w:start w:val="1"/>
      <w:numFmt w:val="decimal"/>
      <w:isLgl w:val="false"/>
      <w:suff w:val="tab"/>
      <w:lvlText w:val="%6."/>
      <w:lvlJc w:val="left"/>
      <w:pPr>
        <w:pStyle w:val="963"/>
        <w:ind w:left="4320" w:hanging="360"/>
        <w:tabs>
          <w:tab w:val="left" w:pos="4320" w:leader="none"/>
        </w:tabs>
      </w:pPr>
    </w:lvl>
    <w:lvl w:ilvl="6">
      <w:start w:val="1"/>
      <w:numFmt w:val="decimal"/>
      <w:isLgl w:val="false"/>
      <w:suff w:val="tab"/>
      <w:lvlText w:val="%7."/>
      <w:lvlJc w:val="left"/>
      <w:pPr>
        <w:pStyle w:val="963"/>
        <w:ind w:left="5040" w:hanging="360"/>
        <w:tabs>
          <w:tab w:val="left" w:pos="5040" w:leader="none"/>
        </w:tabs>
      </w:pPr>
    </w:lvl>
    <w:lvl w:ilvl="7">
      <w:start w:val="1"/>
      <w:numFmt w:val="decimal"/>
      <w:isLgl w:val="false"/>
      <w:suff w:val="tab"/>
      <w:lvlText w:val="%8."/>
      <w:lvlJc w:val="left"/>
      <w:pPr>
        <w:pStyle w:val="963"/>
        <w:ind w:left="5760" w:hanging="360"/>
        <w:tabs>
          <w:tab w:val="left" w:pos="5760" w:leader="none"/>
        </w:tabs>
      </w:pPr>
    </w:lvl>
    <w:lvl w:ilvl="8">
      <w:start w:val="1"/>
      <w:numFmt w:val="decimal"/>
      <w:isLgl w:val="false"/>
      <w:suff w:val="tab"/>
      <w:lvlText w:val="%9."/>
      <w:lvlJc w:val="left"/>
      <w:pPr>
        <w:pStyle w:val="963"/>
        <w:ind w:left="6480" w:hanging="360"/>
        <w:tabs>
          <w:tab w:val="left" w:pos="6480" w:leader="none"/>
        </w:tabs>
      </w:pPr>
    </w:lvl>
  </w:abstractNum>
  <w:abstractNum w:abstractNumId="34">
    <w:multiLevelType w:val="hybridMultilevel"/>
    <w:lvl w:ilvl="0">
      <w:start w:val="1"/>
      <w:numFmt w:val="decimal"/>
      <w:isLgl w:val="false"/>
      <w:suff w:val="space"/>
      <w:lvlText w:val="(%1)"/>
      <w:lvlJc w:val="left"/>
      <w:pPr>
        <w:pStyle w:val="9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EnclosedCircleChinese"/>
      <w:isLgl w:val="false"/>
      <w:suff w:val="nothing"/>
      <w:lvlText w:val="%1　"/>
      <w:lvlJc w:val="left"/>
      <w:pPr>
        <w:pStyle w:val="963"/>
        <w:ind w:left="0" w:firstLine="400"/>
      </w:pPr>
      <w:rPr>
        <w:rFonts w:hint="eastAsia" w:ascii="宋体" w:hAnsi="宋体" w:eastAsia="宋体"/>
      </w:rPr>
    </w:lvl>
    <w:lvl w:ilvl="1">
      <w:start w:val="1"/>
      <w:numFmt w:val="decimal"/>
      <w:isLgl w:val="false"/>
      <w:suff w:val="tab"/>
      <w:lvlText w:val="%2."/>
      <w:lvlJc w:val="left"/>
      <w:pPr>
        <w:pStyle w:val="963"/>
        <w:ind w:left="1440" w:hanging="360"/>
        <w:tabs>
          <w:tab w:val="left" w:pos="1440" w:leader="none"/>
        </w:tabs>
      </w:pPr>
    </w:lvl>
    <w:lvl w:ilvl="2">
      <w:start w:val="1"/>
      <w:numFmt w:val="decimal"/>
      <w:isLgl w:val="false"/>
      <w:suff w:val="tab"/>
      <w:lvlText w:val="%3."/>
      <w:lvlJc w:val="left"/>
      <w:pPr>
        <w:pStyle w:val="963"/>
        <w:ind w:left="2160" w:hanging="360"/>
        <w:tabs>
          <w:tab w:val="left" w:pos="2160" w:leader="none"/>
        </w:tabs>
      </w:pPr>
    </w:lvl>
    <w:lvl w:ilvl="3">
      <w:start w:val="1"/>
      <w:numFmt w:val="decimal"/>
      <w:isLgl w:val="false"/>
      <w:suff w:val="tab"/>
      <w:lvlText w:val="%4."/>
      <w:lvlJc w:val="left"/>
      <w:pPr>
        <w:pStyle w:val="963"/>
        <w:ind w:left="2880" w:hanging="360"/>
        <w:tabs>
          <w:tab w:val="left" w:pos="2880" w:leader="none"/>
        </w:tabs>
      </w:pPr>
    </w:lvl>
    <w:lvl w:ilvl="4">
      <w:start w:val="1"/>
      <w:numFmt w:val="decimal"/>
      <w:isLgl w:val="false"/>
      <w:suff w:val="tab"/>
      <w:lvlText w:val="%5."/>
      <w:lvlJc w:val="left"/>
      <w:pPr>
        <w:pStyle w:val="963"/>
        <w:ind w:left="3600" w:hanging="360"/>
        <w:tabs>
          <w:tab w:val="left" w:pos="3600" w:leader="none"/>
        </w:tabs>
      </w:pPr>
    </w:lvl>
    <w:lvl w:ilvl="5">
      <w:start w:val="1"/>
      <w:numFmt w:val="decimal"/>
      <w:isLgl w:val="false"/>
      <w:suff w:val="tab"/>
      <w:lvlText w:val="%6."/>
      <w:lvlJc w:val="left"/>
      <w:pPr>
        <w:pStyle w:val="963"/>
        <w:ind w:left="4320" w:hanging="360"/>
        <w:tabs>
          <w:tab w:val="left" w:pos="4320" w:leader="none"/>
        </w:tabs>
      </w:pPr>
    </w:lvl>
    <w:lvl w:ilvl="6">
      <w:start w:val="1"/>
      <w:numFmt w:val="decimal"/>
      <w:isLgl w:val="false"/>
      <w:suff w:val="tab"/>
      <w:lvlText w:val="%7."/>
      <w:lvlJc w:val="left"/>
      <w:pPr>
        <w:pStyle w:val="963"/>
        <w:ind w:left="5040" w:hanging="360"/>
        <w:tabs>
          <w:tab w:val="left" w:pos="5040" w:leader="none"/>
        </w:tabs>
      </w:pPr>
    </w:lvl>
    <w:lvl w:ilvl="7">
      <w:start w:val="1"/>
      <w:numFmt w:val="decimal"/>
      <w:isLgl w:val="false"/>
      <w:suff w:val="tab"/>
      <w:lvlText w:val="%8."/>
      <w:lvlJc w:val="left"/>
      <w:pPr>
        <w:pStyle w:val="963"/>
        <w:ind w:left="5760" w:hanging="360"/>
        <w:tabs>
          <w:tab w:val="left" w:pos="5760" w:leader="none"/>
        </w:tabs>
      </w:pPr>
    </w:lvl>
    <w:lvl w:ilvl="8">
      <w:start w:val="1"/>
      <w:numFmt w:val="decimal"/>
      <w:isLgl w:val="false"/>
      <w:suff w:val="tab"/>
      <w:lvlText w:val="%9."/>
      <w:lvlJc w:val="left"/>
      <w:pPr>
        <w:pStyle w:val="963"/>
        <w:ind w:left="6480" w:hanging="360"/>
        <w:tabs>
          <w:tab w:val="left" w:pos="6480" w:leader="none"/>
        </w:tabs>
      </w:pPr>
    </w:lvl>
  </w:abstractNum>
  <w:abstractNum w:abstractNumId="36">
    <w:multiLevelType w:val="hybridMultilevel"/>
    <w:lvl w:ilvl="0">
      <w:start w:val="1"/>
      <w:numFmt w:val="decimal"/>
      <w:isLgl w:val="false"/>
      <w:suff w:val="space"/>
      <w:lvlText w:val="(%1)"/>
      <w:lvlJc w:val="left"/>
      <w:pPr>
        <w:pStyle w:val="9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1)"/>
      <w:lvlJc w:val="left"/>
      <w:pPr>
        <w:pStyle w:val="963"/>
        <w:ind w:left="425" w:hanging="425"/>
      </w:pPr>
      <w:rPr>
        <w:rFonts w:ascii="Times New Roman" w:hAnsi="Times New Roman" w:cs="Times New Roman"/>
      </w:rPr>
    </w:lvl>
    <w:lvl w:ilvl="1">
      <w:start w:val="1"/>
      <w:numFmt w:val="decimal"/>
      <w:isLgl w:val="false"/>
      <w:suff w:val="tab"/>
      <w:lvlText w:val="%2."/>
      <w:lvlJc w:val="left"/>
      <w:pPr>
        <w:pStyle w:val="963"/>
        <w:ind w:left="1440" w:hanging="360"/>
        <w:tabs>
          <w:tab w:val="left" w:pos="1440" w:leader="none"/>
        </w:tabs>
      </w:pPr>
    </w:lvl>
    <w:lvl w:ilvl="2">
      <w:start w:val="1"/>
      <w:numFmt w:val="decimal"/>
      <w:isLgl w:val="false"/>
      <w:suff w:val="tab"/>
      <w:lvlText w:val="%3."/>
      <w:lvlJc w:val="left"/>
      <w:pPr>
        <w:pStyle w:val="963"/>
        <w:ind w:left="2160" w:hanging="360"/>
        <w:tabs>
          <w:tab w:val="left" w:pos="2160" w:leader="none"/>
        </w:tabs>
      </w:pPr>
    </w:lvl>
    <w:lvl w:ilvl="3">
      <w:start w:val="1"/>
      <w:numFmt w:val="decimal"/>
      <w:isLgl w:val="false"/>
      <w:suff w:val="tab"/>
      <w:lvlText w:val="%4."/>
      <w:lvlJc w:val="left"/>
      <w:pPr>
        <w:pStyle w:val="963"/>
        <w:ind w:left="2880" w:hanging="360"/>
        <w:tabs>
          <w:tab w:val="left" w:pos="2880" w:leader="none"/>
        </w:tabs>
      </w:pPr>
    </w:lvl>
    <w:lvl w:ilvl="4">
      <w:start w:val="1"/>
      <w:numFmt w:val="decimal"/>
      <w:isLgl w:val="false"/>
      <w:suff w:val="tab"/>
      <w:lvlText w:val="%5."/>
      <w:lvlJc w:val="left"/>
      <w:pPr>
        <w:pStyle w:val="963"/>
        <w:ind w:left="3600" w:hanging="360"/>
        <w:tabs>
          <w:tab w:val="left" w:pos="3600" w:leader="none"/>
        </w:tabs>
      </w:pPr>
    </w:lvl>
    <w:lvl w:ilvl="5">
      <w:start w:val="1"/>
      <w:numFmt w:val="decimal"/>
      <w:isLgl w:val="false"/>
      <w:suff w:val="tab"/>
      <w:lvlText w:val="%6."/>
      <w:lvlJc w:val="left"/>
      <w:pPr>
        <w:pStyle w:val="963"/>
        <w:ind w:left="4320" w:hanging="360"/>
        <w:tabs>
          <w:tab w:val="left" w:pos="4320" w:leader="none"/>
        </w:tabs>
      </w:pPr>
    </w:lvl>
    <w:lvl w:ilvl="6">
      <w:start w:val="1"/>
      <w:numFmt w:val="decimal"/>
      <w:isLgl w:val="false"/>
      <w:suff w:val="tab"/>
      <w:lvlText w:val="%7."/>
      <w:lvlJc w:val="left"/>
      <w:pPr>
        <w:pStyle w:val="963"/>
        <w:ind w:left="5040" w:hanging="360"/>
        <w:tabs>
          <w:tab w:val="left" w:pos="5040" w:leader="none"/>
        </w:tabs>
      </w:pPr>
    </w:lvl>
    <w:lvl w:ilvl="7">
      <w:start w:val="1"/>
      <w:numFmt w:val="decimal"/>
      <w:isLgl w:val="false"/>
      <w:suff w:val="tab"/>
      <w:lvlText w:val="%8."/>
      <w:lvlJc w:val="left"/>
      <w:pPr>
        <w:pStyle w:val="963"/>
        <w:ind w:left="5760" w:hanging="360"/>
        <w:tabs>
          <w:tab w:val="left" w:pos="5760" w:leader="none"/>
        </w:tabs>
      </w:pPr>
    </w:lvl>
    <w:lvl w:ilvl="8">
      <w:start w:val="1"/>
      <w:numFmt w:val="decimal"/>
      <w:isLgl w:val="false"/>
      <w:suff w:val="tab"/>
      <w:lvlText w:val="%9."/>
      <w:lvlJc w:val="left"/>
      <w:pPr>
        <w:pStyle w:val="963"/>
        <w:ind w:left="6480" w:hanging="360"/>
        <w:tabs>
          <w:tab w:val="left" w:pos="6480" w:leader="none"/>
        </w:tabs>
      </w:pPr>
    </w:lvl>
  </w:abstractNum>
  <w:abstractNum w:abstractNumId="38">
    <w:multiLevelType w:val="hybridMultilevel"/>
    <w:lvl w:ilvl="0">
      <w:start w:val="1"/>
      <w:numFmt w:val="decimal"/>
      <w:isLgl w:val="false"/>
      <w:suff w:val="tab"/>
      <w:lvlText w:val="(%1)"/>
      <w:lvlJc w:val="left"/>
      <w:pPr>
        <w:pStyle w:val="963"/>
        <w:ind w:left="425" w:hanging="425"/>
      </w:pPr>
      <w:rPr>
        <w:rFonts w:ascii="Times New Roman" w:hAnsi="Times New Roman" w:cs="Times New Roman"/>
      </w:rPr>
    </w:lvl>
    <w:lvl w:ilvl="1">
      <w:start w:val="1"/>
      <w:numFmt w:val="decimal"/>
      <w:isLgl w:val="false"/>
      <w:suff w:val="tab"/>
      <w:lvlText w:val="%2."/>
      <w:lvlJc w:val="left"/>
      <w:pPr>
        <w:pStyle w:val="963"/>
        <w:ind w:left="1440" w:hanging="360"/>
        <w:tabs>
          <w:tab w:val="left" w:pos="1440" w:leader="none"/>
        </w:tabs>
      </w:pPr>
    </w:lvl>
    <w:lvl w:ilvl="2">
      <w:start w:val="1"/>
      <w:numFmt w:val="decimal"/>
      <w:isLgl w:val="false"/>
      <w:suff w:val="tab"/>
      <w:lvlText w:val="%3."/>
      <w:lvlJc w:val="left"/>
      <w:pPr>
        <w:pStyle w:val="963"/>
        <w:ind w:left="2160" w:hanging="360"/>
        <w:tabs>
          <w:tab w:val="left" w:pos="2160" w:leader="none"/>
        </w:tabs>
      </w:pPr>
    </w:lvl>
    <w:lvl w:ilvl="3">
      <w:start w:val="1"/>
      <w:numFmt w:val="decimal"/>
      <w:isLgl w:val="false"/>
      <w:suff w:val="tab"/>
      <w:lvlText w:val="%4."/>
      <w:lvlJc w:val="left"/>
      <w:pPr>
        <w:pStyle w:val="963"/>
        <w:ind w:left="2880" w:hanging="360"/>
        <w:tabs>
          <w:tab w:val="left" w:pos="2880" w:leader="none"/>
        </w:tabs>
      </w:pPr>
    </w:lvl>
    <w:lvl w:ilvl="4">
      <w:start w:val="1"/>
      <w:numFmt w:val="decimal"/>
      <w:isLgl w:val="false"/>
      <w:suff w:val="tab"/>
      <w:lvlText w:val="%5."/>
      <w:lvlJc w:val="left"/>
      <w:pPr>
        <w:pStyle w:val="963"/>
        <w:ind w:left="3600" w:hanging="360"/>
        <w:tabs>
          <w:tab w:val="left" w:pos="3600" w:leader="none"/>
        </w:tabs>
      </w:pPr>
    </w:lvl>
    <w:lvl w:ilvl="5">
      <w:start w:val="1"/>
      <w:numFmt w:val="decimal"/>
      <w:isLgl w:val="false"/>
      <w:suff w:val="tab"/>
      <w:lvlText w:val="%6."/>
      <w:lvlJc w:val="left"/>
      <w:pPr>
        <w:pStyle w:val="963"/>
        <w:ind w:left="4320" w:hanging="360"/>
        <w:tabs>
          <w:tab w:val="left" w:pos="4320" w:leader="none"/>
        </w:tabs>
      </w:pPr>
    </w:lvl>
    <w:lvl w:ilvl="6">
      <w:start w:val="1"/>
      <w:numFmt w:val="decimal"/>
      <w:isLgl w:val="false"/>
      <w:suff w:val="tab"/>
      <w:lvlText w:val="%7."/>
      <w:lvlJc w:val="left"/>
      <w:pPr>
        <w:pStyle w:val="963"/>
        <w:ind w:left="5040" w:hanging="360"/>
        <w:tabs>
          <w:tab w:val="left" w:pos="5040" w:leader="none"/>
        </w:tabs>
      </w:pPr>
    </w:lvl>
    <w:lvl w:ilvl="7">
      <w:start w:val="1"/>
      <w:numFmt w:val="decimal"/>
      <w:isLgl w:val="false"/>
      <w:suff w:val="tab"/>
      <w:lvlText w:val="%8."/>
      <w:lvlJc w:val="left"/>
      <w:pPr>
        <w:pStyle w:val="963"/>
        <w:ind w:left="5760" w:hanging="360"/>
        <w:tabs>
          <w:tab w:val="left" w:pos="5760" w:leader="none"/>
        </w:tabs>
      </w:pPr>
    </w:lvl>
    <w:lvl w:ilvl="8">
      <w:start w:val="1"/>
      <w:numFmt w:val="decimal"/>
      <w:isLgl w:val="false"/>
      <w:suff w:val="tab"/>
      <w:lvlText w:val="%9."/>
      <w:lvlJc w:val="left"/>
      <w:pPr>
        <w:pStyle w:val="963"/>
        <w:ind w:left="6480" w:hanging="360"/>
        <w:tabs>
          <w:tab w:val="left" w:pos="6480" w:leader="none"/>
        </w:tabs>
      </w:pPr>
    </w:lvl>
  </w:abstractNum>
  <w:abstractNum w:abstractNumId="39">
    <w:multiLevelType w:val="hybridMultilevel"/>
    <w:lvl w:ilvl="0">
      <w:start w:val="1"/>
      <w:numFmt w:val="decimal"/>
      <w:isLgl w:val="false"/>
      <w:suff w:val="tab"/>
      <w:lvlText w:val="%1)"/>
      <w:lvlJc w:val="left"/>
      <w:pPr>
        <w:pStyle w:val="963"/>
        <w:ind w:left="425" w:hanging="425"/>
      </w:pPr>
      <w:rPr>
        <w:rFonts w:ascii="Times New Roman" w:hAnsi="Times New Roman" w:cs="Times New Roman"/>
      </w:rPr>
    </w:lvl>
    <w:lvl w:ilvl="1">
      <w:start w:val="1"/>
      <w:numFmt w:val="decimal"/>
      <w:isLgl w:val="false"/>
      <w:suff w:val="tab"/>
      <w:lvlText w:val="%2."/>
      <w:lvlJc w:val="left"/>
      <w:pPr>
        <w:pStyle w:val="963"/>
        <w:ind w:left="1440" w:hanging="360"/>
        <w:tabs>
          <w:tab w:val="left" w:pos="1440" w:leader="none"/>
        </w:tabs>
      </w:pPr>
    </w:lvl>
    <w:lvl w:ilvl="2">
      <w:start w:val="1"/>
      <w:numFmt w:val="decimal"/>
      <w:isLgl w:val="false"/>
      <w:suff w:val="tab"/>
      <w:lvlText w:val="%3."/>
      <w:lvlJc w:val="left"/>
      <w:pPr>
        <w:pStyle w:val="963"/>
        <w:ind w:left="2160" w:hanging="360"/>
        <w:tabs>
          <w:tab w:val="left" w:pos="2160" w:leader="none"/>
        </w:tabs>
      </w:pPr>
    </w:lvl>
    <w:lvl w:ilvl="3">
      <w:start w:val="1"/>
      <w:numFmt w:val="decimal"/>
      <w:isLgl w:val="false"/>
      <w:suff w:val="tab"/>
      <w:lvlText w:val="%4."/>
      <w:lvlJc w:val="left"/>
      <w:pPr>
        <w:pStyle w:val="963"/>
        <w:ind w:left="2880" w:hanging="360"/>
        <w:tabs>
          <w:tab w:val="left" w:pos="2880" w:leader="none"/>
        </w:tabs>
      </w:pPr>
    </w:lvl>
    <w:lvl w:ilvl="4">
      <w:start w:val="1"/>
      <w:numFmt w:val="decimal"/>
      <w:isLgl w:val="false"/>
      <w:suff w:val="tab"/>
      <w:lvlText w:val="%5."/>
      <w:lvlJc w:val="left"/>
      <w:pPr>
        <w:pStyle w:val="963"/>
        <w:ind w:left="3600" w:hanging="360"/>
        <w:tabs>
          <w:tab w:val="left" w:pos="3600" w:leader="none"/>
        </w:tabs>
      </w:pPr>
    </w:lvl>
    <w:lvl w:ilvl="5">
      <w:start w:val="1"/>
      <w:numFmt w:val="decimal"/>
      <w:isLgl w:val="false"/>
      <w:suff w:val="tab"/>
      <w:lvlText w:val="%6."/>
      <w:lvlJc w:val="left"/>
      <w:pPr>
        <w:pStyle w:val="963"/>
        <w:ind w:left="4320" w:hanging="360"/>
        <w:tabs>
          <w:tab w:val="left" w:pos="4320" w:leader="none"/>
        </w:tabs>
      </w:pPr>
    </w:lvl>
    <w:lvl w:ilvl="6">
      <w:start w:val="1"/>
      <w:numFmt w:val="decimal"/>
      <w:isLgl w:val="false"/>
      <w:suff w:val="tab"/>
      <w:lvlText w:val="%7."/>
      <w:lvlJc w:val="left"/>
      <w:pPr>
        <w:pStyle w:val="963"/>
        <w:ind w:left="5040" w:hanging="360"/>
        <w:tabs>
          <w:tab w:val="left" w:pos="5040" w:leader="none"/>
        </w:tabs>
      </w:pPr>
    </w:lvl>
    <w:lvl w:ilvl="7">
      <w:start w:val="1"/>
      <w:numFmt w:val="decimal"/>
      <w:isLgl w:val="false"/>
      <w:suff w:val="tab"/>
      <w:lvlText w:val="%8."/>
      <w:lvlJc w:val="left"/>
      <w:pPr>
        <w:pStyle w:val="963"/>
        <w:ind w:left="5760" w:hanging="360"/>
        <w:tabs>
          <w:tab w:val="left" w:pos="5760" w:leader="none"/>
        </w:tabs>
      </w:pPr>
    </w:lvl>
    <w:lvl w:ilvl="8">
      <w:start w:val="1"/>
      <w:numFmt w:val="decimal"/>
      <w:isLgl w:val="false"/>
      <w:suff w:val="tab"/>
      <w:lvlText w:val="%9."/>
      <w:lvlJc w:val="left"/>
      <w:pPr>
        <w:pStyle w:val="963"/>
        <w:ind w:left="6480" w:hanging="360"/>
        <w:tabs>
          <w:tab w:val="left" w:pos="6480" w:leader="none"/>
        </w:tabs>
      </w:pPr>
    </w:lvl>
  </w:abstractNum>
  <w:abstractNum w:abstractNumId="40">
    <w:multiLevelType w:val="hybridMultilevel"/>
    <w:lvl w:ilvl="0">
      <w:start w:val="1"/>
      <w:numFmt w:val="decimal"/>
      <w:isLgl w:val="false"/>
      <w:suff w:val="space"/>
      <w:lvlText w:val="(%1)"/>
      <w:lvlJc w:val="left"/>
      <w:pPr>
        <w:pStyle w:val="9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nothing"/>
      <w:lvlText w:val="%1、"/>
      <w:lvlJc w:val="left"/>
      <w:pPr>
        <w:pStyle w:val="9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nothing"/>
      <w:lvlText w:val="%1、"/>
      <w:lvlJc w:val="left"/>
      <w:pPr>
        <w:pStyle w:val="9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2"/>
      <w:numFmt w:val="chineseCounting"/>
      <w:isLgl w:val="false"/>
      <w:suff w:val="tab"/>
      <w:lvlText w:val="%1、"/>
      <w:lvlJc w:val="left"/>
      <w:pPr>
        <w:pStyle w:val="963"/>
        <w:ind w:left="0" w:firstLine="0"/>
        <w:tabs>
          <w:tab w:val="left" w:pos="0" w:leader="none"/>
        </w:tabs>
      </w:pPr>
      <w:rPr>
        <w:rFonts w:hint="eastAsia" w:ascii="宋体" w:hAnsi="宋体" w:eastAsia="宋体" w:cs="宋体"/>
        <w:b/>
        <w:bCs/>
        <w:sz w:val="28"/>
        <w:szCs w:val="28"/>
      </w:rPr>
    </w:lvl>
    <w:lvl w:ilvl="1">
      <w:start w:val="1"/>
      <w:numFmt w:val="decimal"/>
      <w:isLgl w:val="false"/>
      <w:suff w:val="tab"/>
      <w:lvlText w:val=" %1.%2"/>
      <w:lvlJc w:val="left"/>
      <w:pPr>
        <w:pStyle w:val="963"/>
        <w:ind w:left="0" w:firstLine="0"/>
        <w:tabs>
          <w:tab w:val="left" w:pos="0" w:leader="none"/>
        </w:tabs>
      </w:pPr>
      <w:rPr>
        <w:rFonts w:hint="eastAsia" w:ascii="Times New Roman" w:hAnsi="Times New Roman" w:eastAsia="宋体" w:cs="宋体"/>
        <w:sz w:val="24"/>
        <w:szCs w:val="24"/>
      </w:rPr>
    </w:lvl>
    <w:lvl w:ilvl="2">
      <w:start w:val="1"/>
      <w:numFmt w:val="decimal"/>
      <w:isLgl w:val="false"/>
      <w:suff w:val="tab"/>
      <w:lvlText w:val="  %1.%2.%3"/>
      <w:lvlJc w:val="left"/>
      <w:pPr>
        <w:pStyle w:val="963"/>
        <w:ind w:left="0" w:firstLine="0"/>
        <w:tabs>
          <w:tab w:val="left" w:pos="0" w:leader="none"/>
        </w:tabs>
      </w:pPr>
      <w:rPr>
        <w:rFonts w:hint="eastAsia" w:ascii="Times New Roman" w:hAnsi="Times New Roman" w:eastAsia="宋体" w:cs="宋体"/>
        <w:sz w:val="24"/>
        <w:szCs w:val="24"/>
      </w:rPr>
    </w:lvl>
    <w:lvl w:ilvl="3">
      <w:start w:val="1"/>
      <w:numFmt w:val="decimal"/>
      <w:isLgl w:val="false"/>
      <w:suff w:val="tab"/>
      <w:lvlText w:val="  %1.%2.%3.%4"/>
      <w:lvlJc w:val="left"/>
      <w:pPr>
        <w:pStyle w:val="963"/>
        <w:ind w:left="0" w:firstLine="0"/>
        <w:tabs>
          <w:tab w:val="left" w:pos="0" w:leader="none"/>
        </w:tabs>
      </w:pPr>
      <w:rPr>
        <w:rFonts w:hint="eastAsia" w:ascii="Times New Roman" w:hAnsi="Times New Roman" w:eastAsia="宋体" w:cs="宋体"/>
        <w:sz w:val="24"/>
        <w:szCs w:val="24"/>
      </w:rPr>
    </w:lvl>
    <w:lvl w:ilvl="4">
      <w:start w:val="1"/>
      <w:numFmt w:val="decimal"/>
      <w:isLgl w:val="false"/>
      <w:suff w:val="tab"/>
      <w:lvlText w:val="  %1.%2.%3.%4.%5"/>
      <w:lvlJc w:val="left"/>
      <w:pPr>
        <w:pStyle w:val="963"/>
        <w:ind w:left="0" w:firstLine="0"/>
        <w:tabs>
          <w:tab w:val="left" w:pos="0" w:leader="none"/>
        </w:tabs>
      </w:pPr>
      <w:rPr>
        <w:rFonts w:hint="eastAsia" w:ascii="Times New Roman" w:hAnsi="Times New Roman" w:eastAsia="宋体" w:cs="宋体"/>
        <w:sz w:val="24"/>
        <w:szCs w:val="24"/>
      </w:rPr>
    </w:lvl>
    <w:lvl w:ilvl="5">
      <w:start w:val="1"/>
      <w:numFmt w:val="decimal"/>
      <w:isLgl w:val="false"/>
      <w:suff w:val="tab"/>
      <w:lvlText w:val="  %1.%2.%3.%4.%5.%6"/>
      <w:lvlJc w:val="left"/>
      <w:pPr>
        <w:pStyle w:val="963"/>
        <w:ind w:left="0" w:firstLine="0"/>
        <w:tabs>
          <w:tab w:val="left" w:pos="0" w:leader="none"/>
        </w:tabs>
      </w:pPr>
      <w:rPr>
        <w:rFonts w:hint="eastAsia" w:ascii="Times New Roman" w:hAnsi="Times New Roman" w:eastAsia="宋体" w:cs="宋体"/>
        <w:sz w:val="24"/>
        <w:szCs w:val="24"/>
      </w:rPr>
    </w:lvl>
    <w:lvl w:ilvl="6">
      <w:start w:val="1"/>
      <w:numFmt w:val="decimal"/>
      <w:isLgl w:val="false"/>
      <w:suff w:val="tab"/>
      <w:lvlText w:val="  %1.%2.%3.%4.%5.%6.%7"/>
      <w:lvlJc w:val="left"/>
      <w:pPr>
        <w:pStyle w:val="963"/>
        <w:ind w:left="0" w:firstLine="0"/>
        <w:tabs>
          <w:tab w:val="left" w:pos="0" w:leader="none"/>
        </w:tabs>
      </w:pPr>
      <w:rPr>
        <w:rFonts w:hint="eastAsia" w:ascii="Times New Roman" w:hAnsi="Times New Roman" w:eastAsia="宋体" w:cs="宋体"/>
        <w:sz w:val="24"/>
        <w:szCs w:val="24"/>
      </w:rPr>
    </w:lvl>
    <w:lvl w:ilvl="7">
      <w:start w:val="1"/>
      <w:numFmt w:val="decimal"/>
      <w:isLgl w:val="false"/>
      <w:suff w:val="tab"/>
      <w:lvlText w:val="  %1.%2.%3.%4.%5.%6.%7.%8"/>
      <w:lvlJc w:val="left"/>
      <w:pPr>
        <w:pStyle w:val="963"/>
        <w:ind w:left="0" w:firstLine="0"/>
        <w:tabs>
          <w:tab w:val="left" w:pos="0" w:leader="none"/>
        </w:tabs>
      </w:pPr>
      <w:rPr>
        <w:rFonts w:hint="eastAsia" w:ascii="Times New Roman" w:hAnsi="Times New Roman" w:eastAsia="宋体" w:cs="宋体"/>
        <w:sz w:val="24"/>
        <w:szCs w:val="24"/>
      </w:rPr>
    </w:lvl>
    <w:lvl w:ilvl="8">
      <w:start w:val="1"/>
      <w:numFmt w:val="decimal"/>
      <w:isLgl w:val="false"/>
      <w:suff w:val="tab"/>
      <w:lvlText w:val="  %1.%2.%3.%4.%5.%6.%7.%8.%9"/>
      <w:lvlJc w:val="left"/>
      <w:pPr>
        <w:pStyle w:val="963"/>
        <w:ind w:left="0" w:firstLine="0"/>
        <w:tabs>
          <w:tab w:val="left" w:pos="0" w:leader="none"/>
        </w:tabs>
      </w:pPr>
      <w:rPr>
        <w:rFonts w:hint="eastAsia" w:ascii="Times New Roman" w:hAnsi="Times New Roman" w:eastAsia="宋体" w:cs="宋体"/>
        <w:sz w:val="24"/>
        <w:szCs w:val="24"/>
      </w:rPr>
    </w:lvl>
  </w:abstractNum>
  <w:abstractNum w:abstractNumId="44">
    <w:multiLevelType w:val="hybridMultilevel"/>
    <w:lvl w:ilvl="0">
      <w:start w:val="1"/>
      <w:numFmt w:val="bullet"/>
      <w:pStyle w:val="1138"/>
      <w:isLgl w:val="false"/>
      <w:suff w:val="tab"/>
      <w:lvlText w:val=""/>
      <w:lvlJc w:val="left"/>
      <w:pPr>
        <w:pStyle w:val="963"/>
        <w:ind w:left="360" w:hanging="360"/>
        <w:tabs>
          <w:tab w:val="left" w:pos="360" w:leader="none"/>
        </w:tabs>
      </w:pPr>
      <w:rPr>
        <w:rFonts w:ascii="Symbol" w:hAnsi="Symbol"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tab"/>
      <w:lvlText w:val="%1)"/>
      <w:lvlJc w:val="left"/>
      <w:pPr>
        <w:pStyle w:val="963"/>
        <w:ind w:left="425" w:hanging="425"/>
      </w:pPr>
      <w:rPr>
        <w:rFonts w:ascii="Times New Roman" w:hAnsi="Times New Roman" w:cs="Times New Roman"/>
      </w:rPr>
    </w:lvl>
    <w:lvl w:ilvl="1">
      <w:start w:val="1"/>
      <w:numFmt w:val="decimal"/>
      <w:isLgl w:val="false"/>
      <w:suff w:val="tab"/>
      <w:lvlText w:val="%2."/>
      <w:lvlJc w:val="left"/>
      <w:pPr>
        <w:pStyle w:val="963"/>
        <w:ind w:left="1440" w:hanging="360"/>
        <w:tabs>
          <w:tab w:val="left" w:pos="1440" w:leader="none"/>
        </w:tabs>
      </w:pPr>
    </w:lvl>
    <w:lvl w:ilvl="2">
      <w:start w:val="1"/>
      <w:numFmt w:val="decimal"/>
      <w:isLgl w:val="false"/>
      <w:suff w:val="tab"/>
      <w:lvlText w:val="%3."/>
      <w:lvlJc w:val="left"/>
      <w:pPr>
        <w:pStyle w:val="963"/>
        <w:ind w:left="2160" w:hanging="360"/>
        <w:tabs>
          <w:tab w:val="left" w:pos="2160" w:leader="none"/>
        </w:tabs>
      </w:pPr>
    </w:lvl>
    <w:lvl w:ilvl="3">
      <w:start w:val="1"/>
      <w:numFmt w:val="decimal"/>
      <w:isLgl w:val="false"/>
      <w:suff w:val="tab"/>
      <w:lvlText w:val="%4."/>
      <w:lvlJc w:val="left"/>
      <w:pPr>
        <w:pStyle w:val="963"/>
        <w:ind w:left="2880" w:hanging="360"/>
        <w:tabs>
          <w:tab w:val="left" w:pos="2880" w:leader="none"/>
        </w:tabs>
      </w:pPr>
    </w:lvl>
    <w:lvl w:ilvl="4">
      <w:start w:val="1"/>
      <w:numFmt w:val="decimal"/>
      <w:isLgl w:val="false"/>
      <w:suff w:val="tab"/>
      <w:lvlText w:val="%5."/>
      <w:lvlJc w:val="left"/>
      <w:pPr>
        <w:pStyle w:val="963"/>
        <w:ind w:left="3600" w:hanging="360"/>
        <w:tabs>
          <w:tab w:val="left" w:pos="3600" w:leader="none"/>
        </w:tabs>
      </w:pPr>
    </w:lvl>
    <w:lvl w:ilvl="5">
      <w:start w:val="1"/>
      <w:numFmt w:val="decimal"/>
      <w:isLgl w:val="false"/>
      <w:suff w:val="tab"/>
      <w:lvlText w:val="%6."/>
      <w:lvlJc w:val="left"/>
      <w:pPr>
        <w:pStyle w:val="963"/>
        <w:ind w:left="4320" w:hanging="360"/>
        <w:tabs>
          <w:tab w:val="left" w:pos="4320" w:leader="none"/>
        </w:tabs>
      </w:pPr>
    </w:lvl>
    <w:lvl w:ilvl="6">
      <w:start w:val="1"/>
      <w:numFmt w:val="decimal"/>
      <w:isLgl w:val="false"/>
      <w:suff w:val="tab"/>
      <w:lvlText w:val="%7."/>
      <w:lvlJc w:val="left"/>
      <w:pPr>
        <w:pStyle w:val="963"/>
        <w:ind w:left="5040" w:hanging="360"/>
        <w:tabs>
          <w:tab w:val="left" w:pos="5040" w:leader="none"/>
        </w:tabs>
      </w:pPr>
    </w:lvl>
    <w:lvl w:ilvl="7">
      <w:start w:val="1"/>
      <w:numFmt w:val="decimal"/>
      <w:isLgl w:val="false"/>
      <w:suff w:val="tab"/>
      <w:lvlText w:val="%8."/>
      <w:lvlJc w:val="left"/>
      <w:pPr>
        <w:pStyle w:val="963"/>
        <w:ind w:left="5760" w:hanging="360"/>
        <w:tabs>
          <w:tab w:val="left" w:pos="5760" w:leader="none"/>
        </w:tabs>
      </w:pPr>
    </w:lvl>
    <w:lvl w:ilvl="8">
      <w:start w:val="1"/>
      <w:numFmt w:val="decimal"/>
      <w:isLgl w:val="false"/>
      <w:suff w:val="tab"/>
      <w:lvlText w:val="%9."/>
      <w:lvlJc w:val="left"/>
      <w:pPr>
        <w:pStyle w:val="963"/>
        <w:ind w:left="6480" w:hanging="360"/>
        <w:tabs>
          <w:tab w:val="left" w:pos="6480" w:leader="none"/>
        </w:tabs>
      </w:pPr>
    </w:lvl>
  </w:abstractNum>
  <w:abstractNum w:abstractNumId="46">
    <w:multiLevelType w:val="hybridMultilevel"/>
    <w:lvl w:ilvl="0">
      <w:start w:val="1"/>
      <w:numFmt w:val="decimal"/>
      <w:isLgl w:val="false"/>
      <w:suff w:val="space"/>
      <w:lvlText w:val="(%1)"/>
      <w:lvlJc w:val="left"/>
      <w:pPr>
        <w:pStyle w:val="9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space"/>
      <w:lvlText w:val="(%1)"/>
      <w:lvlJc w:val="left"/>
      <w:pPr>
        <w:pStyle w:val="9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
      <w:isLgl w:val="false"/>
      <w:suff w:val="nothing"/>
      <w:lvlText w:val="%1、"/>
      <w:lvlJc w:val="left"/>
      <w:pPr>
        <w:pStyle w:val="9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lowerLetter"/>
      <w:isLgl w:val="false"/>
      <w:suff w:val="tab"/>
      <w:lvlText w:val="%1."/>
      <w:lvlJc w:val="left"/>
      <w:pPr>
        <w:pStyle w:val="963"/>
        <w:ind w:left="425" w:hanging="425"/>
      </w:pPr>
      <w:rPr>
        <w:rFonts w:ascii="Times New Roman" w:hAnsi="Times New Roman" w:cs="Times New Roman"/>
      </w:rPr>
    </w:lvl>
    <w:lvl w:ilvl="1">
      <w:start w:val="1"/>
      <w:numFmt w:val="decimal"/>
      <w:isLgl w:val="false"/>
      <w:suff w:val="tab"/>
      <w:lvlText w:val="%2."/>
      <w:lvlJc w:val="left"/>
      <w:pPr>
        <w:pStyle w:val="963"/>
        <w:ind w:left="1440" w:hanging="360"/>
        <w:tabs>
          <w:tab w:val="left" w:pos="1440" w:leader="none"/>
        </w:tabs>
      </w:pPr>
    </w:lvl>
    <w:lvl w:ilvl="2">
      <w:start w:val="1"/>
      <w:numFmt w:val="decimal"/>
      <w:isLgl w:val="false"/>
      <w:suff w:val="tab"/>
      <w:lvlText w:val="%3."/>
      <w:lvlJc w:val="left"/>
      <w:pPr>
        <w:pStyle w:val="963"/>
        <w:ind w:left="2160" w:hanging="360"/>
        <w:tabs>
          <w:tab w:val="left" w:pos="2160" w:leader="none"/>
        </w:tabs>
      </w:pPr>
    </w:lvl>
    <w:lvl w:ilvl="3">
      <w:start w:val="1"/>
      <w:numFmt w:val="decimal"/>
      <w:isLgl w:val="false"/>
      <w:suff w:val="tab"/>
      <w:lvlText w:val="%4."/>
      <w:lvlJc w:val="left"/>
      <w:pPr>
        <w:pStyle w:val="963"/>
        <w:ind w:left="2880" w:hanging="360"/>
        <w:tabs>
          <w:tab w:val="left" w:pos="2880" w:leader="none"/>
        </w:tabs>
      </w:pPr>
    </w:lvl>
    <w:lvl w:ilvl="4">
      <w:start w:val="1"/>
      <w:numFmt w:val="decimal"/>
      <w:isLgl w:val="false"/>
      <w:suff w:val="tab"/>
      <w:lvlText w:val="%5."/>
      <w:lvlJc w:val="left"/>
      <w:pPr>
        <w:pStyle w:val="963"/>
        <w:ind w:left="3600" w:hanging="360"/>
        <w:tabs>
          <w:tab w:val="left" w:pos="3600" w:leader="none"/>
        </w:tabs>
      </w:pPr>
    </w:lvl>
    <w:lvl w:ilvl="5">
      <w:start w:val="1"/>
      <w:numFmt w:val="decimal"/>
      <w:isLgl w:val="false"/>
      <w:suff w:val="tab"/>
      <w:lvlText w:val="%6."/>
      <w:lvlJc w:val="left"/>
      <w:pPr>
        <w:pStyle w:val="963"/>
        <w:ind w:left="4320" w:hanging="360"/>
        <w:tabs>
          <w:tab w:val="left" w:pos="4320" w:leader="none"/>
        </w:tabs>
      </w:pPr>
    </w:lvl>
    <w:lvl w:ilvl="6">
      <w:start w:val="1"/>
      <w:numFmt w:val="decimal"/>
      <w:isLgl w:val="false"/>
      <w:suff w:val="tab"/>
      <w:lvlText w:val="%7."/>
      <w:lvlJc w:val="left"/>
      <w:pPr>
        <w:pStyle w:val="963"/>
        <w:ind w:left="5040" w:hanging="360"/>
        <w:tabs>
          <w:tab w:val="left" w:pos="5040" w:leader="none"/>
        </w:tabs>
      </w:pPr>
    </w:lvl>
    <w:lvl w:ilvl="7">
      <w:start w:val="1"/>
      <w:numFmt w:val="decimal"/>
      <w:isLgl w:val="false"/>
      <w:suff w:val="tab"/>
      <w:lvlText w:val="%8."/>
      <w:lvlJc w:val="left"/>
      <w:pPr>
        <w:pStyle w:val="963"/>
        <w:ind w:left="5760" w:hanging="360"/>
        <w:tabs>
          <w:tab w:val="left" w:pos="5760" w:leader="none"/>
        </w:tabs>
      </w:pPr>
    </w:lvl>
    <w:lvl w:ilvl="8">
      <w:start w:val="1"/>
      <w:numFmt w:val="decimal"/>
      <w:isLgl w:val="false"/>
      <w:suff w:val="tab"/>
      <w:lvlText w:val="%9."/>
      <w:lvlJc w:val="left"/>
      <w:pPr>
        <w:pStyle w:val="963"/>
        <w:ind w:left="6480" w:hanging="360"/>
        <w:tabs>
          <w:tab w:val="left" w:pos="6480" w:leader="none"/>
        </w:tabs>
      </w:pPr>
    </w:lvl>
  </w:abstractNum>
  <w:abstractNum w:abstractNumId="50">
    <w:multiLevelType w:val="hybridMultilevel"/>
    <w:lvl w:ilvl="0">
      <w:start w:val="1"/>
      <w:numFmt w:val="decimalEnclosedCircleChinese"/>
      <w:isLgl w:val="false"/>
      <w:suff w:val="nothing"/>
      <w:lvlText w:val="%1　"/>
      <w:lvlJc w:val="left"/>
      <w:pPr>
        <w:pStyle w:val="963"/>
        <w:ind w:left="0" w:firstLine="400"/>
      </w:pPr>
      <w:rPr>
        <w:rFonts w:hint="eastAsia" w:ascii="宋体" w:hAnsi="宋体" w:eastAsia="宋体"/>
      </w:rPr>
    </w:lvl>
    <w:lvl w:ilvl="1">
      <w:start w:val="1"/>
      <w:numFmt w:val="decimal"/>
      <w:isLgl w:val="false"/>
      <w:suff w:val="tab"/>
      <w:lvlText w:val="%2."/>
      <w:lvlJc w:val="left"/>
      <w:pPr>
        <w:pStyle w:val="963"/>
        <w:ind w:left="1440" w:hanging="360"/>
        <w:tabs>
          <w:tab w:val="left" w:pos="1440" w:leader="none"/>
        </w:tabs>
      </w:pPr>
    </w:lvl>
    <w:lvl w:ilvl="2">
      <w:start w:val="1"/>
      <w:numFmt w:val="decimal"/>
      <w:isLgl w:val="false"/>
      <w:suff w:val="tab"/>
      <w:lvlText w:val="%3."/>
      <w:lvlJc w:val="left"/>
      <w:pPr>
        <w:pStyle w:val="963"/>
        <w:ind w:left="2160" w:hanging="360"/>
        <w:tabs>
          <w:tab w:val="left" w:pos="2160" w:leader="none"/>
        </w:tabs>
      </w:pPr>
    </w:lvl>
    <w:lvl w:ilvl="3">
      <w:start w:val="1"/>
      <w:numFmt w:val="decimal"/>
      <w:isLgl w:val="false"/>
      <w:suff w:val="tab"/>
      <w:lvlText w:val="%4."/>
      <w:lvlJc w:val="left"/>
      <w:pPr>
        <w:pStyle w:val="963"/>
        <w:ind w:left="2880" w:hanging="360"/>
        <w:tabs>
          <w:tab w:val="left" w:pos="2880" w:leader="none"/>
        </w:tabs>
      </w:pPr>
    </w:lvl>
    <w:lvl w:ilvl="4">
      <w:start w:val="1"/>
      <w:numFmt w:val="decimal"/>
      <w:isLgl w:val="false"/>
      <w:suff w:val="tab"/>
      <w:lvlText w:val="%5."/>
      <w:lvlJc w:val="left"/>
      <w:pPr>
        <w:pStyle w:val="963"/>
        <w:ind w:left="3600" w:hanging="360"/>
        <w:tabs>
          <w:tab w:val="left" w:pos="3600" w:leader="none"/>
        </w:tabs>
      </w:pPr>
    </w:lvl>
    <w:lvl w:ilvl="5">
      <w:start w:val="1"/>
      <w:numFmt w:val="decimal"/>
      <w:isLgl w:val="false"/>
      <w:suff w:val="tab"/>
      <w:lvlText w:val="%6."/>
      <w:lvlJc w:val="left"/>
      <w:pPr>
        <w:pStyle w:val="963"/>
        <w:ind w:left="4320" w:hanging="360"/>
        <w:tabs>
          <w:tab w:val="left" w:pos="4320" w:leader="none"/>
        </w:tabs>
      </w:pPr>
    </w:lvl>
    <w:lvl w:ilvl="6">
      <w:start w:val="1"/>
      <w:numFmt w:val="decimal"/>
      <w:isLgl w:val="false"/>
      <w:suff w:val="tab"/>
      <w:lvlText w:val="%7."/>
      <w:lvlJc w:val="left"/>
      <w:pPr>
        <w:pStyle w:val="963"/>
        <w:ind w:left="5040" w:hanging="360"/>
        <w:tabs>
          <w:tab w:val="left" w:pos="5040" w:leader="none"/>
        </w:tabs>
      </w:pPr>
    </w:lvl>
    <w:lvl w:ilvl="7">
      <w:start w:val="1"/>
      <w:numFmt w:val="decimal"/>
      <w:isLgl w:val="false"/>
      <w:suff w:val="tab"/>
      <w:lvlText w:val="%8."/>
      <w:lvlJc w:val="left"/>
      <w:pPr>
        <w:pStyle w:val="963"/>
        <w:ind w:left="5760" w:hanging="360"/>
        <w:tabs>
          <w:tab w:val="left" w:pos="5760" w:leader="none"/>
        </w:tabs>
      </w:pPr>
    </w:lvl>
    <w:lvl w:ilvl="8">
      <w:start w:val="1"/>
      <w:numFmt w:val="decimal"/>
      <w:isLgl w:val="false"/>
      <w:suff w:val="tab"/>
      <w:lvlText w:val="%9."/>
      <w:lvlJc w:val="left"/>
      <w:pPr>
        <w:pStyle w:val="963"/>
        <w:ind w:left="6480" w:hanging="360"/>
        <w:tabs>
          <w:tab w:val="left" w:pos="6480" w:leader="none"/>
        </w:tabs>
      </w:pPr>
    </w:lvl>
  </w:abstractNum>
  <w:abstractNum w:abstractNumId="51">
    <w:multiLevelType w:val="hybridMultilevel"/>
    <w:lvl w:ilvl="0">
      <w:start w:val="1"/>
      <w:numFmt w:val="decimal"/>
      <w:isLgl w:val="false"/>
      <w:suff w:val="space"/>
      <w:lvlText w:val="(%1)"/>
      <w:lvlJc w:val="left"/>
      <w:pPr>
        <w:pStyle w:val="9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2">
    <w:multiLevelType w:val="hybridMultilevel"/>
    <w:lvl w:ilvl="0">
      <w:start w:val="1"/>
      <w:numFmt w:val="decimal"/>
      <w:isLgl w:val="false"/>
      <w:suff w:val="tab"/>
      <w:lvlText w:val="(%1)"/>
      <w:lvlJc w:val="left"/>
      <w:pPr>
        <w:pStyle w:val="963"/>
        <w:ind w:left="425" w:hanging="425"/>
      </w:pPr>
      <w:rPr>
        <w:rFonts w:ascii="Times New Roman" w:hAnsi="Times New Roman" w:cs="Times New Roman"/>
      </w:rPr>
    </w:lvl>
    <w:lvl w:ilvl="1">
      <w:start w:val="1"/>
      <w:numFmt w:val="decimal"/>
      <w:isLgl w:val="false"/>
      <w:suff w:val="tab"/>
      <w:lvlText w:val="%2."/>
      <w:lvlJc w:val="left"/>
      <w:pPr>
        <w:pStyle w:val="963"/>
        <w:ind w:left="1440" w:hanging="360"/>
        <w:tabs>
          <w:tab w:val="left" w:pos="1440" w:leader="none"/>
        </w:tabs>
      </w:pPr>
    </w:lvl>
    <w:lvl w:ilvl="2">
      <w:start w:val="1"/>
      <w:numFmt w:val="decimal"/>
      <w:isLgl w:val="false"/>
      <w:suff w:val="tab"/>
      <w:lvlText w:val="%3."/>
      <w:lvlJc w:val="left"/>
      <w:pPr>
        <w:pStyle w:val="963"/>
        <w:ind w:left="2160" w:hanging="360"/>
        <w:tabs>
          <w:tab w:val="left" w:pos="2160" w:leader="none"/>
        </w:tabs>
      </w:pPr>
    </w:lvl>
    <w:lvl w:ilvl="3">
      <w:start w:val="1"/>
      <w:numFmt w:val="decimal"/>
      <w:isLgl w:val="false"/>
      <w:suff w:val="tab"/>
      <w:lvlText w:val="%4."/>
      <w:lvlJc w:val="left"/>
      <w:pPr>
        <w:pStyle w:val="963"/>
        <w:ind w:left="2880" w:hanging="360"/>
        <w:tabs>
          <w:tab w:val="left" w:pos="2880" w:leader="none"/>
        </w:tabs>
      </w:pPr>
    </w:lvl>
    <w:lvl w:ilvl="4">
      <w:start w:val="1"/>
      <w:numFmt w:val="decimal"/>
      <w:isLgl w:val="false"/>
      <w:suff w:val="tab"/>
      <w:lvlText w:val="%5."/>
      <w:lvlJc w:val="left"/>
      <w:pPr>
        <w:pStyle w:val="963"/>
        <w:ind w:left="3600" w:hanging="360"/>
        <w:tabs>
          <w:tab w:val="left" w:pos="3600" w:leader="none"/>
        </w:tabs>
      </w:pPr>
    </w:lvl>
    <w:lvl w:ilvl="5">
      <w:start w:val="1"/>
      <w:numFmt w:val="decimal"/>
      <w:isLgl w:val="false"/>
      <w:suff w:val="tab"/>
      <w:lvlText w:val="%6."/>
      <w:lvlJc w:val="left"/>
      <w:pPr>
        <w:pStyle w:val="963"/>
        <w:ind w:left="4320" w:hanging="360"/>
        <w:tabs>
          <w:tab w:val="left" w:pos="4320" w:leader="none"/>
        </w:tabs>
      </w:pPr>
    </w:lvl>
    <w:lvl w:ilvl="6">
      <w:start w:val="1"/>
      <w:numFmt w:val="decimal"/>
      <w:isLgl w:val="false"/>
      <w:suff w:val="tab"/>
      <w:lvlText w:val="%7."/>
      <w:lvlJc w:val="left"/>
      <w:pPr>
        <w:pStyle w:val="963"/>
        <w:ind w:left="5040" w:hanging="360"/>
        <w:tabs>
          <w:tab w:val="left" w:pos="5040" w:leader="none"/>
        </w:tabs>
      </w:pPr>
    </w:lvl>
    <w:lvl w:ilvl="7">
      <w:start w:val="1"/>
      <w:numFmt w:val="decimal"/>
      <w:isLgl w:val="false"/>
      <w:suff w:val="tab"/>
      <w:lvlText w:val="%8."/>
      <w:lvlJc w:val="left"/>
      <w:pPr>
        <w:pStyle w:val="963"/>
        <w:ind w:left="5760" w:hanging="360"/>
        <w:tabs>
          <w:tab w:val="left" w:pos="5760" w:leader="none"/>
        </w:tabs>
      </w:pPr>
    </w:lvl>
    <w:lvl w:ilvl="8">
      <w:start w:val="1"/>
      <w:numFmt w:val="decimal"/>
      <w:isLgl w:val="false"/>
      <w:suff w:val="tab"/>
      <w:lvlText w:val="%9."/>
      <w:lvlJc w:val="left"/>
      <w:pPr>
        <w:pStyle w:val="963"/>
        <w:ind w:left="6480" w:hanging="360"/>
        <w:tabs>
          <w:tab w:val="left" w:pos="6480" w:leader="none"/>
        </w:tabs>
      </w:pPr>
    </w:lvl>
  </w:abstractNum>
  <w:abstractNum w:abstractNumId="53">
    <w:multiLevelType w:val="hybridMultilevel"/>
    <w:lvl w:ilvl="0">
      <w:start w:val="1"/>
      <w:numFmt w:val="decimalEnclosedCircleChinese"/>
      <w:isLgl w:val="false"/>
      <w:suff w:val="nothing"/>
      <w:lvlText w:val="%1　"/>
      <w:lvlJc w:val="left"/>
      <w:pPr>
        <w:pStyle w:val="963"/>
        <w:ind w:left="0" w:firstLine="400"/>
      </w:pPr>
      <w:rPr>
        <w:rFonts w:hint="eastAsia" w:ascii="宋体" w:hAnsi="宋体" w:eastAsia="宋体"/>
      </w:rPr>
    </w:lvl>
    <w:lvl w:ilvl="1">
      <w:start w:val="1"/>
      <w:numFmt w:val="decimal"/>
      <w:isLgl w:val="false"/>
      <w:suff w:val="tab"/>
      <w:lvlText w:val="%2."/>
      <w:lvlJc w:val="left"/>
      <w:pPr>
        <w:pStyle w:val="963"/>
        <w:ind w:left="1440" w:hanging="360"/>
        <w:tabs>
          <w:tab w:val="left" w:pos="1440" w:leader="none"/>
        </w:tabs>
      </w:pPr>
    </w:lvl>
    <w:lvl w:ilvl="2">
      <w:start w:val="1"/>
      <w:numFmt w:val="decimal"/>
      <w:isLgl w:val="false"/>
      <w:suff w:val="tab"/>
      <w:lvlText w:val="%3."/>
      <w:lvlJc w:val="left"/>
      <w:pPr>
        <w:pStyle w:val="963"/>
        <w:ind w:left="2160" w:hanging="360"/>
        <w:tabs>
          <w:tab w:val="left" w:pos="2160" w:leader="none"/>
        </w:tabs>
      </w:pPr>
    </w:lvl>
    <w:lvl w:ilvl="3">
      <w:start w:val="1"/>
      <w:numFmt w:val="decimal"/>
      <w:isLgl w:val="false"/>
      <w:suff w:val="tab"/>
      <w:lvlText w:val="%4."/>
      <w:lvlJc w:val="left"/>
      <w:pPr>
        <w:pStyle w:val="963"/>
        <w:ind w:left="2880" w:hanging="360"/>
        <w:tabs>
          <w:tab w:val="left" w:pos="2880" w:leader="none"/>
        </w:tabs>
      </w:pPr>
    </w:lvl>
    <w:lvl w:ilvl="4">
      <w:start w:val="1"/>
      <w:numFmt w:val="decimal"/>
      <w:isLgl w:val="false"/>
      <w:suff w:val="tab"/>
      <w:lvlText w:val="%5."/>
      <w:lvlJc w:val="left"/>
      <w:pPr>
        <w:pStyle w:val="963"/>
        <w:ind w:left="3600" w:hanging="360"/>
        <w:tabs>
          <w:tab w:val="left" w:pos="3600" w:leader="none"/>
        </w:tabs>
      </w:pPr>
    </w:lvl>
    <w:lvl w:ilvl="5">
      <w:start w:val="1"/>
      <w:numFmt w:val="decimal"/>
      <w:isLgl w:val="false"/>
      <w:suff w:val="tab"/>
      <w:lvlText w:val="%6."/>
      <w:lvlJc w:val="left"/>
      <w:pPr>
        <w:pStyle w:val="963"/>
        <w:ind w:left="4320" w:hanging="360"/>
        <w:tabs>
          <w:tab w:val="left" w:pos="4320" w:leader="none"/>
        </w:tabs>
      </w:pPr>
    </w:lvl>
    <w:lvl w:ilvl="6">
      <w:start w:val="1"/>
      <w:numFmt w:val="decimal"/>
      <w:isLgl w:val="false"/>
      <w:suff w:val="tab"/>
      <w:lvlText w:val="%7."/>
      <w:lvlJc w:val="left"/>
      <w:pPr>
        <w:pStyle w:val="963"/>
        <w:ind w:left="5040" w:hanging="360"/>
        <w:tabs>
          <w:tab w:val="left" w:pos="5040" w:leader="none"/>
        </w:tabs>
      </w:pPr>
    </w:lvl>
    <w:lvl w:ilvl="7">
      <w:start w:val="1"/>
      <w:numFmt w:val="decimal"/>
      <w:isLgl w:val="false"/>
      <w:suff w:val="tab"/>
      <w:lvlText w:val="%8."/>
      <w:lvlJc w:val="left"/>
      <w:pPr>
        <w:pStyle w:val="963"/>
        <w:ind w:left="5760" w:hanging="360"/>
        <w:tabs>
          <w:tab w:val="left" w:pos="5760" w:leader="none"/>
        </w:tabs>
      </w:pPr>
    </w:lvl>
    <w:lvl w:ilvl="8">
      <w:start w:val="1"/>
      <w:numFmt w:val="decimal"/>
      <w:isLgl w:val="false"/>
      <w:suff w:val="tab"/>
      <w:lvlText w:val="%9."/>
      <w:lvlJc w:val="left"/>
      <w:pPr>
        <w:pStyle w:val="963"/>
        <w:ind w:left="6480" w:hanging="360"/>
        <w:tabs>
          <w:tab w:val="left" w:pos="6480" w:leader="none"/>
        </w:tabs>
      </w:pPr>
    </w:lvl>
  </w:abstractNum>
  <w:abstractNum w:abstractNumId="54">
    <w:multiLevelType w:val="hybridMultilevel"/>
    <w:lvl w:ilvl="0">
      <w:start w:val="1"/>
      <w:numFmt w:val="decimal"/>
      <w:isLgl w:val="false"/>
      <w:suff w:val="space"/>
      <w:lvlText w:val="(%1)"/>
      <w:lvlJc w:val="left"/>
      <w:pPr>
        <w:pStyle w:val="9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5">
    <w:multiLevelType w:val="hybridMultilevel"/>
    <w:lvl w:ilvl="0">
      <w:start w:val="1"/>
      <w:numFmt w:val="decimalEnclosedCircleChinese"/>
      <w:isLgl w:val="false"/>
      <w:suff w:val="nothing"/>
      <w:lvlText w:val="%1　"/>
      <w:lvlJc w:val="left"/>
      <w:pPr>
        <w:pStyle w:val="963"/>
        <w:ind w:left="0" w:firstLine="400"/>
      </w:pPr>
      <w:rPr>
        <w:rFonts w:hint="eastAsia" w:ascii="宋体" w:hAnsi="宋体" w:eastAsia="宋体"/>
      </w:rPr>
    </w:lvl>
    <w:lvl w:ilvl="1">
      <w:start w:val="1"/>
      <w:numFmt w:val="decimal"/>
      <w:isLgl w:val="false"/>
      <w:suff w:val="tab"/>
      <w:lvlText w:val="%2."/>
      <w:lvlJc w:val="left"/>
      <w:pPr>
        <w:pStyle w:val="963"/>
        <w:ind w:left="1440" w:hanging="360"/>
        <w:tabs>
          <w:tab w:val="left" w:pos="1440" w:leader="none"/>
        </w:tabs>
      </w:pPr>
    </w:lvl>
    <w:lvl w:ilvl="2">
      <w:start w:val="1"/>
      <w:numFmt w:val="decimal"/>
      <w:isLgl w:val="false"/>
      <w:suff w:val="tab"/>
      <w:lvlText w:val="%3."/>
      <w:lvlJc w:val="left"/>
      <w:pPr>
        <w:pStyle w:val="963"/>
        <w:ind w:left="2160" w:hanging="360"/>
        <w:tabs>
          <w:tab w:val="left" w:pos="2160" w:leader="none"/>
        </w:tabs>
      </w:pPr>
    </w:lvl>
    <w:lvl w:ilvl="3">
      <w:start w:val="1"/>
      <w:numFmt w:val="decimal"/>
      <w:isLgl w:val="false"/>
      <w:suff w:val="tab"/>
      <w:lvlText w:val="%4."/>
      <w:lvlJc w:val="left"/>
      <w:pPr>
        <w:pStyle w:val="963"/>
        <w:ind w:left="2880" w:hanging="360"/>
        <w:tabs>
          <w:tab w:val="left" w:pos="2880" w:leader="none"/>
        </w:tabs>
      </w:pPr>
    </w:lvl>
    <w:lvl w:ilvl="4">
      <w:start w:val="1"/>
      <w:numFmt w:val="decimal"/>
      <w:isLgl w:val="false"/>
      <w:suff w:val="tab"/>
      <w:lvlText w:val="%5."/>
      <w:lvlJc w:val="left"/>
      <w:pPr>
        <w:pStyle w:val="963"/>
        <w:ind w:left="3600" w:hanging="360"/>
        <w:tabs>
          <w:tab w:val="left" w:pos="3600" w:leader="none"/>
        </w:tabs>
      </w:pPr>
    </w:lvl>
    <w:lvl w:ilvl="5">
      <w:start w:val="1"/>
      <w:numFmt w:val="decimal"/>
      <w:isLgl w:val="false"/>
      <w:suff w:val="tab"/>
      <w:lvlText w:val="%6."/>
      <w:lvlJc w:val="left"/>
      <w:pPr>
        <w:pStyle w:val="963"/>
        <w:ind w:left="4320" w:hanging="360"/>
        <w:tabs>
          <w:tab w:val="left" w:pos="4320" w:leader="none"/>
        </w:tabs>
      </w:pPr>
    </w:lvl>
    <w:lvl w:ilvl="6">
      <w:start w:val="1"/>
      <w:numFmt w:val="decimal"/>
      <w:isLgl w:val="false"/>
      <w:suff w:val="tab"/>
      <w:lvlText w:val="%7."/>
      <w:lvlJc w:val="left"/>
      <w:pPr>
        <w:pStyle w:val="963"/>
        <w:ind w:left="5040" w:hanging="360"/>
        <w:tabs>
          <w:tab w:val="left" w:pos="5040" w:leader="none"/>
        </w:tabs>
      </w:pPr>
    </w:lvl>
    <w:lvl w:ilvl="7">
      <w:start w:val="1"/>
      <w:numFmt w:val="decimal"/>
      <w:isLgl w:val="false"/>
      <w:suff w:val="tab"/>
      <w:lvlText w:val="%8."/>
      <w:lvlJc w:val="left"/>
      <w:pPr>
        <w:pStyle w:val="963"/>
        <w:ind w:left="5760" w:hanging="360"/>
        <w:tabs>
          <w:tab w:val="left" w:pos="5760" w:leader="none"/>
        </w:tabs>
      </w:pPr>
    </w:lvl>
    <w:lvl w:ilvl="8">
      <w:start w:val="1"/>
      <w:numFmt w:val="decimal"/>
      <w:isLgl w:val="false"/>
      <w:suff w:val="tab"/>
      <w:lvlText w:val="%9."/>
      <w:lvlJc w:val="left"/>
      <w:pPr>
        <w:pStyle w:val="963"/>
        <w:ind w:left="6480" w:hanging="360"/>
        <w:tabs>
          <w:tab w:val="left" w:pos="6480" w:leader="none"/>
        </w:tabs>
      </w:pPr>
    </w:lvl>
  </w:abstractNum>
  <w:abstractNum w:abstractNumId="56">
    <w:multiLevelType w:val="hybridMultilevel"/>
    <w:lvl w:ilvl="0">
      <w:start w:val="1"/>
      <w:numFmt w:val="decimal"/>
      <w:isLgl w:val="false"/>
      <w:suff w:val="tab"/>
      <w:lvlText w:val="%1)"/>
      <w:lvlJc w:val="left"/>
      <w:pPr>
        <w:pStyle w:val="963"/>
        <w:ind w:left="425" w:hanging="425"/>
      </w:pPr>
      <w:rPr>
        <w:rFonts w:ascii="Times New Roman" w:hAnsi="Times New Roman" w:cs="Times New Roman"/>
      </w:rPr>
    </w:lvl>
    <w:lvl w:ilvl="1">
      <w:start w:val="1"/>
      <w:numFmt w:val="decimal"/>
      <w:isLgl w:val="false"/>
      <w:suff w:val="tab"/>
      <w:lvlText w:val="%2."/>
      <w:lvlJc w:val="left"/>
      <w:pPr>
        <w:pStyle w:val="963"/>
        <w:ind w:left="1440" w:hanging="360"/>
        <w:tabs>
          <w:tab w:val="left" w:pos="1440" w:leader="none"/>
        </w:tabs>
      </w:pPr>
    </w:lvl>
    <w:lvl w:ilvl="2">
      <w:start w:val="1"/>
      <w:numFmt w:val="decimal"/>
      <w:isLgl w:val="false"/>
      <w:suff w:val="tab"/>
      <w:lvlText w:val="%3."/>
      <w:lvlJc w:val="left"/>
      <w:pPr>
        <w:pStyle w:val="963"/>
        <w:ind w:left="2160" w:hanging="360"/>
        <w:tabs>
          <w:tab w:val="left" w:pos="2160" w:leader="none"/>
        </w:tabs>
      </w:pPr>
    </w:lvl>
    <w:lvl w:ilvl="3">
      <w:start w:val="1"/>
      <w:numFmt w:val="decimal"/>
      <w:isLgl w:val="false"/>
      <w:suff w:val="tab"/>
      <w:lvlText w:val="%4."/>
      <w:lvlJc w:val="left"/>
      <w:pPr>
        <w:pStyle w:val="963"/>
        <w:ind w:left="2880" w:hanging="360"/>
        <w:tabs>
          <w:tab w:val="left" w:pos="2880" w:leader="none"/>
        </w:tabs>
      </w:pPr>
    </w:lvl>
    <w:lvl w:ilvl="4">
      <w:start w:val="1"/>
      <w:numFmt w:val="decimal"/>
      <w:isLgl w:val="false"/>
      <w:suff w:val="tab"/>
      <w:lvlText w:val="%5."/>
      <w:lvlJc w:val="left"/>
      <w:pPr>
        <w:pStyle w:val="963"/>
        <w:ind w:left="3600" w:hanging="360"/>
        <w:tabs>
          <w:tab w:val="left" w:pos="3600" w:leader="none"/>
        </w:tabs>
      </w:pPr>
    </w:lvl>
    <w:lvl w:ilvl="5">
      <w:start w:val="1"/>
      <w:numFmt w:val="decimal"/>
      <w:isLgl w:val="false"/>
      <w:suff w:val="tab"/>
      <w:lvlText w:val="%6."/>
      <w:lvlJc w:val="left"/>
      <w:pPr>
        <w:pStyle w:val="963"/>
        <w:ind w:left="4320" w:hanging="360"/>
        <w:tabs>
          <w:tab w:val="left" w:pos="4320" w:leader="none"/>
        </w:tabs>
      </w:pPr>
    </w:lvl>
    <w:lvl w:ilvl="6">
      <w:start w:val="1"/>
      <w:numFmt w:val="decimal"/>
      <w:isLgl w:val="false"/>
      <w:suff w:val="tab"/>
      <w:lvlText w:val="%7."/>
      <w:lvlJc w:val="left"/>
      <w:pPr>
        <w:pStyle w:val="963"/>
        <w:ind w:left="5040" w:hanging="360"/>
        <w:tabs>
          <w:tab w:val="left" w:pos="5040" w:leader="none"/>
        </w:tabs>
      </w:pPr>
    </w:lvl>
    <w:lvl w:ilvl="7">
      <w:start w:val="1"/>
      <w:numFmt w:val="decimal"/>
      <w:isLgl w:val="false"/>
      <w:suff w:val="tab"/>
      <w:lvlText w:val="%8."/>
      <w:lvlJc w:val="left"/>
      <w:pPr>
        <w:pStyle w:val="963"/>
        <w:ind w:left="5760" w:hanging="360"/>
        <w:tabs>
          <w:tab w:val="left" w:pos="5760" w:leader="none"/>
        </w:tabs>
      </w:pPr>
    </w:lvl>
    <w:lvl w:ilvl="8">
      <w:start w:val="1"/>
      <w:numFmt w:val="decimal"/>
      <w:isLgl w:val="false"/>
      <w:suff w:val="tab"/>
      <w:lvlText w:val="%9."/>
      <w:lvlJc w:val="left"/>
      <w:pPr>
        <w:pStyle w:val="963"/>
        <w:ind w:left="6480" w:hanging="360"/>
        <w:tabs>
          <w:tab w:val="left" w:pos="6480" w:leader="none"/>
        </w:tabs>
      </w:pPr>
    </w:lvl>
  </w:abstractNum>
  <w:abstractNum w:abstractNumId="57">
    <w:multiLevelType w:val="hybridMultilevel"/>
    <w:lvl w:ilvl="0">
      <w:start w:val="1"/>
      <w:numFmt w:val="decimal"/>
      <w:isLgl w:val="false"/>
      <w:suff w:val="space"/>
      <w:lvlText w:val="(%1)"/>
      <w:lvlJc w:val="left"/>
      <w:pPr>
        <w:pStyle w:val="9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8">
    <w:multiLevelType w:val="hybridMultilevel"/>
    <w:lvl w:ilvl="0">
      <w:start w:val="1"/>
      <w:numFmt w:val="decimalEnclosedCircleChinese"/>
      <w:isLgl w:val="false"/>
      <w:suff w:val="nothing"/>
      <w:lvlText w:val="%1　"/>
      <w:lvlJc w:val="left"/>
      <w:pPr>
        <w:pStyle w:val="963"/>
        <w:ind w:left="0" w:firstLine="400"/>
      </w:pPr>
      <w:rPr>
        <w:rFonts w:hint="eastAsia" w:ascii="宋体" w:hAnsi="宋体" w:eastAsia="宋体"/>
      </w:rPr>
    </w:lvl>
    <w:lvl w:ilvl="1">
      <w:start w:val="1"/>
      <w:numFmt w:val="decimal"/>
      <w:isLgl w:val="false"/>
      <w:suff w:val="tab"/>
      <w:lvlText w:val="%2."/>
      <w:lvlJc w:val="left"/>
      <w:pPr>
        <w:pStyle w:val="963"/>
        <w:ind w:left="1440" w:hanging="360"/>
        <w:tabs>
          <w:tab w:val="left" w:pos="1440" w:leader="none"/>
        </w:tabs>
      </w:pPr>
    </w:lvl>
    <w:lvl w:ilvl="2">
      <w:start w:val="1"/>
      <w:numFmt w:val="decimal"/>
      <w:isLgl w:val="false"/>
      <w:suff w:val="tab"/>
      <w:lvlText w:val="%3."/>
      <w:lvlJc w:val="left"/>
      <w:pPr>
        <w:pStyle w:val="963"/>
        <w:ind w:left="2160" w:hanging="360"/>
        <w:tabs>
          <w:tab w:val="left" w:pos="2160" w:leader="none"/>
        </w:tabs>
      </w:pPr>
    </w:lvl>
    <w:lvl w:ilvl="3">
      <w:start w:val="1"/>
      <w:numFmt w:val="decimal"/>
      <w:isLgl w:val="false"/>
      <w:suff w:val="tab"/>
      <w:lvlText w:val="%4."/>
      <w:lvlJc w:val="left"/>
      <w:pPr>
        <w:pStyle w:val="963"/>
        <w:ind w:left="2880" w:hanging="360"/>
        <w:tabs>
          <w:tab w:val="left" w:pos="2880" w:leader="none"/>
        </w:tabs>
      </w:pPr>
    </w:lvl>
    <w:lvl w:ilvl="4">
      <w:start w:val="1"/>
      <w:numFmt w:val="decimal"/>
      <w:isLgl w:val="false"/>
      <w:suff w:val="tab"/>
      <w:lvlText w:val="%5."/>
      <w:lvlJc w:val="left"/>
      <w:pPr>
        <w:pStyle w:val="963"/>
        <w:ind w:left="3600" w:hanging="360"/>
        <w:tabs>
          <w:tab w:val="left" w:pos="3600" w:leader="none"/>
        </w:tabs>
      </w:pPr>
    </w:lvl>
    <w:lvl w:ilvl="5">
      <w:start w:val="1"/>
      <w:numFmt w:val="decimal"/>
      <w:isLgl w:val="false"/>
      <w:suff w:val="tab"/>
      <w:lvlText w:val="%6."/>
      <w:lvlJc w:val="left"/>
      <w:pPr>
        <w:pStyle w:val="963"/>
        <w:ind w:left="4320" w:hanging="360"/>
        <w:tabs>
          <w:tab w:val="left" w:pos="4320" w:leader="none"/>
        </w:tabs>
      </w:pPr>
    </w:lvl>
    <w:lvl w:ilvl="6">
      <w:start w:val="1"/>
      <w:numFmt w:val="decimal"/>
      <w:isLgl w:val="false"/>
      <w:suff w:val="tab"/>
      <w:lvlText w:val="%7."/>
      <w:lvlJc w:val="left"/>
      <w:pPr>
        <w:pStyle w:val="963"/>
        <w:ind w:left="5040" w:hanging="360"/>
        <w:tabs>
          <w:tab w:val="left" w:pos="5040" w:leader="none"/>
        </w:tabs>
      </w:pPr>
    </w:lvl>
    <w:lvl w:ilvl="7">
      <w:start w:val="1"/>
      <w:numFmt w:val="decimal"/>
      <w:isLgl w:val="false"/>
      <w:suff w:val="tab"/>
      <w:lvlText w:val="%8."/>
      <w:lvlJc w:val="left"/>
      <w:pPr>
        <w:pStyle w:val="963"/>
        <w:ind w:left="5760" w:hanging="360"/>
        <w:tabs>
          <w:tab w:val="left" w:pos="5760" w:leader="none"/>
        </w:tabs>
      </w:pPr>
    </w:lvl>
    <w:lvl w:ilvl="8">
      <w:start w:val="1"/>
      <w:numFmt w:val="decimal"/>
      <w:isLgl w:val="false"/>
      <w:suff w:val="tab"/>
      <w:lvlText w:val="%9."/>
      <w:lvlJc w:val="left"/>
      <w:pPr>
        <w:pStyle w:val="963"/>
        <w:ind w:left="6480" w:hanging="360"/>
        <w:tabs>
          <w:tab w:val="left" w:pos="6480" w:leader="none"/>
        </w:tabs>
      </w:pPr>
    </w:lvl>
  </w:abstractNum>
  <w:num w:numId="1">
    <w:abstractNumId w:val="15"/>
  </w:num>
  <w:num w:numId="2">
    <w:abstractNumId w:val="16"/>
  </w:num>
  <w:num w:numId="3">
    <w:abstractNumId w:val="44"/>
  </w:num>
  <w:num w:numId="4">
    <w:abstractNumId w:val="48"/>
  </w:num>
  <w:num w:numId="5">
    <w:abstractNumId w:val="3"/>
  </w:num>
  <w:num w:numId="6">
    <w:abstractNumId w:val="43"/>
  </w:num>
  <w:num w:numId="7">
    <w:abstractNumId w:val="10"/>
  </w:num>
  <w:num w:numId="8">
    <w:abstractNumId w:val="11"/>
  </w:num>
  <w:num w:numId="9">
    <w:abstractNumId w:val="36"/>
  </w:num>
  <w:num w:numId="10">
    <w:abstractNumId w:val="8"/>
  </w:num>
  <w:num w:numId="11">
    <w:abstractNumId w:val="46"/>
  </w:num>
  <w:num w:numId="12">
    <w:abstractNumId w:val="20"/>
  </w:num>
  <w:num w:numId="13">
    <w:abstractNumId w:val="51"/>
  </w:num>
  <w:num w:numId="14">
    <w:abstractNumId w:val="31"/>
  </w:num>
  <w:num w:numId="15">
    <w:abstractNumId w:val="57"/>
  </w:num>
  <w:num w:numId="16">
    <w:abstractNumId w:val="32"/>
  </w:num>
  <w:num w:numId="17">
    <w:abstractNumId w:val="54"/>
  </w:num>
  <w:num w:numId="18">
    <w:abstractNumId w:val="13"/>
  </w:num>
  <w:num w:numId="19">
    <w:abstractNumId w:val="24"/>
  </w:num>
  <w:num w:numId="20">
    <w:abstractNumId w:val="0"/>
  </w:num>
  <w:num w:numId="21">
    <w:abstractNumId w:val="34"/>
  </w:num>
  <w:num w:numId="22">
    <w:abstractNumId w:val="7"/>
  </w:num>
  <w:num w:numId="23">
    <w:abstractNumId w:val="2"/>
  </w:num>
  <w:num w:numId="24">
    <w:abstractNumId w:val="5"/>
  </w:num>
  <w:num w:numId="25">
    <w:abstractNumId w:val="6"/>
  </w:num>
  <w:num w:numId="26">
    <w:abstractNumId w:val="30"/>
  </w:num>
  <w:num w:numId="27">
    <w:abstractNumId w:val="47"/>
  </w:num>
  <w:num w:numId="28">
    <w:abstractNumId w:val="19"/>
  </w:num>
  <w:num w:numId="29">
    <w:abstractNumId w:val="40"/>
  </w:num>
  <w:num w:numId="30">
    <w:abstractNumId w:val="9"/>
  </w:num>
  <w:num w:numId="31">
    <w:abstractNumId w:val="29"/>
  </w:num>
  <w:num w:numId="3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2"/>
  </w:num>
  <w:num w:numId="48">
    <w:abstractNumId w:val="27"/>
  </w:num>
  <w:num w:numId="49">
    <w:abstractNumId w:val="26"/>
  </w:num>
  <w:num w:numId="50">
    <w:abstractNumId w:val="42"/>
  </w:num>
  <w:num w:numId="51">
    <w:abstractNumId w:val="4"/>
  </w:num>
  <w:num w:numId="5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8"/>
  </w:num>
  <w:num w:numId="58">
    <w:abstractNumId w:val="41"/>
  </w:num>
  <w:num w:numId="59">
    <w:abstractNumId w:val="1"/>
  </w:num>
  <w:num w:numId="6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5">
    <w:name w:val="Heading 1"/>
    <w:basedOn w:val="963"/>
    <w:next w:val="963"/>
    <w:link w:val="786"/>
    <w:uiPriority w:val="9"/>
    <w:qFormat/>
    <w:pPr>
      <w:keepLines/>
      <w:keepNext/>
      <w:spacing w:before="480" w:after="200"/>
      <w:outlineLvl w:val="0"/>
    </w:pPr>
    <w:rPr>
      <w:rFonts w:ascii="Arial" w:hAnsi="Arial" w:eastAsia="Arial" w:cs="Arial"/>
      <w:sz w:val="40"/>
      <w:szCs w:val="40"/>
    </w:rPr>
  </w:style>
  <w:style w:type="character" w:styleId="786">
    <w:name w:val="Heading 1 Char"/>
    <w:link w:val="785"/>
    <w:uiPriority w:val="9"/>
    <w:rPr>
      <w:rFonts w:ascii="Arial" w:hAnsi="Arial" w:eastAsia="Arial" w:cs="Arial"/>
      <w:sz w:val="40"/>
      <w:szCs w:val="40"/>
    </w:rPr>
  </w:style>
  <w:style w:type="paragraph" w:styleId="787">
    <w:name w:val="Heading 2"/>
    <w:basedOn w:val="963"/>
    <w:next w:val="963"/>
    <w:link w:val="788"/>
    <w:uiPriority w:val="9"/>
    <w:unhideWhenUsed/>
    <w:qFormat/>
    <w:pPr>
      <w:keepLines/>
      <w:keepNext/>
      <w:spacing w:before="360" w:after="200"/>
      <w:outlineLvl w:val="1"/>
    </w:pPr>
    <w:rPr>
      <w:rFonts w:ascii="Arial" w:hAnsi="Arial" w:eastAsia="Arial" w:cs="Arial"/>
      <w:sz w:val="34"/>
    </w:rPr>
  </w:style>
  <w:style w:type="character" w:styleId="788">
    <w:name w:val="Heading 2 Char"/>
    <w:link w:val="787"/>
    <w:uiPriority w:val="9"/>
    <w:rPr>
      <w:rFonts w:ascii="Arial" w:hAnsi="Arial" w:eastAsia="Arial" w:cs="Arial"/>
      <w:sz w:val="34"/>
    </w:rPr>
  </w:style>
  <w:style w:type="paragraph" w:styleId="789">
    <w:name w:val="Heading 3"/>
    <w:basedOn w:val="963"/>
    <w:next w:val="963"/>
    <w:link w:val="790"/>
    <w:uiPriority w:val="9"/>
    <w:unhideWhenUsed/>
    <w:qFormat/>
    <w:pPr>
      <w:keepLines/>
      <w:keepNext/>
      <w:spacing w:before="320" w:after="200"/>
      <w:outlineLvl w:val="2"/>
    </w:pPr>
    <w:rPr>
      <w:rFonts w:ascii="Arial" w:hAnsi="Arial" w:eastAsia="Arial" w:cs="Arial"/>
      <w:sz w:val="30"/>
      <w:szCs w:val="30"/>
    </w:rPr>
  </w:style>
  <w:style w:type="character" w:styleId="790">
    <w:name w:val="Heading 3 Char"/>
    <w:link w:val="789"/>
    <w:uiPriority w:val="9"/>
    <w:rPr>
      <w:rFonts w:ascii="Arial" w:hAnsi="Arial" w:eastAsia="Arial" w:cs="Arial"/>
      <w:sz w:val="30"/>
      <w:szCs w:val="30"/>
    </w:rPr>
  </w:style>
  <w:style w:type="paragraph" w:styleId="791">
    <w:name w:val="Heading 4"/>
    <w:basedOn w:val="963"/>
    <w:next w:val="963"/>
    <w:link w:val="792"/>
    <w:uiPriority w:val="9"/>
    <w:unhideWhenUsed/>
    <w:qFormat/>
    <w:pPr>
      <w:keepLines/>
      <w:keepNext/>
      <w:spacing w:before="320" w:after="200"/>
      <w:outlineLvl w:val="3"/>
    </w:pPr>
    <w:rPr>
      <w:rFonts w:ascii="Arial" w:hAnsi="Arial" w:eastAsia="Arial" w:cs="Arial"/>
      <w:b/>
      <w:bCs/>
      <w:sz w:val="26"/>
      <w:szCs w:val="26"/>
    </w:rPr>
  </w:style>
  <w:style w:type="character" w:styleId="792">
    <w:name w:val="Heading 4 Char"/>
    <w:link w:val="791"/>
    <w:uiPriority w:val="9"/>
    <w:rPr>
      <w:rFonts w:ascii="Arial" w:hAnsi="Arial" w:eastAsia="Arial" w:cs="Arial"/>
      <w:b/>
      <w:bCs/>
      <w:sz w:val="26"/>
      <w:szCs w:val="26"/>
    </w:rPr>
  </w:style>
  <w:style w:type="paragraph" w:styleId="793">
    <w:name w:val="Heading 5"/>
    <w:basedOn w:val="963"/>
    <w:next w:val="963"/>
    <w:link w:val="794"/>
    <w:uiPriority w:val="9"/>
    <w:unhideWhenUsed/>
    <w:qFormat/>
    <w:pPr>
      <w:keepLines/>
      <w:keepNext/>
      <w:spacing w:before="320" w:after="200"/>
      <w:outlineLvl w:val="4"/>
    </w:pPr>
    <w:rPr>
      <w:rFonts w:ascii="Arial" w:hAnsi="Arial" w:eastAsia="Arial" w:cs="Arial"/>
      <w:b/>
      <w:bCs/>
      <w:sz w:val="24"/>
      <w:szCs w:val="24"/>
    </w:rPr>
  </w:style>
  <w:style w:type="character" w:styleId="794">
    <w:name w:val="Heading 5 Char"/>
    <w:link w:val="793"/>
    <w:uiPriority w:val="9"/>
    <w:rPr>
      <w:rFonts w:ascii="Arial" w:hAnsi="Arial" w:eastAsia="Arial" w:cs="Arial"/>
      <w:b/>
      <w:bCs/>
      <w:sz w:val="24"/>
      <w:szCs w:val="24"/>
    </w:rPr>
  </w:style>
  <w:style w:type="paragraph" w:styleId="795">
    <w:name w:val="Heading 6"/>
    <w:basedOn w:val="963"/>
    <w:next w:val="963"/>
    <w:link w:val="796"/>
    <w:uiPriority w:val="9"/>
    <w:unhideWhenUsed/>
    <w:qFormat/>
    <w:pPr>
      <w:keepLines/>
      <w:keepNext/>
      <w:spacing w:before="320" w:after="200"/>
      <w:outlineLvl w:val="5"/>
    </w:pPr>
    <w:rPr>
      <w:rFonts w:ascii="Arial" w:hAnsi="Arial" w:eastAsia="Arial" w:cs="Arial"/>
      <w:b/>
      <w:bCs/>
      <w:sz w:val="22"/>
      <w:szCs w:val="22"/>
    </w:rPr>
  </w:style>
  <w:style w:type="character" w:styleId="796">
    <w:name w:val="Heading 6 Char"/>
    <w:link w:val="795"/>
    <w:uiPriority w:val="9"/>
    <w:rPr>
      <w:rFonts w:ascii="Arial" w:hAnsi="Arial" w:eastAsia="Arial" w:cs="Arial"/>
      <w:b/>
      <w:bCs/>
      <w:sz w:val="22"/>
      <w:szCs w:val="22"/>
    </w:rPr>
  </w:style>
  <w:style w:type="paragraph" w:styleId="797">
    <w:name w:val="Heading 7"/>
    <w:basedOn w:val="963"/>
    <w:next w:val="963"/>
    <w:link w:val="798"/>
    <w:uiPriority w:val="9"/>
    <w:unhideWhenUsed/>
    <w:qFormat/>
    <w:pPr>
      <w:keepLines/>
      <w:keepNext/>
      <w:spacing w:before="320" w:after="200"/>
      <w:outlineLvl w:val="6"/>
    </w:pPr>
    <w:rPr>
      <w:rFonts w:ascii="Arial" w:hAnsi="Arial" w:eastAsia="Arial" w:cs="Arial"/>
      <w:b/>
      <w:bCs/>
      <w:i/>
      <w:iCs/>
      <w:sz w:val="22"/>
      <w:szCs w:val="22"/>
    </w:rPr>
  </w:style>
  <w:style w:type="character" w:styleId="798">
    <w:name w:val="Heading 7 Char"/>
    <w:link w:val="797"/>
    <w:uiPriority w:val="9"/>
    <w:rPr>
      <w:rFonts w:ascii="Arial" w:hAnsi="Arial" w:eastAsia="Arial" w:cs="Arial"/>
      <w:b/>
      <w:bCs/>
      <w:i/>
      <w:iCs/>
      <w:sz w:val="22"/>
      <w:szCs w:val="22"/>
    </w:rPr>
  </w:style>
  <w:style w:type="paragraph" w:styleId="799">
    <w:name w:val="Heading 8"/>
    <w:basedOn w:val="963"/>
    <w:next w:val="963"/>
    <w:link w:val="800"/>
    <w:uiPriority w:val="9"/>
    <w:unhideWhenUsed/>
    <w:qFormat/>
    <w:pPr>
      <w:keepLines/>
      <w:keepNext/>
      <w:spacing w:before="320" w:after="200"/>
      <w:outlineLvl w:val="7"/>
    </w:pPr>
    <w:rPr>
      <w:rFonts w:ascii="Arial" w:hAnsi="Arial" w:eastAsia="Arial" w:cs="Arial"/>
      <w:i/>
      <w:iCs/>
      <w:sz w:val="22"/>
      <w:szCs w:val="22"/>
    </w:rPr>
  </w:style>
  <w:style w:type="character" w:styleId="800">
    <w:name w:val="Heading 8 Char"/>
    <w:link w:val="799"/>
    <w:uiPriority w:val="9"/>
    <w:rPr>
      <w:rFonts w:ascii="Arial" w:hAnsi="Arial" w:eastAsia="Arial" w:cs="Arial"/>
      <w:i/>
      <w:iCs/>
      <w:sz w:val="22"/>
      <w:szCs w:val="22"/>
    </w:rPr>
  </w:style>
  <w:style w:type="paragraph" w:styleId="801">
    <w:name w:val="Heading 9"/>
    <w:basedOn w:val="963"/>
    <w:next w:val="963"/>
    <w:link w:val="802"/>
    <w:uiPriority w:val="9"/>
    <w:unhideWhenUsed/>
    <w:qFormat/>
    <w:pPr>
      <w:keepLines/>
      <w:keepNext/>
      <w:spacing w:before="320" w:after="200"/>
      <w:outlineLvl w:val="8"/>
    </w:pPr>
    <w:rPr>
      <w:rFonts w:ascii="Arial" w:hAnsi="Arial" w:eastAsia="Arial" w:cs="Arial"/>
      <w:i/>
      <w:iCs/>
      <w:sz w:val="21"/>
      <w:szCs w:val="21"/>
    </w:rPr>
  </w:style>
  <w:style w:type="character" w:styleId="802">
    <w:name w:val="Heading 9 Char"/>
    <w:link w:val="801"/>
    <w:uiPriority w:val="9"/>
    <w:rPr>
      <w:rFonts w:ascii="Arial" w:hAnsi="Arial" w:eastAsia="Arial" w:cs="Arial"/>
      <w:i/>
      <w:iCs/>
      <w:sz w:val="21"/>
      <w:szCs w:val="21"/>
    </w:rPr>
  </w:style>
  <w:style w:type="paragraph" w:styleId="803">
    <w:name w:val="List Paragraph"/>
    <w:basedOn w:val="963"/>
    <w:uiPriority w:val="34"/>
    <w:qFormat/>
    <w:pPr>
      <w:contextualSpacing/>
      <w:ind w:left="720"/>
    </w:pPr>
  </w:style>
  <w:style w:type="paragraph" w:styleId="804">
    <w:name w:val="No Spacing"/>
    <w:uiPriority w:val="1"/>
    <w:qFormat/>
    <w:pPr>
      <w:spacing w:before="0" w:after="0" w:line="240" w:lineRule="auto"/>
    </w:pPr>
  </w:style>
  <w:style w:type="paragraph" w:styleId="805">
    <w:name w:val="Title"/>
    <w:basedOn w:val="963"/>
    <w:next w:val="963"/>
    <w:link w:val="806"/>
    <w:uiPriority w:val="10"/>
    <w:qFormat/>
    <w:pPr>
      <w:contextualSpacing/>
      <w:spacing w:before="300" w:after="200"/>
    </w:pPr>
    <w:rPr>
      <w:sz w:val="48"/>
      <w:szCs w:val="48"/>
    </w:rPr>
  </w:style>
  <w:style w:type="character" w:styleId="806">
    <w:name w:val="Title Char"/>
    <w:link w:val="805"/>
    <w:uiPriority w:val="10"/>
    <w:rPr>
      <w:sz w:val="48"/>
      <w:szCs w:val="48"/>
    </w:rPr>
  </w:style>
  <w:style w:type="paragraph" w:styleId="807">
    <w:name w:val="Subtitle"/>
    <w:basedOn w:val="963"/>
    <w:next w:val="963"/>
    <w:link w:val="808"/>
    <w:uiPriority w:val="11"/>
    <w:qFormat/>
    <w:pPr>
      <w:spacing w:before="200" w:after="200"/>
    </w:pPr>
    <w:rPr>
      <w:sz w:val="24"/>
      <w:szCs w:val="24"/>
    </w:rPr>
  </w:style>
  <w:style w:type="character" w:styleId="808">
    <w:name w:val="Subtitle Char"/>
    <w:link w:val="807"/>
    <w:uiPriority w:val="11"/>
    <w:rPr>
      <w:sz w:val="24"/>
      <w:szCs w:val="24"/>
    </w:rPr>
  </w:style>
  <w:style w:type="paragraph" w:styleId="809">
    <w:name w:val="Quote"/>
    <w:basedOn w:val="963"/>
    <w:next w:val="963"/>
    <w:link w:val="810"/>
    <w:uiPriority w:val="29"/>
    <w:qFormat/>
    <w:pPr>
      <w:ind w:left="720" w:right="720"/>
    </w:pPr>
    <w:rPr>
      <w:i/>
    </w:rPr>
  </w:style>
  <w:style w:type="character" w:styleId="810">
    <w:name w:val="Quote Char"/>
    <w:link w:val="809"/>
    <w:uiPriority w:val="29"/>
    <w:rPr>
      <w:i/>
    </w:rPr>
  </w:style>
  <w:style w:type="paragraph" w:styleId="811">
    <w:name w:val="Intense Quote"/>
    <w:basedOn w:val="963"/>
    <w:next w:val="963"/>
    <w:link w:val="8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name w:val="Intense Quote Char"/>
    <w:link w:val="811"/>
    <w:uiPriority w:val="30"/>
    <w:rPr>
      <w:i/>
    </w:rPr>
  </w:style>
  <w:style w:type="paragraph" w:styleId="813">
    <w:name w:val="Header"/>
    <w:basedOn w:val="963"/>
    <w:link w:val="814"/>
    <w:uiPriority w:val="99"/>
    <w:unhideWhenUsed/>
    <w:pPr>
      <w:spacing w:after="0" w:line="240" w:lineRule="auto"/>
      <w:tabs>
        <w:tab w:val="center" w:pos="7143" w:leader="none"/>
        <w:tab w:val="right" w:pos="14287" w:leader="none"/>
      </w:tabs>
    </w:pPr>
  </w:style>
  <w:style w:type="character" w:styleId="814">
    <w:name w:val="Header Char"/>
    <w:link w:val="813"/>
    <w:uiPriority w:val="99"/>
  </w:style>
  <w:style w:type="paragraph" w:styleId="815">
    <w:name w:val="Footer"/>
    <w:basedOn w:val="963"/>
    <w:link w:val="818"/>
    <w:uiPriority w:val="99"/>
    <w:unhideWhenUsed/>
    <w:pPr>
      <w:spacing w:after="0" w:line="240" w:lineRule="auto"/>
      <w:tabs>
        <w:tab w:val="center" w:pos="7143" w:leader="none"/>
        <w:tab w:val="right" w:pos="14287" w:leader="none"/>
      </w:tabs>
    </w:pPr>
  </w:style>
  <w:style w:type="character" w:styleId="816">
    <w:name w:val="Footer Char"/>
    <w:link w:val="815"/>
    <w:uiPriority w:val="99"/>
  </w:style>
  <w:style w:type="paragraph" w:styleId="817">
    <w:name w:val="Caption"/>
    <w:basedOn w:val="963"/>
    <w:next w:val="963"/>
    <w:uiPriority w:val="35"/>
    <w:semiHidden/>
    <w:unhideWhenUsed/>
    <w:qFormat/>
    <w:pPr>
      <w:spacing w:line="276" w:lineRule="auto"/>
    </w:pPr>
    <w:rPr>
      <w:b/>
      <w:bCs/>
      <w:color w:val="4f81bd" w:themeColor="accent1"/>
      <w:sz w:val="18"/>
      <w:szCs w:val="18"/>
    </w:rPr>
  </w:style>
  <w:style w:type="character" w:styleId="818">
    <w:name w:val="Caption Char"/>
    <w:basedOn w:val="817"/>
    <w:link w:val="815"/>
    <w:uiPriority w:val="99"/>
  </w:style>
  <w:style w:type="table" w:styleId="81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5">
    <w:name w:val="Hyperlink"/>
    <w:uiPriority w:val="99"/>
    <w:unhideWhenUsed/>
    <w:rPr>
      <w:color w:val="0000ff" w:themeColor="hyperlink"/>
      <w:u w:val="single"/>
    </w:rPr>
  </w:style>
  <w:style w:type="paragraph" w:styleId="946">
    <w:name w:val="footnote text"/>
    <w:basedOn w:val="963"/>
    <w:link w:val="947"/>
    <w:uiPriority w:val="99"/>
    <w:semiHidden/>
    <w:unhideWhenUsed/>
    <w:pPr>
      <w:spacing w:after="40" w:line="240" w:lineRule="auto"/>
    </w:pPr>
    <w:rPr>
      <w:sz w:val="18"/>
    </w:rPr>
  </w:style>
  <w:style w:type="character" w:styleId="947">
    <w:name w:val="Footnote Text Char"/>
    <w:link w:val="946"/>
    <w:uiPriority w:val="99"/>
    <w:rPr>
      <w:sz w:val="18"/>
    </w:rPr>
  </w:style>
  <w:style w:type="character" w:styleId="948">
    <w:name w:val="footnote reference"/>
    <w:uiPriority w:val="99"/>
    <w:unhideWhenUsed/>
    <w:rPr>
      <w:vertAlign w:val="superscript"/>
    </w:rPr>
  </w:style>
  <w:style w:type="paragraph" w:styleId="949">
    <w:name w:val="endnote text"/>
    <w:basedOn w:val="963"/>
    <w:link w:val="950"/>
    <w:uiPriority w:val="99"/>
    <w:semiHidden/>
    <w:unhideWhenUsed/>
    <w:pPr>
      <w:spacing w:after="0" w:line="240" w:lineRule="auto"/>
    </w:pPr>
    <w:rPr>
      <w:sz w:val="20"/>
    </w:rPr>
  </w:style>
  <w:style w:type="character" w:styleId="950">
    <w:name w:val="Endnote Text Char"/>
    <w:link w:val="949"/>
    <w:uiPriority w:val="99"/>
    <w:rPr>
      <w:sz w:val="20"/>
    </w:rPr>
  </w:style>
  <w:style w:type="character" w:styleId="951">
    <w:name w:val="endnote reference"/>
    <w:uiPriority w:val="99"/>
    <w:semiHidden/>
    <w:unhideWhenUsed/>
    <w:rPr>
      <w:vertAlign w:val="superscript"/>
    </w:rPr>
  </w:style>
  <w:style w:type="paragraph" w:styleId="952">
    <w:name w:val="toc 1"/>
    <w:basedOn w:val="963"/>
    <w:next w:val="963"/>
    <w:uiPriority w:val="39"/>
    <w:unhideWhenUsed/>
    <w:pPr>
      <w:ind w:left="0" w:right="0" w:firstLine="0"/>
      <w:spacing w:after="57"/>
    </w:pPr>
  </w:style>
  <w:style w:type="paragraph" w:styleId="953">
    <w:name w:val="toc 2"/>
    <w:basedOn w:val="963"/>
    <w:next w:val="963"/>
    <w:uiPriority w:val="39"/>
    <w:unhideWhenUsed/>
    <w:pPr>
      <w:ind w:left="283" w:right="0" w:firstLine="0"/>
      <w:spacing w:after="57"/>
    </w:pPr>
  </w:style>
  <w:style w:type="paragraph" w:styleId="954">
    <w:name w:val="toc 3"/>
    <w:basedOn w:val="963"/>
    <w:next w:val="963"/>
    <w:uiPriority w:val="39"/>
    <w:unhideWhenUsed/>
    <w:pPr>
      <w:ind w:left="567" w:right="0" w:firstLine="0"/>
      <w:spacing w:after="57"/>
    </w:pPr>
  </w:style>
  <w:style w:type="paragraph" w:styleId="955">
    <w:name w:val="toc 4"/>
    <w:basedOn w:val="963"/>
    <w:next w:val="963"/>
    <w:uiPriority w:val="39"/>
    <w:unhideWhenUsed/>
    <w:pPr>
      <w:ind w:left="850" w:right="0" w:firstLine="0"/>
      <w:spacing w:after="57"/>
    </w:pPr>
  </w:style>
  <w:style w:type="paragraph" w:styleId="956">
    <w:name w:val="toc 5"/>
    <w:basedOn w:val="963"/>
    <w:next w:val="963"/>
    <w:uiPriority w:val="39"/>
    <w:unhideWhenUsed/>
    <w:pPr>
      <w:ind w:left="1134" w:right="0" w:firstLine="0"/>
      <w:spacing w:after="57"/>
    </w:pPr>
  </w:style>
  <w:style w:type="paragraph" w:styleId="957">
    <w:name w:val="toc 6"/>
    <w:basedOn w:val="963"/>
    <w:next w:val="963"/>
    <w:uiPriority w:val="39"/>
    <w:unhideWhenUsed/>
    <w:pPr>
      <w:ind w:left="1417" w:right="0" w:firstLine="0"/>
      <w:spacing w:after="57"/>
    </w:pPr>
  </w:style>
  <w:style w:type="paragraph" w:styleId="958">
    <w:name w:val="toc 7"/>
    <w:basedOn w:val="963"/>
    <w:next w:val="963"/>
    <w:uiPriority w:val="39"/>
    <w:unhideWhenUsed/>
    <w:pPr>
      <w:ind w:left="1701" w:right="0" w:firstLine="0"/>
      <w:spacing w:after="57"/>
    </w:pPr>
  </w:style>
  <w:style w:type="paragraph" w:styleId="959">
    <w:name w:val="toc 8"/>
    <w:basedOn w:val="963"/>
    <w:next w:val="963"/>
    <w:uiPriority w:val="39"/>
    <w:unhideWhenUsed/>
    <w:pPr>
      <w:ind w:left="1984" w:right="0" w:firstLine="0"/>
      <w:spacing w:after="57"/>
    </w:pPr>
  </w:style>
  <w:style w:type="paragraph" w:styleId="960">
    <w:name w:val="toc 9"/>
    <w:basedOn w:val="963"/>
    <w:next w:val="963"/>
    <w:uiPriority w:val="39"/>
    <w:unhideWhenUsed/>
    <w:pPr>
      <w:ind w:left="2268" w:right="0" w:firstLine="0"/>
      <w:spacing w:after="57"/>
    </w:pPr>
  </w:style>
  <w:style w:type="paragraph" w:styleId="961">
    <w:name w:val="TOC Heading"/>
    <w:uiPriority w:val="39"/>
    <w:unhideWhenUsed/>
  </w:style>
  <w:style w:type="paragraph" w:styleId="962">
    <w:name w:val="table of figures"/>
    <w:basedOn w:val="963"/>
    <w:next w:val="963"/>
    <w:uiPriority w:val="99"/>
    <w:unhideWhenUsed/>
    <w:pPr>
      <w:spacing w:after="0" w:afterAutospacing="0"/>
    </w:pPr>
  </w:style>
  <w:style w:type="paragraph" w:styleId="963" w:default="1">
    <w:name w:val="Normal"/>
    <w:next w:val="963"/>
    <w:link w:val="963"/>
    <w:qFormat/>
    <w:pPr>
      <w:jc w:val="both"/>
      <w:widowControl w:val="off"/>
    </w:pPr>
    <w:rPr>
      <w:sz w:val="21"/>
      <w:szCs w:val="22"/>
      <w:lang w:val="en-US" w:eastAsia="zh-CN" w:bidi="ar-SA"/>
    </w:rPr>
  </w:style>
  <w:style w:type="paragraph" w:styleId="964">
    <w:name w:val="标题 1"/>
    <w:basedOn w:val="963"/>
    <w:next w:val="963"/>
    <w:link w:val="1021"/>
    <w:qFormat/>
    <w:pPr>
      <w:keepLines/>
      <w:keepNext/>
      <w:spacing w:before="340" w:after="330" w:line="578" w:lineRule="auto"/>
      <w:outlineLvl w:val="0"/>
    </w:pPr>
    <w:rPr>
      <w:b/>
      <w:bCs/>
      <w:sz w:val="44"/>
      <w:szCs w:val="44"/>
    </w:rPr>
  </w:style>
  <w:style w:type="paragraph" w:styleId="965">
    <w:name w:val="标题 2"/>
    <w:basedOn w:val="963"/>
    <w:next w:val="963"/>
    <w:link w:val="1023"/>
    <w:unhideWhenUsed/>
    <w:qFormat/>
    <w:pPr>
      <w:keepLines/>
      <w:keepNext/>
      <w:spacing w:before="260" w:after="260" w:line="416" w:lineRule="auto"/>
      <w:outlineLvl w:val="1"/>
    </w:pPr>
    <w:rPr>
      <w:rFonts w:ascii="Cambria" w:hAnsi="Cambria" w:eastAsia="宋体" w:cs="Times New Roman"/>
      <w:b/>
      <w:bCs/>
      <w:sz w:val="32"/>
      <w:szCs w:val="32"/>
    </w:rPr>
  </w:style>
  <w:style w:type="paragraph" w:styleId="966">
    <w:name w:val="标题 3"/>
    <w:basedOn w:val="963"/>
    <w:next w:val="963"/>
    <w:link w:val="1024"/>
    <w:unhideWhenUsed/>
    <w:qFormat/>
    <w:pPr>
      <w:keepLines/>
      <w:keepNext/>
      <w:spacing w:before="260" w:after="260" w:line="416" w:lineRule="auto"/>
      <w:outlineLvl w:val="2"/>
    </w:pPr>
    <w:rPr>
      <w:b/>
      <w:bCs/>
      <w:sz w:val="32"/>
      <w:szCs w:val="32"/>
    </w:rPr>
  </w:style>
  <w:style w:type="paragraph" w:styleId="967">
    <w:name w:val="标题 4"/>
    <w:basedOn w:val="963"/>
    <w:next w:val="963"/>
    <w:link w:val="1030"/>
    <w:qFormat/>
    <w:pPr>
      <w:keepLines/>
      <w:keepNext/>
      <w:spacing w:before="280" w:after="290" w:line="376" w:lineRule="auto"/>
      <w:outlineLvl w:val="3"/>
    </w:pPr>
    <w:rPr>
      <w:rFonts w:ascii="Arial" w:hAnsi="Arial" w:eastAsia="黑体" w:cs="Times New Roman"/>
      <w:b/>
      <w:bCs/>
      <w:sz w:val="28"/>
      <w:szCs w:val="28"/>
    </w:rPr>
  </w:style>
  <w:style w:type="paragraph" w:styleId="968">
    <w:name w:val="标题 5"/>
    <w:basedOn w:val="963"/>
    <w:next w:val="963"/>
    <w:link w:val="1031"/>
    <w:qFormat/>
    <w:pPr>
      <w:keepLines/>
      <w:keepNext/>
      <w:spacing w:before="280" w:after="290" w:line="376" w:lineRule="auto"/>
      <w:outlineLvl w:val="4"/>
    </w:pPr>
    <w:rPr>
      <w:rFonts w:ascii="Times New Roman" w:hAnsi="Times New Roman" w:eastAsia="黑体" w:cs="Times New Roman"/>
      <w:b/>
      <w:bCs/>
      <w:sz w:val="28"/>
      <w:szCs w:val="28"/>
    </w:rPr>
  </w:style>
  <w:style w:type="paragraph" w:styleId="969">
    <w:name w:val="标题 6"/>
    <w:basedOn w:val="963"/>
    <w:next w:val="963"/>
    <w:link w:val="1032"/>
    <w:qFormat/>
    <w:pPr>
      <w:keepLines/>
      <w:keepNext/>
      <w:spacing w:before="240" w:after="64" w:line="320" w:lineRule="auto"/>
      <w:outlineLvl w:val="5"/>
    </w:pPr>
    <w:rPr>
      <w:rFonts w:ascii="Arial" w:hAnsi="Arial" w:eastAsia="黑体" w:cs="Times New Roman"/>
      <w:b/>
      <w:bCs/>
      <w:sz w:val="24"/>
      <w:szCs w:val="24"/>
    </w:rPr>
  </w:style>
  <w:style w:type="paragraph" w:styleId="970">
    <w:name w:val="标题 7"/>
    <w:basedOn w:val="963"/>
    <w:next w:val="963"/>
    <w:link w:val="1033"/>
    <w:qFormat/>
    <w:pPr>
      <w:keepLines/>
      <w:keepNext/>
      <w:spacing w:before="240" w:after="64" w:line="320" w:lineRule="auto"/>
      <w:outlineLvl w:val="6"/>
    </w:pPr>
    <w:rPr>
      <w:rFonts w:ascii="Times New Roman" w:hAnsi="Times New Roman" w:eastAsia="宋体" w:cs="Times New Roman"/>
      <w:b/>
      <w:bCs/>
      <w:sz w:val="24"/>
      <w:szCs w:val="24"/>
    </w:rPr>
  </w:style>
  <w:style w:type="paragraph" w:styleId="971">
    <w:name w:val="标题 8"/>
    <w:basedOn w:val="963"/>
    <w:next w:val="963"/>
    <w:link w:val="1034"/>
    <w:qFormat/>
    <w:pPr>
      <w:keepLines/>
      <w:keepNext/>
      <w:spacing w:before="240" w:after="64" w:line="320" w:lineRule="auto"/>
      <w:outlineLvl w:val="7"/>
    </w:pPr>
    <w:rPr>
      <w:rFonts w:ascii="Arial" w:hAnsi="Arial" w:eastAsia="黑体" w:cs="Times New Roman"/>
      <w:sz w:val="24"/>
      <w:szCs w:val="24"/>
    </w:rPr>
  </w:style>
  <w:style w:type="paragraph" w:styleId="972">
    <w:name w:val="标题 9"/>
    <w:basedOn w:val="963"/>
    <w:next w:val="963"/>
    <w:link w:val="1035"/>
    <w:qFormat/>
    <w:pPr>
      <w:keepLines/>
      <w:keepNext/>
      <w:spacing w:before="240" w:after="64" w:line="320" w:lineRule="auto"/>
      <w:outlineLvl w:val="8"/>
    </w:pPr>
    <w:rPr>
      <w:rFonts w:ascii="Arial" w:hAnsi="Arial" w:eastAsia="黑体" w:cs="Times New Roman"/>
      <w:szCs w:val="21"/>
    </w:rPr>
  </w:style>
  <w:style w:type="character" w:styleId="973">
    <w:name w:val="默认段落字体"/>
    <w:next w:val="973"/>
    <w:link w:val="963"/>
    <w:uiPriority w:val="1"/>
    <w:semiHidden/>
    <w:unhideWhenUsed/>
  </w:style>
  <w:style w:type="table" w:styleId="974">
    <w:name w:val="普通表格"/>
    <w:next w:val="974"/>
    <w:link w:val="963"/>
    <w:uiPriority w:val="99"/>
    <w:semiHidden/>
    <w:unhideWhenUsed/>
    <w:qFormat/>
    <w:tblPr/>
  </w:style>
  <w:style w:type="numbering" w:styleId="975">
    <w:name w:val="无列表"/>
    <w:next w:val="975"/>
    <w:link w:val="963"/>
    <w:uiPriority w:val="99"/>
    <w:semiHidden/>
    <w:unhideWhenUsed/>
  </w:style>
  <w:style w:type="paragraph" w:styleId="976">
    <w:name w:val="目录 7"/>
    <w:basedOn w:val="963"/>
    <w:next w:val="963"/>
    <w:link w:val="963"/>
    <w:qFormat/>
    <w:pPr>
      <w:ind w:left="1050"/>
      <w:jc w:val="left"/>
    </w:pPr>
    <w:rPr>
      <w:rFonts w:ascii="Calibri" w:hAnsi="Calibri" w:eastAsia="宋体" w:cs="Times New Roman"/>
      <w:sz w:val="20"/>
      <w:szCs w:val="20"/>
    </w:rPr>
  </w:style>
  <w:style w:type="paragraph" w:styleId="977">
    <w:name w:val="正文缩进"/>
    <w:basedOn w:val="963"/>
    <w:next w:val="977"/>
    <w:link w:val="1036"/>
    <w:qFormat/>
    <w:pPr>
      <w:ind w:firstLine="420"/>
    </w:pPr>
    <w:rPr>
      <w:rFonts w:ascii="Times New Roman" w:hAnsi="Times New Roman"/>
      <w:szCs w:val="20"/>
      <w:lang w:val="en-US" w:eastAsia="en-US"/>
    </w:rPr>
  </w:style>
  <w:style w:type="paragraph" w:styleId="978">
    <w:name w:val="文档结构图"/>
    <w:basedOn w:val="963"/>
    <w:next w:val="978"/>
    <w:link w:val="1022"/>
    <w:semiHidden/>
    <w:unhideWhenUsed/>
    <w:qFormat/>
    <w:rPr>
      <w:rFonts w:ascii="宋体" w:eastAsia="宋体"/>
      <w:sz w:val="18"/>
      <w:szCs w:val="18"/>
    </w:rPr>
  </w:style>
  <w:style w:type="paragraph" w:styleId="979">
    <w:name w:val="批注文字"/>
    <w:basedOn w:val="963"/>
    <w:next w:val="979"/>
    <w:link w:val="1026"/>
    <w:qFormat/>
    <w:pPr>
      <w:ind w:firstLine="200"/>
      <w:jc w:val="left"/>
      <w:spacing w:line="360" w:lineRule="auto"/>
    </w:pPr>
    <w:rPr>
      <w:rFonts w:ascii="Times New Roman" w:hAnsi="Times New Roman" w:eastAsia="宋体" w:cs="Times New Roman"/>
      <w:szCs w:val="24"/>
    </w:rPr>
  </w:style>
  <w:style w:type="paragraph" w:styleId="980">
    <w:name w:val="正文文本 3"/>
    <w:basedOn w:val="963"/>
    <w:next w:val="980"/>
    <w:link w:val="1037"/>
    <w:qFormat/>
    <w:pPr>
      <w:spacing w:line="560" w:lineRule="exact"/>
    </w:pPr>
    <w:rPr>
      <w:rFonts w:ascii="仿宋_GB2312" w:hAnsi="Times New Roman" w:eastAsia="仿宋_GB2312" w:cs="Times New Roman"/>
      <w:b/>
      <w:bCs/>
      <w:color w:val="ff0000"/>
      <w:sz w:val="28"/>
      <w:szCs w:val="24"/>
    </w:rPr>
  </w:style>
  <w:style w:type="paragraph" w:styleId="981">
    <w:name w:val="正文文本"/>
    <w:basedOn w:val="963"/>
    <w:next w:val="982"/>
    <w:link w:val="1038"/>
    <w:qFormat/>
    <w:rPr>
      <w:rFonts w:ascii="Times New Roman" w:hAnsi="Times New Roman" w:eastAsia="楷体_GB2312" w:cs="Times New Roman"/>
      <w:b/>
      <w:bCs/>
      <w:color w:val="ff0000"/>
      <w:sz w:val="32"/>
      <w:szCs w:val="32"/>
      <w:lang w:val="zh-CN"/>
    </w:rPr>
  </w:style>
  <w:style w:type="paragraph" w:styleId="982">
    <w:name w:val="Default"/>
    <w:next w:val="982"/>
    <w:link w:val="1028"/>
    <w:uiPriority w:val="99"/>
    <w:qFormat/>
    <w:pPr>
      <w:widowControl w:val="off"/>
    </w:pPr>
    <w:rPr>
      <w:rFonts w:ascii="MS Mincho"/>
      <w:color w:val="000000"/>
      <w:szCs w:val="24"/>
      <w:lang w:bidi="ar-SA"/>
    </w:rPr>
  </w:style>
  <w:style w:type="paragraph" w:styleId="983">
    <w:name w:val="正文文本缩进"/>
    <w:basedOn w:val="963"/>
    <w:next w:val="983"/>
    <w:link w:val="1039"/>
    <w:qFormat/>
    <w:pPr>
      <w:ind w:firstLine="200"/>
    </w:pPr>
    <w:rPr>
      <w:rFonts w:ascii="Times New Roman" w:hAnsi="Times New Roman" w:eastAsia="仿宋_GB2312" w:cs="Times New Roman"/>
      <w:sz w:val="30"/>
      <w:szCs w:val="30"/>
    </w:rPr>
  </w:style>
  <w:style w:type="paragraph" w:styleId="984">
    <w:name w:val="目录 5"/>
    <w:basedOn w:val="963"/>
    <w:next w:val="963"/>
    <w:link w:val="963"/>
    <w:qFormat/>
    <w:pPr>
      <w:ind w:left="630"/>
      <w:jc w:val="left"/>
    </w:pPr>
    <w:rPr>
      <w:rFonts w:ascii="Calibri" w:hAnsi="Calibri" w:eastAsia="宋体" w:cs="Times New Roman"/>
      <w:sz w:val="20"/>
      <w:szCs w:val="20"/>
    </w:rPr>
  </w:style>
  <w:style w:type="paragraph" w:styleId="985">
    <w:name w:val="目录 3"/>
    <w:basedOn w:val="963"/>
    <w:next w:val="963"/>
    <w:link w:val="963"/>
    <w:uiPriority w:val="39"/>
    <w:unhideWhenUsed/>
    <w:qFormat/>
    <w:pPr>
      <w:ind w:left="210"/>
      <w:jc w:val="left"/>
    </w:pPr>
    <w:rPr>
      <w:rFonts w:ascii="Calibri" w:hAnsi="Calibri" w:eastAsia="宋体" w:cs="Times New Roman"/>
      <w:sz w:val="20"/>
      <w:szCs w:val="20"/>
    </w:rPr>
  </w:style>
  <w:style w:type="paragraph" w:styleId="986">
    <w:name w:val="纯文本"/>
    <w:basedOn w:val="963"/>
    <w:next w:val="986"/>
    <w:link w:val="1029"/>
    <w:qFormat/>
    <w:rPr>
      <w:rFonts w:ascii="宋体" w:hAnsi="Courier New" w:eastAsia="宋体" w:cs="Times New Roman"/>
      <w:szCs w:val="20"/>
    </w:rPr>
  </w:style>
  <w:style w:type="paragraph" w:styleId="987">
    <w:name w:val="目录 8"/>
    <w:basedOn w:val="963"/>
    <w:next w:val="963"/>
    <w:link w:val="963"/>
    <w:qFormat/>
    <w:pPr>
      <w:ind w:left="1260"/>
      <w:jc w:val="left"/>
    </w:pPr>
    <w:rPr>
      <w:rFonts w:ascii="Calibri" w:hAnsi="Calibri" w:eastAsia="宋体" w:cs="Times New Roman"/>
      <w:sz w:val="20"/>
      <w:szCs w:val="20"/>
    </w:rPr>
  </w:style>
  <w:style w:type="paragraph" w:styleId="988">
    <w:name w:val="日期"/>
    <w:basedOn w:val="963"/>
    <w:next w:val="963"/>
    <w:link w:val="1025"/>
    <w:unhideWhenUsed/>
    <w:qFormat/>
    <w:pPr>
      <w:ind w:left="2500"/>
    </w:pPr>
  </w:style>
  <w:style w:type="paragraph" w:styleId="989">
    <w:name w:val="正文文本缩进 2"/>
    <w:basedOn w:val="963"/>
    <w:next w:val="989"/>
    <w:link w:val="1040"/>
    <w:qFormat/>
    <w:pPr>
      <w:ind w:firstLine="420"/>
    </w:pPr>
    <w:rPr>
      <w:rFonts w:ascii="宋体" w:hAnsi="Times New Roman" w:eastAsia="宋体" w:cs="Times New Roman"/>
      <w:color w:val="000000"/>
      <w:sz w:val="24"/>
      <w:szCs w:val="24"/>
    </w:rPr>
  </w:style>
  <w:style w:type="paragraph" w:styleId="990">
    <w:name w:val="批注框文本"/>
    <w:basedOn w:val="963"/>
    <w:next w:val="990"/>
    <w:link w:val="1027"/>
    <w:unhideWhenUsed/>
    <w:qFormat/>
    <w:rPr>
      <w:sz w:val="18"/>
      <w:szCs w:val="18"/>
    </w:rPr>
  </w:style>
  <w:style w:type="paragraph" w:styleId="991">
    <w:name w:val="页脚"/>
    <w:basedOn w:val="963"/>
    <w:next w:val="991"/>
    <w:link w:val="1020"/>
    <w:unhideWhenUsed/>
    <w:qFormat/>
    <w:pPr>
      <w:jc w:val="left"/>
      <w:tabs>
        <w:tab w:val="center" w:pos="4153" w:leader="none"/>
        <w:tab w:val="right" w:pos="8306" w:leader="none"/>
      </w:tabs>
    </w:pPr>
    <w:rPr>
      <w:sz w:val="18"/>
      <w:szCs w:val="18"/>
    </w:rPr>
  </w:style>
  <w:style w:type="paragraph" w:styleId="992">
    <w:name w:val="页眉"/>
    <w:basedOn w:val="963"/>
    <w:next w:val="992"/>
    <w:link w:val="1019"/>
    <w:unhideWhenUsed/>
    <w:qFormat/>
    <w:pPr>
      <w:jc w:val="center"/>
      <w:tabs>
        <w:tab w:val="center" w:pos="4153" w:leader="none"/>
        <w:tab w:val="right" w:pos="8306" w:leader="none"/>
      </w:tabs>
      <w:pBdr>
        <w:bottom w:val="single" w:color="000000" w:sz="6" w:space="1"/>
      </w:pBdr>
    </w:pPr>
    <w:rPr>
      <w:sz w:val="18"/>
      <w:szCs w:val="18"/>
    </w:rPr>
  </w:style>
  <w:style w:type="paragraph" w:styleId="993">
    <w:name w:val="目录 1"/>
    <w:basedOn w:val="963"/>
    <w:next w:val="963"/>
    <w:link w:val="963"/>
    <w:uiPriority w:val="39"/>
    <w:unhideWhenUsed/>
    <w:qFormat/>
  </w:style>
  <w:style w:type="paragraph" w:styleId="994">
    <w:name w:val="目录 4"/>
    <w:basedOn w:val="963"/>
    <w:next w:val="963"/>
    <w:link w:val="963"/>
    <w:qFormat/>
    <w:pPr>
      <w:ind w:left="420"/>
      <w:jc w:val="left"/>
    </w:pPr>
    <w:rPr>
      <w:rFonts w:ascii="Calibri" w:hAnsi="Calibri" w:eastAsia="宋体" w:cs="Times New Roman"/>
      <w:sz w:val="20"/>
      <w:szCs w:val="20"/>
    </w:rPr>
  </w:style>
  <w:style w:type="paragraph" w:styleId="995">
    <w:name w:val="副标题"/>
    <w:basedOn w:val="963"/>
    <w:next w:val="963"/>
    <w:link w:val="1041"/>
    <w:qFormat/>
    <w:pPr>
      <w:jc w:val="center"/>
      <w:spacing w:before="240" w:after="60" w:line="312" w:lineRule="auto"/>
      <w:outlineLvl w:val="1"/>
    </w:pPr>
    <w:rPr>
      <w:rFonts w:ascii="Cambria" w:hAnsi="Cambria" w:eastAsia="宋体" w:cs="Times New Roman"/>
      <w:b/>
      <w:bCs/>
      <w:sz w:val="32"/>
      <w:szCs w:val="32"/>
    </w:rPr>
  </w:style>
  <w:style w:type="paragraph" w:styleId="996">
    <w:name w:val="目录 6"/>
    <w:basedOn w:val="963"/>
    <w:next w:val="963"/>
    <w:link w:val="963"/>
    <w:qFormat/>
    <w:pPr>
      <w:ind w:left="840"/>
      <w:jc w:val="left"/>
    </w:pPr>
    <w:rPr>
      <w:rFonts w:ascii="Calibri" w:hAnsi="Calibri" w:eastAsia="宋体" w:cs="Times New Roman"/>
      <w:sz w:val="20"/>
      <w:szCs w:val="20"/>
    </w:rPr>
  </w:style>
  <w:style w:type="paragraph" w:styleId="997">
    <w:name w:val="正文文本缩进 3"/>
    <w:basedOn w:val="963"/>
    <w:next w:val="997"/>
    <w:link w:val="1042"/>
    <w:qFormat/>
    <w:pPr>
      <w:ind w:left="200"/>
      <w:spacing w:after="120"/>
    </w:pPr>
    <w:rPr>
      <w:rFonts w:ascii="Times New Roman" w:hAnsi="Times New Roman" w:eastAsia="宋体" w:cs="Times New Roman"/>
      <w:sz w:val="16"/>
      <w:szCs w:val="16"/>
    </w:rPr>
  </w:style>
  <w:style w:type="paragraph" w:styleId="998">
    <w:name w:val="目录 2"/>
    <w:basedOn w:val="963"/>
    <w:next w:val="963"/>
    <w:link w:val="963"/>
    <w:uiPriority w:val="39"/>
    <w:unhideWhenUsed/>
    <w:qFormat/>
    <w:pPr>
      <w:jc w:val="left"/>
      <w:spacing w:before="240"/>
    </w:pPr>
    <w:rPr>
      <w:rFonts w:ascii="Calibri" w:hAnsi="Calibri" w:eastAsia="宋体" w:cs="Times New Roman"/>
      <w:b/>
      <w:bCs/>
      <w:sz w:val="20"/>
      <w:szCs w:val="20"/>
    </w:rPr>
  </w:style>
  <w:style w:type="paragraph" w:styleId="999">
    <w:name w:val="目录 9"/>
    <w:basedOn w:val="963"/>
    <w:next w:val="963"/>
    <w:link w:val="963"/>
    <w:qFormat/>
    <w:pPr>
      <w:ind w:left="1470"/>
      <w:jc w:val="left"/>
    </w:pPr>
    <w:rPr>
      <w:rFonts w:ascii="Calibri" w:hAnsi="Calibri" w:eastAsia="宋体" w:cs="Times New Roman"/>
      <w:sz w:val="20"/>
      <w:szCs w:val="20"/>
    </w:rPr>
  </w:style>
  <w:style w:type="paragraph" w:styleId="1000">
    <w:name w:val="正文文本 2"/>
    <w:basedOn w:val="963"/>
    <w:next w:val="1000"/>
    <w:link w:val="1043"/>
    <w:qFormat/>
    <w:pPr>
      <w:spacing w:line="560" w:lineRule="exact"/>
    </w:pPr>
    <w:rPr>
      <w:rFonts w:ascii="仿宋_GB2312" w:hAnsi="Times New Roman" w:eastAsia="仿宋_GB2312" w:cs="Times New Roman"/>
      <w:sz w:val="28"/>
      <w:szCs w:val="30"/>
    </w:rPr>
  </w:style>
  <w:style w:type="paragraph" w:styleId="1001">
    <w:name w:val="HTML 预设格式"/>
    <w:basedOn w:val="963"/>
    <w:next w:val="1001"/>
    <w:link w:val="104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szCs w:val="24"/>
    </w:rPr>
  </w:style>
  <w:style w:type="paragraph" w:styleId="1002">
    <w:name w:val="普通(网站)"/>
    <w:basedOn w:val="963"/>
    <w:next w:val="1002"/>
    <w:link w:val="963"/>
    <w:uiPriority w:val="99"/>
    <w:unhideWhenUsed/>
    <w:qFormat/>
    <w:pPr>
      <w:jc w:val="left"/>
      <w:spacing w:before="100" w:beforeAutospacing="1" w:after="100" w:afterAutospacing="1"/>
    </w:pPr>
    <w:rPr>
      <w:rFonts w:ascii="Times New Roman" w:hAnsi="Times New Roman" w:eastAsia="宋体" w:cs="Times New Roman"/>
      <w:sz w:val="24"/>
      <w:szCs w:val="20"/>
    </w:rPr>
  </w:style>
  <w:style w:type="paragraph" w:styleId="1003">
    <w:name w:val="索引 1"/>
    <w:basedOn w:val="963"/>
    <w:next w:val="963"/>
    <w:link w:val="963"/>
    <w:semiHidden/>
    <w:qFormat/>
    <w:rPr>
      <w:rFonts w:ascii="Times New Roman" w:hAnsi="Times New Roman" w:eastAsia="宋体" w:cs="Times New Roman"/>
      <w:b/>
      <w:bCs/>
      <w:color w:val="0000ff"/>
      <w:szCs w:val="24"/>
    </w:rPr>
  </w:style>
  <w:style w:type="paragraph" w:styleId="1004">
    <w:name w:val="批注主题"/>
    <w:basedOn w:val="979"/>
    <w:next w:val="979"/>
    <w:link w:val="1045"/>
    <w:qFormat/>
    <w:pPr>
      <w:ind w:firstLine="0"/>
      <w:spacing w:line="240" w:lineRule="auto"/>
    </w:pPr>
    <w:rPr>
      <w:b/>
      <w:bCs/>
    </w:rPr>
  </w:style>
  <w:style w:type="table" w:styleId="1005">
    <w:name w:val="网格型"/>
    <w:basedOn w:val="974"/>
    <w:next w:val="1005"/>
    <w:link w:val="963"/>
    <w:qFormat/>
    <w:tblPr/>
  </w:style>
  <w:style w:type="character" w:styleId="1006">
    <w:name w:val="要点"/>
    <w:basedOn w:val="973"/>
    <w:next w:val="1006"/>
    <w:link w:val="963"/>
    <w:uiPriority w:val="22"/>
    <w:qFormat/>
    <w:rPr>
      <w:b/>
      <w:bCs/>
    </w:rPr>
  </w:style>
  <w:style w:type="character" w:styleId="1007">
    <w:name w:val="页码"/>
    <w:next w:val="1007"/>
    <w:link w:val="963"/>
    <w:qFormat/>
  </w:style>
  <w:style w:type="character" w:styleId="1008">
    <w:name w:val="已访问的超链接"/>
    <w:next w:val="1008"/>
    <w:link w:val="963"/>
    <w:qFormat/>
    <w:rPr>
      <w:color w:val="800080"/>
      <w:u w:val="none"/>
    </w:rPr>
  </w:style>
  <w:style w:type="character" w:styleId="1009">
    <w:name w:val="HTML 定义"/>
    <w:next w:val="1009"/>
    <w:link w:val="963"/>
    <w:qFormat/>
  </w:style>
  <w:style w:type="character" w:styleId="1010">
    <w:name w:val="HTML 打字机"/>
    <w:next w:val="1010"/>
    <w:link w:val="963"/>
    <w:qFormat/>
    <w:rPr>
      <w:rFonts w:ascii="monospace" w:hAnsi="monospace" w:eastAsia="monospace" w:cs="monospace"/>
      <w:sz w:val="20"/>
    </w:rPr>
  </w:style>
  <w:style w:type="character" w:styleId="1011">
    <w:name w:val="HTML 缩写"/>
    <w:next w:val="1011"/>
    <w:link w:val="963"/>
    <w:qFormat/>
  </w:style>
  <w:style w:type="character" w:styleId="1012">
    <w:name w:val="HTML 变量"/>
    <w:next w:val="1012"/>
    <w:link w:val="963"/>
    <w:qFormat/>
  </w:style>
  <w:style w:type="character" w:styleId="1013">
    <w:name w:val="超链接"/>
    <w:next w:val="1013"/>
    <w:link w:val="963"/>
    <w:uiPriority w:val="99"/>
    <w:qFormat/>
    <w:rPr>
      <w:color w:val="0000ff"/>
      <w:u w:val="none"/>
    </w:rPr>
  </w:style>
  <w:style w:type="character" w:styleId="1014">
    <w:name w:val="HTML 代码"/>
    <w:next w:val="1014"/>
    <w:link w:val="963"/>
    <w:qFormat/>
    <w:rPr>
      <w:rFonts w:ascii="monospace" w:hAnsi="monospace" w:eastAsia="monospace" w:cs="monospace"/>
      <w:sz w:val="20"/>
    </w:rPr>
  </w:style>
  <w:style w:type="character" w:styleId="1015">
    <w:name w:val="批注引用"/>
    <w:next w:val="1015"/>
    <w:link w:val="963"/>
    <w:qFormat/>
    <w:rPr>
      <w:sz w:val="21"/>
      <w:szCs w:val="21"/>
    </w:rPr>
  </w:style>
  <w:style w:type="character" w:styleId="1016">
    <w:name w:val="HTML 引文"/>
    <w:next w:val="1016"/>
    <w:link w:val="963"/>
    <w:qFormat/>
  </w:style>
  <w:style w:type="character" w:styleId="1017">
    <w:name w:val="HTML 键盘"/>
    <w:next w:val="1017"/>
    <w:link w:val="963"/>
    <w:qFormat/>
    <w:rPr>
      <w:rFonts w:ascii="monospace" w:hAnsi="monospace" w:eastAsia="monospace" w:cs="monospace"/>
      <w:sz w:val="20"/>
    </w:rPr>
  </w:style>
  <w:style w:type="character" w:styleId="1018">
    <w:name w:val="HTML 样本"/>
    <w:next w:val="1018"/>
    <w:link w:val="963"/>
    <w:qFormat/>
    <w:rPr>
      <w:rFonts w:ascii="monospace" w:hAnsi="monospace" w:eastAsia="monospace" w:cs="monospace"/>
    </w:rPr>
  </w:style>
  <w:style w:type="character" w:styleId="1019">
    <w:name w:val="页眉 Char"/>
    <w:basedOn w:val="973"/>
    <w:next w:val="1019"/>
    <w:link w:val="992"/>
    <w:uiPriority w:val="99"/>
    <w:semiHidden/>
    <w:qFormat/>
    <w:rPr>
      <w:sz w:val="18"/>
      <w:szCs w:val="18"/>
    </w:rPr>
  </w:style>
  <w:style w:type="character" w:styleId="1020">
    <w:name w:val="页脚 Char"/>
    <w:basedOn w:val="973"/>
    <w:next w:val="1020"/>
    <w:link w:val="991"/>
    <w:uiPriority w:val="99"/>
    <w:qFormat/>
    <w:rPr>
      <w:sz w:val="18"/>
      <w:szCs w:val="18"/>
    </w:rPr>
  </w:style>
  <w:style w:type="character" w:styleId="1021">
    <w:name w:val="标题 1 Char"/>
    <w:basedOn w:val="973"/>
    <w:next w:val="1021"/>
    <w:link w:val="964"/>
    <w:uiPriority w:val="9"/>
    <w:qFormat/>
    <w:rPr>
      <w:b/>
      <w:bCs/>
      <w:sz w:val="44"/>
      <w:szCs w:val="44"/>
    </w:rPr>
  </w:style>
  <w:style w:type="character" w:styleId="1022">
    <w:name w:val="文档结构图 Char"/>
    <w:basedOn w:val="973"/>
    <w:next w:val="1022"/>
    <w:link w:val="978"/>
    <w:uiPriority w:val="99"/>
    <w:semiHidden/>
    <w:qFormat/>
    <w:rPr>
      <w:rFonts w:ascii="宋体" w:eastAsia="宋体"/>
      <w:sz w:val="18"/>
      <w:szCs w:val="18"/>
    </w:rPr>
  </w:style>
  <w:style w:type="character" w:styleId="1023">
    <w:name w:val="标题 2 Char"/>
    <w:basedOn w:val="973"/>
    <w:next w:val="1023"/>
    <w:link w:val="965"/>
    <w:uiPriority w:val="9"/>
    <w:qFormat/>
    <w:rPr>
      <w:rFonts w:ascii="Cambria" w:hAnsi="Cambria" w:eastAsia="宋体" w:cs="Times New Roman"/>
      <w:b/>
      <w:bCs/>
      <w:sz w:val="32"/>
      <w:szCs w:val="32"/>
    </w:rPr>
  </w:style>
  <w:style w:type="character" w:styleId="1024">
    <w:name w:val="标题 3 Char"/>
    <w:basedOn w:val="973"/>
    <w:next w:val="1024"/>
    <w:link w:val="966"/>
    <w:uiPriority w:val="9"/>
    <w:qFormat/>
    <w:rPr>
      <w:b/>
      <w:bCs/>
      <w:sz w:val="32"/>
      <w:szCs w:val="32"/>
    </w:rPr>
  </w:style>
  <w:style w:type="character" w:styleId="1025">
    <w:name w:val="日期 Char"/>
    <w:basedOn w:val="973"/>
    <w:next w:val="1025"/>
    <w:link w:val="988"/>
    <w:uiPriority w:val="99"/>
    <w:semiHidden/>
    <w:qFormat/>
  </w:style>
  <w:style w:type="character" w:styleId="1026">
    <w:name w:val="批注文字 Char"/>
    <w:basedOn w:val="973"/>
    <w:next w:val="1026"/>
    <w:link w:val="979"/>
    <w:qFormat/>
    <w:rPr>
      <w:rFonts w:ascii="Times New Roman" w:hAnsi="Times New Roman" w:eastAsia="宋体" w:cs="Times New Roman"/>
      <w:szCs w:val="24"/>
    </w:rPr>
  </w:style>
  <w:style w:type="character" w:styleId="1027">
    <w:name w:val="批注框文本 Char"/>
    <w:basedOn w:val="973"/>
    <w:next w:val="1027"/>
    <w:link w:val="990"/>
    <w:uiPriority w:val="99"/>
    <w:semiHidden/>
    <w:qFormat/>
    <w:rPr>
      <w:sz w:val="18"/>
      <w:szCs w:val="18"/>
    </w:rPr>
  </w:style>
  <w:style w:type="character" w:styleId="1028">
    <w:name w:val="Default Char"/>
    <w:next w:val="1028"/>
    <w:link w:val="982"/>
    <w:uiPriority w:val="99"/>
    <w:qFormat/>
    <w:rPr>
      <w:rFonts w:ascii="MS Mincho"/>
      <w:color w:val="000000"/>
      <w:szCs w:val="24"/>
      <w:lang w:bidi="ar-SA"/>
    </w:rPr>
  </w:style>
  <w:style w:type="character" w:styleId="1029">
    <w:name w:val="纯文本 Char"/>
    <w:basedOn w:val="973"/>
    <w:next w:val="1029"/>
    <w:link w:val="986"/>
    <w:qFormat/>
    <w:rPr>
      <w:rFonts w:ascii="宋体" w:hAnsi="Courier New" w:eastAsia="宋体" w:cs="Times New Roman"/>
      <w:szCs w:val="20"/>
    </w:rPr>
  </w:style>
  <w:style w:type="character" w:styleId="1030">
    <w:name w:val="标题 4 Char"/>
    <w:basedOn w:val="973"/>
    <w:next w:val="1030"/>
    <w:link w:val="967"/>
    <w:qFormat/>
    <w:rPr>
      <w:rFonts w:ascii="Arial" w:hAnsi="Arial" w:eastAsia="黑体" w:cs="Times New Roman"/>
      <w:b/>
      <w:bCs/>
      <w:sz w:val="28"/>
      <w:szCs w:val="28"/>
    </w:rPr>
  </w:style>
  <w:style w:type="character" w:styleId="1031">
    <w:name w:val="标题 5 Char"/>
    <w:basedOn w:val="973"/>
    <w:next w:val="1031"/>
    <w:link w:val="968"/>
    <w:qFormat/>
    <w:rPr>
      <w:rFonts w:ascii="Times New Roman" w:hAnsi="Times New Roman" w:eastAsia="黑体" w:cs="Times New Roman"/>
      <w:b/>
      <w:bCs/>
      <w:sz w:val="28"/>
      <w:szCs w:val="28"/>
    </w:rPr>
  </w:style>
  <w:style w:type="character" w:styleId="1032">
    <w:name w:val="标题 6 Char"/>
    <w:basedOn w:val="973"/>
    <w:next w:val="1032"/>
    <w:link w:val="969"/>
    <w:qFormat/>
    <w:rPr>
      <w:rFonts w:ascii="Arial" w:hAnsi="Arial" w:eastAsia="黑体" w:cs="Times New Roman"/>
      <w:b/>
      <w:bCs/>
      <w:sz w:val="24"/>
      <w:szCs w:val="24"/>
    </w:rPr>
  </w:style>
  <w:style w:type="character" w:styleId="1033">
    <w:name w:val="标题 7 Char"/>
    <w:basedOn w:val="973"/>
    <w:next w:val="1033"/>
    <w:link w:val="970"/>
    <w:qFormat/>
    <w:rPr>
      <w:rFonts w:ascii="Times New Roman" w:hAnsi="Times New Roman" w:eastAsia="宋体" w:cs="Times New Roman"/>
      <w:b/>
      <w:bCs/>
      <w:sz w:val="24"/>
      <w:szCs w:val="24"/>
    </w:rPr>
  </w:style>
  <w:style w:type="character" w:styleId="1034">
    <w:name w:val="标题 8 Char"/>
    <w:basedOn w:val="973"/>
    <w:next w:val="1034"/>
    <w:link w:val="971"/>
    <w:qFormat/>
    <w:rPr>
      <w:rFonts w:ascii="Arial" w:hAnsi="Arial" w:eastAsia="黑体" w:cs="Times New Roman"/>
      <w:sz w:val="24"/>
      <w:szCs w:val="24"/>
    </w:rPr>
  </w:style>
  <w:style w:type="character" w:styleId="1035">
    <w:name w:val="标题 9 Char"/>
    <w:basedOn w:val="973"/>
    <w:next w:val="1035"/>
    <w:link w:val="972"/>
    <w:qFormat/>
    <w:rPr>
      <w:rFonts w:ascii="Arial" w:hAnsi="Arial" w:eastAsia="黑体" w:cs="Times New Roman"/>
      <w:sz w:val="21"/>
      <w:szCs w:val="21"/>
    </w:rPr>
  </w:style>
  <w:style w:type="character" w:styleId="1036">
    <w:name w:val="正文缩进 Char"/>
    <w:next w:val="1036"/>
    <w:link w:val="977"/>
    <w:qFormat/>
    <w:rPr>
      <w:rFonts w:ascii="Times New Roman" w:hAnsi="Times New Roman" w:eastAsia="宋体" w:cs="Times New Roman"/>
      <w:sz w:val="21"/>
    </w:rPr>
  </w:style>
  <w:style w:type="character" w:styleId="1037">
    <w:name w:val="正文文本 3 Char"/>
    <w:basedOn w:val="973"/>
    <w:next w:val="1037"/>
    <w:link w:val="980"/>
    <w:qFormat/>
    <w:rPr>
      <w:rFonts w:ascii="仿宋_GB2312" w:hAnsi="Times New Roman" w:eastAsia="仿宋_GB2312" w:cs="Times New Roman"/>
      <w:b/>
      <w:bCs/>
      <w:color w:val="ff0000"/>
      <w:sz w:val="28"/>
      <w:szCs w:val="24"/>
    </w:rPr>
  </w:style>
  <w:style w:type="character" w:styleId="1038">
    <w:name w:val="正文文本 Char"/>
    <w:basedOn w:val="973"/>
    <w:next w:val="1038"/>
    <w:link w:val="981"/>
    <w:qFormat/>
    <w:rPr>
      <w:rFonts w:ascii="Times New Roman" w:hAnsi="Times New Roman" w:eastAsia="楷体_GB2312" w:cs="Times New Roman"/>
      <w:b/>
      <w:bCs/>
      <w:color w:val="ff0000"/>
      <w:sz w:val="32"/>
      <w:szCs w:val="32"/>
      <w:lang w:val="zh-CN"/>
    </w:rPr>
  </w:style>
  <w:style w:type="character" w:styleId="1039">
    <w:name w:val="正文文本缩进 Char"/>
    <w:basedOn w:val="973"/>
    <w:next w:val="1039"/>
    <w:link w:val="983"/>
    <w:qFormat/>
    <w:rPr>
      <w:rFonts w:ascii="Times New Roman" w:hAnsi="Times New Roman" w:eastAsia="仿宋_GB2312" w:cs="Times New Roman"/>
      <w:sz w:val="30"/>
      <w:szCs w:val="30"/>
    </w:rPr>
  </w:style>
  <w:style w:type="character" w:styleId="1040">
    <w:name w:val="正文文本缩进 2 Char"/>
    <w:basedOn w:val="973"/>
    <w:next w:val="1040"/>
    <w:link w:val="989"/>
    <w:qFormat/>
    <w:rPr>
      <w:rFonts w:ascii="宋体" w:hAnsi="Times New Roman" w:eastAsia="宋体" w:cs="Times New Roman"/>
      <w:color w:val="000000"/>
      <w:sz w:val="24"/>
      <w:szCs w:val="24"/>
    </w:rPr>
  </w:style>
  <w:style w:type="character" w:styleId="1041">
    <w:name w:val="副标题 Char"/>
    <w:basedOn w:val="973"/>
    <w:next w:val="1041"/>
    <w:link w:val="995"/>
    <w:qFormat/>
    <w:rPr>
      <w:rFonts w:ascii="Cambria" w:hAnsi="Cambria" w:eastAsia="宋体" w:cs="Times New Roman"/>
      <w:b/>
      <w:bCs/>
      <w:sz w:val="32"/>
      <w:szCs w:val="32"/>
    </w:rPr>
  </w:style>
  <w:style w:type="character" w:styleId="1042">
    <w:name w:val="正文文本缩进 3 Char"/>
    <w:basedOn w:val="973"/>
    <w:next w:val="1042"/>
    <w:link w:val="997"/>
    <w:qFormat/>
    <w:rPr>
      <w:rFonts w:ascii="Times New Roman" w:hAnsi="Times New Roman" w:eastAsia="宋体" w:cs="Times New Roman"/>
      <w:sz w:val="16"/>
      <w:szCs w:val="16"/>
    </w:rPr>
  </w:style>
  <w:style w:type="character" w:styleId="1043">
    <w:name w:val="正文文本 2 Char"/>
    <w:basedOn w:val="973"/>
    <w:next w:val="1043"/>
    <w:link w:val="1000"/>
    <w:qFormat/>
    <w:rPr>
      <w:rFonts w:ascii="仿宋_GB2312" w:hAnsi="Times New Roman" w:eastAsia="仿宋_GB2312" w:cs="Times New Roman"/>
      <w:sz w:val="28"/>
      <w:szCs w:val="30"/>
    </w:rPr>
  </w:style>
  <w:style w:type="character" w:styleId="1044">
    <w:name w:val="HTML 预设格式 Char1"/>
    <w:basedOn w:val="973"/>
    <w:next w:val="1044"/>
    <w:link w:val="1001"/>
    <w:qFormat/>
    <w:rPr>
      <w:rFonts w:ascii="宋体" w:hAnsi="宋体" w:eastAsia="宋体" w:cs="宋体"/>
      <w:sz w:val="24"/>
      <w:szCs w:val="24"/>
    </w:rPr>
  </w:style>
  <w:style w:type="character" w:styleId="1045">
    <w:name w:val="批注主题 Char"/>
    <w:basedOn w:val="1026"/>
    <w:next w:val="1045"/>
    <w:link w:val="1004"/>
    <w:qFormat/>
    <w:rPr>
      <w:rFonts w:ascii="Times New Roman" w:hAnsi="Times New Roman" w:eastAsia="宋体" w:cs="Times New Roman"/>
      <w:b/>
      <w:bCs/>
      <w:sz w:val="21"/>
      <w:szCs w:val="24"/>
    </w:rPr>
  </w:style>
  <w:style w:type="character" w:styleId="1046">
    <w:name w:val="Char Char"/>
    <w:next w:val="1046"/>
    <w:link w:val="963"/>
    <w:qFormat/>
    <w:rPr>
      <w:sz w:val="18"/>
      <w:szCs w:val="18"/>
    </w:rPr>
  </w:style>
  <w:style w:type="character" w:styleId="1047">
    <w:name w:val="H5 Char"/>
    <w:next w:val="1047"/>
    <w:link w:val="963"/>
    <w:qFormat/>
    <w:rPr>
      <w:rFonts w:eastAsia="黑体"/>
      <w:b/>
      <w:bCs/>
      <w:sz w:val="28"/>
      <w:szCs w:val="28"/>
      <w:lang w:val="en-US" w:eastAsia="zh-CN" w:bidi="ar-SA"/>
    </w:rPr>
  </w:style>
  <w:style w:type="character" w:styleId="1048">
    <w:name w:val="三级标题 Char"/>
    <w:next w:val="1048"/>
    <w:link w:val="1049"/>
    <w:qFormat/>
    <w:rPr>
      <w:rFonts w:ascii="华文中宋" w:hAnsi="华文中宋" w:eastAsia="华文中宋"/>
      <w:sz w:val="24"/>
      <w:szCs w:val="24"/>
    </w:rPr>
  </w:style>
  <w:style w:type="paragraph" w:styleId="1049">
    <w:name w:val="三级标题"/>
    <w:basedOn w:val="963"/>
    <w:next w:val="963"/>
    <w:link w:val="1048"/>
    <w:qFormat/>
    <w:pPr>
      <w:spacing w:line="360" w:lineRule="auto"/>
      <w:outlineLvl w:val="2"/>
    </w:pPr>
    <w:rPr>
      <w:rFonts w:ascii="华文中宋" w:hAnsi="华文中宋" w:eastAsia="华文中宋"/>
      <w:sz w:val="24"/>
      <w:szCs w:val="24"/>
      <w:lang w:val="en-US" w:eastAsia="en-US"/>
    </w:rPr>
  </w:style>
  <w:style w:type="character" w:styleId="1050">
    <w:name w:val="链接"/>
    <w:next w:val="1050"/>
    <w:link w:val="963"/>
    <w:qFormat/>
    <w:rPr>
      <w:rFonts w:ascii="Times New Roman" w:eastAsia="宋体"/>
      <w:color w:val="0000ff"/>
      <w:sz w:val="21"/>
      <w:u w:val="single"/>
      <w:vertAlign w:val="baseline"/>
      <w:lang w:val="en-US" w:eastAsia="zh-CN"/>
    </w:rPr>
  </w:style>
  <w:style w:type="character" w:styleId="1051">
    <w:name w:val="H4 Char"/>
    <w:next w:val="1051"/>
    <w:link w:val="963"/>
    <w:qFormat/>
    <w:rPr>
      <w:rFonts w:ascii="Arial" w:hAnsi="Arial" w:eastAsia="黑体"/>
      <w:b/>
      <w:bCs/>
      <w:sz w:val="28"/>
      <w:szCs w:val="28"/>
      <w:lang w:val="en-US" w:eastAsia="zh-CN" w:bidi="ar-SA"/>
    </w:rPr>
  </w:style>
  <w:style w:type="character" w:styleId="1052">
    <w:name w:val="wj1"/>
    <w:next w:val="1052"/>
    <w:link w:val="963"/>
    <w:qFormat/>
    <w:rPr>
      <w:color w:val="000000"/>
      <w:spacing w:val="260"/>
      <w:sz w:val="18"/>
      <w:szCs w:val="18"/>
      <w:u w:val="none"/>
    </w:rPr>
  </w:style>
  <w:style w:type="character" w:styleId="1053">
    <w:name w:val="Char Char2"/>
    <w:next w:val="1053"/>
    <w:link w:val="963"/>
    <w:qFormat/>
    <w:rPr>
      <w:rFonts w:ascii="Arial" w:hAnsi="Arial" w:eastAsia="黑体"/>
      <w:sz w:val="21"/>
      <w:szCs w:val="21"/>
    </w:rPr>
  </w:style>
  <w:style w:type="character" w:styleId="1054">
    <w:name w:val="Char Char4"/>
    <w:next w:val="1054"/>
    <w:link w:val="963"/>
    <w:qFormat/>
    <w:rPr>
      <w:b/>
      <w:bCs/>
      <w:sz w:val="24"/>
      <w:szCs w:val="24"/>
    </w:rPr>
  </w:style>
  <w:style w:type="character" w:styleId="1055">
    <w:name w:val="h3 Char"/>
    <w:next w:val="1055"/>
    <w:link w:val="963"/>
    <w:qFormat/>
    <w:rPr>
      <w:b/>
      <w:bCs/>
      <w:sz w:val="32"/>
      <w:szCs w:val="32"/>
    </w:rPr>
  </w:style>
  <w:style w:type="character" w:styleId="1056">
    <w:name w:val="Char Char1"/>
    <w:next w:val="1056"/>
    <w:link w:val="963"/>
    <w:qFormat/>
    <w:rPr>
      <w:sz w:val="18"/>
      <w:szCs w:val="18"/>
    </w:rPr>
  </w:style>
  <w:style w:type="character" w:styleId="1057">
    <w:name w:val="第*章 Char"/>
    <w:next w:val="1057"/>
    <w:link w:val="963"/>
    <w:qFormat/>
    <w:rPr>
      <w:rFonts w:ascii="Arial" w:hAnsi="Arial" w:eastAsia="黑体"/>
      <w:b/>
      <w:bCs/>
      <w:sz w:val="32"/>
      <w:szCs w:val="32"/>
    </w:rPr>
  </w:style>
  <w:style w:type="character" w:styleId="1058">
    <w:name w:val="H6 Char"/>
    <w:next w:val="1058"/>
    <w:link w:val="963"/>
    <w:qFormat/>
    <w:rPr>
      <w:rFonts w:ascii="Arial" w:hAnsi="Arial" w:eastAsia="黑体"/>
      <w:b/>
      <w:bCs/>
      <w:sz w:val="24"/>
      <w:szCs w:val="24"/>
    </w:rPr>
  </w:style>
  <w:style w:type="character" w:styleId="1059">
    <w:name w:val="Char Char3"/>
    <w:next w:val="1059"/>
    <w:link w:val="963"/>
    <w:qFormat/>
    <w:rPr>
      <w:rFonts w:ascii="Arial" w:hAnsi="Arial" w:eastAsia="黑体"/>
      <w:sz w:val="24"/>
      <w:szCs w:val="24"/>
    </w:rPr>
  </w:style>
  <w:style w:type="character" w:styleId="1060">
    <w:name w:val="HTML 预设格式 Char"/>
    <w:next w:val="1060"/>
    <w:link w:val="1061"/>
    <w:qFormat/>
    <w:rPr>
      <w:rFonts w:ascii="宋体" w:hAnsi="宋体" w:eastAsia="宋体"/>
      <w:sz w:val="24"/>
      <w:szCs w:val="24"/>
    </w:rPr>
  </w:style>
  <w:style w:type="paragraph" w:styleId="1061">
    <w:name w:val="HTML 预设格式1"/>
    <w:basedOn w:val="963"/>
    <w:next w:val="1061"/>
    <w:link w:val="106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lang w:val="en-US" w:eastAsia="en-US"/>
    </w:rPr>
  </w:style>
  <w:style w:type="character" w:styleId="1062">
    <w:name w:val="二级标题2 Char"/>
    <w:next w:val="1062"/>
    <w:link w:val="1063"/>
    <w:qFormat/>
    <w:rPr>
      <w:rFonts w:ascii="华文中宋" w:hAnsi="华文中宋" w:eastAsia="华文中宋"/>
      <w:b/>
      <w:bCs/>
      <w:sz w:val="24"/>
      <w:szCs w:val="24"/>
    </w:rPr>
  </w:style>
  <w:style w:type="paragraph" w:styleId="1063">
    <w:name w:val="二级标题2"/>
    <w:basedOn w:val="965"/>
    <w:next w:val="981"/>
    <w:link w:val="1062"/>
    <w:qFormat/>
    <w:pPr>
      <w:numPr>
        <w:ilvl w:val="1"/>
        <w:numId w:val="1"/>
      </w:numPr>
      <w:spacing w:before="0" w:after="0" w:line="360" w:lineRule="auto"/>
    </w:pPr>
    <w:rPr>
      <w:rFonts w:ascii="华文中宋" w:hAnsi="华文中宋" w:eastAsia="华文中宋"/>
      <w:sz w:val="24"/>
      <w:szCs w:val="24"/>
      <w:lang w:val="en-US" w:eastAsia="en-US"/>
    </w:rPr>
  </w:style>
  <w:style w:type="character" w:styleId="1064">
    <w:name w:val="普通正文 Char"/>
    <w:next w:val="1064"/>
    <w:link w:val="1065"/>
    <w:qFormat/>
    <w:rPr>
      <w:rFonts w:ascii="Arial" w:hAnsi="Arial"/>
      <w:sz w:val="24"/>
      <w:szCs w:val="24"/>
    </w:rPr>
  </w:style>
  <w:style w:type="paragraph" w:styleId="1065">
    <w:name w:val="普通正文"/>
    <w:basedOn w:val="963"/>
    <w:next w:val="1065"/>
    <w:link w:val="1064"/>
    <w:qFormat/>
    <w:pPr>
      <w:ind w:firstLine="480"/>
      <w:jc w:val="left"/>
      <w:spacing w:before="120" w:after="120" w:line="360" w:lineRule="auto"/>
    </w:pPr>
    <w:rPr>
      <w:rFonts w:ascii="Arial" w:hAnsi="Arial"/>
      <w:sz w:val="24"/>
      <w:szCs w:val="24"/>
      <w:lang w:val="en-US" w:eastAsia="en-US"/>
    </w:rPr>
  </w:style>
  <w:style w:type="character" w:styleId="1066">
    <w:name w:val="无间隔 Char"/>
    <w:next w:val="1066"/>
    <w:link w:val="963"/>
    <w:qFormat/>
    <w:rPr>
      <w:rFonts w:ascii="Calibri" w:hAnsi="Calibri"/>
      <w:sz w:val="22"/>
      <w:szCs w:val="22"/>
      <w:lang w:val="en-US" w:eastAsia="zh-CN" w:bidi="ar-SA"/>
    </w:rPr>
  </w:style>
  <w:style w:type="character" w:styleId="1067">
    <w:name w:val="纯文本 Char1"/>
    <w:next w:val="1067"/>
    <w:link w:val="963"/>
    <w:qFormat/>
    <w:rPr>
      <w:rFonts w:ascii="宋体" w:hAnsi="Courier New"/>
      <w:sz w:val="21"/>
    </w:rPr>
  </w:style>
  <w:style w:type="paragraph" w:styleId="1068">
    <w:name w:val="xl40"/>
    <w:basedOn w:val="963"/>
    <w:next w:val="1068"/>
    <w:link w:val="963"/>
    <w:qFormat/>
    <w:pPr>
      <w:jc w:val="left"/>
      <w:spacing w:before="100" w:beforeAutospacing="1" w:after="100" w:afterAutospacing="1"/>
      <w:widowControl/>
    </w:pPr>
    <w:rPr>
      <w:rFonts w:ascii="Arial" w:hAnsi="Arial" w:eastAsia="Arial Unicode MS" w:cs="Arial"/>
      <w:b/>
      <w:bCs/>
      <w:sz w:val="18"/>
      <w:szCs w:val="18"/>
    </w:rPr>
  </w:style>
  <w:style w:type="paragraph" w:styleId="1069">
    <w:name w:val="TOC 标题1"/>
    <w:basedOn w:val="964"/>
    <w:next w:val="963"/>
    <w:link w:val="963"/>
    <w:uiPriority w:val="39"/>
    <w:qFormat/>
    <w:pPr>
      <w:numPr>
        <w:numId w:val="1"/>
      </w:numPr>
      <w:jc w:val="left"/>
      <w:spacing w:before="480" w:after="0" w:line="276" w:lineRule="auto"/>
      <w:widowControl/>
      <w:outlineLvl w:val="9"/>
    </w:pPr>
    <w:rPr>
      <w:rFonts w:ascii="Cambria" w:hAnsi="Cambria" w:eastAsia="宋体" w:cs="Times New Roman"/>
      <w:color w:val="365f91"/>
      <w:sz w:val="28"/>
      <w:szCs w:val="28"/>
    </w:rPr>
  </w:style>
  <w:style w:type="paragraph" w:styleId="1070">
    <w:name w:val="xl37"/>
    <w:basedOn w:val="963"/>
    <w:next w:val="1070"/>
    <w:link w:val="963"/>
    <w:qFormat/>
    <w:pPr>
      <w:jc w:val="center"/>
      <w:spacing w:before="100" w:beforeAutospacing="1" w:after="100" w:afterAutospacing="1"/>
      <w:widowControl/>
      <w:pBdr>
        <w:left w:val="single" w:color="000000" w:sz="4" w:space="0"/>
      </w:pBdr>
    </w:pPr>
    <w:rPr>
      <w:rFonts w:ascii="Arial" w:hAnsi="Arial" w:eastAsia="Arial Unicode MS" w:cs="Arial"/>
      <w:b/>
      <w:bCs/>
      <w:sz w:val="16"/>
      <w:szCs w:val="16"/>
    </w:rPr>
  </w:style>
  <w:style w:type="paragraph" w:styleId="1071">
    <w:name w:val="??"/>
    <w:next w:val="1071"/>
    <w:link w:val="963"/>
    <w:qFormat/>
    <w:pPr>
      <w:jc w:val="both"/>
      <w:widowControl w:val="off"/>
    </w:pPr>
    <w:rPr>
      <w:rFonts w:ascii="Times New Roman" w:hAnsi="Times New Roman"/>
      <w:sz w:val="21"/>
      <w:szCs w:val="21"/>
      <w:lang w:val="en-US" w:eastAsia="en-US" w:bidi="ar-SA"/>
    </w:rPr>
  </w:style>
  <w:style w:type="paragraph" w:styleId="1072">
    <w:name w:val="题目项目"/>
    <w:basedOn w:val="963"/>
    <w:next w:val="1072"/>
    <w:link w:val="963"/>
    <w:qFormat/>
    <w:pPr>
      <w:numPr>
        <w:numId w:val="2"/>
      </w:numPr>
    </w:pPr>
    <w:rPr>
      <w:rFonts w:ascii="Times New Roman" w:hAnsi="Times New Roman" w:eastAsia="宋体" w:cs="Times New Roman"/>
      <w:szCs w:val="24"/>
    </w:rPr>
  </w:style>
  <w:style w:type="paragraph" w:styleId="1073">
    <w:name w:val="xl56"/>
    <w:basedOn w:val="963"/>
    <w:next w:val="1073"/>
    <w:link w:val="963"/>
    <w:qFormat/>
    <w:pPr>
      <w:jc w:val="right"/>
      <w:spacing w:before="100" w:beforeAutospacing="1" w:after="100" w:afterAutospacing="1"/>
      <w:widowControl/>
    </w:pPr>
    <w:rPr>
      <w:rFonts w:ascii="Arial" w:hAnsi="Arial" w:eastAsia="Arial Unicode MS" w:cs="Arial"/>
      <w:sz w:val="24"/>
      <w:szCs w:val="24"/>
    </w:rPr>
  </w:style>
  <w:style w:type="paragraph" w:styleId="1074">
    <w:name w:val="xl70"/>
    <w:basedOn w:val="963"/>
    <w:next w:val="1074"/>
    <w:link w:val="963"/>
    <w:qFormat/>
    <w:pPr>
      <w:jc w:val="left"/>
      <w:spacing w:before="100" w:beforeAutospacing="1" w:after="100" w:afterAutospacing="1"/>
      <w:widowControl/>
      <w:pBdr>
        <w:top w:val="single" w:color="000000" w:sz="4" w:space="0"/>
        <w:right w:val="single" w:color="000000" w:sz="4" w:space="0"/>
      </w:pBdr>
    </w:pPr>
    <w:rPr>
      <w:rFonts w:ascii="Arial" w:hAnsi="Arial" w:eastAsia="Arial Unicode MS" w:cs="Arial"/>
      <w:b/>
      <w:bCs/>
      <w:sz w:val="18"/>
      <w:szCs w:val="18"/>
    </w:rPr>
  </w:style>
  <w:style w:type="paragraph" w:styleId="1075">
    <w:name w:val="xl28"/>
    <w:basedOn w:val="963"/>
    <w:next w:val="1075"/>
    <w:link w:val="963"/>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1076">
    <w:name w:val="章标题"/>
    <w:basedOn w:val="963"/>
    <w:next w:val="1076"/>
    <w:link w:val="963"/>
    <w:qFormat/>
    <w:pPr>
      <w:jc w:val="center"/>
      <w:spacing w:before="158" w:after="153" w:line="323" w:lineRule="atLeast"/>
      <w:widowControl/>
    </w:pPr>
    <w:rPr>
      <w:rFonts w:ascii="Arial" w:hAnsi="Times New Roman" w:eastAsia="黑体" w:cs="Times New Roman"/>
      <w:color w:val="000000"/>
      <w:sz w:val="31"/>
      <w:szCs w:val="20"/>
    </w:rPr>
  </w:style>
  <w:style w:type="paragraph" w:styleId="1077">
    <w:name w:val="font12"/>
    <w:basedOn w:val="963"/>
    <w:next w:val="1077"/>
    <w:link w:val="963"/>
    <w:qFormat/>
    <w:pPr>
      <w:jc w:val="left"/>
      <w:spacing w:before="100" w:beforeAutospacing="1" w:after="100" w:afterAutospacing="1"/>
      <w:widowControl/>
    </w:pPr>
    <w:rPr>
      <w:rFonts w:hint="eastAsia" w:ascii="楷体_GB2312" w:hAnsi="Arial Unicode MS" w:eastAsia="楷体_GB2312" w:cs="Arial Unicode MS"/>
      <w:sz w:val="20"/>
      <w:szCs w:val="20"/>
    </w:rPr>
  </w:style>
  <w:style w:type="paragraph" w:styleId="1078">
    <w:name w:val="xl45"/>
    <w:basedOn w:val="963"/>
    <w:next w:val="1078"/>
    <w:link w:val="963"/>
    <w:pPr>
      <w:jc w:val="left"/>
      <w:spacing w:before="100" w:beforeAutospacing="1" w:after="100" w:afterAutospacing="1"/>
      <w:widowControl/>
      <w:pBdr>
        <w:left w:val="single" w:color="000000" w:sz="4" w:space="0"/>
        <w:right w:val="single" w:color="000000" w:sz="4" w:space="0"/>
      </w:pBdr>
    </w:pPr>
    <w:rPr>
      <w:rFonts w:hint="eastAsia" w:ascii="宋体" w:hAnsi="宋体" w:eastAsia="宋体" w:cs="Arial Unicode MS"/>
      <w:sz w:val="18"/>
      <w:szCs w:val="18"/>
    </w:rPr>
  </w:style>
  <w:style w:type="paragraph" w:styleId="1079">
    <w:name w:val="文章总标题"/>
    <w:basedOn w:val="963"/>
    <w:next w:val="1079"/>
    <w:link w:val="963"/>
    <w:qFormat/>
    <w:pPr>
      <w:jc w:val="center"/>
      <w:spacing w:before="566" w:after="544" w:line="566" w:lineRule="atLeast"/>
      <w:widowControl/>
    </w:pPr>
    <w:rPr>
      <w:rFonts w:ascii="Arial" w:hAnsi="Times New Roman" w:eastAsia="黑体" w:cs="Times New Roman"/>
      <w:color w:val="000000"/>
      <w:sz w:val="54"/>
      <w:szCs w:val="20"/>
    </w:rPr>
  </w:style>
  <w:style w:type="paragraph" w:styleId="1080">
    <w:name w:val="目录1"/>
    <w:basedOn w:val="963"/>
    <w:next w:val="1080"/>
    <w:link w:val="963"/>
    <w:qFormat/>
    <w:pPr>
      <w:jc w:val="left"/>
      <w:spacing w:after="136" w:line="289" w:lineRule="atLeast"/>
      <w:widowControl/>
      <w:tabs>
        <w:tab w:val="left" w:pos="8503" w:leader="dot"/>
      </w:tabs>
    </w:pPr>
    <w:rPr>
      <w:rFonts w:ascii="Arial" w:hAnsi="Times New Roman" w:eastAsia="黑体" w:cs="Times New Roman"/>
      <w:color w:val="000000"/>
      <w:sz w:val="28"/>
      <w:szCs w:val="20"/>
    </w:rPr>
  </w:style>
  <w:style w:type="paragraph" w:styleId="1081">
    <w:name w:val="xl54"/>
    <w:basedOn w:val="963"/>
    <w:next w:val="1081"/>
    <w:link w:val="963"/>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1082">
    <w:name w:val="xl47"/>
    <w:basedOn w:val="963"/>
    <w:next w:val="1082"/>
    <w:link w:val="963"/>
    <w:qFormat/>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1083">
    <w:name w:val="xl49"/>
    <w:basedOn w:val="963"/>
    <w:next w:val="1083"/>
    <w:link w:val="963"/>
    <w:qFormat/>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1084">
    <w:name w:val="IBM 正文"/>
    <w:basedOn w:val="963"/>
    <w:next w:val="1084"/>
    <w:link w:val="963"/>
    <w:qFormat/>
    <w:pPr>
      <w:spacing w:line="360" w:lineRule="exact"/>
    </w:pPr>
    <w:rPr>
      <w:rFonts w:ascii="Times New Roman" w:hAnsi="Times New Roman" w:eastAsia="宋体" w:cs="Times New Roman"/>
      <w:sz w:val="24"/>
      <w:szCs w:val="20"/>
    </w:rPr>
  </w:style>
  <w:style w:type="paragraph" w:styleId="1085">
    <w:name w:val="font11"/>
    <w:basedOn w:val="963"/>
    <w:next w:val="1085"/>
    <w:link w:val="963"/>
    <w:qFormat/>
    <w:pPr>
      <w:jc w:val="left"/>
      <w:spacing w:before="100" w:beforeAutospacing="1" w:after="100" w:afterAutospacing="1"/>
      <w:widowControl/>
    </w:pPr>
    <w:rPr>
      <w:rFonts w:hint="eastAsia" w:ascii="楷体_GB2312" w:hAnsi="Arial Unicode MS" w:eastAsia="楷体_GB2312" w:cs="Arial Unicode MS"/>
      <w:b/>
      <w:bCs/>
      <w:sz w:val="18"/>
      <w:szCs w:val="18"/>
    </w:rPr>
  </w:style>
  <w:style w:type="paragraph" w:styleId="1086">
    <w:name w:val="xl65"/>
    <w:basedOn w:val="963"/>
    <w:next w:val="1086"/>
    <w:link w:val="963"/>
    <w:qFormat/>
    <w:pPr>
      <w:jc w:val="left"/>
      <w:spacing w:before="100" w:beforeAutospacing="1" w:after="100" w:afterAutospacing="1"/>
      <w:widowControl/>
      <w:pBdr>
        <w:left w:val="single" w:color="000000" w:sz="4" w:space="0"/>
        <w:bottom w:val="single" w:color="000000" w:sz="4" w:space="0"/>
      </w:pBdr>
    </w:pPr>
    <w:rPr>
      <w:rFonts w:hint="eastAsia" w:ascii="楷体_GB2312" w:hAnsi="Arial Unicode MS" w:eastAsia="楷体_GB2312" w:cs="Arial Unicode MS"/>
      <w:b/>
      <w:bCs/>
      <w:sz w:val="18"/>
      <w:szCs w:val="18"/>
    </w:rPr>
  </w:style>
  <w:style w:type="paragraph" w:styleId="1087">
    <w:name w:val="xl41"/>
    <w:basedOn w:val="963"/>
    <w:next w:val="1087"/>
    <w:link w:val="963"/>
    <w:qFormat/>
    <w:pPr>
      <w:jc w:val="left"/>
      <w:spacing w:before="100" w:beforeAutospacing="1" w:after="100" w:afterAutospacing="1"/>
      <w:widowControl/>
      <w:pBdr>
        <w:right w:val="single" w:color="000000" w:sz="4" w:space="0"/>
      </w:pBdr>
    </w:pPr>
    <w:rPr>
      <w:rFonts w:ascii="Arial" w:hAnsi="Arial" w:eastAsia="Arial Unicode MS" w:cs="Arial"/>
      <w:sz w:val="18"/>
      <w:szCs w:val="18"/>
    </w:rPr>
  </w:style>
  <w:style w:type="paragraph" w:styleId="1088">
    <w:name w:val="小节标题"/>
    <w:basedOn w:val="963"/>
    <w:next w:val="1088"/>
    <w:link w:val="963"/>
    <w:qFormat/>
    <w:pPr>
      <w:spacing w:before="175" w:after="102" w:line="351" w:lineRule="atLeast"/>
      <w:widowControl/>
    </w:pPr>
    <w:rPr>
      <w:rFonts w:ascii="Times New Roman" w:hAnsi="Times New Roman" w:eastAsia="黑体" w:cs="Times New Roman"/>
      <w:color w:val="000000"/>
      <w:szCs w:val="20"/>
    </w:rPr>
  </w:style>
  <w:style w:type="paragraph" w:styleId="1089">
    <w:name w:val="xl39"/>
    <w:basedOn w:val="963"/>
    <w:next w:val="1089"/>
    <w:link w:val="963"/>
    <w:qFormat/>
    <w:pPr>
      <w:jc w:val="center"/>
      <w:spacing w:before="100" w:beforeAutospacing="1" w:after="100" w:afterAutospacing="1"/>
      <w:widowControl/>
      <w:pBdr>
        <w:top w:val="single" w:color="000000" w:sz="4" w:space="0"/>
        <w:right w:val="single" w:color="000000" w:sz="4" w:space="0"/>
      </w:pBdr>
    </w:pPr>
    <w:rPr>
      <w:rFonts w:ascii="Arial" w:hAnsi="Arial" w:eastAsia="Arial Unicode MS" w:cs="Arial"/>
      <w:b/>
      <w:bCs/>
      <w:sz w:val="16"/>
      <w:szCs w:val="16"/>
    </w:rPr>
  </w:style>
  <w:style w:type="paragraph" w:styleId="1090">
    <w:name w:val="xl29"/>
    <w:basedOn w:val="963"/>
    <w:next w:val="1090"/>
    <w:link w:val="963"/>
    <w:qFormat/>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091">
    <w:name w:val="xl44"/>
    <w:basedOn w:val="963"/>
    <w:next w:val="1091"/>
    <w:link w:val="963"/>
    <w:qFormat/>
    <w:pPr>
      <w:jc w:val="left"/>
      <w:spacing w:before="100" w:beforeAutospacing="1" w:after="100" w:afterAutospacing="1"/>
      <w:widowControl/>
      <w:pBdr>
        <w:left w:val="single" w:color="000000" w:sz="4" w:space="0"/>
      </w:pBdr>
    </w:pPr>
    <w:rPr>
      <w:rFonts w:hint="eastAsia" w:ascii="楷体_GB2312" w:hAnsi="Arial Unicode MS" w:eastAsia="楷体_GB2312" w:cs="Arial Unicode MS"/>
      <w:b/>
      <w:bCs/>
      <w:sz w:val="18"/>
      <w:szCs w:val="18"/>
    </w:rPr>
  </w:style>
  <w:style w:type="paragraph" w:styleId="1092">
    <w:name w:val="xl38"/>
    <w:basedOn w:val="963"/>
    <w:next w:val="1092"/>
    <w:link w:val="963"/>
    <w:qFormat/>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b/>
      <w:bCs/>
      <w:sz w:val="16"/>
      <w:szCs w:val="16"/>
    </w:rPr>
  </w:style>
  <w:style w:type="paragraph" w:styleId="1093">
    <w:name w:val="目录3"/>
    <w:basedOn w:val="963"/>
    <w:next w:val="1093"/>
    <w:link w:val="963"/>
    <w:qFormat/>
    <w:pPr>
      <w:ind w:firstLine="419"/>
      <w:spacing w:line="317" w:lineRule="atLeast"/>
      <w:widowControl/>
      <w:tabs>
        <w:tab w:val="left" w:pos="7370" w:leader="dot"/>
      </w:tabs>
    </w:pPr>
    <w:rPr>
      <w:rFonts w:ascii="Times New Roman" w:hAnsi="Times New Roman" w:eastAsia="宋体" w:cs="Times New Roman"/>
      <w:color w:val="000000"/>
      <w:szCs w:val="20"/>
    </w:rPr>
  </w:style>
  <w:style w:type="paragraph" w:styleId="1094">
    <w:name w:val="font13"/>
    <w:basedOn w:val="963"/>
    <w:next w:val="1094"/>
    <w:link w:val="963"/>
    <w:qFormat/>
    <w:pPr>
      <w:jc w:val="left"/>
      <w:spacing w:before="100" w:beforeAutospacing="1" w:after="100" w:afterAutospacing="1"/>
      <w:widowControl/>
    </w:pPr>
    <w:rPr>
      <w:rFonts w:hint="eastAsia" w:ascii="宋体" w:hAnsi="宋体" w:eastAsia="宋体" w:cs="Arial Unicode MS"/>
      <w:sz w:val="20"/>
      <w:szCs w:val="20"/>
    </w:rPr>
  </w:style>
  <w:style w:type="paragraph" w:styleId="1095">
    <w:name w:val="xl74"/>
    <w:basedOn w:val="963"/>
    <w:next w:val="1095"/>
    <w:link w:val="963"/>
    <w:qFormat/>
    <w:pPr>
      <w:jc w:val="left"/>
      <w:spacing w:before="100" w:beforeAutospacing="1" w:after="100" w:afterAutospacing="1"/>
      <w:widowControl/>
      <w:pBdr>
        <w:top w:val="single" w:color="000000" w:sz="4" w:space="0"/>
      </w:pBdr>
    </w:pPr>
    <w:rPr>
      <w:rFonts w:ascii="Arial" w:hAnsi="Arial" w:eastAsia="Arial Unicode MS" w:cs="Arial"/>
      <w:b/>
      <w:bCs/>
      <w:sz w:val="18"/>
      <w:szCs w:val="18"/>
    </w:rPr>
  </w:style>
  <w:style w:type="paragraph" w:styleId="1096">
    <w:name w:val="NAP Normal"/>
    <w:basedOn w:val="963"/>
    <w:next w:val="1096"/>
    <w:link w:val="963"/>
    <w:qFormat/>
    <w:pPr>
      <w:spacing w:line="240" w:lineRule="exact"/>
    </w:pPr>
    <w:rPr>
      <w:rFonts w:ascii="Times New Roman" w:hAnsi="Times New Roman" w:eastAsia="宋体" w:cs="Times New Roman"/>
      <w:sz w:val="22"/>
    </w:rPr>
  </w:style>
  <w:style w:type="paragraph" w:styleId="1097">
    <w:name w:val="xl58"/>
    <w:basedOn w:val="963"/>
    <w:next w:val="1097"/>
    <w:link w:val="963"/>
    <w:qFormat/>
    <w:pPr>
      <w:jc w:val="left"/>
      <w:spacing w:before="100" w:beforeAutospacing="1" w:after="100" w:afterAutospacing="1"/>
      <w:widowControl/>
      <w:pBdr>
        <w:top w:val="single" w:color="000000" w:sz="8" w:space="0"/>
      </w:pBdr>
    </w:pPr>
    <w:rPr>
      <w:rFonts w:ascii="Arial" w:hAnsi="Arial" w:eastAsia="Arial Unicode MS" w:cs="Arial"/>
      <w:sz w:val="24"/>
      <w:szCs w:val="24"/>
    </w:rPr>
  </w:style>
  <w:style w:type="paragraph" w:styleId="1098">
    <w:name w:val="Char Char1 Char Char Char"/>
    <w:basedOn w:val="963"/>
    <w:next w:val="1098"/>
    <w:link w:val="963"/>
    <w:rPr>
      <w:rFonts w:ascii="Times New Roman" w:hAnsi="Times New Roman" w:eastAsia="宋体" w:cs="Times New Roman"/>
      <w:szCs w:val="20"/>
    </w:rPr>
  </w:style>
  <w:style w:type="paragraph" w:styleId="1099">
    <w:name w:val="xl52"/>
    <w:basedOn w:val="963"/>
    <w:next w:val="1099"/>
    <w:link w:val="963"/>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100">
    <w:name w:val="font7"/>
    <w:basedOn w:val="963"/>
    <w:next w:val="1100"/>
    <w:link w:val="963"/>
    <w:qFormat/>
    <w:pPr>
      <w:jc w:val="left"/>
      <w:spacing w:before="100" w:beforeAutospacing="1" w:after="100" w:afterAutospacing="1"/>
      <w:widowControl/>
    </w:pPr>
    <w:rPr>
      <w:rFonts w:hint="eastAsia" w:ascii="宋体" w:hAnsi="宋体" w:eastAsia="宋体" w:cs="Arial Unicode MS"/>
      <w:sz w:val="18"/>
      <w:szCs w:val="18"/>
    </w:rPr>
  </w:style>
  <w:style w:type="paragraph" w:styleId="1101">
    <w:name w:val="xl71"/>
    <w:basedOn w:val="963"/>
    <w:next w:val="1101"/>
    <w:link w:val="963"/>
    <w:qFormat/>
    <w:pPr>
      <w:jc w:val="left"/>
      <w:spacing w:before="100" w:beforeAutospacing="1" w:after="100" w:afterAutospacing="1"/>
      <w:widowControl/>
      <w:pBdr>
        <w:top w:val="single" w:color="000000" w:sz="4" w:space="0"/>
        <w:bottom w:val="single" w:color="000000" w:sz="4" w:space="0"/>
      </w:pBdr>
    </w:pPr>
    <w:rPr>
      <w:rFonts w:ascii="Arial" w:hAnsi="Arial" w:eastAsia="Arial Unicode MS" w:cs="Arial"/>
      <w:sz w:val="16"/>
      <w:szCs w:val="16"/>
    </w:rPr>
  </w:style>
  <w:style w:type="paragraph" w:styleId="1102">
    <w:name w:val="xl50"/>
    <w:basedOn w:val="963"/>
    <w:next w:val="1102"/>
    <w:link w:val="963"/>
    <w:pPr>
      <w:jc w:val="left"/>
      <w:spacing w:before="100" w:beforeAutospacing="1" w:after="100" w:afterAutospacing="1"/>
      <w:widowControl/>
      <w:pBdr>
        <w:bottom w:val="single" w:color="000000" w:sz="4" w:space="0"/>
        <w:right w:val="single" w:color="000000" w:sz="4" w:space="0"/>
      </w:pBdr>
    </w:pPr>
    <w:rPr>
      <w:rFonts w:ascii="Arial" w:hAnsi="Arial" w:eastAsia="Arial Unicode MS" w:cs="Arial"/>
      <w:sz w:val="18"/>
      <w:szCs w:val="18"/>
    </w:rPr>
  </w:style>
  <w:style w:type="paragraph" w:styleId="1103">
    <w:name w:val="正文2"/>
    <w:basedOn w:val="963"/>
    <w:next w:val="1103"/>
    <w:link w:val="963"/>
    <w:qFormat/>
    <w:pPr>
      <w:ind w:firstLine="200"/>
      <w:jc w:val="left"/>
      <w:spacing w:after="160" w:line="360" w:lineRule="auto"/>
      <w:widowControl/>
    </w:pPr>
    <w:rPr>
      <w:rFonts w:ascii="Verdana" w:hAnsi="Verdana" w:eastAsia="黑体" w:cs="Times New Roman"/>
      <w:szCs w:val="20"/>
      <w:lang w:eastAsia="en-US"/>
    </w:rPr>
  </w:style>
  <w:style w:type="paragraph" w:styleId="1104">
    <w:name w:val="默认段落字体 Para Char Char Char Char Char Char Char"/>
    <w:basedOn w:val="978"/>
    <w:next w:val="1104"/>
    <w:link w:val="963"/>
    <w:qFormat/>
    <w:pPr>
      <w:ind w:left="357"/>
      <w:jc w:val="left"/>
      <w:spacing w:line="436" w:lineRule="exact"/>
      <w:shd w:val="clear" w:color="auto" w:fill="000080"/>
      <w:outlineLvl w:val="3"/>
    </w:pPr>
    <w:rPr>
      <w:rFonts w:ascii="Tahoma" w:hAnsi="Tahoma" w:cs="Times New Roman"/>
      <w:b/>
      <w:sz w:val="24"/>
      <w:szCs w:val="24"/>
    </w:rPr>
  </w:style>
  <w:style w:type="paragraph" w:styleId="1105">
    <w:name w:val="xl72"/>
    <w:basedOn w:val="963"/>
    <w:next w:val="1105"/>
    <w:link w:val="96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szCs w:val="24"/>
    </w:rPr>
  </w:style>
  <w:style w:type="paragraph" w:styleId="1106">
    <w:name w:val="样式1"/>
    <w:basedOn w:val="963"/>
    <w:next w:val="1106"/>
    <w:link w:val="963"/>
    <w:qFormat/>
    <w:pPr>
      <w:ind w:left="709" w:hanging="709"/>
      <w:tabs>
        <w:tab w:val="left" w:pos="709" w:leader="none"/>
      </w:tabs>
    </w:pPr>
    <w:rPr>
      <w:rFonts w:ascii="宋体" w:hAnsi="宋体" w:eastAsia="宋体" w:cs="Times New Roman"/>
      <w:szCs w:val="21"/>
    </w:rPr>
  </w:style>
  <w:style w:type="paragraph" w:styleId="1107">
    <w:name w:val="xl73"/>
    <w:basedOn w:val="963"/>
    <w:next w:val="1107"/>
    <w:link w:val="963"/>
    <w:qFormat/>
    <w:pPr>
      <w:jc w:val="left"/>
      <w:spacing w:before="100" w:beforeAutospacing="1" w:after="100" w:afterAutospacing="1"/>
      <w:widowControl/>
      <w:pBdr>
        <w:top w:val="single" w:color="000000" w:sz="4" w:space="0"/>
        <w:left w:val="single" w:color="000000" w:sz="4" w:space="0"/>
      </w:pBdr>
    </w:pPr>
    <w:rPr>
      <w:rFonts w:hint="eastAsia" w:ascii="楷体_GB2312" w:hAnsi="Arial Unicode MS" w:eastAsia="楷体_GB2312" w:cs="Arial Unicode MS"/>
      <w:b/>
      <w:bCs/>
      <w:sz w:val="18"/>
      <w:szCs w:val="18"/>
    </w:rPr>
  </w:style>
  <w:style w:type="paragraph" w:styleId="1108">
    <w:name w:val="xl60"/>
    <w:basedOn w:val="963"/>
    <w:next w:val="1108"/>
    <w:link w:val="963"/>
    <w:qFormat/>
    <w:pPr>
      <w:jc w:val="left"/>
      <w:spacing w:before="100" w:beforeAutospacing="1" w:after="100" w:afterAutospacing="1"/>
      <w:widowControl/>
      <w:pBdr>
        <w:top w:val="single" w:color="000000" w:sz="8" w:space="0"/>
        <w:right w:val="single" w:color="000000" w:sz="8" w:space="0"/>
      </w:pBdr>
    </w:pPr>
    <w:rPr>
      <w:rFonts w:ascii="Arial" w:hAnsi="Arial" w:eastAsia="Arial Unicode MS" w:cs="Arial"/>
      <w:sz w:val="24"/>
      <w:szCs w:val="24"/>
    </w:rPr>
  </w:style>
  <w:style w:type="paragraph" w:styleId="1109">
    <w:name w:val="无间隔"/>
    <w:next w:val="1109"/>
    <w:link w:val="963"/>
    <w:qFormat/>
    <w:rPr>
      <w:sz w:val="22"/>
      <w:szCs w:val="22"/>
      <w:lang w:val="en-US" w:eastAsia="zh-CN" w:bidi="ar-SA"/>
    </w:rPr>
  </w:style>
  <w:style w:type="paragraph" w:styleId="1110">
    <w:name w:val="xl59"/>
    <w:basedOn w:val="963"/>
    <w:next w:val="1110"/>
    <w:link w:val="963"/>
    <w:qFormat/>
    <w:pPr>
      <w:jc w:val="left"/>
      <w:spacing w:before="100" w:beforeAutospacing="1" w:after="100" w:afterAutospacing="1"/>
      <w:widowControl/>
      <w:pBdr>
        <w:top w:val="single" w:color="000000" w:sz="8" w:space="0"/>
      </w:pBdr>
    </w:pPr>
    <w:rPr>
      <w:rFonts w:hint="eastAsia" w:ascii="宋体" w:hAnsi="宋体" w:eastAsia="宋体" w:cs="Arial Unicode MS"/>
      <w:sz w:val="24"/>
      <w:szCs w:val="24"/>
    </w:rPr>
  </w:style>
  <w:style w:type="paragraph" w:styleId="1111">
    <w:name w:val="xl35"/>
    <w:basedOn w:val="963"/>
    <w:next w:val="1111"/>
    <w:link w:val="963"/>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1112">
    <w:name w:val="xl27"/>
    <w:basedOn w:val="963"/>
    <w:next w:val="1112"/>
    <w:link w:val="963"/>
    <w:qFormat/>
    <w:pPr>
      <w:jc w:val="righ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113">
    <w:name w:val="节标题"/>
    <w:basedOn w:val="963"/>
    <w:next w:val="1113"/>
    <w:link w:val="963"/>
    <w:qFormat/>
    <w:pPr>
      <w:jc w:val="center"/>
      <w:spacing w:line="289" w:lineRule="atLeast"/>
      <w:widowControl/>
    </w:pPr>
    <w:rPr>
      <w:rFonts w:ascii="Times New Roman" w:hAnsi="Times New Roman" w:eastAsia="宋体" w:cs="Times New Roman"/>
      <w:color w:val="000000"/>
      <w:sz w:val="28"/>
      <w:szCs w:val="20"/>
    </w:rPr>
  </w:style>
  <w:style w:type="paragraph" w:styleId="1114">
    <w:name w:val="正文_13"/>
    <w:next w:val="1114"/>
    <w:link w:val="963"/>
    <w:qFormat/>
    <w:pPr>
      <w:jc w:val="both"/>
      <w:widowControl w:val="off"/>
    </w:pPr>
    <w:rPr>
      <w:rFonts w:ascii="Times New Roman" w:hAnsi="Times New Roman"/>
      <w:sz w:val="21"/>
      <w:szCs w:val="24"/>
      <w:lang w:val="en-US" w:eastAsia="zh-CN" w:bidi="ar-SA"/>
    </w:rPr>
  </w:style>
  <w:style w:type="paragraph" w:styleId="1115">
    <w:name w:val="black1"/>
    <w:basedOn w:val="963"/>
    <w:next w:val="1115"/>
    <w:link w:val="963"/>
    <w:qFormat/>
    <w:pPr>
      <w:jc w:val="left"/>
      <w:spacing w:before="100" w:beforeAutospacing="1" w:after="100" w:afterAutospacing="1" w:line="280" w:lineRule="atLeast"/>
      <w:widowControl/>
    </w:pPr>
    <w:rPr>
      <w:rFonts w:ascii="Arial" w:hAnsi="Arial" w:eastAsia="Arial Unicode MS" w:cs="Arial"/>
      <w:color w:val="000000"/>
      <w:sz w:val="18"/>
      <w:szCs w:val="18"/>
    </w:rPr>
  </w:style>
  <w:style w:type="paragraph" w:styleId="1116">
    <w:name w:val="xl42"/>
    <w:basedOn w:val="963"/>
    <w:next w:val="1116"/>
    <w:link w:val="963"/>
    <w:qFormat/>
    <w:pPr>
      <w:jc w:val="left"/>
      <w:spacing w:before="100" w:beforeAutospacing="1" w:after="100" w:afterAutospacing="1"/>
      <w:widowControl/>
    </w:pPr>
    <w:rPr>
      <w:rFonts w:hint="eastAsia" w:ascii="楷体_GB2312" w:hAnsi="Arial Unicode MS" w:eastAsia="楷体_GB2312" w:cs="Arial Unicode MS"/>
      <w:sz w:val="24"/>
      <w:szCs w:val="24"/>
    </w:rPr>
  </w:style>
  <w:style w:type="paragraph" w:styleId="1117">
    <w:name w:val="xl64"/>
    <w:basedOn w:val="963"/>
    <w:next w:val="1117"/>
    <w:link w:val="963"/>
    <w:qFormat/>
    <w:pPr>
      <w:jc w:val="right"/>
      <w:spacing w:before="100" w:beforeAutospacing="1" w:after="100" w:afterAutospacing="1"/>
      <w:widowControl/>
      <w:pBdr>
        <w:right w:val="single" w:color="000000" w:sz="8" w:space="0"/>
      </w:pBdr>
    </w:pPr>
    <w:rPr>
      <w:rFonts w:ascii="Arial" w:hAnsi="Arial" w:eastAsia="Arial Unicode MS" w:cs="Arial"/>
      <w:sz w:val="24"/>
      <w:szCs w:val="24"/>
    </w:rPr>
  </w:style>
  <w:style w:type="paragraph" w:styleId="1118">
    <w:name w:val="xl32"/>
    <w:basedOn w:val="963"/>
    <w:next w:val="1118"/>
    <w:link w:val="963"/>
    <w:qFormat/>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119">
    <w:name w:val="xl55"/>
    <w:basedOn w:val="963"/>
    <w:next w:val="1119"/>
    <w:link w:val="963"/>
    <w:qFormat/>
    <w:pPr>
      <w:jc w:val="center"/>
      <w:spacing w:before="100" w:beforeAutospacing="1" w:after="100" w:afterAutospacing="1"/>
      <w:widowControl/>
    </w:pPr>
    <w:rPr>
      <w:rFonts w:ascii="Arial" w:hAnsi="Arial" w:eastAsia="Arial Unicode MS" w:cs="Arial"/>
      <w:sz w:val="24"/>
      <w:szCs w:val="24"/>
    </w:rPr>
  </w:style>
  <w:style w:type="paragraph" w:styleId="1120">
    <w:name w:val="目录标题"/>
    <w:basedOn w:val="963"/>
    <w:next w:val="1120"/>
    <w:link w:val="963"/>
    <w:qFormat/>
    <w:pPr>
      <w:ind w:firstLine="419"/>
      <w:jc w:val="center"/>
      <w:spacing w:before="566" w:after="544" w:line="566" w:lineRule="atLeast"/>
      <w:widowControl/>
    </w:pPr>
    <w:rPr>
      <w:rFonts w:ascii="Arial" w:hAnsi="Times New Roman" w:eastAsia="黑体" w:cs="Times New Roman"/>
      <w:color w:val="000000"/>
      <w:spacing w:val="566"/>
      <w:sz w:val="54"/>
      <w:szCs w:val="20"/>
    </w:rPr>
  </w:style>
  <w:style w:type="paragraph" w:styleId="1121">
    <w:name w:val="xl63"/>
    <w:basedOn w:val="963"/>
    <w:next w:val="1121"/>
    <w:link w:val="963"/>
    <w:qFormat/>
    <w:pPr>
      <w:jc w:val="left"/>
      <w:spacing w:before="100" w:beforeAutospacing="1" w:after="100" w:afterAutospacing="1"/>
      <w:widowControl/>
    </w:pPr>
    <w:rPr>
      <w:rFonts w:hint="eastAsia" w:ascii="宋体" w:hAnsi="宋体" w:eastAsia="宋体" w:cs="Arial Unicode MS"/>
      <w:sz w:val="24"/>
      <w:szCs w:val="24"/>
    </w:rPr>
  </w:style>
  <w:style w:type="paragraph" w:styleId="1122">
    <w:name w:val="xl51"/>
    <w:basedOn w:val="963"/>
    <w:next w:val="1122"/>
    <w:link w:val="963"/>
    <w:qFormat/>
    <w:pPr>
      <w:jc w:val="right"/>
      <w:spacing w:before="100" w:beforeAutospacing="1" w:after="100" w:afterAutospacing="1"/>
      <w:widowControl/>
      <w:pBdr>
        <w:left w:val="single" w:color="000000" w:sz="4" w:space="0"/>
        <w:bottom w:val="single" w:color="000000" w:sz="4" w:space="0"/>
      </w:pBdr>
    </w:pPr>
    <w:rPr>
      <w:rFonts w:ascii="Arial" w:hAnsi="Arial" w:eastAsia="Arial Unicode MS" w:cs="Arial"/>
      <w:sz w:val="18"/>
      <w:szCs w:val="18"/>
    </w:rPr>
  </w:style>
  <w:style w:type="paragraph" w:styleId="1123">
    <w:name w:val="目录2"/>
    <w:basedOn w:val="963"/>
    <w:next w:val="1123"/>
    <w:link w:val="963"/>
    <w:qFormat/>
    <w:pPr>
      <w:ind w:firstLine="209"/>
      <w:spacing w:line="317" w:lineRule="atLeast"/>
      <w:widowControl/>
      <w:tabs>
        <w:tab w:val="left" w:pos="7370" w:leader="dot"/>
      </w:tabs>
    </w:pPr>
    <w:rPr>
      <w:rFonts w:ascii="Times New Roman" w:hAnsi="Times New Roman" w:eastAsia="宋体" w:cs="Times New Roman"/>
      <w:color w:val="000000"/>
      <w:szCs w:val="20"/>
    </w:rPr>
  </w:style>
  <w:style w:type="paragraph" w:styleId="1124">
    <w:name w:val="xl57"/>
    <w:basedOn w:val="963"/>
    <w:next w:val="1124"/>
    <w:link w:val="963"/>
    <w:qFormat/>
    <w:pPr>
      <w:jc w:val="left"/>
      <w:spacing w:before="100" w:beforeAutospacing="1" w:after="100" w:afterAutospacing="1"/>
      <w:widowControl/>
      <w:pBdr>
        <w:top w:val="single" w:color="000000" w:sz="8" w:space="0"/>
        <w:left w:val="single" w:color="000000" w:sz="8" w:space="0"/>
      </w:pBdr>
    </w:pPr>
    <w:rPr>
      <w:rFonts w:ascii="Arial" w:hAnsi="Arial" w:eastAsia="Arial Unicode MS" w:cs="Arial"/>
      <w:sz w:val="24"/>
      <w:szCs w:val="24"/>
    </w:rPr>
  </w:style>
  <w:style w:type="paragraph" w:styleId="1125">
    <w:name w:val="xl66"/>
    <w:basedOn w:val="963"/>
    <w:next w:val="1125"/>
    <w:link w:val="963"/>
    <w:qFormat/>
    <w:pPr>
      <w:jc w:val="left"/>
      <w:spacing w:before="100" w:beforeAutospacing="1" w:after="100" w:afterAutospacing="1"/>
      <w:widowControl/>
      <w:pBdr>
        <w:bottom w:val="single" w:color="000000" w:sz="4" w:space="0"/>
      </w:pBdr>
    </w:pPr>
    <w:rPr>
      <w:rFonts w:ascii="Arial" w:hAnsi="Arial" w:eastAsia="Arial Unicode MS" w:cs="Arial"/>
      <w:b/>
      <w:bCs/>
      <w:sz w:val="18"/>
      <w:szCs w:val="18"/>
    </w:rPr>
  </w:style>
  <w:style w:type="paragraph" w:styleId="1126">
    <w:name w:val="xl53"/>
    <w:basedOn w:val="963"/>
    <w:next w:val="1126"/>
    <w:link w:val="963"/>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1127">
    <w:name w:val="文章附标题"/>
    <w:basedOn w:val="963"/>
    <w:next w:val="1127"/>
    <w:link w:val="963"/>
    <w:qFormat/>
    <w:pPr>
      <w:jc w:val="center"/>
      <w:spacing w:before="187" w:after="175" w:line="374" w:lineRule="atLeast"/>
      <w:widowControl/>
    </w:pPr>
    <w:rPr>
      <w:rFonts w:ascii="Times New Roman" w:hAnsi="Times New Roman" w:eastAsia="宋体" w:cs="Times New Roman"/>
      <w:color w:val="000000"/>
      <w:sz w:val="36"/>
      <w:szCs w:val="20"/>
    </w:rPr>
  </w:style>
  <w:style w:type="paragraph" w:styleId="1128">
    <w:name w:val="xl69"/>
    <w:basedOn w:val="963"/>
    <w:next w:val="1128"/>
    <w:link w:val="963"/>
    <w:pPr>
      <w:jc w:val="left"/>
      <w:spacing w:before="100" w:beforeAutospacing="1" w:after="100" w:afterAutospacing="1"/>
      <w:widowControl/>
      <w:pBdr>
        <w:top w:val="single" w:color="000000" w:sz="4" w:space="0"/>
      </w:pBdr>
    </w:pPr>
    <w:rPr>
      <w:rFonts w:ascii="Arial" w:hAnsi="Arial" w:eastAsia="Arial Unicode MS" w:cs="Arial"/>
      <w:b/>
      <w:bCs/>
      <w:sz w:val="18"/>
      <w:szCs w:val="18"/>
    </w:rPr>
  </w:style>
  <w:style w:type="paragraph" w:styleId="1129">
    <w:name w:val="font6"/>
    <w:basedOn w:val="963"/>
    <w:next w:val="1129"/>
    <w:link w:val="963"/>
    <w:qFormat/>
    <w:pPr>
      <w:jc w:val="left"/>
      <w:spacing w:before="100" w:beforeAutospacing="1" w:after="100" w:afterAutospacing="1"/>
      <w:widowControl/>
    </w:pPr>
    <w:rPr>
      <w:rFonts w:ascii="Arial" w:hAnsi="Arial" w:eastAsia="Arial Unicode MS" w:cs="Arial"/>
      <w:sz w:val="18"/>
      <w:szCs w:val="18"/>
    </w:rPr>
  </w:style>
  <w:style w:type="paragraph" w:styleId="1130">
    <w:name w:val="xl48"/>
    <w:basedOn w:val="963"/>
    <w:next w:val="1130"/>
    <w:link w:val="96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eastAsia="Arial Unicode MS" w:cs="Arial"/>
      <w:b/>
      <w:bCs/>
      <w:sz w:val="16"/>
      <w:szCs w:val="16"/>
    </w:rPr>
  </w:style>
  <w:style w:type="paragraph" w:styleId="1131">
    <w:name w:val="xl33"/>
    <w:basedOn w:val="963"/>
    <w:next w:val="1131"/>
    <w:link w:val="963"/>
    <w:qFormat/>
    <w:pPr>
      <w:jc w:val="right"/>
      <w:spacing w:before="100" w:beforeAutospacing="1" w:after="100" w:afterAutospacing="1"/>
      <w:widowControl/>
      <w:pBdr>
        <w:left w:val="single" w:color="000000" w:sz="4" w:space="0"/>
      </w:pBdr>
    </w:pPr>
    <w:rPr>
      <w:rFonts w:ascii="Arial" w:hAnsi="Arial" w:eastAsia="Arial Unicode MS" w:cs="Arial"/>
      <w:sz w:val="18"/>
      <w:szCs w:val="18"/>
    </w:rPr>
  </w:style>
  <w:style w:type="paragraph" w:styleId="1132">
    <w:name w:val="目录4"/>
    <w:basedOn w:val="963"/>
    <w:next w:val="1132"/>
    <w:link w:val="963"/>
    <w:qFormat/>
    <w:pPr>
      <w:ind w:firstLine="629"/>
      <w:spacing w:line="317" w:lineRule="atLeast"/>
      <w:widowControl/>
      <w:tabs>
        <w:tab w:val="left" w:pos="7370" w:leader="dot"/>
      </w:tabs>
    </w:pPr>
    <w:rPr>
      <w:rFonts w:ascii="Times New Roman" w:hAnsi="Times New Roman" w:eastAsia="宋体" w:cs="Times New Roman"/>
      <w:color w:val="000000"/>
      <w:szCs w:val="20"/>
    </w:rPr>
  </w:style>
  <w:style w:type="paragraph" w:styleId="1133">
    <w:name w:val="font5"/>
    <w:basedOn w:val="963"/>
    <w:next w:val="1133"/>
    <w:link w:val="963"/>
    <w:qFormat/>
    <w:pPr>
      <w:jc w:val="left"/>
      <w:spacing w:before="100" w:beforeAutospacing="1" w:after="100" w:afterAutospacing="1"/>
      <w:widowControl/>
    </w:pPr>
    <w:rPr>
      <w:rFonts w:ascii="Arial" w:hAnsi="Arial" w:eastAsia="Arial Unicode MS" w:cs="Arial"/>
      <w:sz w:val="20"/>
      <w:szCs w:val="20"/>
    </w:rPr>
  </w:style>
  <w:style w:type="paragraph" w:styleId="1134">
    <w:name w:val="Sourcetext"/>
    <w:basedOn w:val="963"/>
    <w:next w:val="1134"/>
    <w:link w:val="963"/>
    <w:qFormat/>
    <w:pPr>
      <w:ind w:left="2160"/>
      <w:jc w:val="left"/>
      <w:spacing w:after="120"/>
      <w:widowControl/>
    </w:pPr>
    <w:rPr>
      <w:rFonts w:ascii="Century Schoolbook" w:hAnsi="Century Schoolbook" w:eastAsia="宋体" w:cs="Times New Roman"/>
      <w:sz w:val="20"/>
      <w:szCs w:val="20"/>
    </w:rPr>
  </w:style>
  <w:style w:type="paragraph" w:styleId="1135">
    <w:name w:val="Char Char1 Char Char Char1"/>
    <w:basedOn w:val="963"/>
    <w:next w:val="1135"/>
    <w:link w:val="963"/>
    <w:qFormat/>
    <w:rPr>
      <w:rFonts w:ascii="Times New Roman" w:hAnsi="Times New Roman" w:eastAsia="宋体" w:cs="Times New Roman"/>
      <w:szCs w:val="20"/>
    </w:rPr>
  </w:style>
  <w:style w:type="paragraph" w:styleId="1136">
    <w:name w:val="xl30"/>
    <w:basedOn w:val="963"/>
    <w:next w:val="1136"/>
    <w:link w:val="963"/>
    <w:qFormat/>
    <w:pPr>
      <w:jc w:val="left"/>
      <w:spacing w:before="100" w:beforeAutospacing="1" w:after="100" w:afterAutospacing="1"/>
      <w:widowControl/>
    </w:pPr>
    <w:rPr>
      <w:rFonts w:ascii="Arial" w:hAnsi="Arial" w:eastAsia="Arial Unicode MS" w:cs="Arial"/>
      <w:sz w:val="18"/>
      <w:szCs w:val="18"/>
    </w:rPr>
  </w:style>
  <w:style w:type="paragraph" w:styleId="1137">
    <w:name w:val="xl34"/>
    <w:basedOn w:val="963"/>
    <w:next w:val="1137"/>
    <w:link w:val="963"/>
    <w:qFormat/>
    <w:pPr>
      <w:jc w:val="lef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138">
    <w:name w:val="Sourcetext bullet"/>
    <w:basedOn w:val="1134"/>
    <w:next w:val="1138"/>
    <w:link w:val="963"/>
    <w:qFormat/>
    <w:pPr>
      <w:numPr>
        <w:numId w:val="3"/>
      </w:numPr>
      <w:ind w:left="2160"/>
    </w:pPr>
  </w:style>
  <w:style w:type="paragraph" w:styleId="1139">
    <w:name w:val="xl62"/>
    <w:basedOn w:val="963"/>
    <w:next w:val="1139"/>
    <w:link w:val="963"/>
    <w:qFormat/>
    <w:pPr>
      <w:jc w:val="center"/>
      <w:spacing w:before="100" w:beforeAutospacing="1" w:after="100" w:afterAutospacing="1"/>
      <w:widowControl/>
    </w:pPr>
    <w:rPr>
      <w:rFonts w:ascii="Arial" w:hAnsi="Arial" w:eastAsia="Arial Unicode MS" w:cs="Arial"/>
      <w:sz w:val="24"/>
      <w:szCs w:val="24"/>
    </w:rPr>
  </w:style>
  <w:style w:type="paragraph" w:styleId="1140">
    <w:name w:val="xl61"/>
    <w:basedOn w:val="963"/>
    <w:next w:val="1140"/>
    <w:link w:val="963"/>
    <w:qFormat/>
    <w:pPr>
      <w:jc w:val="center"/>
      <w:spacing w:before="100" w:beforeAutospacing="1" w:after="100" w:afterAutospacing="1"/>
      <w:widowControl/>
      <w:pBdr>
        <w:left w:val="single" w:color="000000" w:sz="8" w:space="0"/>
      </w:pBdr>
    </w:pPr>
    <w:rPr>
      <w:rFonts w:ascii="Arial" w:hAnsi="Arial" w:eastAsia="Arial Unicode MS" w:cs="Arial"/>
      <w:sz w:val="24"/>
      <w:szCs w:val="24"/>
    </w:rPr>
  </w:style>
  <w:style w:type="paragraph" w:styleId="1141">
    <w:name w:val="Char"/>
    <w:basedOn w:val="963"/>
    <w:next w:val="1141"/>
    <w:link w:val="963"/>
    <w:qFormat/>
    <w:pPr>
      <w:ind w:left="360" w:hanging="360"/>
      <w:keepLines/>
      <w:keepNext/>
      <w:pageBreakBefore/>
      <w:tabs>
        <w:tab w:val="left" w:pos="360" w:leader="none"/>
      </w:tabs>
    </w:pPr>
    <w:rPr>
      <w:rFonts w:ascii="Times New Roman" w:hAnsi="Times New Roman" w:eastAsia="宋体" w:cs="Times New Roman"/>
      <w:sz w:val="22"/>
      <w:szCs w:val="24"/>
    </w:rPr>
  </w:style>
  <w:style w:type="paragraph" w:styleId="1142">
    <w:name w:val="xl67"/>
    <w:basedOn w:val="963"/>
    <w:next w:val="1142"/>
    <w:link w:val="963"/>
    <w:qFormat/>
    <w:pPr>
      <w:jc w:val="left"/>
      <w:spacing w:before="100" w:beforeAutospacing="1" w:after="100" w:afterAutospacing="1"/>
      <w:widowControl/>
      <w:pBdr>
        <w:bottom w:val="single" w:color="000000" w:sz="4" w:space="0"/>
        <w:right w:val="single" w:color="000000" w:sz="4" w:space="0"/>
      </w:pBdr>
    </w:pPr>
    <w:rPr>
      <w:rFonts w:ascii="Arial" w:hAnsi="Arial" w:eastAsia="Arial Unicode MS" w:cs="Arial"/>
      <w:b/>
      <w:bCs/>
      <w:sz w:val="18"/>
      <w:szCs w:val="18"/>
    </w:rPr>
  </w:style>
  <w:style w:type="paragraph" w:styleId="1143">
    <w:name w:val="默认段落字体 Para Char"/>
    <w:basedOn w:val="963"/>
    <w:next w:val="1143"/>
    <w:link w:val="963"/>
    <w:qFormat/>
    <w:pPr>
      <w:spacing w:line="360" w:lineRule="auto"/>
    </w:pPr>
    <w:rPr>
      <w:rFonts w:ascii="Times New Roman" w:hAnsi="Times New Roman" w:eastAsia="宋体" w:cs="Times New Roman"/>
      <w:sz w:val="24"/>
      <w:szCs w:val="20"/>
    </w:rPr>
  </w:style>
  <w:style w:type="paragraph" w:styleId="1144">
    <w:name w:val="xl31"/>
    <w:basedOn w:val="963"/>
    <w:next w:val="1144"/>
    <w:link w:val="963"/>
    <w:qFormat/>
    <w:pPr>
      <w:jc w:val="righ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145">
    <w:name w:val="font8"/>
    <w:basedOn w:val="963"/>
    <w:next w:val="1145"/>
    <w:link w:val="963"/>
    <w:qFormat/>
    <w:pPr>
      <w:jc w:val="left"/>
      <w:spacing w:before="100" w:beforeAutospacing="1" w:after="100" w:afterAutospacing="1"/>
      <w:widowControl/>
    </w:pPr>
    <w:rPr>
      <w:rFonts w:hint="eastAsia" w:ascii="隶书" w:hAnsi="Arial Unicode MS" w:eastAsia="隶书" w:cs="Arial Unicode MS"/>
      <w:sz w:val="18"/>
      <w:szCs w:val="18"/>
    </w:rPr>
  </w:style>
  <w:style w:type="paragraph" w:styleId="1146">
    <w:name w:val="font9"/>
    <w:basedOn w:val="963"/>
    <w:next w:val="1146"/>
    <w:link w:val="963"/>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1147">
    <w:name w:val="xl46"/>
    <w:basedOn w:val="963"/>
    <w:next w:val="1147"/>
    <w:link w:val="963"/>
    <w:qFormat/>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1148">
    <w:name w:val="xl36"/>
    <w:basedOn w:val="963"/>
    <w:next w:val="1148"/>
    <w:link w:val="963"/>
    <w:qFormat/>
    <w:pPr>
      <w:jc w:val="lef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149">
    <w:name w:val="font10"/>
    <w:basedOn w:val="963"/>
    <w:next w:val="1149"/>
    <w:link w:val="963"/>
    <w:qFormat/>
    <w:pPr>
      <w:jc w:val="left"/>
      <w:spacing w:before="100" w:beforeAutospacing="1" w:after="100" w:afterAutospacing="1"/>
      <w:widowControl/>
    </w:pPr>
    <w:rPr>
      <w:rFonts w:ascii="Arial" w:hAnsi="Arial" w:eastAsia="Arial Unicode MS" w:cs="Arial"/>
      <w:b/>
      <w:bCs/>
      <w:sz w:val="18"/>
      <w:szCs w:val="18"/>
    </w:rPr>
  </w:style>
  <w:style w:type="paragraph" w:styleId="1150">
    <w:name w:val="xl68"/>
    <w:basedOn w:val="963"/>
    <w:next w:val="1150"/>
    <w:link w:val="963"/>
    <w:qFormat/>
    <w:pPr>
      <w:jc w:val="left"/>
      <w:spacing w:before="100" w:beforeAutospacing="1" w:after="100" w:afterAutospacing="1"/>
      <w:widowControl/>
      <w:pBdr>
        <w:top w:val="single" w:color="000000" w:sz="4" w:space="0"/>
        <w:left w:val="single" w:color="000000" w:sz="4" w:space="0"/>
      </w:pBdr>
    </w:pPr>
    <w:rPr>
      <w:rFonts w:hint="eastAsia" w:ascii="楷体_GB2312" w:hAnsi="Arial Unicode MS" w:eastAsia="楷体_GB2312" w:cs="Arial Unicode MS"/>
      <w:b/>
      <w:bCs/>
      <w:sz w:val="18"/>
      <w:szCs w:val="18"/>
    </w:rPr>
  </w:style>
  <w:style w:type="paragraph" w:styleId="1151">
    <w:name w:val="xl43"/>
    <w:basedOn w:val="963"/>
    <w:next w:val="1151"/>
    <w:link w:val="963"/>
    <w:qFormat/>
    <w:pPr>
      <w:jc w:val="left"/>
      <w:spacing w:before="100" w:beforeAutospacing="1" w:after="100" w:afterAutospacing="1"/>
      <w:widowControl/>
      <w:pBdr>
        <w:right w:val="single" w:color="000000" w:sz="4" w:space="0"/>
      </w:pBdr>
    </w:pPr>
    <w:rPr>
      <w:rFonts w:ascii="Arial" w:hAnsi="Arial" w:eastAsia="Arial Unicode MS" w:cs="Arial"/>
      <w:b/>
      <w:bCs/>
      <w:sz w:val="18"/>
      <w:szCs w:val="18"/>
    </w:rPr>
  </w:style>
  <w:style w:type="paragraph" w:styleId="1152">
    <w:name w:val="正文缩进1"/>
    <w:basedOn w:val="963"/>
    <w:next w:val="1152"/>
    <w:link w:val="963"/>
    <w:uiPriority w:val="99"/>
    <w:qFormat/>
    <w:pPr>
      <w:ind w:firstLine="200"/>
      <w:spacing w:line="360" w:lineRule="auto"/>
      <w:widowControl/>
    </w:pPr>
    <w:rPr>
      <w:rFonts w:ascii="Times New Roman" w:hAnsi="Times New Roman" w:eastAsia="宋体" w:cs="Times New Roman"/>
      <w:sz w:val="24"/>
      <w:szCs w:val="21"/>
    </w:rPr>
  </w:style>
  <w:style w:type="paragraph" w:styleId="1153">
    <w:name w:val="正文_6_0_0"/>
    <w:next w:val="1153"/>
    <w:link w:val="963"/>
    <w:qFormat/>
    <w:pPr>
      <w:jc w:val="both"/>
      <w:widowControl w:val="off"/>
    </w:pPr>
    <w:rPr>
      <w:sz w:val="21"/>
      <w:szCs w:val="22"/>
      <w:lang w:val="en-US" w:eastAsia="zh-CN" w:bidi="ar-SA"/>
    </w:rPr>
  </w:style>
  <w:style w:type="table" w:styleId="1154">
    <w:name w:val="Table Normal"/>
    <w:next w:val="1154"/>
    <w:link w:val="963"/>
    <w:unhideWhenUsed/>
    <w:qFormat/>
    <w:rPr>
      <w:rFonts w:ascii="Times New Roman" w:hAnsi="Times New Roman"/>
      <w:lang w:val="en-US" w:eastAsia="zh-CN" w:bidi="ar-SA"/>
    </w:rPr>
    <w:tblPr/>
  </w:style>
  <w:style w:type="paragraph" w:styleId="1155">
    <w:name w:val="段"/>
    <w:next w:val="963"/>
    <w:link w:val="963"/>
    <w:qFormat/>
    <w:pPr>
      <w:jc w:val="both"/>
    </w:pPr>
    <w:rPr>
      <w:rFonts w:ascii="宋体" w:hAnsi="宋体"/>
      <w:sz w:val="24"/>
      <w:szCs w:val="24"/>
      <w:lang w:val="en-US" w:eastAsia="zh-CN" w:bidi="ar-SA"/>
    </w:rPr>
  </w:style>
  <w:style w:type="character" w:styleId="1156">
    <w:name w:val="样式 仿宋"/>
    <w:next w:val="1156"/>
    <w:link w:val="963"/>
    <w:qFormat/>
    <w:rPr>
      <w:rFonts w:ascii="仿宋" w:hAnsi="仿宋" w:eastAsia="仿宋"/>
    </w:rPr>
  </w:style>
  <w:style w:type="paragraph" w:styleId="1157">
    <w:name w:val="列出段落"/>
    <w:basedOn w:val="963"/>
    <w:next w:val="1157"/>
    <w:link w:val="963"/>
    <w:uiPriority w:val="34"/>
    <w:qFormat/>
    <w:pPr>
      <w:ind w:firstLine="200"/>
    </w:pPr>
    <w:rPr>
      <w:rFonts w:ascii="Times New Roman" w:hAnsi="Times New Roman" w:eastAsia="宋体" w:cs="Times New Roman"/>
      <w:szCs w:val="24"/>
    </w:rPr>
  </w:style>
  <w:style w:type="character" w:styleId="1158">
    <w:name w:val="font21"/>
    <w:next w:val="1158"/>
    <w:link w:val="963"/>
    <w:qFormat/>
    <w:rPr>
      <w:rFonts w:ascii="Times New Roman" w:hAnsi="Times New Roman" w:cs="Times New Roman"/>
      <w:color w:val="000000"/>
      <w:sz w:val="24"/>
      <w:szCs w:val="24"/>
      <w:u w:val="none"/>
    </w:rPr>
  </w:style>
  <w:style w:type="character" w:styleId="1159" w:default="1">
    <w:name w:val="Default Paragraph Font"/>
    <w:uiPriority w:val="1"/>
    <w:semiHidden/>
    <w:unhideWhenUsed/>
  </w:style>
  <w:style w:type="numbering" w:styleId="1160" w:default="1">
    <w:name w:val="No List"/>
    <w:uiPriority w:val="99"/>
    <w:semiHidden/>
    <w:unhideWhenUsed/>
  </w:style>
  <w:style w:type="table" w:styleId="116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2024年5月21日修订</dc:description>
  <cp:lastModifiedBy>朱蕊</cp:lastModifiedBy>
  <cp:revision>11</cp:revision>
  <dcterms:created xsi:type="dcterms:W3CDTF">2024-07-08T06:59:00Z</dcterms:created>
  <dcterms:modified xsi:type="dcterms:W3CDTF">2024-07-09T02:30:22Z</dcterms:modified>
  <cp:category>“苏采云”公开招标服务范本</cp:category>
  <cp:version>786432</cp:version>
</cp:coreProperties>
</file>