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bCs/>
          <w:sz w:val="72"/>
          <w:szCs w:val="72"/>
          <w:highlight w:val="none"/>
        </w:rPr>
      </w:pPr>
      <w:r>
        <w:rPr>
          <w:rFonts w:ascii="宋体" w:hAnsi="宋体"/>
          <w:b/>
          <w:sz w:val="72"/>
        </w:rPr>
        <w:t xml:space="preserve">   </w:t>
      </w:r>
      <w:r/>
    </w:p>
    <w:p>
      <w:pPr>
        <w:ind w:left="0"/>
        <w:jc w:val="left"/>
        <w:rPr>
          <w:rFonts w:ascii="宋体" w:hAnsi="宋体"/>
          <w:b/>
          <w:bCs/>
          <w:sz w:val="72"/>
          <w:szCs w:val="72"/>
        </w:rPr>
      </w:pPr>
      <w:r>
        <w:rPr>
          <w:rFonts w:ascii="宋体" w:hAnsi="宋体"/>
          <w:b/>
          <w:sz w:val="72"/>
          <w:highlight w:val="none"/>
        </w:rPr>
      </w:r>
      <w:r>
        <w:rPr>
          <w:rFonts w:ascii="宋体" w:hAnsi="宋体"/>
          <w:b/>
          <w:sz w:val="72"/>
          <w:highlight w:val="none"/>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JSZC-320500-JZCG-G2025-0393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苏州市吴中区教育局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吴中区教育局电脑采购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10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114"/>
        <w:ind w:firstLine="0"/>
        <w:jc w:val="left"/>
        <w:spacing w:before="120" w:after="120"/>
        <w:tabs>
          <w:tab w:val="right" w:pos="9856" w:leader="dot"/>
        </w:tabs>
        <w:rPr>
          <w:rStyle w:val="1146"/>
          <w:rFonts w:ascii="宋体" w:hAnsi="宋体" w:cs="Calibri"/>
          <w:bCs/>
          <w:caps/>
          <w:color w:val="auto"/>
          <w:sz w:val="32"/>
          <w:szCs w:val="32"/>
        </w:rPr>
        <w:outlineLvl w:val="9"/>
      </w:pPr>
      <w:r>
        <w:rPr>
          <w:rFonts w:ascii="宋体" w:hAnsi="宋体" w:cs="Calibri"/>
          <w:bCs/>
          <w:caps/>
          <w:color w:val="auto"/>
          <w:sz w:val="32"/>
          <w:szCs w:val="32"/>
        </w:rPr>
      </w:r>
      <w:r/>
    </w:p>
    <w:p>
      <w:pPr>
        <w:pStyle w:val="1114"/>
        <w:ind w:firstLine="0"/>
        <w:jc w:val="left"/>
        <w:spacing w:before="120" w:after="120"/>
        <w:tabs>
          <w:tab w:val="right" w:pos="9854" w:leader="dot"/>
        </w:tabs>
        <w:rPr>
          <w:rStyle w:val="1146"/>
          <w:rFonts w:ascii="宋体" w:hAnsi="宋体" w:cs="Calibri"/>
          <w:bCs/>
          <w:caps/>
          <w:color w:val="auto"/>
          <w:sz w:val="32"/>
          <w:szCs w:val="32"/>
        </w:rPr>
        <w:outlineLvl w:val="9"/>
      </w:pPr>
      <w:r>
        <w:rPr>
          <w:rStyle w:val="1146"/>
          <w:rFonts w:ascii="宋体" w:hAnsi="宋体" w:cs="Calibri"/>
          <w:bCs/>
          <w:caps/>
          <w:color w:val="auto"/>
          <w:sz w:val="32"/>
        </w:rPr>
        <w:fldChar w:fldCharType="begin"/>
      </w:r>
      <w:r>
        <w:rPr>
          <w:rStyle w:val="1146"/>
          <w:rFonts w:ascii="宋体" w:hAnsi="宋体" w:cs="Calibri"/>
          <w:bCs/>
          <w:caps/>
          <w:color w:val="auto"/>
          <w:sz w:val="32"/>
        </w:rPr>
        <w:instrText xml:space="preserve"> TOC \o "1-1" \h \z \u </w:instrText>
      </w:r>
      <w:r>
        <w:rPr>
          <w:rStyle w:val="1146"/>
          <w:rFonts w:ascii="宋体" w:hAnsi="宋体" w:cs="Calibri"/>
          <w:bCs/>
          <w:caps/>
          <w:color w:val="auto"/>
          <w:sz w:val="32"/>
        </w:rPr>
        <w:fldChar w:fldCharType="separate"/>
      </w:r>
      <w:hyperlink w:tooltip="#_Toc105397776" w:anchor="_Toc105397776" w:history="1">
        <w:r>
          <w:rPr>
            <w:rStyle w:val="1146"/>
            <w:rFonts w:ascii="宋体" w:hAnsi="宋体" w:cs="Calibri"/>
            <w:bCs/>
            <w:caps/>
            <w:color w:val="auto"/>
            <w:sz w:val="32"/>
            <w:szCs w:val="32"/>
          </w:rPr>
          <w:t xml:space="preserve">第一章 投标邀请函</w:t>
        </w:r>
        <w:r>
          <w:rPr>
            <w:rStyle w:val="1146"/>
            <w:rFonts w:ascii="宋体" w:hAnsi="宋体" w:cs="Calibri"/>
            <w:bCs/>
            <w:caps/>
            <w:color w:val="auto"/>
            <w:sz w:val="32"/>
            <w:szCs w:val="32"/>
          </w:rPr>
          <w:tab/>
        </w:r>
        <w:r>
          <w:rPr>
            <w:rStyle w:val="1146"/>
            <w:rFonts w:ascii="宋体" w:hAnsi="宋体" w:cs="Calibri"/>
            <w:bCs/>
            <w:caps/>
            <w:color w:val="auto"/>
            <w:sz w:val="32"/>
            <w:szCs w:val="32"/>
          </w:rPr>
          <w:fldChar w:fldCharType="begin"/>
        </w:r>
        <w:r>
          <w:rPr>
            <w:rStyle w:val="1146"/>
            <w:rFonts w:ascii="宋体" w:hAnsi="宋体" w:cs="Calibri"/>
            <w:bCs/>
            <w:caps/>
            <w:color w:val="auto"/>
            <w:sz w:val="32"/>
            <w:szCs w:val="32"/>
          </w:rPr>
          <w:instrText xml:space="preserve"> PAGEREF _Toc105397776 \h </w:instrText>
        </w:r>
        <w:r>
          <w:rPr>
            <w:rStyle w:val="1146"/>
            <w:rFonts w:ascii="宋体" w:hAnsi="宋体" w:cs="Calibri"/>
            <w:bCs/>
            <w:caps/>
            <w:color w:val="auto"/>
            <w:sz w:val="32"/>
            <w:szCs w:val="32"/>
          </w:rPr>
        </w:r>
        <w:r>
          <w:rPr>
            <w:rStyle w:val="1146"/>
            <w:rFonts w:ascii="宋体" w:hAnsi="宋体" w:cs="Calibri"/>
            <w:bCs/>
            <w:caps/>
            <w:color w:val="auto"/>
            <w:sz w:val="32"/>
            <w:szCs w:val="32"/>
          </w:rPr>
          <w:fldChar w:fldCharType="separate"/>
        </w:r>
        <w:r>
          <w:rPr>
            <w:rStyle w:val="1146"/>
            <w:rFonts w:ascii="宋体" w:hAnsi="宋体" w:cs="Calibri"/>
            <w:bCs/>
            <w:caps/>
            <w:color w:val="auto"/>
            <w:sz w:val="32"/>
            <w:szCs w:val="32"/>
          </w:rPr>
          <w:t xml:space="preserve">5</w:t>
        </w:r>
        <w:r>
          <w:rPr>
            <w:rStyle w:val="1146"/>
            <w:rFonts w:ascii="宋体" w:hAnsi="宋体" w:cs="Calibri"/>
            <w:bCs/>
            <w:caps/>
            <w:color w:val="auto"/>
            <w:sz w:val="32"/>
            <w:szCs w:val="32"/>
          </w:rPr>
          <w:fldChar w:fldCharType="end"/>
        </w:r>
      </w:hyperlink>
      <w:r/>
      <w:r/>
    </w:p>
    <w:p>
      <w:pPr>
        <w:pStyle w:val="1114"/>
        <w:ind w:firstLine="0"/>
        <w:jc w:val="left"/>
        <w:spacing w:before="120" w:after="120"/>
        <w:tabs>
          <w:tab w:val="right" w:pos="9854" w:leader="dot"/>
        </w:tabs>
        <w:rPr>
          <w:rStyle w:val="1146"/>
          <w:rFonts w:ascii="宋体" w:hAnsi="宋体" w:cs="Calibri"/>
          <w:bCs/>
          <w:caps/>
          <w:color w:val="auto"/>
          <w:sz w:val="32"/>
          <w:szCs w:val="32"/>
        </w:rPr>
        <w:outlineLvl w:val="9"/>
      </w:pPr>
      <w:r/>
      <w:hyperlink w:tooltip="#_Toc105397777" w:anchor="_Toc105397777" w:history="1">
        <w:r>
          <w:rPr>
            <w:rStyle w:val="1146"/>
            <w:rFonts w:ascii="宋体" w:hAnsi="宋体" w:cs="Calibri"/>
            <w:bCs/>
            <w:caps/>
            <w:color w:val="auto"/>
            <w:sz w:val="32"/>
            <w:szCs w:val="32"/>
          </w:rPr>
          <w:t xml:space="preserve">第二章 投标人须知</w:t>
        </w:r>
        <w:r>
          <w:rPr>
            <w:rStyle w:val="1146"/>
            <w:rFonts w:ascii="宋体" w:hAnsi="宋体" w:cs="Calibri"/>
            <w:bCs/>
            <w:caps/>
            <w:color w:val="auto"/>
            <w:sz w:val="32"/>
            <w:szCs w:val="32"/>
          </w:rPr>
          <w:tab/>
        </w:r>
        <w:r>
          <w:rPr>
            <w:rStyle w:val="1146"/>
            <w:rFonts w:ascii="宋体" w:hAnsi="宋体" w:cs="Calibri"/>
            <w:bCs/>
            <w:caps/>
            <w:color w:val="auto"/>
            <w:sz w:val="32"/>
            <w:szCs w:val="32"/>
          </w:rPr>
          <w:fldChar w:fldCharType="begin"/>
        </w:r>
        <w:r>
          <w:rPr>
            <w:rStyle w:val="1146"/>
            <w:rFonts w:ascii="宋体" w:hAnsi="宋体" w:cs="Calibri"/>
            <w:bCs/>
            <w:caps/>
            <w:color w:val="auto"/>
            <w:sz w:val="32"/>
            <w:szCs w:val="32"/>
          </w:rPr>
          <w:instrText xml:space="preserve"> PAGEREF _Toc105397777 \h </w:instrText>
        </w:r>
        <w:r>
          <w:rPr>
            <w:rStyle w:val="1146"/>
            <w:rFonts w:ascii="宋体" w:hAnsi="宋体" w:cs="Calibri"/>
            <w:bCs/>
            <w:caps/>
            <w:color w:val="auto"/>
            <w:sz w:val="32"/>
            <w:szCs w:val="32"/>
          </w:rPr>
        </w:r>
        <w:r>
          <w:rPr>
            <w:rStyle w:val="1146"/>
            <w:rFonts w:ascii="宋体" w:hAnsi="宋体" w:cs="Calibri"/>
            <w:bCs/>
            <w:caps/>
            <w:color w:val="auto"/>
            <w:sz w:val="32"/>
            <w:szCs w:val="32"/>
          </w:rPr>
          <w:fldChar w:fldCharType="separate"/>
        </w:r>
        <w:r>
          <w:rPr>
            <w:rStyle w:val="1146"/>
            <w:rFonts w:ascii="宋体" w:hAnsi="宋体" w:cs="Calibri"/>
            <w:bCs/>
            <w:caps/>
            <w:color w:val="auto"/>
            <w:sz w:val="32"/>
            <w:szCs w:val="32"/>
          </w:rPr>
          <w:t xml:space="preserve">8</w:t>
        </w:r>
        <w:r>
          <w:rPr>
            <w:rStyle w:val="1146"/>
            <w:rFonts w:ascii="宋体" w:hAnsi="宋体" w:cs="Calibri"/>
            <w:bCs/>
            <w:caps/>
            <w:color w:val="auto"/>
            <w:sz w:val="32"/>
            <w:szCs w:val="32"/>
          </w:rPr>
          <w:fldChar w:fldCharType="end"/>
        </w:r>
      </w:hyperlink>
      <w:r/>
      <w:r/>
    </w:p>
    <w:p>
      <w:pPr>
        <w:pStyle w:val="1114"/>
        <w:ind w:firstLine="0"/>
        <w:jc w:val="left"/>
        <w:spacing w:before="120" w:after="120"/>
        <w:tabs>
          <w:tab w:val="right" w:pos="9854" w:leader="dot"/>
        </w:tabs>
        <w:rPr>
          <w:rStyle w:val="1146"/>
          <w:rFonts w:ascii="宋体" w:hAnsi="宋体" w:cs="Calibri"/>
          <w:bCs/>
          <w:caps/>
          <w:color w:val="auto"/>
          <w:sz w:val="32"/>
          <w:szCs w:val="32"/>
        </w:rPr>
        <w:outlineLvl w:val="9"/>
      </w:pPr>
      <w:r/>
      <w:hyperlink w:tooltip="#_Toc105397778" w:anchor="_Toc105397778" w:history="1">
        <w:r>
          <w:rPr>
            <w:rStyle w:val="1146"/>
            <w:rFonts w:ascii="宋体" w:hAnsi="宋体" w:cs="Calibri"/>
            <w:bCs/>
            <w:caps/>
            <w:color w:val="auto"/>
            <w:sz w:val="32"/>
            <w:szCs w:val="32"/>
          </w:rPr>
          <w:t xml:space="preserve">第三章 投标文件格式</w:t>
        </w:r>
        <w:r>
          <w:rPr>
            <w:rStyle w:val="1146"/>
            <w:rFonts w:ascii="宋体" w:hAnsi="宋体" w:cs="Calibri"/>
            <w:bCs/>
            <w:caps/>
            <w:color w:val="auto"/>
            <w:sz w:val="32"/>
            <w:szCs w:val="32"/>
          </w:rPr>
          <w:tab/>
        </w:r>
        <w:r>
          <w:rPr>
            <w:rStyle w:val="1146"/>
            <w:rFonts w:ascii="宋体" w:hAnsi="宋体" w:cs="Calibri"/>
            <w:bCs/>
            <w:caps/>
            <w:color w:val="auto"/>
            <w:sz w:val="32"/>
            <w:szCs w:val="32"/>
          </w:rPr>
          <w:fldChar w:fldCharType="begin"/>
        </w:r>
        <w:r>
          <w:rPr>
            <w:rStyle w:val="1146"/>
            <w:rFonts w:ascii="宋体" w:hAnsi="宋体" w:cs="Calibri"/>
            <w:bCs/>
            <w:caps/>
            <w:color w:val="auto"/>
            <w:sz w:val="32"/>
            <w:szCs w:val="32"/>
          </w:rPr>
          <w:instrText xml:space="preserve"> PAGEREF _Toc105397778 \h </w:instrText>
        </w:r>
        <w:r>
          <w:rPr>
            <w:rStyle w:val="1146"/>
            <w:rFonts w:ascii="宋体" w:hAnsi="宋体" w:cs="Calibri"/>
            <w:bCs/>
            <w:caps/>
            <w:color w:val="auto"/>
            <w:sz w:val="32"/>
            <w:szCs w:val="32"/>
          </w:rPr>
        </w:r>
        <w:r>
          <w:rPr>
            <w:rStyle w:val="1146"/>
            <w:rFonts w:ascii="宋体" w:hAnsi="宋体" w:cs="Calibri"/>
            <w:bCs/>
            <w:caps/>
            <w:color w:val="auto"/>
            <w:sz w:val="32"/>
            <w:szCs w:val="32"/>
          </w:rPr>
          <w:fldChar w:fldCharType="separate"/>
        </w:r>
        <w:r>
          <w:rPr>
            <w:rStyle w:val="1146"/>
            <w:rFonts w:ascii="宋体" w:hAnsi="宋体" w:cs="Calibri"/>
            <w:bCs/>
            <w:caps/>
            <w:color w:val="auto"/>
            <w:sz w:val="32"/>
            <w:szCs w:val="32"/>
          </w:rPr>
          <w:t xml:space="preserve">20</w:t>
        </w:r>
        <w:r>
          <w:rPr>
            <w:rStyle w:val="1146"/>
            <w:rFonts w:ascii="宋体" w:hAnsi="宋体" w:cs="Calibri"/>
            <w:bCs/>
            <w:caps/>
            <w:color w:val="auto"/>
            <w:sz w:val="32"/>
            <w:szCs w:val="32"/>
          </w:rPr>
          <w:fldChar w:fldCharType="end"/>
        </w:r>
      </w:hyperlink>
      <w:r/>
      <w:r/>
    </w:p>
    <w:p>
      <w:pPr>
        <w:pStyle w:val="1114"/>
        <w:ind w:firstLine="0"/>
        <w:jc w:val="left"/>
        <w:spacing w:before="120" w:after="120"/>
        <w:tabs>
          <w:tab w:val="right" w:pos="9854" w:leader="dot"/>
        </w:tabs>
        <w:rPr>
          <w:rStyle w:val="1146"/>
          <w:rFonts w:ascii="宋体" w:hAnsi="宋体" w:cs="Calibri"/>
          <w:bCs/>
          <w:caps/>
          <w:color w:val="auto"/>
          <w:sz w:val="32"/>
          <w:szCs w:val="32"/>
        </w:rPr>
        <w:outlineLvl w:val="9"/>
      </w:pPr>
      <w:r/>
      <w:hyperlink w:tooltip="#_Toc105397793" w:anchor="_Toc105397793" w:history="1">
        <w:r>
          <w:rPr>
            <w:rStyle w:val="1146"/>
            <w:rFonts w:ascii="宋体" w:hAnsi="宋体" w:cs="Calibri"/>
            <w:bCs/>
            <w:caps/>
            <w:color w:val="auto"/>
            <w:sz w:val="32"/>
            <w:szCs w:val="32"/>
          </w:rPr>
          <w:t xml:space="preserve">第四章 招标书</w:t>
        </w:r>
        <w:r>
          <w:rPr>
            <w:rStyle w:val="1146"/>
            <w:rFonts w:ascii="宋体" w:hAnsi="宋体" w:cs="Calibri"/>
            <w:bCs/>
            <w:caps/>
            <w:color w:val="auto"/>
            <w:sz w:val="32"/>
            <w:szCs w:val="32"/>
          </w:rPr>
          <w:tab/>
        </w:r>
        <w:r>
          <w:rPr>
            <w:rStyle w:val="1146"/>
            <w:rFonts w:ascii="宋体" w:hAnsi="宋体" w:cs="Calibri"/>
            <w:bCs/>
            <w:caps/>
            <w:color w:val="auto"/>
            <w:sz w:val="32"/>
            <w:szCs w:val="32"/>
          </w:rPr>
          <w:fldChar w:fldCharType="begin"/>
        </w:r>
        <w:r>
          <w:rPr>
            <w:rStyle w:val="1146"/>
            <w:rFonts w:ascii="宋体" w:hAnsi="宋体" w:cs="Calibri"/>
            <w:bCs/>
            <w:caps/>
            <w:color w:val="auto"/>
            <w:sz w:val="32"/>
            <w:szCs w:val="32"/>
          </w:rPr>
          <w:instrText xml:space="preserve"> PAGEREF _Toc105397793 \h </w:instrText>
        </w:r>
        <w:r>
          <w:rPr>
            <w:rStyle w:val="1146"/>
            <w:rFonts w:ascii="宋体" w:hAnsi="宋体" w:cs="Calibri"/>
            <w:bCs/>
            <w:caps/>
            <w:color w:val="auto"/>
            <w:sz w:val="32"/>
            <w:szCs w:val="32"/>
          </w:rPr>
        </w:r>
        <w:r>
          <w:rPr>
            <w:rStyle w:val="1146"/>
            <w:rFonts w:ascii="宋体" w:hAnsi="宋体" w:cs="Calibri"/>
            <w:bCs/>
            <w:caps/>
            <w:color w:val="auto"/>
            <w:sz w:val="32"/>
            <w:szCs w:val="32"/>
          </w:rPr>
          <w:fldChar w:fldCharType="separate"/>
        </w:r>
        <w:r>
          <w:rPr>
            <w:rStyle w:val="1146"/>
            <w:rFonts w:ascii="宋体" w:hAnsi="宋体" w:cs="Calibri"/>
            <w:bCs/>
            <w:caps/>
            <w:color w:val="auto"/>
            <w:sz w:val="32"/>
            <w:szCs w:val="32"/>
          </w:rPr>
          <w:t xml:space="preserve">33</w:t>
        </w:r>
        <w:r>
          <w:rPr>
            <w:rStyle w:val="1146"/>
            <w:rFonts w:ascii="宋体" w:hAnsi="宋体" w:cs="Calibri"/>
            <w:bCs/>
            <w:caps/>
            <w:color w:val="auto"/>
            <w:sz w:val="32"/>
            <w:szCs w:val="32"/>
          </w:rPr>
          <w:fldChar w:fldCharType="end"/>
        </w:r>
      </w:hyperlink>
      <w:r/>
      <w:r/>
    </w:p>
    <w:p>
      <w:pPr>
        <w:pStyle w:val="1114"/>
        <w:ind w:firstLine="0"/>
        <w:jc w:val="left"/>
        <w:spacing w:before="120" w:after="120"/>
        <w:tabs>
          <w:tab w:val="right" w:pos="9854" w:leader="dot"/>
        </w:tabs>
        <w:rPr>
          <w:rStyle w:val="1146"/>
          <w:rFonts w:ascii="宋体" w:hAnsi="宋体" w:cs="Calibri"/>
          <w:bCs/>
          <w:caps/>
          <w:color w:val="auto"/>
          <w:sz w:val="32"/>
          <w:szCs w:val="32"/>
        </w:rPr>
        <w:outlineLvl w:val="9"/>
      </w:pPr>
      <w:r/>
      <w:hyperlink w:tooltip="#_Toc105397794" w:anchor="_Toc105397794" w:history="1">
        <w:r>
          <w:rPr>
            <w:rStyle w:val="1146"/>
            <w:rFonts w:ascii="宋体" w:hAnsi="宋体" w:cs="Calibri"/>
            <w:bCs/>
            <w:caps/>
            <w:color w:val="auto"/>
            <w:sz w:val="32"/>
            <w:szCs w:val="32"/>
          </w:rPr>
          <w:t xml:space="preserve">第五章 合同及主要条款</w:t>
        </w:r>
        <w:r>
          <w:rPr>
            <w:rStyle w:val="1146"/>
            <w:rFonts w:ascii="宋体" w:hAnsi="宋体" w:cs="Calibri"/>
            <w:bCs/>
            <w:caps/>
            <w:color w:val="auto"/>
            <w:sz w:val="32"/>
            <w:szCs w:val="32"/>
          </w:rPr>
          <w:tab/>
        </w:r>
        <w:r>
          <w:rPr>
            <w:rStyle w:val="1146"/>
            <w:rFonts w:ascii="宋体" w:hAnsi="宋体" w:cs="Calibri"/>
            <w:bCs/>
            <w:caps/>
            <w:color w:val="auto"/>
            <w:sz w:val="32"/>
            <w:szCs w:val="32"/>
          </w:rPr>
          <w:fldChar w:fldCharType="begin"/>
        </w:r>
        <w:r>
          <w:rPr>
            <w:rStyle w:val="1146"/>
            <w:rFonts w:ascii="宋体" w:hAnsi="宋体" w:cs="Calibri"/>
            <w:bCs/>
            <w:caps/>
            <w:color w:val="auto"/>
            <w:sz w:val="32"/>
            <w:szCs w:val="32"/>
          </w:rPr>
          <w:instrText xml:space="preserve"> PAGEREF _Toc105397794 \h </w:instrText>
        </w:r>
        <w:r>
          <w:rPr>
            <w:rStyle w:val="1146"/>
            <w:rFonts w:ascii="宋体" w:hAnsi="宋体" w:cs="Calibri"/>
            <w:bCs/>
            <w:caps/>
            <w:color w:val="auto"/>
            <w:sz w:val="32"/>
            <w:szCs w:val="32"/>
          </w:rPr>
        </w:r>
        <w:r>
          <w:rPr>
            <w:rStyle w:val="1146"/>
            <w:rFonts w:ascii="宋体" w:hAnsi="宋体" w:cs="Calibri"/>
            <w:bCs/>
            <w:caps/>
            <w:color w:val="auto"/>
            <w:sz w:val="32"/>
            <w:szCs w:val="32"/>
          </w:rPr>
          <w:fldChar w:fldCharType="separate"/>
        </w:r>
        <w:r>
          <w:rPr>
            <w:rStyle w:val="1146"/>
            <w:rFonts w:ascii="宋体" w:hAnsi="宋体" w:cs="Calibri"/>
            <w:bCs/>
            <w:caps/>
            <w:color w:val="auto"/>
            <w:sz w:val="32"/>
            <w:szCs w:val="32"/>
          </w:rPr>
          <w:t xml:space="preserve">36</w:t>
        </w:r>
        <w:r>
          <w:rPr>
            <w:rStyle w:val="1146"/>
            <w:rFonts w:ascii="宋体" w:hAnsi="宋体" w:cs="Calibri"/>
            <w:bCs/>
            <w:caps/>
            <w:color w:val="auto"/>
            <w:sz w:val="32"/>
            <w:szCs w:val="32"/>
          </w:rPr>
          <w:fldChar w:fldCharType="end"/>
        </w:r>
      </w:hyperlink>
      <w:r/>
      <w:r/>
    </w:p>
    <w:p>
      <w:pPr>
        <w:pStyle w:val="1114"/>
        <w:ind w:firstLine="0"/>
        <w:jc w:val="left"/>
        <w:spacing w:before="120" w:after="120"/>
        <w:tabs>
          <w:tab w:val="right" w:pos="9854" w:leader="dot"/>
        </w:tabs>
        <w:rPr>
          <w:rStyle w:val="1146"/>
          <w:rFonts w:ascii="宋体" w:hAnsi="宋体" w:cs="Calibri"/>
          <w:bCs/>
          <w:caps/>
          <w:color w:val="auto"/>
          <w:sz w:val="32"/>
          <w:szCs w:val="32"/>
        </w:rPr>
        <w:outlineLvl w:val="9"/>
      </w:pPr>
      <w:r/>
      <w:hyperlink w:tooltip="#_Toc105397795" w:anchor="_Toc105397795" w:history="1">
        <w:r>
          <w:rPr>
            <w:rStyle w:val="1146"/>
            <w:rFonts w:ascii="宋体" w:hAnsi="宋体" w:cs="Calibri"/>
            <w:bCs/>
            <w:caps/>
            <w:color w:val="auto"/>
            <w:sz w:val="32"/>
            <w:szCs w:val="32"/>
          </w:rPr>
          <w:t xml:space="preserve">第六章 评标办法和评分标准</w:t>
        </w:r>
        <w:r>
          <w:rPr>
            <w:rStyle w:val="1146"/>
            <w:rFonts w:ascii="宋体" w:hAnsi="宋体" w:cs="Calibri"/>
            <w:bCs/>
            <w:caps/>
            <w:color w:val="auto"/>
            <w:sz w:val="32"/>
            <w:szCs w:val="32"/>
          </w:rPr>
          <w:tab/>
        </w:r>
        <w:r>
          <w:rPr>
            <w:rStyle w:val="1146"/>
            <w:rFonts w:ascii="宋体" w:hAnsi="宋体" w:cs="Calibri"/>
            <w:bCs/>
            <w:caps/>
            <w:color w:val="auto"/>
            <w:sz w:val="32"/>
            <w:szCs w:val="32"/>
          </w:rPr>
          <w:fldChar w:fldCharType="begin"/>
        </w:r>
        <w:r>
          <w:rPr>
            <w:rStyle w:val="1146"/>
            <w:rFonts w:ascii="宋体" w:hAnsi="宋体" w:cs="Calibri"/>
            <w:bCs/>
            <w:caps/>
            <w:color w:val="auto"/>
            <w:sz w:val="32"/>
            <w:szCs w:val="32"/>
          </w:rPr>
          <w:instrText xml:space="preserve"> PAGEREF _Toc105397795 \h </w:instrText>
        </w:r>
        <w:r>
          <w:rPr>
            <w:rStyle w:val="1146"/>
            <w:rFonts w:ascii="宋体" w:hAnsi="宋体" w:cs="Calibri"/>
            <w:bCs/>
            <w:caps/>
            <w:color w:val="auto"/>
            <w:sz w:val="32"/>
            <w:szCs w:val="32"/>
          </w:rPr>
        </w:r>
        <w:r>
          <w:rPr>
            <w:rStyle w:val="1146"/>
            <w:rFonts w:ascii="宋体" w:hAnsi="宋体" w:cs="Calibri"/>
            <w:bCs/>
            <w:caps/>
            <w:color w:val="auto"/>
            <w:sz w:val="32"/>
            <w:szCs w:val="32"/>
          </w:rPr>
          <w:fldChar w:fldCharType="separate"/>
        </w:r>
        <w:r>
          <w:rPr>
            <w:rStyle w:val="1146"/>
            <w:rFonts w:ascii="宋体" w:hAnsi="宋体" w:cs="Calibri"/>
            <w:bCs/>
            <w:caps/>
            <w:color w:val="auto"/>
            <w:sz w:val="32"/>
            <w:szCs w:val="32"/>
          </w:rPr>
          <w:t xml:space="preserve">43</w:t>
        </w:r>
        <w:r>
          <w:rPr>
            <w:rStyle w:val="1146"/>
            <w:rFonts w:ascii="宋体" w:hAnsi="宋体" w:cs="Calibri"/>
            <w:bCs/>
            <w:caps/>
            <w:color w:val="auto"/>
            <w:sz w:val="32"/>
            <w:szCs w:val="32"/>
          </w:rPr>
          <w:fldChar w:fldCharType="end"/>
        </w:r>
      </w:hyperlink>
      <w:r/>
      <w:r/>
    </w:p>
    <w:p>
      <w:pPr>
        <w:pStyle w:val="1114"/>
        <w:ind w:firstLine="0"/>
        <w:jc w:val="left"/>
        <w:spacing w:before="120" w:after="120"/>
        <w:tabs>
          <w:tab w:val="right" w:pos="9856" w:leader="dot"/>
        </w:tabs>
        <w:rPr>
          <w:rFonts w:ascii="宋体" w:hAnsi="宋体"/>
          <w:sz w:val="32"/>
          <w:szCs w:val="32"/>
        </w:rPr>
        <w:outlineLvl w:val="9"/>
      </w:pPr>
      <w:r>
        <w:rPr>
          <w:rStyle w:val="114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JSZC-320500-JZCG-G2025-0393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吴中区教育局电脑采购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bookmarkStart w:id="3" w:name="OLE_LINK93"/>
            <w:r/>
            <w:bookmarkStart w:id="4" w:name="OLE_LINK92"/>
            <w:r/>
            <w:bookmarkStart w:id="5" w:name="OLE_LINK166"/>
            <w:r>
              <w:rPr>
                <w:rFonts w:hint="eastAsia" w:ascii="宋体" w:hAnsi="宋体"/>
                <w:sz w:val="21"/>
                <w:szCs w:val="21"/>
              </w:rPr>
              <w:t xml:space="preserve">联系人：王工、马工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联系电话：0512-69820875</w:t>
            </w:r>
            <w:bookmarkEnd w:id="3"/>
            <w:r/>
            <w:bookmarkEnd w:id="4"/>
            <w:r>
              <w:rPr>
                <w:rFonts w:hint="eastAsia" w:ascii="宋体" w:hAnsi="宋体"/>
                <w:sz w:val="21"/>
                <w:szCs w:val="21"/>
              </w:rPr>
              <w:t xml:space="preserve">、0512-69820884</w:t>
            </w:r>
            <w:bookmarkEnd w:id="5"/>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苏州市吴中区教育局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苏州市吴中区越溪苏街198号吴中商务中心B楼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张瑞丰</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：0512-67081182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Times New Roman"/>
                <w:sz w:val="21"/>
                <w:szCs w:val="21"/>
              </w:rPr>
              <w:t xml:space="preserve">投标</w:t>
            </w:r>
            <w:r>
              <w:rPr>
                <w:rFonts w:hint="eastAsia" w:ascii="宋体" w:hAnsi="宋体" w:cs="Times New Roman"/>
                <w:sz w:val="21"/>
                <w:szCs w:val="21"/>
              </w:rPr>
              <w:t xml:space="preserve">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31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31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10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107"/>
        <w:rPr>
          <w:rFonts w:ascii="宋体" w:hAnsi="宋体"/>
        </w:rPr>
      </w:pPr>
      <w:r>
        <w:rPr>
          <w:rFonts w:ascii="宋体" w:hAnsi="宋体"/>
        </w:rPr>
      </w:r>
      <w:r/>
    </w:p>
    <w:p>
      <w:pPr>
        <w:pStyle w:val="109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81"/>
        <w:ind w:left="431" w:firstLine="17"/>
        <w:jc w:val="center"/>
        <w:spacing w:before="0" w:after="0" w:line="360" w:lineRule="auto"/>
        <w:rPr>
          <w:rStyle w:val="1211"/>
          <w:rFonts w:ascii="宋体" w:hAnsi="宋体"/>
        </w:rPr>
      </w:pPr>
      <w:r/>
      <w:bookmarkStart w:id="8"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吴中区教育局电脑采购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19</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9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9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JSZC-320500-JZCG-G2025-0393</w:t>
      </w:r>
      <w:r/>
    </w:p>
    <w:p>
      <w:pPr>
        <w:pStyle w:val="109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吴中区教育局电脑采购</w:t>
      </w:r>
      <w:r>
        <w:rPr>
          <w:rFonts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99"/>
        <w:ind w:left="0" w:firstLine="420"/>
        <w:spacing w:line="360" w:lineRule="auto"/>
        <w:rPr>
          <w:rFonts w:ascii="宋体" w:hAnsi="宋体"/>
          <w:sz w:val="21"/>
        </w:rPr>
      </w:pPr>
      <w:r>
        <w:rPr>
          <w:rFonts w:hint="eastAsia" w:ascii="宋体" w:hAnsi="宋体"/>
          <w:sz w:val="21"/>
          <w:szCs w:val="21"/>
        </w:rPr>
        <w:t xml:space="preserve">4.预算金额：</w:t>
      </w:r>
      <w:bookmarkStart w:id="9" w:name="OLE_LINK222"/>
      <w:r/>
      <w:bookmarkStart w:id="10" w:name="OLE_LINK234"/>
      <w:r>
        <w:rPr>
          <w:rFonts w:hint="eastAsia" w:ascii="宋体" w:hAnsi="宋体"/>
          <w:sz w:val="21"/>
        </w:rPr>
        <w:t xml:space="preserve">人民币</w:t>
      </w:r>
      <w:r>
        <w:rPr>
          <w:rFonts w:hint="eastAsia" w:ascii="宋体" w:hAnsi="宋体"/>
          <w:sz w:val="21"/>
        </w:rPr>
        <w:t xml:space="preserve">叁佰柒拾壹万伍仟元</w:t>
      </w:r>
      <w:r>
        <w:rPr>
          <w:rFonts w:hint="eastAsia" w:ascii="宋体" w:hAnsi="宋体"/>
          <w:sz w:val="21"/>
        </w:rPr>
        <w:t xml:space="preserve">整 (￥</w:t>
      </w:r>
      <w:r>
        <w:rPr>
          <w:rFonts w:ascii="宋体" w:hAnsi="宋体"/>
          <w:sz w:val="21"/>
        </w:rPr>
        <w:t xml:space="preserve">37150</w:t>
      </w:r>
      <w:r>
        <w:rPr>
          <w:rFonts w:hint="eastAsia" w:ascii="宋体" w:hAnsi="宋体"/>
          <w:sz w:val="21"/>
        </w:rPr>
        <w:t xml:space="preserve">00.00元）</w:t>
      </w:r>
      <w:bookmarkEnd w:id="9"/>
      <w:r/>
      <w:bookmarkEnd w:id="10"/>
      <w:r>
        <w:rPr>
          <w:rFonts w:hint="eastAsia" w:ascii="宋体" w:hAnsi="宋体"/>
          <w:sz w:val="21"/>
          <w:szCs w:val="21"/>
        </w:rPr>
        <w:t xml:space="preserve"> </w:t>
      </w:r>
      <w:r>
        <w:rPr>
          <w:rFonts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人民币叁佰柒拾壹万伍仟元整 (￥</w:t>
      </w:r>
      <w:r>
        <w:rPr>
          <w:rFonts w:ascii="宋体" w:hAnsi="宋体"/>
          <w:sz w:val="21"/>
        </w:rPr>
        <w:t xml:space="preserve">37150</w:t>
      </w:r>
      <w:r>
        <w:rPr>
          <w:rFonts w:hint="eastAsia" w:ascii="宋体" w:hAnsi="宋体"/>
          <w:sz w:val="21"/>
        </w:rPr>
        <w:t xml:space="preserve">00.00元）</w:t>
      </w:r>
      <w:r>
        <w:rPr>
          <w:rFonts w:hint="eastAsia"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一标段：预算为</w:t>
      </w:r>
      <w:r>
        <w:rPr>
          <w:rFonts w:hint="eastAsia" w:ascii="宋体" w:hAnsi="宋体"/>
          <w:sz w:val="21"/>
        </w:rPr>
        <w:t xml:space="preserve">人民币壹佰伍拾叁</w:t>
      </w:r>
      <w:r>
        <w:rPr>
          <w:rFonts w:hint="eastAsia" w:ascii="宋体" w:hAnsi="宋体"/>
          <w:sz w:val="21"/>
          <w:szCs w:val="21"/>
        </w:rPr>
        <w:t xml:space="preserve">万元整（￥1530000.00元）,最高限价为</w:t>
      </w:r>
      <w:r>
        <w:rPr>
          <w:rFonts w:hint="eastAsia" w:ascii="宋体" w:hAnsi="宋体"/>
          <w:sz w:val="21"/>
        </w:rPr>
        <w:t xml:space="preserve">人民币壹佰伍拾叁</w:t>
      </w:r>
      <w:r>
        <w:rPr>
          <w:rFonts w:hint="eastAsia" w:ascii="宋体" w:hAnsi="宋体"/>
          <w:sz w:val="21"/>
          <w:szCs w:val="21"/>
        </w:rPr>
        <w:t xml:space="preserve">万元整（￥1530000.00元）。</w:t>
      </w:r>
      <w:r/>
    </w:p>
    <w:p>
      <w:pPr>
        <w:pStyle w:val="1099"/>
        <w:ind w:left="0" w:firstLine="420"/>
        <w:spacing w:line="360" w:lineRule="auto"/>
        <w:rPr>
          <w:rFonts w:ascii="宋体" w:hAnsi="宋体"/>
          <w:sz w:val="21"/>
          <w:szCs w:val="21"/>
        </w:rPr>
      </w:pPr>
      <w:r>
        <w:rPr>
          <w:rFonts w:hint="eastAsia" w:ascii="宋体" w:hAnsi="宋体"/>
          <w:sz w:val="21"/>
          <w:szCs w:val="21"/>
        </w:rPr>
        <w:t xml:space="preserve">二标段：预算为</w:t>
      </w:r>
      <w:r>
        <w:rPr>
          <w:rFonts w:hint="eastAsia" w:ascii="宋体" w:hAnsi="宋体"/>
          <w:sz w:val="21"/>
        </w:rPr>
        <w:t xml:space="preserve">人民币贰佰壹拾捌万伍仟</w:t>
      </w:r>
      <w:r>
        <w:rPr>
          <w:rFonts w:hint="eastAsia" w:ascii="宋体" w:hAnsi="宋体"/>
          <w:sz w:val="21"/>
          <w:szCs w:val="21"/>
        </w:rPr>
        <w:t xml:space="preserve">元整（￥2185000.00元）,最高限价为</w:t>
      </w:r>
      <w:r>
        <w:rPr>
          <w:rFonts w:hint="eastAsia" w:ascii="宋体" w:hAnsi="宋体"/>
          <w:sz w:val="21"/>
        </w:rPr>
        <w:t xml:space="preserve">人民币贰佰壹拾捌万伍仟</w:t>
      </w:r>
      <w:r>
        <w:rPr>
          <w:rFonts w:hint="eastAsia" w:ascii="宋体" w:hAnsi="宋体"/>
          <w:sz w:val="21"/>
          <w:szCs w:val="21"/>
        </w:rPr>
        <w:t xml:space="preserve">元整（￥2185000.00元）。  </w:t>
      </w:r>
      <w:r>
        <w:rPr>
          <w:rFonts w:ascii="宋体" w:hAnsi="宋体"/>
          <w:sz w:val="21"/>
          <w:szCs w:val="21"/>
        </w:rPr>
        <w:t xml:space="preserve"> </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（适用于一标段至二标段）</w:t>
      </w:r>
      <w:r>
        <w:rPr>
          <w:rFonts w:hint="eastAsia" w:ascii="宋体" w:hAnsi="宋体"/>
          <w:sz w:val="21"/>
        </w:rPr>
        <w:t xml:space="preserve">交货期为合同签订后十五个工作日内，免费质保期不低于叁年。</w:t>
      </w:r>
      <w:r>
        <w:rPr>
          <w:rFonts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吴中区教育局电脑采购</w:t>
      </w:r>
      <w:r>
        <w:rPr>
          <w:rFonts w:hint="eastAsia" w:ascii="宋体" w:hAnsi="宋体"/>
          <w:sz w:val="21"/>
          <w:szCs w:val="21"/>
        </w:rPr>
        <w:t xml:space="preserve">（详见采购文件第四章）</w:t>
      </w:r>
      <w:r/>
    </w:p>
    <w:p>
      <w:pPr>
        <w:pStyle w:val="109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9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9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9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9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9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9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9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9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9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9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9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9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9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99"/>
        <w:ind w:left="0" w:firstLine="420"/>
        <w:spacing w:line="360" w:lineRule="auto"/>
        <w:rPr>
          <w:rFonts w:ascii="宋体" w:hAnsi="宋体"/>
          <w:sz w:val="21"/>
          <w:szCs w:val="21"/>
        </w:rPr>
      </w:pPr>
      <w:r>
        <w:rPr>
          <w:rFonts w:hint="eastAsia" w:ascii="宋体" w:hAnsi="宋体"/>
          <w:sz w:val="21"/>
          <w:szCs w:val="21"/>
        </w:rPr>
        <w:t xml:space="preserve">3.方式：</w:t>
      </w:r>
      <w:r/>
    </w:p>
    <w:p>
      <w:pPr>
        <w:pStyle w:val="109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9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9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9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9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9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9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99"/>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9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9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99"/>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9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9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9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9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9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9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9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9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9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9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14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14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14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14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9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9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9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苏州市吴中区教育局</w:t>
      </w:r>
      <w:r>
        <w:rPr>
          <w:rFonts w:hint="eastAsia" w:ascii="宋体" w:hAnsi="宋体"/>
          <w:sz w:val="21"/>
          <w:szCs w:val="21"/>
        </w:rPr>
        <w:t xml:space="preserve">  </w:t>
      </w:r>
      <w:r>
        <w:rPr>
          <w:rFonts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苏州市吴中区越溪苏街198号吴中商务中心B楼</w:t>
      </w:r>
      <w:r>
        <w:rPr>
          <w:rFonts w:hint="eastAsia" w:ascii="宋体" w:hAnsi="宋体"/>
          <w:sz w:val="21"/>
          <w:szCs w:val="21"/>
        </w:rPr>
        <w:t xml:space="preserve"> </w:t>
      </w:r>
      <w:r/>
    </w:p>
    <w:p>
      <w:pPr>
        <w:pStyle w:val="109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张瑞丰</w:t>
      </w:r>
      <w:r/>
    </w:p>
    <w:p>
      <w:pPr>
        <w:pStyle w:val="1099"/>
        <w:ind w:left="0" w:firstLine="420"/>
        <w:spacing w:line="360" w:lineRule="auto"/>
        <w:rPr>
          <w:rFonts w:ascii="宋体" w:hAnsi="宋体"/>
          <w:sz w:val="21"/>
          <w:szCs w:val="21"/>
        </w:rPr>
      </w:pPr>
      <w:r>
        <w:rPr>
          <w:rFonts w:hint="eastAsia" w:ascii="宋体" w:hAnsi="宋体"/>
          <w:sz w:val="21"/>
          <w:szCs w:val="21"/>
        </w:rPr>
        <w:t xml:space="preserve">联系方式</w:t>
      </w:r>
      <w:bookmarkStart w:id="11" w:name="OLE_LINK118"/>
      <w:r/>
      <w:bookmarkStart w:id="12" w:name="OLE_LINK119"/>
      <w:r>
        <w:rPr>
          <w:rFonts w:hint="eastAsia" w:ascii="宋体" w:hAnsi="宋体"/>
          <w:sz w:val="21"/>
          <w:szCs w:val="21"/>
        </w:rPr>
        <w:t xml:space="preserve">：</w:t>
      </w:r>
      <w:r>
        <w:rPr>
          <w:rFonts w:ascii="宋体" w:hAnsi="宋体"/>
          <w:sz w:val="21"/>
          <w:szCs w:val="21"/>
        </w:rPr>
        <w:t xml:space="preserve">0512-67081182</w:t>
      </w:r>
      <w:bookmarkEnd w:id="11"/>
      <w:r/>
      <w:bookmarkEnd w:id="12"/>
      <w:r/>
      <w:r/>
    </w:p>
    <w:p>
      <w:pPr>
        <w:pStyle w:val="109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9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9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99"/>
        <w:ind w:left="0" w:firstLine="420"/>
        <w:spacing w:line="360" w:lineRule="auto"/>
        <w:rPr>
          <w:rFonts w:ascii="宋体" w:hAnsi="宋体"/>
          <w:sz w:val="21"/>
          <w:szCs w:val="21"/>
        </w:rPr>
      </w:pPr>
      <w:r/>
      <w:bookmarkStart w:id="13" w:name="OLE_LINK215"/>
      <w:r>
        <w:rPr>
          <w:rFonts w:hint="eastAsia" w:ascii="宋体" w:hAnsi="宋体"/>
          <w:sz w:val="21"/>
          <w:szCs w:val="21"/>
        </w:rPr>
        <w:t xml:space="preserve">联系方式：0512-69820875、0512-69820884 </w:t>
      </w:r>
      <w:r/>
    </w:p>
    <w:p>
      <w:pPr>
        <w:pStyle w:val="109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99"/>
        <w:ind w:left="0" w:firstLine="420"/>
        <w:spacing w:line="360" w:lineRule="auto"/>
        <w:rPr>
          <w:rFonts w:ascii="宋体" w:hAnsi="宋体"/>
          <w:sz w:val="21"/>
          <w:szCs w:val="21"/>
        </w:rPr>
      </w:pPr>
      <w:r/>
      <w:bookmarkStart w:id="14" w:name="OLE_LINK13"/>
      <w:r/>
      <w:bookmarkStart w:id="15" w:name="OLE_LINK14"/>
      <w:r>
        <w:rPr>
          <w:rFonts w:hint="eastAsia" w:ascii="宋体" w:hAnsi="宋体"/>
          <w:sz w:val="21"/>
          <w:szCs w:val="21"/>
        </w:rPr>
        <w:t xml:space="preserve">项目联系人：王工 </w:t>
      </w:r>
      <w:bookmarkEnd w:id="14"/>
      <w:r/>
      <w:bookmarkEnd w:id="15"/>
      <w:r>
        <w:rPr>
          <w:rFonts w:hint="eastAsia" w:ascii="宋体" w:hAnsi="宋体"/>
          <w:sz w:val="21"/>
          <w:szCs w:val="21"/>
        </w:rPr>
        <w:t xml:space="preserve">、马工</w:t>
      </w:r>
      <w:r/>
    </w:p>
    <w:p>
      <w:pPr>
        <w:pStyle w:val="1099"/>
        <w:ind w:left="0" w:firstLine="420"/>
        <w:spacing w:line="360" w:lineRule="auto"/>
        <w:rPr>
          <w:rFonts w:ascii="宋体" w:hAnsi="宋体"/>
          <w:sz w:val="21"/>
          <w:szCs w:val="21"/>
        </w:rPr>
      </w:pPr>
      <w:r>
        <w:rPr>
          <w:rFonts w:hint="eastAsia" w:ascii="宋体" w:hAnsi="宋体"/>
          <w:sz w:val="21"/>
          <w:szCs w:val="21"/>
        </w:rPr>
        <w:t xml:space="preserve">电话：0512-69820875、0512-69820884</w:t>
      </w:r>
      <w:bookmarkEnd w:id="13"/>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93"/>
      </w:pPr>
      <w:r/>
      <w:r/>
    </w:p>
    <w:p>
      <w:r/>
      <w:r/>
    </w:p>
    <w:p>
      <w:pPr>
        <w:pStyle w:val="1093"/>
      </w:pPr>
      <w:r/>
      <w:r/>
    </w:p>
    <w:p>
      <w:r/>
      <w:r/>
    </w:p>
    <w:p>
      <w:pPr>
        <w:pStyle w:val="1093"/>
      </w:pPr>
      <w:r/>
      <w:r/>
    </w:p>
    <w:p>
      <w:r/>
      <w:r/>
    </w:p>
    <w:p>
      <w:pPr>
        <w:pStyle w:val="1093"/>
      </w:pPr>
      <w:r/>
      <w:r/>
    </w:p>
    <w:p>
      <w:r/>
      <w:r/>
    </w:p>
    <w:p>
      <w:pPr>
        <w:pStyle w:val="1093"/>
        <w:ind w:left="0" w:firstLine="0"/>
      </w:pPr>
      <w:r/>
      <w:r/>
    </w:p>
    <w:p>
      <w:pPr>
        <w:pStyle w:val="1081"/>
        <w:ind w:left="0" w:firstLine="0"/>
        <w:jc w:val="center"/>
        <w:rPr>
          <w:rFonts w:ascii="宋体" w:hAnsi="宋体"/>
          <w:b/>
          <w:sz w:val="44"/>
          <w:szCs w:val="22"/>
        </w:rPr>
      </w:pPr>
      <w:r/>
      <w:bookmarkStart w:id="16" w:name="_Toc2412"/>
      <w:r/>
      <w:bookmarkStart w:id="17" w:name="_Toc105397777"/>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099"/>
        <w:ind w:left="0" w:firstLine="422"/>
        <w:spacing w:line="360" w:lineRule="auto"/>
        <w:rPr>
          <w:rFonts w:ascii="宋体" w:hAnsi="宋体"/>
          <w:b/>
          <w:sz w:val="21"/>
          <w:szCs w:val="21"/>
        </w:rPr>
      </w:pPr>
      <w:r/>
      <w:bookmarkStart w:id="20" w:name="_Toc13437"/>
      <w:r/>
      <w:bookmarkStart w:id="21" w:name="_Toc20132"/>
      <w:r>
        <w:rPr>
          <w:rFonts w:hint="eastAsia" w:ascii="宋体" w:hAnsi="宋体"/>
          <w:b/>
          <w:sz w:val="21"/>
          <w:szCs w:val="21"/>
        </w:rPr>
        <w:t xml:space="preserve">一、说明和释义</w:t>
      </w:r>
      <w:bookmarkEnd w:id="20"/>
      <w:r/>
      <w:bookmarkEnd w:id="21"/>
      <w:r/>
      <w:r/>
    </w:p>
    <w:p>
      <w:pPr>
        <w:pStyle w:val="1099"/>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09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9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9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99"/>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09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9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9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9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9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9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9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9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9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9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9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3350"/>
      <w:r/>
      <w:bookmarkStart w:id="25" w:name="_Toc14976"/>
      <w:r/>
      <w:r/>
    </w:p>
    <w:p>
      <w:pPr>
        <w:pStyle w:val="1099"/>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09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13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13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13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13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9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9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9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9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5764"/>
      <w:r/>
      <w:bookmarkStart w:id="27" w:name="_Toc31958"/>
      <w:r/>
      <w:r/>
    </w:p>
    <w:p>
      <w:pPr>
        <w:pStyle w:val="109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9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09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9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9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9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9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9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9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99"/>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9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9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9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9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9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9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9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9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9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9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9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9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99"/>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9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99"/>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9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09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9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9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9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9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9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14.1.1-14.1.6适用于一标段至二标段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9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9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9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9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9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13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13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13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9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9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31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31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31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w:t>
      </w:r>
      <w:r>
        <w:rPr>
          <w:rFonts w:hint="eastAsia" w:ascii="宋体" w:hAnsi="宋体"/>
          <w:b/>
          <w:sz w:val="21"/>
          <w:szCs w:val="21"/>
        </w:rPr>
        <w:t xml:space="preserve">现投标总报价。</w:t>
      </w:r>
      <w:r>
        <w:rPr>
          <w:rFonts w:hint="eastAsia" w:ascii="宋体" w:hAnsi="宋体"/>
          <w:sz w:val="21"/>
          <w:szCs w:val="21"/>
        </w:rPr>
        <w:t xml:space="preserve">投标人所提交的资料的完整与否，将直接影响投标人的评分。</w:t>
      </w:r>
      <w:r/>
    </w:p>
    <w:p>
      <w:pPr>
        <w:pStyle w:val="131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31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31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31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31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31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31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31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31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9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31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31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31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31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31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31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31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31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31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31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315"/>
        <w:ind w:left="0" w:firstLine="422"/>
        <w:spacing w:line="360" w:lineRule="auto"/>
        <w:rPr>
          <w:rFonts w:ascii="宋体" w:hAnsi="宋体" w:cs="宋体"/>
          <w:b/>
          <w:color w:val="000000" w:themeColor="text1"/>
          <w:sz w:val="21"/>
          <w:szCs w:val="21"/>
        </w:rPr>
      </w:pPr>
      <w:r/>
      <w:bookmarkStart w:id="34" w:name="OLE_LINK20"/>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315"/>
        <w:ind w:left="0" w:firstLine="422"/>
        <w:spacing w:line="360" w:lineRule="auto"/>
        <w:rPr>
          <w:rFonts w:ascii="宋体" w:hAnsi="宋体" w:cs="宋体"/>
          <w:b/>
          <w:color w:val="000000" w:themeColor="text1"/>
          <w:sz w:val="21"/>
          <w:szCs w:val="21"/>
          <w:lang w:val="en-US"/>
        </w:rPr>
      </w:pPr>
      <w:r/>
      <w:bookmarkStart w:id="38" w:name="OLE_LINK3"/>
      <w:r/>
      <w:bookmarkStart w:id="39"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cs="宋体"/>
          <w:b/>
          <w:color w:val="000000" w:themeColor="text1"/>
          <w:sz w:val="21"/>
          <w:szCs w:val="21"/>
          <w:lang w:val="en-US"/>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4" w:name="OLE_LINK7"/>
      <w:r/>
      <w:bookmarkStart w:id="45" w:name="OLE_LINK8"/>
      <w:r>
        <w:rPr>
          <w:rFonts w:hint="eastAsia" w:ascii="宋体" w:hAnsi="宋体"/>
          <w:b/>
          <w:color w:val="000000" w:themeColor="text1"/>
          <w:sz w:val="21"/>
          <w:szCs w:val="21"/>
        </w:rPr>
        <w:t xml:space="preserve">薪资</w:t>
      </w:r>
      <w:bookmarkEnd w:id="44"/>
      <w:r/>
      <w:bookmarkEnd w:id="45"/>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8"/>
      <w:r/>
      <w:bookmarkEnd w:id="39"/>
      <w:r/>
      <w:bookmarkEnd w:id="34"/>
      <w:r/>
      <w:r/>
    </w:p>
    <w:p>
      <w:pPr>
        <w:pStyle w:val="131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31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31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31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31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31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31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31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31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31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31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31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1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31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31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31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31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31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31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315"/>
        <w:ind w:left="0" w:firstLine="0"/>
        <w:spacing w:line="360" w:lineRule="auto"/>
        <w:rPr>
          <w:rFonts w:ascii="宋体" w:hAnsi="宋体" w:cs="宋体"/>
          <w:sz w:val="21"/>
          <w:szCs w:val="21"/>
        </w:rPr>
      </w:pPr>
      <w:r>
        <w:rPr>
          <w:rFonts w:ascii="宋体" w:hAnsi="宋体" w:cs="宋体"/>
          <w:sz w:val="21"/>
          <w:szCs w:val="21"/>
        </w:rPr>
      </w:r>
      <w:r/>
    </w:p>
    <w:p>
      <w:pPr>
        <w:pStyle w:val="1081"/>
        <w:ind w:left="0" w:firstLine="0"/>
        <w:jc w:val="center"/>
        <w:rPr>
          <w:rFonts w:ascii="宋体" w:hAnsi="宋体"/>
          <w:sz w:val="21"/>
          <w:szCs w:val="21"/>
          <w:lang w:val="zh-CN"/>
        </w:rPr>
      </w:pPr>
      <w:r/>
      <w:bookmarkStart w:id="50" w:name="_Toc105397778"/>
      <w:r/>
      <w:bookmarkStart w:id="51" w:name="_Toc24711"/>
      <w:r/>
      <w:bookmarkStart w:id="52" w:name="_Toc7264"/>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31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05397779"/>
      <w:r/>
      <w:bookmarkStart w:id="55" w:name="_Toc3821"/>
      <w:r/>
      <w:bookmarkStart w:id="56" w:name="_Toc71810480"/>
      <w:r/>
      <w:bookmarkStart w:id="57" w:name="_Toc17036"/>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107"/>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10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10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9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93"/>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14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10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bookmarkStart w:id="79" w:name="OLE_LINK105"/>
      <w:r/>
      <w:bookmarkStart w:id="80" w:name="OLE_LINK106"/>
      <w:r>
        <w:rPr>
          <w:rFonts w:hint="eastAsia" w:ascii="宋体" w:hAnsi="宋体"/>
          <w:b/>
          <w:sz w:val="21"/>
          <w:szCs w:val="21"/>
        </w:rPr>
        <w:t xml:space="preserve">中小企业声明函（货物）</w:t>
      </w:r>
      <w:r>
        <w:rPr>
          <w:rFonts w:hint="eastAsia" w:ascii="宋体" w:hAnsi="宋体"/>
          <w:b/>
          <w:sz w:val="21"/>
          <w:szCs w:val="21"/>
        </w:rPr>
        <w:t xml:space="preserve">一标段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苏州市吴中区教育局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汤堡实验小学电脑</w:t>
      </w:r>
      <w:r>
        <w:rPr>
          <w:rFonts w:hint="eastAsia" w:ascii="宋体" w:hAnsi="宋体"/>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bookmarkStart w:id="81" w:name="OLE_LINK114"/>
      <w:r/>
      <w:bookmarkStart w:id="82" w:name="OLE_LINK115"/>
      <w:r>
        <w:rPr>
          <w:rFonts w:hint="eastAsia" w:ascii="宋体" w:hAnsi="宋体"/>
          <w:sz w:val="21"/>
          <w:szCs w:val="21"/>
          <w:u w:val="single"/>
        </w:rPr>
        <w:t xml:space="preserve">工业</w:t>
      </w:r>
      <w:bookmarkEnd w:id="81"/>
      <w:r/>
      <w:bookmarkEnd w:id="82"/>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4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10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中小企业声明函（货物）二标段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苏州市吴中区教育局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光福九年一贯制学校电脑</w:t>
      </w:r>
      <w:r>
        <w:rPr>
          <w:rFonts w:hint="eastAsia" w:ascii="宋体" w:hAnsi="宋体"/>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工业行业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48"/>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10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93"/>
        <w:rPr>
          <w:lang w:val="zh-CN"/>
        </w:rPr>
      </w:pPr>
      <w:r>
        <w:rPr>
          <w:rFonts w:ascii="宋体" w:hAnsi="宋体"/>
          <w:sz w:val="21"/>
          <w:szCs w:val="21"/>
          <w:lang w:val="zh-CN"/>
        </w:rPr>
        <w:br w:type="page" w:clear="all"/>
      </w:r>
      <w:r/>
    </w:p>
    <w:p>
      <w:pPr>
        <w:ind w:left="0"/>
        <w:spacing w:line="280" w:lineRule="exact"/>
        <w:rPr>
          <w:rFonts w:ascii="宋体" w:hAnsi="宋体"/>
          <w:b/>
        </w:rPr>
      </w:pPr>
      <w:r/>
      <w:bookmarkStart w:id="83" w:name="_Toc71810485"/>
      <w:r/>
      <w:bookmarkEnd w:id="79"/>
      <w:r/>
      <w:bookmarkEnd w:id="80"/>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10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3869"/>
      <w:r/>
      <w:bookmarkStart w:id="86" w:name="_Toc32206"/>
      <w:r/>
      <w:bookmarkStart w:id="87"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3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14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14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14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14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14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14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14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4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14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8" w:name="_Toc71810487"/>
      <w:r/>
      <w:bookmarkStart w:id="89" w:name="_Toc105397785"/>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rPr>
        <w:t xml:space="preserve"> </w:t>
      </w:r>
      <w:bookmarkEnd w:id="89"/>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90" w:name="OLE_LINK111"/>
      <w:r/>
      <w:bookmarkStart w:id="91" w:name="_Toc31973"/>
      <w:r/>
      <w:bookmarkStart w:id="92" w:name="_Toc27138"/>
      <w:r>
        <w:rPr>
          <w:rFonts w:hint="eastAsia" w:ascii="宋体" w:hAnsi="宋体"/>
          <w:b/>
          <w:sz w:val="21"/>
          <w:szCs w:val="21"/>
        </w:rPr>
        <w:t xml:space="preserve">投标货物和服务数量、品牌规格、性能、交货期说明表</w:t>
      </w:r>
      <w:bookmarkEnd w:id="90"/>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10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107"/>
        <w:rPr>
          <w:rFonts w:ascii="宋体" w:hAnsi="宋体"/>
        </w:rPr>
      </w:pPr>
      <w:r>
        <w:rPr>
          <w:rFonts w:ascii="宋体" w:hAnsi="宋体"/>
        </w:rPr>
      </w:r>
      <w:r/>
    </w:p>
    <w:p>
      <w:pPr>
        <w:pStyle w:val="109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107"/>
        <w:rPr>
          <w:rFonts w:ascii="宋体" w:hAnsi="宋体"/>
        </w:rPr>
      </w:pPr>
      <w:r>
        <w:rPr>
          <w:rFonts w:ascii="宋体" w:hAnsi="宋体"/>
        </w:rPr>
      </w:r>
      <w:r/>
    </w:p>
    <w:p>
      <w:r/>
      <w:r/>
    </w:p>
    <w:p>
      <w:pPr>
        <w:pStyle w:val="1093"/>
      </w:pPr>
      <w:r/>
      <w:r/>
    </w:p>
    <w:p>
      <w:r/>
      <w:r/>
    </w:p>
    <w:p>
      <w:pPr>
        <w:pStyle w:val="1107"/>
        <w:ind w:firstLine="0"/>
        <w:rPr>
          <w:rFonts w:ascii="宋体" w:hAnsi="宋体"/>
        </w:rPr>
      </w:pPr>
      <w:r>
        <w:rPr>
          <w:rFonts w:ascii="宋体" w:hAnsi="宋体"/>
        </w:rPr>
      </w:r>
      <w:r/>
    </w:p>
    <w:p>
      <w:pPr>
        <w:pStyle w:val="109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rPr>
          <w:rFonts w:ascii="宋体" w:hAnsi="宋体"/>
          <w:b/>
          <w:sz w:val="21"/>
          <w:szCs w:val="21"/>
        </w:rPr>
        <w:t xml:space="preserve">附件8</w:t>
      </w:r>
      <w:r>
        <w:rPr>
          <w:rFonts w:hint="eastAsia" w:ascii="宋体" w:hAnsi="宋体"/>
          <w:b/>
          <w:sz w:val="21"/>
          <w:szCs w:val="21"/>
        </w:rPr>
        <w:t xml:space="preserve">.</w:t>
      </w:r>
      <w:bookmarkEnd w:id="93"/>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4" w:name="_Toc105397787"/>
      <w:r/>
      <w:bookmarkStart w:id="95"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07"/>
        <w:rPr>
          <w:rFonts w:ascii="宋体" w:hAnsi="宋体"/>
        </w:rPr>
      </w:pPr>
      <w:r>
        <w:rPr>
          <w:rFonts w:ascii="宋体" w:hAnsi="宋体"/>
        </w:rPr>
      </w:r>
      <w:r/>
    </w:p>
    <w:p>
      <w:r/>
      <w:r/>
    </w:p>
    <w:p>
      <w:pPr>
        <w:pStyle w:val="1093"/>
      </w:pPr>
      <w:r/>
      <w:r/>
    </w:p>
    <w:p>
      <w:r/>
      <w:r/>
    </w:p>
    <w:p>
      <w:pPr>
        <w:pStyle w:val="1093"/>
      </w:pPr>
      <w:r/>
      <w:r/>
    </w:p>
    <w:p>
      <w:r/>
      <w:r/>
    </w:p>
    <w:p>
      <w:pPr>
        <w:pStyle w:val="1093"/>
      </w:pPr>
      <w:r/>
      <w:r/>
    </w:p>
    <w:p>
      <w:pPr>
        <w:pStyle w:val="1093"/>
      </w:pPr>
      <w:r/>
      <w:r/>
    </w:p>
    <w:p>
      <w:pPr>
        <w:pStyle w:val="109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6" w:name="_Toc71810490"/>
      <w:r/>
      <w:bookmarkEnd w:id="91"/>
      <w:r/>
      <w:bookmarkEnd w:id="92"/>
      <w:r>
        <w:rPr>
          <w:rFonts w:ascii="宋体" w:hAnsi="宋体"/>
        </w:rPr>
        <w:t xml:space="preserve"> </w:t>
      </w:r>
      <w:r/>
    </w:p>
    <w:p>
      <w:pPr>
        <w:pStyle w:val="109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6"/>
      <w:r/>
      <w:bookmarkEnd w:id="9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9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8" w:name="OLE_LINK21"/>
      <w:r/>
      <w:bookmarkStart w:id="99" w:name="OLE_LINK23"/>
      <w:r/>
      <w:bookmarkStart w:id="100" w:name="OLE_LINK24"/>
      <w:r>
        <w:rPr>
          <w:rFonts w:hint="eastAsia" w:ascii="宋体" w:hAnsi="宋体"/>
          <w:b/>
          <w:color w:val="000000" w:themeColor="text1"/>
          <w:sz w:val="21"/>
          <w:szCs w:val="21"/>
          <w:lang w:val="zh-CN"/>
        </w:rPr>
        <w:t xml:space="preserve">备注:根据招标文件第二章“投标人须知”第26.4</w:t>
      </w:r>
      <w:bookmarkStart w:id="101"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101"/>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102" w:name="OLE_LINK18"/>
      <w:r/>
      <w:bookmarkStart w:id="103" w:name="OLE_LINK19"/>
      <w:r>
        <w:rPr>
          <w:rFonts w:hint="eastAsia" w:ascii="宋体" w:hAnsi="宋体"/>
          <w:b/>
          <w:color w:val="000000" w:themeColor="text1"/>
          <w:sz w:val="21"/>
          <w:szCs w:val="21"/>
          <w:lang w:val="zh-CN"/>
        </w:rPr>
        <w:t xml:space="preserve">评标委员会</w:t>
      </w:r>
      <w:bookmarkEnd w:id="102"/>
      <w:r/>
      <w:bookmarkEnd w:id="103"/>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8"/>
      <w:r/>
      <w:bookmarkEnd w:id="99"/>
      <w:r/>
      <w:bookmarkEnd w:id="100"/>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93"/>
        <w:rPr>
          <w:lang w:val="zh-CN"/>
        </w:rPr>
      </w:pPr>
      <w:r>
        <w:rPr>
          <w:lang w:val="zh-CN"/>
        </w:rPr>
      </w:r>
      <w:r/>
    </w:p>
    <w:p>
      <w:pPr>
        <w:rPr>
          <w:lang w:val="zh-CN"/>
        </w:rPr>
      </w:pPr>
      <w:r>
        <w:rPr>
          <w:lang w:val="zh-CN"/>
        </w:rPr>
      </w:r>
      <w:r/>
    </w:p>
    <w:p>
      <w:pPr>
        <w:pStyle w:val="1081"/>
        <w:ind w:left="0" w:firstLine="0"/>
        <w:jc w:val="center"/>
        <w:rPr>
          <w:rFonts w:ascii="宋体" w:hAnsi="宋体"/>
          <w:b/>
          <w:sz w:val="44"/>
          <w:szCs w:val="22"/>
        </w:rPr>
      </w:pPr>
      <w:r/>
      <w:bookmarkStart w:id="104" w:name="_Toc105397793"/>
      <w:r/>
      <w:bookmarkStart w:id="105" w:name="_Toc4098"/>
      <w:r/>
      <w:bookmarkStart w:id="106" w:name="_Toc23660"/>
      <w:r>
        <w:rPr>
          <w:rFonts w:hint="eastAsia" w:ascii="宋体" w:hAnsi="宋体"/>
          <w:b/>
          <w:sz w:val="44"/>
          <w:szCs w:val="22"/>
        </w:rPr>
        <w:t xml:space="preserve">第四章  </w:t>
      </w:r>
      <w:bookmarkStart w:id="107" w:name="招标书"/>
      <w:r/>
      <w:bookmarkEnd w:id="107"/>
      <w:r>
        <w:rPr>
          <w:rFonts w:hint="eastAsia" w:ascii="宋体" w:hAnsi="宋体"/>
          <w:b/>
          <w:sz w:val="44"/>
          <w:szCs w:val="22"/>
        </w:rPr>
        <w:t xml:space="preserve">招标书</w:t>
      </w:r>
      <w:bookmarkEnd w:id="104"/>
      <w:r/>
      <w:bookmarkEnd w:id="105"/>
      <w:r/>
      <w:bookmarkEnd w:id="10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苏州市吴中区教育局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吴中区教育局电脑采购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JSZC-320500-JZCG-G2025-0393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吴中区教育局电脑采购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人民币叁佰柒拾壹万伍仟元整 (￥3715000.00元）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人民币叁佰柒拾壹万伍仟元整 (￥3715000.00元）</w:t>
      </w:r>
      <w:r/>
    </w:p>
    <w:p>
      <w:pPr>
        <w:pStyle w:val="1099"/>
        <w:ind w:left="0" w:firstLine="420"/>
        <w:spacing w:line="360" w:lineRule="auto"/>
        <w:rPr>
          <w:rFonts w:ascii="宋体" w:hAnsi="宋体"/>
          <w:sz w:val="21"/>
          <w:szCs w:val="21"/>
        </w:rPr>
      </w:pPr>
      <w:r/>
      <w:bookmarkStart w:id="108" w:name="OLE_LINK232"/>
      <w:r/>
      <w:bookmarkStart w:id="109" w:name="OLE_LINK233"/>
      <w:r>
        <w:rPr>
          <w:rFonts w:hint="eastAsia" w:ascii="宋体" w:hAnsi="宋体"/>
          <w:sz w:val="21"/>
          <w:szCs w:val="21"/>
        </w:rPr>
        <w:t xml:space="preserve">一标段：预算为</w:t>
      </w:r>
      <w:r>
        <w:rPr>
          <w:rFonts w:hint="eastAsia" w:ascii="宋体" w:hAnsi="宋体"/>
          <w:sz w:val="21"/>
        </w:rPr>
        <w:t xml:space="preserve">人民币</w:t>
      </w:r>
      <w:bookmarkStart w:id="110" w:name="OLE_LINK219"/>
      <w:r/>
      <w:bookmarkStart w:id="111" w:name="OLE_LINK220"/>
      <w:r>
        <w:rPr>
          <w:rFonts w:hint="eastAsia" w:ascii="宋体" w:hAnsi="宋体"/>
          <w:sz w:val="21"/>
        </w:rPr>
        <w:t xml:space="preserve">壹佰伍拾叁</w:t>
      </w:r>
      <w:r>
        <w:rPr>
          <w:rFonts w:hint="eastAsia" w:ascii="宋体" w:hAnsi="宋体"/>
          <w:sz w:val="21"/>
          <w:szCs w:val="21"/>
        </w:rPr>
        <w:t xml:space="preserve">万元整（￥</w:t>
      </w:r>
      <w:r>
        <w:rPr>
          <w:rFonts w:ascii="宋体" w:hAnsi="宋体"/>
          <w:sz w:val="21"/>
          <w:szCs w:val="21"/>
        </w:rPr>
        <w:t xml:space="preserve">153</w:t>
      </w:r>
      <w:r>
        <w:rPr>
          <w:rFonts w:hint="eastAsia" w:ascii="宋体" w:hAnsi="宋体"/>
          <w:sz w:val="21"/>
          <w:szCs w:val="21"/>
        </w:rPr>
        <w:t xml:space="preserve">0000.00元）</w:t>
      </w:r>
      <w:bookmarkEnd w:id="110"/>
      <w:r/>
      <w:bookmarkEnd w:id="111"/>
      <w:r>
        <w:rPr>
          <w:rFonts w:hint="eastAsia" w:ascii="宋体" w:hAnsi="宋体"/>
          <w:sz w:val="21"/>
          <w:szCs w:val="21"/>
        </w:rPr>
        <w:t xml:space="preserve">,最高限价为</w:t>
      </w:r>
      <w:r>
        <w:rPr>
          <w:rFonts w:hint="eastAsia" w:ascii="宋体" w:hAnsi="宋体"/>
          <w:sz w:val="21"/>
        </w:rPr>
        <w:t xml:space="preserve">人民币</w:t>
      </w:r>
      <w:r>
        <w:rPr>
          <w:rFonts w:hint="eastAsia" w:ascii="宋体" w:hAnsi="宋体"/>
          <w:sz w:val="21"/>
        </w:rPr>
        <w:t xml:space="preserve">壹佰伍拾叁</w:t>
      </w:r>
      <w:r>
        <w:rPr>
          <w:rFonts w:hint="eastAsia" w:ascii="宋体" w:hAnsi="宋体"/>
          <w:sz w:val="21"/>
          <w:szCs w:val="21"/>
        </w:rPr>
        <w:t xml:space="preserve">万元整（￥</w:t>
      </w:r>
      <w:r>
        <w:rPr>
          <w:rFonts w:ascii="宋体" w:hAnsi="宋体"/>
          <w:sz w:val="21"/>
          <w:szCs w:val="21"/>
        </w:rPr>
        <w:t xml:space="preserve">153</w:t>
      </w:r>
      <w:r>
        <w:rPr>
          <w:rFonts w:hint="eastAsia" w:ascii="宋体" w:hAnsi="宋体"/>
          <w:sz w:val="21"/>
          <w:szCs w:val="21"/>
        </w:rPr>
        <w:t xml:space="preserve">0000.00元）</w:t>
      </w:r>
      <w:r>
        <w:rPr>
          <w:rFonts w:hint="eastAsia" w:ascii="宋体" w:hAnsi="宋体"/>
          <w:sz w:val="21"/>
          <w:szCs w:val="21"/>
        </w:rPr>
        <w:t xml:space="preserve">。</w:t>
      </w:r>
      <w:r/>
    </w:p>
    <w:p>
      <w:pPr>
        <w:pStyle w:val="1099"/>
        <w:ind w:left="0" w:firstLine="420"/>
        <w:spacing w:line="360" w:lineRule="auto"/>
        <w:rPr>
          <w:rFonts w:ascii="宋体" w:hAnsi="宋体"/>
          <w:sz w:val="21"/>
          <w:szCs w:val="21"/>
        </w:rPr>
      </w:pPr>
      <w:r>
        <w:rPr>
          <w:rFonts w:hint="eastAsia" w:ascii="宋体" w:hAnsi="宋体"/>
          <w:sz w:val="21"/>
          <w:szCs w:val="21"/>
        </w:rPr>
        <w:t xml:space="preserve">二标段：预算为</w:t>
      </w:r>
      <w:r>
        <w:rPr>
          <w:rFonts w:hint="eastAsia" w:ascii="宋体" w:hAnsi="宋体"/>
          <w:sz w:val="21"/>
        </w:rPr>
        <w:t xml:space="preserve">人民币</w:t>
      </w:r>
      <w:bookmarkStart w:id="112" w:name="OLE_LINK221"/>
      <w:r/>
      <w:bookmarkStart w:id="113" w:name="OLE_LINK223"/>
      <w:r>
        <w:rPr>
          <w:rFonts w:hint="eastAsia" w:ascii="宋体" w:hAnsi="宋体"/>
          <w:sz w:val="21"/>
        </w:rPr>
        <w:t xml:space="preserve">贰佰</w:t>
      </w:r>
      <w:r>
        <w:rPr>
          <w:rFonts w:hint="eastAsia" w:ascii="宋体" w:hAnsi="宋体"/>
          <w:sz w:val="21"/>
        </w:rPr>
        <w:t xml:space="preserve">壹拾捌万伍仟</w:t>
      </w:r>
      <w:r>
        <w:rPr>
          <w:rFonts w:hint="eastAsia" w:ascii="宋体" w:hAnsi="宋体"/>
          <w:sz w:val="21"/>
          <w:szCs w:val="21"/>
        </w:rPr>
        <w:t xml:space="preserve">元整（￥</w:t>
      </w:r>
      <w:r>
        <w:rPr>
          <w:rFonts w:ascii="宋体" w:hAnsi="宋体"/>
          <w:sz w:val="21"/>
          <w:szCs w:val="21"/>
        </w:rPr>
        <w:t xml:space="preserve">2185</w:t>
      </w:r>
      <w:r>
        <w:rPr>
          <w:rFonts w:hint="eastAsia" w:ascii="宋体" w:hAnsi="宋体"/>
          <w:sz w:val="21"/>
          <w:szCs w:val="21"/>
        </w:rPr>
        <w:t xml:space="preserve">000.00元）</w:t>
      </w:r>
      <w:bookmarkEnd w:id="112"/>
      <w:r/>
      <w:bookmarkEnd w:id="113"/>
      <w:r>
        <w:rPr>
          <w:rFonts w:hint="eastAsia" w:ascii="宋体" w:hAnsi="宋体"/>
          <w:sz w:val="21"/>
          <w:szCs w:val="21"/>
        </w:rPr>
        <w:t xml:space="preserve">,最高限价为</w:t>
      </w:r>
      <w:r>
        <w:rPr>
          <w:rFonts w:hint="eastAsia" w:ascii="宋体" w:hAnsi="宋体"/>
          <w:sz w:val="21"/>
        </w:rPr>
        <w:t xml:space="preserve">人民币</w:t>
      </w:r>
      <w:r>
        <w:rPr>
          <w:rFonts w:hint="eastAsia" w:ascii="宋体" w:hAnsi="宋体"/>
          <w:sz w:val="21"/>
        </w:rPr>
        <w:t xml:space="preserve">贰佰壹拾捌万伍仟</w:t>
      </w:r>
      <w:r>
        <w:rPr>
          <w:rFonts w:hint="eastAsia" w:ascii="宋体" w:hAnsi="宋体"/>
          <w:sz w:val="21"/>
          <w:szCs w:val="21"/>
        </w:rPr>
        <w:t xml:space="preserve">元整（￥2185000.00元）</w:t>
      </w:r>
      <w:r>
        <w:rPr>
          <w:rFonts w:hint="eastAsia" w:ascii="宋体" w:hAnsi="宋体"/>
          <w:sz w:val="21"/>
          <w:szCs w:val="21"/>
        </w:rPr>
        <w:t xml:space="preserve">。</w:t>
      </w:r>
      <w:bookmarkEnd w:id="108"/>
      <w:r/>
      <w:bookmarkEnd w:id="109"/>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（适用于</w:t>
      </w:r>
      <w:r>
        <w:rPr>
          <w:rFonts w:hint="eastAsia" w:ascii="宋体" w:hAnsi="宋体"/>
          <w:sz w:val="21"/>
        </w:rPr>
        <w:t xml:space="preserve">一</w:t>
      </w:r>
      <w:r>
        <w:rPr>
          <w:rFonts w:hint="eastAsia" w:ascii="宋体" w:hAnsi="宋体"/>
          <w:sz w:val="21"/>
        </w:rPr>
        <w:t xml:space="preserve">标段</w:t>
      </w:r>
      <w:r>
        <w:rPr>
          <w:rFonts w:hint="eastAsia" w:ascii="宋体" w:hAnsi="宋体"/>
          <w:sz w:val="21"/>
        </w:rPr>
        <w:t xml:space="preserve">至二标段</w:t>
      </w:r>
      <w:r>
        <w:rPr>
          <w:rFonts w:hint="eastAsia" w:ascii="宋体" w:hAnsi="宋体"/>
          <w:sz w:val="21"/>
        </w:rPr>
        <w:t xml:space="preserve">）</w:t>
      </w:r>
      <w:r>
        <w:rPr>
          <w:rFonts w:hint="eastAsia" w:ascii="宋体" w:hAnsi="宋体"/>
          <w:sz w:val="21"/>
        </w:rPr>
        <w:t xml:space="preserve">交货期为合同签订后十五个工作日内，免费质保期不低于叁年。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hint="eastAsia" w:ascii="宋体" w:hAnsi="宋体"/>
          <w:sz w:val="21"/>
          <w:szCs w:val="21"/>
          <w:highlight w:val="none"/>
        </w:rPr>
      </w:pPr>
      <w:r>
        <w:rPr>
          <w:rFonts w:hint="eastAsia" w:ascii="宋体" w:hAnsi="宋体"/>
          <w:sz w:val="21"/>
        </w:rPr>
        <w:t xml:space="preserve">（一）项目概况</w:t>
      </w:r>
      <w:r/>
    </w:p>
    <w:p>
      <w:pPr>
        <w:ind w:left="0" w:firstLine="210"/>
        <w:spacing w:line="360" w:lineRule="auto"/>
        <w:tabs>
          <w:tab w:val="left" w:pos="0" w:leader="none"/>
        </w:tabs>
        <w:rPr>
          <w:rFonts w:hint="eastAsia" w:ascii="宋体" w:hAnsi="宋体"/>
          <w:sz w:val="21"/>
          <w:szCs w:val="21"/>
          <w:highlight w:val="none"/>
        </w:rPr>
      </w:pPr>
      <w:r>
        <w:rPr>
          <w:rFonts w:hint="eastAsia" w:ascii="宋体" w:hAnsi="宋体"/>
          <w:sz w:val="21"/>
          <w:highlight w:val="none"/>
        </w:rPr>
        <w:t xml:space="preserve">  </w:t>
      </w:r>
      <w:r>
        <w:rPr>
          <w:rFonts w:hint="eastAsia" w:ascii="宋体" w:hAnsi="宋体"/>
          <w:sz w:val="21"/>
          <w:highlight w:val="none"/>
        </w:rPr>
        <w:t xml:space="preserve">汤堡实验小学新建项目位于郭巷街道汤堡路南侧、东安路东侧，项目总用地面积41870平方米（约62.8亩），总建筑面积69994.71平方米，建设规模7轨42班。</w:t>
      </w:r>
      <w:r>
        <w:rPr>
          <w:rFonts w:ascii="宋体" w:hAnsi="宋体"/>
          <w:sz w:val="21"/>
          <w:szCs w:val="21"/>
        </w:rPr>
      </w:r>
      <w:r/>
    </w:p>
    <w:p>
      <w:pPr>
        <w:ind w:left="0" w:firstLine="210"/>
        <w:spacing w:line="360" w:lineRule="auto"/>
        <w:tabs>
          <w:tab w:val="left" w:pos="0" w:leader="none"/>
        </w:tabs>
        <w:rPr>
          <w:rFonts w:ascii="宋体" w:hAnsi="宋体"/>
          <w:sz w:val="21"/>
          <w:szCs w:val="21"/>
        </w:rPr>
      </w:pPr>
      <w:r>
        <w:rPr>
          <w:rFonts w:hint="eastAsia" w:ascii="宋体" w:hAnsi="宋体"/>
          <w:sz w:val="21"/>
          <w:highlight w:val="none"/>
        </w:rPr>
        <w:t xml:space="preserve">  光福九年一贯制学校新建项目位于查西路东、查山路西、府巷路南、福北路北，项目总用地面积66585.8平方米（约99.88亩），总建筑面积85397.57平方米，建设规模为初中12轨36班，小学3轨18班。</w:t>
      </w:r>
      <w:r>
        <w:rPr>
          <w:rFonts w:ascii="宋体" w:hAnsi="宋体"/>
          <w:sz w:val="21"/>
          <w:szCs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整体学校机房教学系统由采购清单中机房管理教师机和学生机组成，要求具备一定的软硬件设备管理操作和教学多媒体功能。需要具有批量部署系统/软件还原、同传功能，支持创建多个还原点（如不同课程环境），屏幕广播教学，教师机监测和文件分发教学等多种应用功能，主要用于提升机房教学与管理效率，保障教学环境稳定。</w:t>
      </w:r>
      <w:r/>
    </w:p>
    <w:p>
      <w:pPr>
        <w:ind w:left="0" w:firstLine="210"/>
        <w:spacing w:line="360" w:lineRule="auto"/>
        <w:tabs>
          <w:tab w:val="left" w:pos="0" w:leader="none"/>
        </w:tabs>
        <w:rPr>
          <w:rFonts w:ascii="宋体" w:hAnsi="宋体"/>
          <w:sz w:val="21"/>
        </w:rPr>
      </w:pPr>
      <w:r>
        <w:rPr>
          <w:rFonts w:hint="eastAsia" w:ascii="宋体" w:hAnsi="宋体"/>
          <w:sz w:val="21"/>
        </w:rPr>
        <w:t xml:space="preserve">（二）采购清单</w:t>
      </w:r>
      <w:r/>
    </w:p>
    <w:p>
      <w:pPr>
        <w:ind w:left="0" w:firstLine="422"/>
        <w:jc w:val="center"/>
        <w:spacing w:line="360" w:lineRule="auto"/>
        <w:tabs>
          <w:tab w:val="left" w:pos="0" w:leader="none"/>
        </w:tabs>
        <w:rPr>
          <w:rFonts w:ascii="宋体" w:hAnsi="宋体"/>
          <w:sz w:val="21"/>
          <w:szCs w:val="21"/>
        </w:rPr>
      </w:pPr>
      <w:r>
        <w:rPr>
          <w:rFonts w:hint="eastAsia" w:ascii="宋体" w:hAnsi="宋体" w:cs="Times New Roman"/>
          <w:b/>
          <w:sz w:val="21"/>
          <w:szCs w:val="21"/>
          <w14:ligatures w14:val="standardContextual"/>
        </w:rPr>
        <w:t xml:space="preserve">一</w:t>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cs="Times New Roman"/>
          <w:b/>
          <w:sz w:val="21"/>
          <w:szCs w:val="21"/>
          <w14:ligatures w14:val="standardContextual"/>
        </w:rPr>
        <w:t xml:space="preserve">：</w:t>
      </w:r>
      <w:bookmarkStart w:id="114" w:name="OLE_LINK107"/>
      <w:r/>
      <w:bookmarkStart w:id="115" w:name="OLE_LINK108"/>
      <w:r>
        <w:rPr>
          <w:rFonts w:hint="eastAsia" w:ascii="宋体" w:hAnsi="宋体" w:cs="Times New Roman"/>
          <w:b/>
          <w:sz w:val="21"/>
          <w:szCs w:val="21"/>
          <w14:ligatures w14:val="standardContextual"/>
        </w:rPr>
        <w:t xml:space="preserve">汤堡实验小学</w:t>
      </w:r>
      <w:bookmarkStart w:id="116" w:name="OLE_LINK35"/>
      <w:r/>
      <w:bookmarkStart w:id="117" w:name="OLE_LINK36"/>
      <w:r>
        <w:rPr>
          <w:rFonts w:hint="eastAsia" w:ascii="宋体" w:hAnsi="宋体" w:cs="Times New Roman"/>
          <w:b/>
          <w:sz w:val="21"/>
          <w:szCs w:val="21"/>
          <w14:ligatures w14:val="standardContextual"/>
        </w:rPr>
        <w:t xml:space="preserve">电脑采购</w:t>
      </w:r>
      <w:r/>
    </w:p>
    <w:p>
      <w:pPr>
        <w:ind w:left="0" w:firstLine="210"/>
        <w:rPr>
          <w:rFonts w:ascii="宋体" w:hAnsi="宋体"/>
          <w:sz w:val="21"/>
          <w:szCs w:val="21"/>
        </w:rPr>
      </w:pPr>
      <w:r/>
      <w:bookmarkStart w:id="118" w:name="OLE_LINK32"/>
      <w:r/>
      <w:bookmarkStart w:id="119" w:name="OLE_LINK31"/>
      <w:r/>
      <w:bookmarkStart w:id="120" w:name="OLE_LINK30"/>
      <w:r/>
      <w:bookmarkEnd w:id="114"/>
      <w:r/>
      <w:bookmarkEnd w:id="115"/>
      <w:r/>
      <w:bookmarkEnd w:id="116"/>
      <w:r/>
      <w:bookmarkEnd w:id="117"/>
      <w:r>
        <w:rPr>
          <w:rFonts w:hint="eastAsia" w:ascii="宋体" w:hAnsi="宋体"/>
          <w:sz w:val="21"/>
          <w:szCs w:val="21"/>
        </w:rPr>
        <w:t xml:space="preserve">汤堡实验小学</w:t>
      </w:r>
      <w:bookmarkEnd w:id="118"/>
      <w:r/>
      <w:bookmarkEnd w:id="119"/>
      <w:r/>
      <w:bookmarkEnd w:id="120"/>
      <w:r>
        <w:rPr>
          <w:rFonts w:hint="eastAsia" w:ascii="宋体" w:hAnsi="宋体"/>
          <w:sz w:val="21"/>
          <w:szCs w:val="21"/>
        </w:rPr>
        <w:t xml:space="preserve">电脑采购清单</w:t>
      </w:r>
      <w:r/>
    </w:p>
    <w:tbl>
      <w:tblPr>
        <w:tblStyle w:val="1499"/>
        <w:tblW w:w="9923" w:type="dxa"/>
        <w:tblInd w:w="-5" w:type="dxa"/>
        <w:tblLook w:val="04A0" w:firstRow="1" w:lastRow="0" w:firstColumn="1" w:lastColumn="0" w:noHBand="0" w:noVBand="1"/>
      </w:tblPr>
      <w:tblGrid>
        <w:gridCol w:w="993"/>
        <w:gridCol w:w="4394"/>
        <w:gridCol w:w="2126"/>
        <w:gridCol w:w="2410"/>
      </w:tblGrid>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设备名称</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bookmarkStart w:id="121" w:name="OLE_LINK224"/>
            <w:r/>
            <w:bookmarkStart w:id="122" w:name="OLE_LINK225"/>
            <w:r>
              <w:rPr>
                <w:rFonts w:hint="eastAsia" w:ascii="宋体" w:hAnsi="宋体"/>
                <w:sz w:val="21"/>
                <w:szCs w:val="21"/>
              </w:rPr>
              <w:t xml:space="preserve">单价最高</w:t>
            </w:r>
            <w:r>
              <w:rPr>
                <w:rFonts w:hint="eastAsia" w:ascii="宋体" w:hAnsi="宋体"/>
                <w:sz w:val="21"/>
                <w:szCs w:val="21"/>
              </w:rPr>
              <w:t xml:space="preserve">限价</w:t>
            </w:r>
            <w:r>
              <w:rPr>
                <w:rFonts w:hint="eastAsia" w:ascii="宋体" w:hAnsi="宋体"/>
                <w:sz w:val="21"/>
                <w:szCs w:val="21"/>
              </w:rPr>
              <w:t xml:space="preserve">（元）</w:t>
            </w:r>
            <w:bookmarkEnd w:id="121"/>
            <w:r/>
            <w:bookmarkEnd w:id="122"/>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bookmarkStart w:id="123" w:name="OLE_LINK84"/>
            <w:r/>
            <w:bookmarkStart w:id="124" w:name="OLE_LINK85"/>
            <w:r/>
            <w:bookmarkStart w:id="125" w:name="OLE_LINK43"/>
            <w:r>
              <w:rPr>
                <w:rFonts w:hint="eastAsia" w:ascii="宋体" w:hAnsi="宋体"/>
                <w:sz w:val="21"/>
                <w:szCs w:val="21"/>
              </w:rPr>
              <w:t xml:space="preserve">台式计算机（机房管理教师机）</w:t>
            </w:r>
            <w:bookmarkEnd w:id="123"/>
            <w:r/>
            <w:bookmarkEnd w:id="124"/>
            <w:r/>
            <w:bookmarkEnd w:id="125"/>
            <w:r>
              <w:rPr>
                <w:rFonts w:hint="eastAsia" w:ascii="宋体" w:hAnsi="宋体"/>
                <w:b/>
                <w:sz w:val="21"/>
                <w:szCs w:val="21"/>
              </w:rPr>
              <w:t xml:space="preserve">（核心产品）</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5000</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bookmarkStart w:id="126" w:name="OLE_LINK86"/>
            <w:r/>
            <w:bookmarkStart w:id="127" w:name="OLE_LINK87"/>
            <w:r>
              <w:rPr>
                <w:rFonts w:hint="eastAsia" w:ascii="宋体" w:hAnsi="宋体"/>
                <w:sz w:val="21"/>
                <w:szCs w:val="21"/>
              </w:rPr>
              <w:t xml:space="preserve">台式计算机（学生机）</w:t>
            </w:r>
            <w:bookmarkEnd w:id="126"/>
            <w:r/>
            <w:bookmarkEnd w:id="127"/>
            <w:r>
              <w:rPr>
                <w:rFonts w:hint="eastAsia" w:ascii="宋体" w:hAnsi="宋体"/>
                <w:b/>
                <w:sz w:val="21"/>
                <w:szCs w:val="21"/>
              </w:rPr>
              <w:t xml:space="preserve">（核心产品）</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176</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5000</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台式计算机（教师机）</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114</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5000</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便携式计算机</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6000</w:t>
            </w:r>
            <w:r/>
          </w:p>
        </w:tc>
      </w:tr>
    </w:tbl>
    <w:p>
      <w:pPr>
        <w:ind w:left="0"/>
        <w:spacing w:line="360" w:lineRule="auto"/>
        <w:tabs>
          <w:tab w:val="left" w:pos="0" w:leader="none"/>
        </w:tabs>
        <w:rPr>
          <w:rFonts w:ascii="宋体" w:hAnsi="宋体"/>
          <w:b/>
          <w:sz w:val="21"/>
        </w:rPr>
      </w:pPr>
      <w:r>
        <w:rPr>
          <w:rFonts w:hint="eastAsia" w:ascii="宋体" w:hAnsi="宋体"/>
          <w:b/>
          <w:sz w:val="21"/>
        </w:rPr>
        <w:t xml:space="preserve">注：投标单位的</w:t>
      </w:r>
      <w:r>
        <w:rPr>
          <w:rFonts w:hint="eastAsia" w:ascii="宋体" w:hAnsi="宋体"/>
          <w:b/>
          <w:sz w:val="21"/>
        </w:rPr>
        <w:t xml:space="preserve">各产品</w:t>
      </w:r>
      <w:r>
        <w:rPr>
          <w:rFonts w:hint="eastAsia" w:ascii="宋体" w:hAnsi="宋体"/>
          <w:b/>
          <w:sz w:val="21"/>
        </w:rPr>
        <w:t xml:space="preserve">响应</w:t>
      </w:r>
      <w:r>
        <w:rPr>
          <w:rFonts w:ascii="宋体" w:hAnsi="宋体"/>
          <w:b/>
          <w:sz w:val="21"/>
        </w:rPr>
        <w:t xml:space="preserve">单价不得超过单价</w:t>
      </w:r>
      <w:r>
        <w:rPr>
          <w:rFonts w:hint="eastAsia" w:ascii="宋体" w:hAnsi="宋体"/>
          <w:b/>
          <w:sz w:val="21"/>
        </w:rPr>
        <w:t xml:space="preserve">最高限价</w:t>
      </w:r>
      <w:r>
        <w:rPr>
          <w:rFonts w:ascii="宋体" w:hAnsi="宋体"/>
          <w:b/>
          <w:sz w:val="21"/>
        </w:rPr>
        <w:t xml:space="preserve">，否则视为</w:t>
      </w:r>
      <w:r>
        <w:rPr>
          <w:rFonts w:hint="eastAsia" w:ascii="宋体" w:hAnsi="宋体"/>
          <w:b/>
          <w:sz w:val="21"/>
        </w:rPr>
        <w:t xml:space="preserve">未实质性</w:t>
      </w:r>
      <w:r>
        <w:rPr>
          <w:rFonts w:ascii="宋体" w:hAnsi="宋体"/>
          <w:b/>
          <w:sz w:val="21"/>
        </w:rPr>
        <w:t xml:space="preserve">响应。</w:t>
      </w:r>
      <w:r/>
    </w:p>
    <w:p>
      <w:pPr>
        <w:ind w:left="0" w:firstLine="422"/>
        <w:jc w:val="center"/>
        <w:spacing w:line="360" w:lineRule="auto"/>
        <w:tabs>
          <w:tab w:val="left" w:pos="0" w:leader="none"/>
        </w:tabs>
        <w:rPr>
          <w:rFonts w:ascii="宋体" w:hAnsi="宋体" w:cs="Times New Roman"/>
          <w:b/>
          <w:sz w:val="21"/>
          <w:szCs w:val="21"/>
          <w14:ligatures w14:val="standardContextual"/>
        </w:rPr>
      </w:pPr>
      <w:r>
        <w:rPr>
          <w:rFonts w:ascii="宋体" w:hAnsi="宋体" w:cs="Times New Roman"/>
          <w:b/>
          <w:sz w:val="21"/>
          <w:szCs w:val="21"/>
          <w14:ligatures w14:val="standardContextual"/>
        </w:rPr>
      </w:r>
      <w:r/>
    </w:p>
    <w:p>
      <w:pPr>
        <w:ind w:left="0" w:firstLine="422"/>
        <w:jc w:val="center"/>
        <w:spacing w:line="360" w:lineRule="auto"/>
        <w:tabs>
          <w:tab w:val="left" w:pos="0" w:leader="none"/>
        </w:tabs>
        <w:rPr>
          <w:rFonts w:ascii="宋体" w:hAnsi="宋体"/>
          <w:sz w:val="21"/>
          <w:szCs w:val="21"/>
        </w:rPr>
      </w:pPr>
      <w:r>
        <w:rPr>
          <w:rFonts w:hint="eastAsia" w:ascii="宋体" w:hAnsi="宋体" w:cs="Times New Roman"/>
          <w:b/>
          <w:sz w:val="21"/>
          <w:szCs w:val="21"/>
          <w14:ligatures w14:val="standardContextual"/>
        </w:rPr>
        <w:t xml:space="preserve">二标</w:t>
      </w:r>
      <w:r>
        <w:rPr>
          <w:rFonts w:hint="eastAsia" w:ascii="宋体" w:hAnsi="宋体"/>
          <w:b/>
          <w:sz w:val="21"/>
          <w:szCs w:val="21"/>
        </w:rPr>
        <w:t xml:space="preserve">段：</w:t>
      </w:r>
      <w:r>
        <w:rPr>
          <w:rFonts w:hint="eastAsia" w:ascii="宋体" w:hAnsi="宋体" w:cs="Times New Roman"/>
          <w:b/>
          <w:sz w:val="21"/>
          <w:szCs w:val="21"/>
          <w14:ligatures w14:val="standardContextual"/>
        </w:rPr>
        <w:t xml:space="preserve">光福九年一贯制学校</w:t>
      </w:r>
      <w:r>
        <w:rPr>
          <w:rFonts w:hint="eastAsia" w:ascii="宋体" w:hAnsi="宋体" w:cs="Times New Roman"/>
          <w:b/>
          <w:sz w:val="21"/>
          <w:szCs w:val="21"/>
          <w14:ligatures w14:val="standardContextual"/>
        </w:rPr>
        <w:t xml:space="preserve">电脑采购</w:t>
      </w:r>
      <w:r/>
    </w:p>
    <w:p>
      <w:pPr>
        <w:ind w:left="0" w:firstLine="210"/>
        <w:rPr>
          <w:rFonts w:ascii="宋体" w:hAnsi="宋体"/>
          <w:sz w:val="21"/>
          <w:szCs w:val="21"/>
        </w:rPr>
      </w:pPr>
      <w:r/>
      <w:bookmarkStart w:id="128" w:name="OLE_LINK33"/>
      <w:r/>
      <w:bookmarkStart w:id="129" w:name="OLE_LINK34"/>
      <w:r>
        <w:rPr>
          <w:rFonts w:hint="eastAsia" w:ascii="宋体" w:hAnsi="宋体"/>
          <w:sz w:val="21"/>
          <w:szCs w:val="21"/>
        </w:rPr>
        <w:t xml:space="preserve">光福九年一贯制学校</w:t>
      </w:r>
      <w:bookmarkEnd w:id="128"/>
      <w:r/>
      <w:bookmarkEnd w:id="129"/>
      <w:r>
        <w:rPr>
          <w:rFonts w:hint="eastAsia" w:ascii="宋体" w:hAnsi="宋体"/>
          <w:sz w:val="21"/>
          <w:szCs w:val="21"/>
        </w:rPr>
        <w:t xml:space="preserve">电脑采购</w:t>
      </w:r>
      <w:r>
        <w:rPr>
          <w:rFonts w:hint="eastAsia" w:ascii="宋体" w:hAnsi="宋体"/>
          <w:sz w:val="21"/>
          <w:szCs w:val="21"/>
        </w:rPr>
        <w:t xml:space="preserve">清单</w:t>
      </w:r>
      <w:r/>
    </w:p>
    <w:tbl>
      <w:tblPr>
        <w:tblStyle w:val="1499"/>
        <w:tblW w:w="9923" w:type="dxa"/>
        <w:tblInd w:w="-5" w:type="dxa"/>
        <w:tblLook w:val="04A0" w:firstRow="1" w:lastRow="0" w:firstColumn="1" w:lastColumn="0" w:noHBand="0" w:noVBand="1"/>
      </w:tblPr>
      <w:tblGrid>
        <w:gridCol w:w="993"/>
        <w:gridCol w:w="4394"/>
        <w:gridCol w:w="2126"/>
        <w:gridCol w:w="2410"/>
      </w:tblGrid>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设备</w:t>
            </w:r>
            <w:r>
              <w:rPr>
                <w:rFonts w:hint="eastAsia" w:ascii="宋体" w:hAnsi="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单价最高限价（元）</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bookmarkStart w:id="130" w:name="OLE_LINK226"/>
            <w:r>
              <w:rPr>
                <w:rFonts w:hint="eastAsia" w:ascii="宋体" w:hAnsi="宋体"/>
                <w:sz w:val="21"/>
                <w:szCs w:val="21"/>
              </w:rPr>
              <w:t xml:space="preserve">台式计算机</w:t>
            </w:r>
            <w:bookmarkStart w:id="131" w:name="OLE_LINK264"/>
            <w:r/>
            <w:bookmarkStart w:id="132" w:name="OLE_LINK265"/>
            <w:r>
              <w:rPr>
                <w:rFonts w:hint="eastAsia" w:ascii="宋体" w:hAnsi="宋体"/>
                <w:sz w:val="21"/>
                <w:szCs w:val="21"/>
              </w:rPr>
              <w:t xml:space="preserve">（</w:t>
            </w:r>
            <w:r>
              <w:rPr>
                <w:rFonts w:hint="eastAsia" w:ascii="宋体" w:hAnsi="宋体"/>
                <w:sz w:val="21"/>
                <w:szCs w:val="21"/>
              </w:rPr>
              <w:t xml:space="preserve">机房管理教师机</w:t>
            </w:r>
            <w:r>
              <w:rPr>
                <w:rFonts w:hint="eastAsia" w:ascii="宋体" w:hAnsi="宋体"/>
                <w:sz w:val="21"/>
                <w:szCs w:val="21"/>
              </w:rPr>
              <w:t xml:space="preserve">）</w:t>
            </w:r>
            <w:bookmarkStart w:id="133" w:name="OLE_LINK270"/>
            <w:r/>
            <w:bookmarkStart w:id="134" w:name="OLE_LINK271"/>
            <w:r/>
            <w:bookmarkEnd w:id="130"/>
            <w:r/>
            <w:bookmarkEnd w:id="131"/>
            <w:r/>
            <w:bookmarkEnd w:id="132"/>
            <w:r>
              <w:rPr>
                <w:rFonts w:hint="eastAsia" w:ascii="宋体" w:hAnsi="宋体"/>
                <w:b/>
                <w:sz w:val="21"/>
                <w:szCs w:val="21"/>
              </w:rPr>
              <w:t xml:space="preserve">（核心产品）</w:t>
            </w:r>
            <w:bookmarkEnd w:id="133"/>
            <w:r/>
            <w:bookmarkEnd w:id="134"/>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ascii="宋体" w:hAnsi="宋体"/>
                <w:sz w:val="21"/>
                <w:szCs w:val="21"/>
              </w:rPr>
              <w:t xml:space="preserve">5000</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台式计算机</w:t>
            </w:r>
            <w:bookmarkStart w:id="135" w:name="OLE_LINK266"/>
            <w:r/>
            <w:bookmarkStart w:id="136" w:name="OLE_LINK267"/>
            <w:r>
              <w:rPr>
                <w:rFonts w:hint="eastAsia" w:ascii="宋体" w:hAnsi="宋体"/>
                <w:sz w:val="21"/>
                <w:szCs w:val="21"/>
              </w:rPr>
              <w:t xml:space="preserve">（学生机）</w:t>
            </w:r>
            <w:bookmarkEnd w:id="135"/>
            <w:r/>
            <w:bookmarkEnd w:id="136"/>
            <w:r>
              <w:rPr>
                <w:rFonts w:hint="eastAsia" w:ascii="宋体" w:hAnsi="宋体"/>
                <w:b/>
                <w:sz w:val="21"/>
                <w:szCs w:val="21"/>
              </w:rPr>
              <w:t xml:space="preserve">（核心产品）</w:t>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ascii="宋体" w:hAnsi="宋体"/>
                <w:sz w:val="21"/>
                <w:szCs w:val="21"/>
              </w:rPr>
              <w:t xml:space="preserve">240</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ascii="宋体" w:hAnsi="宋体"/>
                <w:sz w:val="21"/>
                <w:szCs w:val="21"/>
              </w:rPr>
              <w:t xml:space="preserve">5000</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rPr>
                <w:rFonts w:hint="eastAsia" w:ascii="宋体" w:hAnsi="宋体"/>
                <w:sz w:val="21"/>
                <w:szCs w:val="21"/>
              </w:rPr>
              <w:t xml:space="preserve">台式计算机</w:t>
            </w:r>
            <w:bookmarkStart w:id="137" w:name="OLE_LINK268"/>
            <w:r/>
            <w:bookmarkStart w:id="138" w:name="OLE_LINK269"/>
            <w:r>
              <w:rPr>
                <w:rFonts w:hint="eastAsia" w:ascii="宋体" w:hAnsi="宋体"/>
                <w:sz w:val="21"/>
                <w:szCs w:val="21"/>
              </w:rPr>
              <w:t xml:space="preserve">（</w:t>
            </w:r>
            <w:r>
              <w:rPr>
                <w:rFonts w:hint="eastAsia" w:ascii="宋体" w:hAnsi="宋体"/>
                <w:sz w:val="21"/>
                <w:szCs w:val="21"/>
              </w:rPr>
              <w:t xml:space="preserve">教师机</w:t>
            </w:r>
            <w:r>
              <w:rPr>
                <w:rFonts w:hint="eastAsia" w:ascii="宋体" w:hAnsi="宋体"/>
                <w:sz w:val="21"/>
                <w:szCs w:val="21"/>
              </w:rPr>
              <w:t xml:space="preserve">）</w:t>
            </w:r>
            <w:bookmarkEnd w:id="137"/>
            <w:r/>
            <w:bookmarkEnd w:id="138"/>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ascii="宋体" w:hAnsi="宋体"/>
                <w:sz w:val="21"/>
                <w:szCs w:val="21"/>
              </w:rPr>
              <w:t xml:space="preserve">180</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ascii="宋体" w:hAnsi="宋体"/>
                <w:sz w:val="21"/>
                <w:szCs w:val="21"/>
              </w:rPr>
              <w:t xml:space="preserve">5000</w:t>
            </w:r>
            <w:r/>
          </w:p>
        </w:tc>
      </w:tr>
      <w:tr>
        <w:trPr/>
        <w:tc>
          <w:tcPr>
            <w:tcBorders>
              <w:top w:val="single" w:color="auto" w:sz="4" w:space="0"/>
              <w:left w:val="single" w:color="auto" w:sz="4" w:space="0"/>
              <w:bottom w:val="single" w:color="auto" w:sz="4" w:space="0"/>
              <w:right w:val="single" w:color="auto" w:sz="4" w:space="0"/>
            </w:tcBorders>
            <w:tcW w:w="993" w:type="dxa"/>
            <w:textDirection w:val="lrTb"/>
            <w:noWrap w:val="false"/>
          </w:tcPr>
          <w:p>
            <w:pPr>
              <w:ind w:left="0"/>
              <w:jc w:val="center"/>
              <w:spacing w:after="120"/>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4394" w:type="dxa"/>
            <w:textDirection w:val="lrTb"/>
            <w:noWrap w:val="false"/>
          </w:tcPr>
          <w:p>
            <w:pPr>
              <w:ind w:left="0"/>
              <w:jc w:val="center"/>
              <w:spacing w:after="120"/>
              <w:rPr>
                <w:rFonts w:ascii="宋体" w:hAnsi="宋体"/>
                <w:sz w:val="21"/>
                <w:szCs w:val="21"/>
              </w:rPr>
            </w:pPr>
            <w:r/>
            <w:bookmarkStart w:id="139" w:name="OLE_LINK90"/>
            <w:r/>
            <w:bookmarkStart w:id="140" w:name="OLE_LINK91"/>
            <w:r>
              <w:rPr>
                <w:rFonts w:hint="eastAsia" w:ascii="宋体" w:hAnsi="宋体"/>
                <w:sz w:val="21"/>
                <w:szCs w:val="21"/>
              </w:rPr>
              <w:t xml:space="preserve">便携式计算机</w:t>
            </w:r>
            <w:bookmarkEnd w:id="139"/>
            <w:r/>
            <w:bookmarkEnd w:id="140"/>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ind w:left="0"/>
              <w:jc w:val="center"/>
              <w:spacing w:after="120"/>
              <w:rPr>
                <w:rFonts w:ascii="宋体" w:hAnsi="宋体"/>
                <w:sz w:val="21"/>
                <w:szCs w:val="21"/>
              </w:rPr>
            </w:pPr>
            <w:r>
              <w:rPr>
                <w:rFonts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2410" w:type="dxa"/>
            <w:textDirection w:val="lrTb"/>
            <w:noWrap w:val="false"/>
          </w:tcPr>
          <w:p>
            <w:pPr>
              <w:ind w:left="0"/>
              <w:jc w:val="center"/>
              <w:spacing w:after="120"/>
              <w:rPr>
                <w:rFonts w:ascii="宋体" w:hAnsi="宋体"/>
                <w:sz w:val="21"/>
                <w:szCs w:val="21"/>
              </w:rPr>
            </w:pPr>
            <w:r>
              <w:rPr>
                <w:rFonts w:ascii="宋体" w:hAnsi="宋体"/>
                <w:sz w:val="21"/>
                <w:szCs w:val="21"/>
              </w:rPr>
              <w:t xml:space="preserve">6000</w:t>
            </w:r>
            <w:r/>
          </w:p>
        </w:tc>
      </w:tr>
    </w:tbl>
    <w:p>
      <w:pPr>
        <w:ind w:left="0"/>
        <w:spacing w:line="360" w:lineRule="auto"/>
        <w:tabs>
          <w:tab w:val="left" w:pos="0" w:leader="none"/>
        </w:tabs>
        <w:rPr>
          <w:rFonts w:ascii="宋体" w:hAnsi="宋体"/>
          <w:b/>
          <w:sz w:val="21"/>
        </w:rPr>
      </w:pPr>
      <w:r>
        <w:rPr>
          <w:rFonts w:hint="eastAsia" w:ascii="宋体" w:hAnsi="宋体"/>
          <w:b/>
          <w:sz w:val="21"/>
        </w:rPr>
        <w:t xml:space="preserve">注：投标单位的</w:t>
      </w:r>
      <w:r>
        <w:rPr>
          <w:rFonts w:hint="eastAsia" w:ascii="宋体" w:hAnsi="宋体"/>
          <w:b/>
          <w:sz w:val="21"/>
        </w:rPr>
        <w:t xml:space="preserve">各产品</w:t>
      </w:r>
      <w:r>
        <w:rPr>
          <w:rFonts w:hint="eastAsia" w:ascii="宋体" w:hAnsi="宋体"/>
          <w:b/>
          <w:sz w:val="21"/>
        </w:rPr>
        <w:t xml:space="preserve">响应</w:t>
      </w:r>
      <w:r>
        <w:rPr>
          <w:rFonts w:ascii="宋体" w:hAnsi="宋体"/>
          <w:b/>
          <w:sz w:val="21"/>
        </w:rPr>
        <w:t xml:space="preserve">单价不得超过单价</w:t>
      </w:r>
      <w:r>
        <w:rPr>
          <w:rFonts w:hint="eastAsia" w:ascii="宋体" w:hAnsi="宋体"/>
          <w:b/>
          <w:sz w:val="21"/>
        </w:rPr>
        <w:t xml:space="preserve">最高限价</w:t>
      </w:r>
      <w:r>
        <w:rPr>
          <w:rFonts w:ascii="宋体" w:hAnsi="宋体"/>
          <w:b/>
          <w:sz w:val="21"/>
        </w:rPr>
        <w:t xml:space="preserve">，否则视为</w:t>
      </w:r>
      <w:r>
        <w:rPr>
          <w:rFonts w:hint="eastAsia" w:ascii="宋体" w:hAnsi="宋体"/>
          <w:b/>
          <w:sz w:val="21"/>
        </w:rPr>
        <w:t xml:space="preserve">未实质性</w:t>
      </w:r>
      <w:r>
        <w:rPr>
          <w:rFonts w:ascii="宋体" w:hAnsi="宋体"/>
          <w:b/>
          <w:sz w:val="21"/>
        </w:rPr>
        <w:t xml:space="preserve">响应。</w:t>
      </w:r>
      <w:r/>
    </w:p>
    <w:p>
      <w:pPr>
        <w:ind w:left="0"/>
        <w:spacing w:line="360" w:lineRule="auto"/>
        <w:tabs>
          <w:tab w:val="left" w:pos="0" w:leader="none"/>
        </w:tabs>
        <w:rPr>
          <w:rFonts w:ascii="宋体" w:hAnsi="宋体"/>
          <w:sz w:val="21"/>
        </w:rPr>
      </w:pPr>
      <w:r>
        <w:rPr>
          <w:rFonts w:hint="eastAsia" w:ascii="宋体" w:hAnsi="宋体"/>
          <w:b/>
          <w:sz w:val="21"/>
        </w:rPr>
        <w:t xml:space="preserve">以下适用于</w:t>
      </w:r>
      <w:r>
        <w:rPr>
          <w:rFonts w:hint="eastAsia" w:ascii="宋体" w:hAnsi="宋体"/>
          <w:b/>
          <w:sz w:val="21"/>
        </w:rPr>
        <w:t xml:space="preserve">一</w:t>
      </w:r>
      <w:r>
        <w:rPr>
          <w:rFonts w:hint="eastAsia" w:ascii="宋体" w:hAnsi="宋体"/>
          <w:b/>
          <w:sz w:val="21"/>
        </w:rPr>
        <w:t xml:space="preserve">标段</w:t>
      </w:r>
      <w:r>
        <w:rPr>
          <w:rFonts w:hint="eastAsia" w:ascii="宋体" w:hAnsi="宋体"/>
          <w:b/>
          <w:sz w:val="21"/>
        </w:rPr>
        <w:t xml:space="preserve">至二标段</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技术参数</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w:t>
      </w:r>
      <w:r>
        <w:rPr>
          <w:rFonts w:hint="eastAsia" w:ascii="宋体" w:hAnsi="宋体"/>
          <w:b/>
          <w:sz w:val="21"/>
        </w:rPr>
        <w:t xml:space="preserve">以下技术参数表格中</w:t>
      </w:r>
      <w:bookmarkStart w:id="141" w:name="OLE_LINK96"/>
      <w:r/>
      <w:bookmarkStart w:id="142" w:name="OLE_LINK97"/>
      <w:r>
        <w:rPr>
          <w:rFonts w:hint="eastAsia" w:ascii="宋体" w:hAnsi="宋体"/>
          <w:b/>
          <w:sz w:val="21"/>
        </w:rPr>
        <w:t xml:space="preserve">带“</w:t>
      </w:r>
      <w:r>
        <w:rPr>
          <w:rFonts w:ascii="宋体" w:hAnsi="宋体"/>
          <w:b/>
          <w:sz w:val="21"/>
        </w:rPr>
        <w:t xml:space="preserve">*</w:t>
      </w:r>
      <w:r>
        <w:rPr>
          <w:rFonts w:hint="eastAsia" w:ascii="宋体" w:hAnsi="宋体"/>
          <w:b/>
          <w:sz w:val="21"/>
        </w:rPr>
        <w:t xml:space="preserve">”项</w:t>
      </w:r>
      <w:bookmarkEnd w:id="141"/>
      <w:r/>
      <w:bookmarkEnd w:id="142"/>
      <w:r>
        <w:rPr>
          <w:rFonts w:hint="eastAsia" w:ascii="宋体" w:hAnsi="宋体"/>
          <w:b/>
          <w:sz w:val="21"/>
        </w:rPr>
        <w:t xml:space="preserve">技术参数，偏离表未填写或负偏离均视为非实质性响应。</w:t>
      </w:r>
      <w:r/>
    </w:p>
    <w:p>
      <w:pPr>
        <w:ind w:left="400"/>
        <w:spacing w:after="120"/>
        <w:rPr>
          <w:rFonts w:ascii="宋体" w:hAnsi="宋体"/>
          <w:sz w:val="21"/>
        </w:rPr>
      </w:pPr>
      <w:r>
        <w:rPr>
          <w:rFonts w:hint="eastAsia" w:ascii="宋体" w:hAnsi="宋体"/>
          <w:sz w:val="21"/>
        </w:rPr>
        <w:t xml:space="preserve">1.台式计算机（机房管理教师机）</w:t>
      </w:r>
      <w:r/>
    </w:p>
    <w:tbl>
      <w:tblPr>
        <w:tblW w:w="10065" w:type="dxa"/>
        <w:tblInd w:w="-5" w:type="dxa"/>
        <w:tblLook w:val="04A0" w:firstRow="1" w:lastRow="0" w:firstColumn="1" w:lastColumn="0" w:noHBand="0" w:noVBand="1"/>
      </w:tblPr>
      <w:tblGrid>
        <w:gridCol w:w="709"/>
        <w:gridCol w:w="1134"/>
        <w:gridCol w:w="1134"/>
        <w:gridCol w:w="1418"/>
        <w:gridCol w:w="5670"/>
      </w:tblGrid>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指标分类</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一级指标</w:t>
            </w:r>
            <w:r/>
          </w:p>
        </w:tc>
        <w:tc>
          <w:tcPr>
            <w:shd w:val="clear" w:color="auto" w:fill="ffffff"/>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二级指标</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技术要求</w:t>
            </w:r>
            <w:r/>
          </w:p>
        </w:tc>
      </w:tr>
      <w:tr>
        <w:trPr>
          <w:trHeight w:val="8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CPU规格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信息</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处理器采用板载设计，配置1颗国产C86-3G CPU，每颗CPU物理核心数≥8核，每个物理核心主频≥3.</w:t>
            </w:r>
            <w:r>
              <w:rPr>
                <w:rFonts w:ascii="宋体" w:hAnsi="宋体"/>
                <w:sz w:val="21"/>
                <w:szCs w:val="21"/>
              </w:rPr>
              <w:t xml:space="preserve">0</w:t>
            </w:r>
            <w:r>
              <w:rPr>
                <w:rFonts w:hint="eastAsia" w:ascii="宋体" w:hAnsi="宋体"/>
                <w:sz w:val="21"/>
                <w:szCs w:val="21"/>
              </w:rPr>
              <w:t xml:space="preserve">GHz，最高加速频率智能频率可提升至≥3.3GHz，每颗CPU三级缓存≥16MB，支持超线程技术，线程数量≥16，TDP≤65W</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内存规格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*内存配置容量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支持DDR4 及以上内存类型</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*内存条配置数量（板载内存不涉及）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*主板集成模块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集成资源扩展模块、计算处理模块、音频扩展模块等，主板的互联拓扑可通过处理器或交换电路实现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*主板支持的 CPU和内存情况</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主板板载C86-3G架构芯片≥1和DDR4内存≥4</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主板内置PCIe 插槽数量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主板板载数量≥4，其中至少包括两个PCIex16和一个PCIex8</w:t>
            </w:r>
            <w:r/>
          </w:p>
        </w:tc>
      </w:tr>
      <w:tr>
        <w:trPr>
          <w:trHeight w:val="8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特殊孔位及接口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1.预留满足 USB3.0 数据传输规范的接口，工作电压5V，最大过电流应不小于3A；</w:t>
            </w:r>
            <w:r>
              <w:rPr>
                <w:rFonts w:hint="eastAsia" w:ascii="宋体" w:hAnsi="宋体"/>
                <w:sz w:val="21"/>
                <w:szCs w:val="21"/>
              </w:rPr>
              <w:br/>
            </w:r>
            <w:r>
              <w:rPr>
                <w:rFonts w:hint="eastAsia" w:ascii="宋体" w:hAnsi="宋体"/>
                <w:sz w:val="21"/>
                <w:szCs w:val="21"/>
              </w:rPr>
              <w:t xml:space="preserve">2.预留多功能导入装置板卡安装孔位，采用内置方式与主机一体化集成，容量不小于145mm×125mm×16.5mm（长×宽×高）</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*主板其他内置接口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≥4个SATA 3.0接口、≥1个M.2接口、≥10个USB接口（其中不少于</w:t>
            </w:r>
            <w:r>
              <w:rPr>
                <w:rFonts w:ascii="宋体" w:hAnsi="宋体"/>
                <w:sz w:val="21"/>
                <w:szCs w:val="21"/>
              </w:rPr>
              <w:t xml:space="preserve">1个Type-C,</w:t>
            </w:r>
            <w:r>
              <w:rPr>
                <w:rFonts w:hint="eastAsia" w:ascii="宋体" w:hAnsi="宋体"/>
                <w:sz w:val="21"/>
                <w:szCs w:val="21"/>
              </w:rPr>
              <w:t xml:space="preserve">6个USB3.0)</w:t>
            </w:r>
            <w:r/>
          </w:p>
        </w:tc>
      </w:tr>
      <w:tr>
        <w:trPr>
          <w:trHeight w:val="96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*单内存插槽最大可支持容量（板载内存不涉及）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≥64GB</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*内存插槽满配时提供的最高内存总容量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≥256GB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≥256GB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*机械硬盘总容量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≥1TB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*机械硬盘转速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≥7200rpm</w:t>
            </w:r>
            <w:r/>
          </w:p>
        </w:tc>
      </w:tr>
      <w:tr>
        <w:trPr>
          <w:trHeight w:val="6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机械硬盘接口协议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SATA3.0 及以上或 SAS3.0 及以上接口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*机械硬盘形态</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2.5 英寸或 3.5 英寸等</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固态存储接口协议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支持NVMe接口协议</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*固态存储形态</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采用符合M.2标准的插卡形态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存储设备扩展盘位</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w:t>
            </w:r>
            <w:r/>
          </w:p>
        </w:tc>
      </w:tr>
      <w:tr>
        <w:trPr>
          <w:trHeight w:val="975"/>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*存储设备其他参数要求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1.固态盘应符合 </w:t>
            </w:r>
            <w:bookmarkStart w:id="143" w:name="OLE_LINK52"/>
            <w:r/>
            <w:bookmarkStart w:id="144" w:name="OLE_LINK58"/>
            <w:r>
              <w:rPr>
                <w:rFonts w:hint="eastAsia" w:ascii="宋体" w:hAnsi="宋体"/>
                <w:sz w:val="21"/>
                <w:szCs w:val="21"/>
              </w:rPr>
              <w:t xml:space="preserve">SJ/T 11654</w:t>
            </w:r>
            <w:bookmarkEnd w:id="143"/>
            <w:r/>
            <w:bookmarkEnd w:id="144"/>
            <w:r>
              <w:rPr>
                <w:rFonts w:ascii="宋体" w:hAnsi="宋体"/>
                <w:sz w:val="21"/>
                <w:szCs w:val="21"/>
              </w:rPr>
              <w:t xml:space="preserve">-2016</w:t>
            </w:r>
            <w:r>
              <w:rPr>
                <w:rFonts w:hint="eastAsia" w:ascii="宋体" w:hAnsi="宋体"/>
                <w:sz w:val="21"/>
                <w:szCs w:val="21"/>
              </w:rPr>
              <w:t xml:space="preserve">相关规定；</w:t>
            </w:r>
            <w:r>
              <w:rPr>
                <w:rFonts w:hint="eastAsia" w:ascii="宋体" w:hAnsi="宋体"/>
                <w:sz w:val="21"/>
                <w:szCs w:val="21"/>
              </w:rPr>
              <w:br/>
              <w:t xml:space="preserve">2.机械硬盘准备时间应不大于30s；侧面固定螺丝孔数量可为4 孔或6 孔；工作状态环境温度应满足5℃~55℃；其它参数应符合GB/T 12628</w:t>
            </w:r>
            <w:r>
              <w:rPr>
                <w:rFonts w:ascii="宋体" w:hAnsi="宋体"/>
                <w:sz w:val="21"/>
                <w:szCs w:val="21"/>
              </w:rPr>
              <w:t xml:space="preserve">-2008</w:t>
            </w:r>
            <w:r>
              <w:rPr>
                <w:rFonts w:hint="eastAsia" w:ascii="宋体" w:hAnsi="宋体"/>
                <w:sz w:val="21"/>
                <w:szCs w:val="21"/>
              </w:rPr>
              <w:t xml:space="preserve">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显存类型为 DDR4</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*独立显卡显存位宽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显存位宽≥64位</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配置独立显卡，显存容量≥2GB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独立显卡接口协议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PCIe 协议版本大于等于 2.0的独立显卡接口协议</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*显示屏屏占比</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≥1920×1080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显示屏像素密度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≥85像素/英寸</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显示屏可视角度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水平≥178°</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*显示屏尺寸</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≥23.8 英寸IPS</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*显示屏屏幕比例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16:9/3:2/21:9/16:10 等</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*显示器外观颜色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*显示屏防蓝光</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支持防蓝光模式，蓝光加权辐射亮度比应≤0.0012W/(·cd·sr)（瓦每坎特拉每球面度）</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*显示屏低频闪</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显示屏应支持低频闪≤-35dB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*显示屏防炫目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显示屏镜面反射率≤10%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*键盘按键数目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104键全键盘</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摄像头像素</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扬声器频率范围</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扬声器总谐波失真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扬声器最大声压级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*键盘连接方式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USB有线</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*键盘键程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2.3mm ~ 4.0mm</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*键盘按键压力</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按键压力应在0.54 N±0.14N</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*有线键盘连接线</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≥1.5米</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键盘其他要求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键盘外观结构、连接方式、主要功能、安全、电磁兼容性、可靠性应符合 GB/T14081</w:t>
            </w:r>
            <w:r>
              <w:rPr>
                <w:rFonts w:ascii="宋体" w:hAnsi="宋体"/>
                <w:sz w:val="21"/>
                <w:szCs w:val="21"/>
              </w:rPr>
              <w:t xml:space="preserve">-2010</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*鼠标连接方式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*有线鼠标连接线</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米</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*鼠标DPI 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800~1600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*鼠标其他要求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其它参数应符合GB/T26245</w:t>
            </w:r>
            <w:r>
              <w:rPr>
                <w:rFonts w:ascii="宋体" w:hAnsi="宋体"/>
                <w:sz w:val="21"/>
                <w:szCs w:val="21"/>
              </w:rPr>
              <w:t xml:space="preserve">-2010</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内置光驱</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内置光驱</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无线网卡及天线数量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单无线网卡天线数量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外部接口规格</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机箱前面板提供≥4个USB接口（其中不少于3个USB3.0及1个Type-C接口）（要求以上均为原生非扩展接口）</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母座接口要求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≥0</w:t>
            </w:r>
            <w:r/>
          </w:p>
        </w:tc>
      </w:tr>
      <w:tr>
        <w:trPr>
          <w:trHeight w:val="166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71</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整机基础规格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*整机外观</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产品表面不应有凹痕、划伤、裂缝、变形和污染等。表面涂层均匀，不应起泡、龟裂、脱落和磨损，金属零部件无锈蚀及其它机械损伤；</w:t>
            </w:r>
            <w:r/>
          </w:p>
          <w:p>
            <w:pPr>
              <w:ind w:left="0"/>
              <w:jc w:val="left"/>
              <w:rPr>
                <w:rFonts w:ascii="宋体" w:hAnsi="宋体"/>
                <w:sz w:val="21"/>
                <w:szCs w:val="21"/>
              </w:rPr>
            </w:pPr>
            <w:r>
              <w:rPr>
                <w:rFonts w:hint="eastAsia" w:ascii="宋体" w:hAnsi="宋体"/>
                <w:sz w:val="21"/>
                <w:szCs w:val="21"/>
              </w:rPr>
              <w:t xml:space="preserve">2.产品表面说明功能的文字、符号、标志，应清晰、端正、牢固</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*状态指示灯</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在产品显著位置提供状态指示功能，通过指示灯可查看机器运行状态或存储状态</w:t>
            </w:r>
            <w:r/>
          </w:p>
        </w:tc>
      </w:tr>
      <w:tr>
        <w:trPr>
          <w:trHeight w:val="80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*整机结构</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1.机箱应符合GB/T4208、</w:t>
            </w:r>
            <w:bookmarkStart w:id="145" w:name="OLE_LINK74"/>
            <w:r/>
            <w:bookmarkStart w:id="146" w:name="OLE_LINK75"/>
            <w:r>
              <w:rPr>
                <w:rFonts w:hint="eastAsia" w:ascii="宋体" w:hAnsi="宋体"/>
                <w:sz w:val="21"/>
                <w:szCs w:val="21"/>
              </w:rPr>
              <w:t xml:space="preserve">GB/T26246</w:t>
            </w:r>
            <w:bookmarkEnd w:id="145"/>
            <w:r/>
            <w:bookmarkEnd w:id="146"/>
            <w:r>
              <w:rPr>
                <w:rFonts w:ascii="宋体" w:hAnsi="宋体"/>
                <w:sz w:val="21"/>
                <w:szCs w:val="21"/>
              </w:rPr>
              <w:t xml:space="preserve">-2010</w:t>
            </w:r>
            <w:r>
              <w:rPr>
                <w:rFonts w:hint="eastAsia" w:ascii="宋体" w:hAnsi="宋体"/>
                <w:sz w:val="21"/>
                <w:szCs w:val="21"/>
              </w:rPr>
              <w:t xml:space="preserve">的相关规定；</w:t>
            </w:r>
            <w:r/>
          </w:p>
          <w:p>
            <w:pPr>
              <w:ind w:left="0"/>
              <w:jc w:val="left"/>
              <w:rPr>
                <w:rFonts w:ascii="宋体" w:hAnsi="宋体"/>
                <w:sz w:val="21"/>
                <w:szCs w:val="21"/>
              </w:rPr>
            </w:pPr>
            <w:r>
              <w:rPr>
                <w:rFonts w:hint="eastAsia" w:ascii="宋体" w:hAnsi="宋体"/>
                <w:sz w:val="21"/>
                <w:szCs w:val="21"/>
              </w:rPr>
              <w:t xml:space="preserve">2.产品内部结构应符合通用部件的安装需求；</w:t>
            </w:r>
            <w:r/>
          </w:p>
          <w:p>
            <w:pPr>
              <w:ind w:left="0"/>
              <w:jc w:val="left"/>
              <w:rPr>
                <w:rFonts w:ascii="宋体" w:hAnsi="宋体"/>
                <w:sz w:val="21"/>
                <w:szCs w:val="21"/>
              </w:rPr>
            </w:pPr>
            <w:r>
              <w:rPr>
                <w:rFonts w:hint="eastAsia" w:ascii="宋体" w:hAnsi="宋体"/>
                <w:sz w:val="21"/>
                <w:szCs w:val="21"/>
              </w:rPr>
              <w:t xml:space="preserve">3.所有输入输出接口应符合相关国家或行业标准；</w:t>
            </w:r>
            <w:r/>
          </w:p>
          <w:p>
            <w:pPr>
              <w:ind w:left="0"/>
              <w:jc w:val="left"/>
              <w:rPr>
                <w:rFonts w:ascii="宋体" w:hAnsi="宋体"/>
                <w:sz w:val="21"/>
                <w:szCs w:val="21"/>
              </w:rPr>
            </w:pPr>
            <w:r>
              <w:rPr>
                <w:rFonts w:hint="eastAsia" w:ascii="宋体" w:hAnsi="宋体"/>
                <w:sz w:val="21"/>
                <w:szCs w:val="21"/>
              </w:rPr>
              <w:t xml:space="preserve">4.产品零部件应紧固无松动，可插拔部件应可靠连接，开关、按钮和其它 控制部件应灵活可靠，布局应方便使用；</w:t>
            </w:r>
            <w:r/>
          </w:p>
          <w:p>
            <w:pPr>
              <w:ind w:left="0"/>
              <w:jc w:val="left"/>
              <w:rPr>
                <w:rFonts w:ascii="宋体" w:hAnsi="宋体"/>
                <w:sz w:val="21"/>
                <w:szCs w:val="21"/>
              </w:rPr>
            </w:pPr>
            <w:r>
              <w:rPr>
                <w:rFonts w:hint="eastAsia" w:ascii="宋体" w:hAnsi="宋体"/>
                <w:sz w:val="21"/>
                <w:szCs w:val="21"/>
              </w:rPr>
              <w:t xml:space="preserve">5.所有 I/O 连接器及需插接线缆的部位应预留采购人操作空间，方便插拔解锁与插拔线缆；</w:t>
            </w:r>
            <w:r/>
          </w:p>
          <w:p>
            <w:pPr>
              <w:ind w:left="0"/>
              <w:jc w:val="left"/>
              <w:rPr>
                <w:rFonts w:ascii="宋体" w:hAnsi="宋体"/>
                <w:sz w:val="21"/>
                <w:szCs w:val="21"/>
              </w:rPr>
            </w:pPr>
            <w:r>
              <w:rPr>
                <w:rFonts w:hint="eastAsia" w:ascii="宋体" w:hAnsi="宋体"/>
                <w:sz w:val="21"/>
                <w:szCs w:val="21"/>
              </w:rPr>
              <w:t xml:space="preserve">6.可插拔板卡插槽部位应预留安装、拆卸或更换板卡空间；</w:t>
            </w:r>
            <w:r/>
          </w:p>
          <w:p>
            <w:pPr>
              <w:ind w:left="0"/>
              <w:jc w:val="left"/>
              <w:rPr>
                <w:rFonts w:ascii="宋体" w:hAnsi="宋体"/>
                <w:sz w:val="21"/>
                <w:szCs w:val="21"/>
              </w:rPr>
            </w:pPr>
            <w:r>
              <w:rPr>
                <w:rFonts w:hint="eastAsia" w:ascii="宋体" w:hAnsi="宋体"/>
                <w:sz w:val="21"/>
                <w:szCs w:val="21"/>
              </w:rPr>
              <w:t xml:space="preserve">7.拆装可能接触到的金属剪口或金属尖角部位应做防划伤处理，以保证安全；</w:t>
            </w:r>
            <w:r/>
          </w:p>
          <w:p>
            <w:pPr>
              <w:ind w:left="0"/>
              <w:jc w:val="left"/>
              <w:rPr>
                <w:rFonts w:ascii="宋体" w:hAnsi="宋体"/>
                <w:sz w:val="21"/>
                <w:szCs w:val="21"/>
              </w:rPr>
            </w:pPr>
            <w:r>
              <w:rPr>
                <w:rFonts w:hint="eastAsia" w:ascii="宋体" w:hAnsi="宋体"/>
                <w:sz w:val="21"/>
                <w:szCs w:val="21"/>
              </w:rPr>
              <w:t xml:space="preserve">8.整机内部走线应规整，固线结构和位置要合理可靠并做防割线处理，需便于理线和插拔操作，走线应不影响系统各主要部件组装和拆卸；</w:t>
            </w:r>
            <w:r/>
          </w:p>
          <w:p>
            <w:pPr>
              <w:ind w:left="0"/>
              <w:jc w:val="left"/>
              <w:rPr>
                <w:rFonts w:ascii="宋体" w:hAnsi="宋体"/>
                <w:sz w:val="21"/>
                <w:szCs w:val="21"/>
              </w:rPr>
            </w:pPr>
            <w:r>
              <w:rPr>
                <w:rFonts w:hint="eastAsia" w:ascii="宋体" w:hAnsi="宋体"/>
                <w:sz w:val="21"/>
                <w:szCs w:val="21"/>
              </w:rPr>
              <w:t xml:space="preserve">9.如需通过孔走线，过线孔应做防割 线处理；</w:t>
            </w:r>
            <w:r/>
          </w:p>
          <w:p>
            <w:pPr>
              <w:ind w:left="0"/>
              <w:jc w:val="left"/>
              <w:rPr>
                <w:rFonts w:ascii="宋体" w:hAnsi="宋体"/>
                <w:sz w:val="21"/>
                <w:szCs w:val="21"/>
              </w:rPr>
            </w:pPr>
            <w:r>
              <w:rPr>
                <w:rFonts w:hint="eastAsia" w:ascii="宋体" w:hAnsi="宋体"/>
                <w:sz w:val="21"/>
                <w:szCs w:val="21"/>
              </w:rPr>
              <w:t xml:space="preserve">10.各插头位置和插拔方向应合理，应做到插拔无障碍设计，具备防呆设计，有效避免误操作；</w:t>
            </w:r>
            <w:r/>
          </w:p>
          <w:p>
            <w:pPr>
              <w:ind w:left="0"/>
              <w:jc w:val="left"/>
              <w:rPr>
                <w:rFonts w:ascii="宋体" w:hAnsi="宋体"/>
                <w:sz w:val="21"/>
                <w:szCs w:val="21"/>
              </w:rPr>
            </w:pPr>
            <w:r>
              <w:rPr>
                <w:rFonts w:hint="eastAsia" w:ascii="宋体" w:hAnsi="宋体"/>
                <w:sz w:val="21"/>
                <w:szCs w:val="21"/>
              </w:rPr>
              <w:t xml:space="preserve">11.各主要部件拆装无障碍，使用常规工具拆装，无特殊拆装工具需求；</w:t>
            </w:r>
            <w:r/>
          </w:p>
          <w:p>
            <w:pPr>
              <w:ind w:left="0"/>
              <w:jc w:val="left"/>
              <w:rPr>
                <w:rFonts w:ascii="宋体" w:hAnsi="宋体"/>
                <w:sz w:val="21"/>
                <w:szCs w:val="21"/>
              </w:rPr>
            </w:pPr>
            <w:r>
              <w:rPr>
                <w:rFonts w:hint="eastAsia" w:ascii="宋体" w:hAnsi="宋体"/>
                <w:sz w:val="21"/>
                <w:szCs w:val="21"/>
              </w:rPr>
              <w:t xml:space="preserve">12.各主要部件拆装步骤要少，各自拆装需避免相互干扰；</w:t>
            </w:r>
            <w:r/>
          </w:p>
          <w:p>
            <w:pPr>
              <w:ind w:left="0"/>
              <w:jc w:val="left"/>
              <w:rPr>
                <w:rFonts w:ascii="宋体" w:hAnsi="宋体"/>
                <w:sz w:val="21"/>
                <w:szCs w:val="21"/>
              </w:rPr>
            </w:pPr>
            <w:r>
              <w:rPr>
                <w:rFonts w:hint="eastAsia" w:ascii="宋体" w:hAnsi="宋体"/>
                <w:sz w:val="21"/>
                <w:szCs w:val="21"/>
              </w:rPr>
              <w:t xml:space="preserve">13.对于整机或零部件外表面为高亮面的，应粘贴保护膜，保护膜需粘贴牢固，运输、组装等过程不易脱落，撕下无残留；</w:t>
            </w:r>
            <w:r/>
          </w:p>
          <w:p>
            <w:pPr>
              <w:ind w:left="0"/>
              <w:jc w:val="left"/>
              <w:rPr>
                <w:rFonts w:ascii="宋体" w:hAnsi="宋体"/>
                <w:sz w:val="21"/>
                <w:szCs w:val="21"/>
              </w:rPr>
            </w:pPr>
            <w:r>
              <w:rPr>
                <w:rFonts w:hint="eastAsia" w:ascii="宋体" w:hAnsi="宋体"/>
                <w:sz w:val="21"/>
                <w:szCs w:val="21"/>
              </w:rPr>
              <w:t xml:space="preserve">14.其它要求应符合</w:t>
            </w:r>
            <w:bookmarkStart w:id="147" w:name="OLE_LINK81"/>
            <w:r/>
            <w:bookmarkStart w:id="148" w:name="OLE_LINK82"/>
            <w:r>
              <w:rPr>
                <w:rFonts w:hint="eastAsia" w:ascii="宋体" w:hAnsi="宋体"/>
                <w:sz w:val="21"/>
                <w:szCs w:val="21"/>
              </w:rPr>
              <w:t xml:space="preserve"> GB/T 9813.1</w:t>
            </w:r>
            <w:bookmarkEnd w:id="147"/>
            <w:r/>
            <w:bookmarkEnd w:id="148"/>
            <w:r>
              <w:rPr>
                <w:rFonts w:ascii="宋体" w:hAnsi="宋体"/>
                <w:sz w:val="21"/>
                <w:szCs w:val="21"/>
              </w:rPr>
              <w:t xml:space="preserve">-2016</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*机箱防护要求</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机箱应符合</w:t>
            </w:r>
            <w:r>
              <w:rPr>
                <w:rFonts w:hint="eastAsia" w:ascii="宋体" w:hAnsi="宋体"/>
                <w:sz w:val="21"/>
                <w:szCs w:val="21"/>
              </w:rPr>
              <w:t xml:space="preserve"> GB/T 4208</w:t>
            </w:r>
            <w:r>
              <w:rPr>
                <w:rFonts w:ascii="宋体" w:hAnsi="宋体"/>
                <w:sz w:val="21"/>
                <w:szCs w:val="21"/>
              </w:rPr>
              <w:t xml:space="preserve">-2017</w:t>
            </w:r>
            <w:r>
              <w:rPr>
                <w:rFonts w:hint="eastAsia" w:ascii="宋体" w:hAnsi="宋体"/>
                <w:sz w:val="21"/>
                <w:szCs w:val="21"/>
              </w:rPr>
              <w:t xml:space="preserve">中</w:t>
            </w:r>
            <w:r>
              <w:rPr>
                <w:rFonts w:hint="eastAsia" w:ascii="宋体" w:hAnsi="宋体"/>
                <w:sz w:val="21"/>
                <w:szCs w:val="21"/>
              </w:rPr>
              <w:t xml:space="preserve">IP20</w:t>
            </w:r>
            <w:r>
              <w:rPr>
                <w:rFonts w:hint="eastAsia" w:ascii="宋体" w:hAnsi="宋体"/>
                <w:sz w:val="21"/>
                <w:szCs w:val="21"/>
              </w:rPr>
              <w:t xml:space="preserve">防护要求</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*整机噪音</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产品工作在空闲状态下，产品的声功率级应不超过 3.2 Bel</w:t>
            </w:r>
            <w:r/>
          </w:p>
        </w:tc>
      </w:tr>
      <w:tr>
        <w:trPr>
          <w:trHeight w:val="26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*整机散热</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在环境温度 25℃及处理器满载情况下，产品表面温度应符合如下要求：</w:t>
            </w:r>
            <w:r/>
          </w:p>
          <w:p>
            <w:pPr>
              <w:ind w:left="0"/>
              <w:jc w:val="left"/>
              <w:rPr>
                <w:rFonts w:ascii="宋体" w:hAnsi="宋体"/>
                <w:sz w:val="21"/>
                <w:szCs w:val="21"/>
              </w:rPr>
            </w:pPr>
            <w:r>
              <w:rPr>
                <w:rFonts w:hint="eastAsia" w:ascii="宋体" w:hAnsi="宋体"/>
                <w:sz w:val="21"/>
                <w:szCs w:val="21"/>
              </w:rPr>
              <w:t xml:space="preserve">1.出风口在机箱后面板情况下，出风 口温度不高于 55℃；</w:t>
            </w:r>
            <w:r/>
          </w:p>
          <w:p>
            <w:pPr>
              <w:ind w:left="0"/>
              <w:jc w:val="left"/>
              <w:rPr>
                <w:rFonts w:ascii="宋体" w:hAnsi="宋体"/>
                <w:sz w:val="21"/>
                <w:szCs w:val="21"/>
              </w:rPr>
            </w:pPr>
            <w:r>
              <w:rPr>
                <w:rFonts w:hint="eastAsia" w:ascii="宋体" w:hAnsi="宋体"/>
                <w:sz w:val="21"/>
                <w:szCs w:val="21"/>
              </w:rPr>
              <w:t xml:space="preserve">2.可触及面温度不高于 45℃；</w:t>
            </w:r>
            <w:r/>
          </w:p>
          <w:p>
            <w:pPr>
              <w:ind w:left="0"/>
              <w:jc w:val="left"/>
              <w:rPr>
                <w:rFonts w:ascii="宋体" w:hAnsi="宋体"/>
                <w:sz w:val="21"/>
                <w:szCs w:val="21"/>
              </w:rPr>
            </w:pPr>
            <w:r>
              <w:rPr>
                <w:rFonts w:hint="eastAsia" w:ascii="宋体" w:hAnsi="宋体"/>
                <w:sz w:val="21"/>
                <w:szCs w:val="21"/>
              </w:rPr>
              <w:t xml:space="preserve">3.显示器表面温度：显示屏不高于 38℃，显示屏上下灯带位置温度（如 涉及）不高于 40℃，出风口温度不高 于 45℃</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*整机能效限定值</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产品能效限定值应达到 GB 28380-2012标准中能效等级 2 级及以上</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*机身材质</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塑料/金属等</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*机箱尺寸容量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机箱容量应不大于</w:t>
            </w: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L</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CPU性能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物理核数</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物理核心数≥8</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主频</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GHz</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末级缓存容量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≥16MB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支持的内存最高速率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内存性能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*内存读写速率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显卡性能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≥1920×1080</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*显卡显示芯片核心频率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≥300MHz</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*显存等效频率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≥1000MT/s</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*显卡可支持多屏同时显示数量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显卡应支持 2 块屏幕同时显示，分辨率应不低于 1920×1080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显示设备性能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*显示屏刷新率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≥100Hz</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*显示屏位深</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 位</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≥99% sRGB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*显示屏色准</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△E ≤ 4</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*显示屏响应时间</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≤5ms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 尼特</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*显示屏亮度一致性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*显示屏对比度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*显示屏其他参数</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显示屏采用IPS屏，其它参数应符合 SJ/T 11292</w:t>
            </w:r>
            <w:r>
              <w:rPr>
                <w:rFonts w:ascii="宋体" w:hAnsi="宋体"/>
                <w:sz w:val="21"/>
                <w:szCs w:val="21"/>
              </w:rPr>
              <w:t xml:space="preserve">-2016</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网络设备性能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最高速率不低于 1000Mbps，支持10Mbps、100Mbps、1000Mbps 速率自适应</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支持无线网络通信技术协议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WAP I 或 WiFi5.0 及以上协议</w:t>
            </w:r>
            <w:r/>
          </w:p>
        </w:tc>
      </w:tr>
      <w:tr>
        <w:trPr>
          <w:trHeight w:val="513"/>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*内存扩展接口(板载内存不涉及)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≥4个</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存储扩展接口(板载存储不涉及)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支持存储设备扩展接口≥3个，如SATA3.0、SAS3.0、M.2 等接口类型</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*主板USB 瞬间过流保护</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支持瞬间过流保护功能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*主板防静电保护</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支持防静电保护功能</w:t>
            </w:r>
            <w:r/>
          </w:p>
        </w:tc>
      </w:tr>
      <w:tr>
        <w:trPr>
          <w:trHeight w:val="115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*I/O 接口功能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9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*显卡外接显示接口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显卡至少支持 VGA、HDMI、DVI、DP、Type-C 中 1 种显示接口，并与显示器接口相匹配</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显示器应与显卡外接显示接口匹配</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*显示器支架</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提供显示器底座支架</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*显示器参数调节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1.提供 OSD 选单按钮用于调节色彩、模式等；</w:t>
            </w:r>
            <w:r>
              <w:rPr>
                <w:rFonts w:hint="eastAsia" w:ascii="宋体" w:hAnsi="宋体"/>
                <w:sz w:val="21"/>
                <w:szCs w:val="21"/>
              </w:rPr>
              <w:br/>
              <w:t xml:space="preserve">2.支持色温、亮度、对比度调节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摄像头物理隐私保护开关</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传声器降噪</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键盘背光</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115</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光驱功能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光驱应支持只读、刻录等类型；</w:t>
            </w:r>
            <w:r>
              <w:rPr>
                <w:rFonts w:hint="eastAsia" w:ascii="宋体" w:hAnsi="宋体"/>
                <w:sz w:val="21"/>
                <w:szCs w:val="21"/>
              </w:rPr>
              <w:br/>
              <w:t xml:space="preserve">最大 读取速度 CD 不低于 24×150KB/s；</w:t>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最大读取速度 DVD 不低于 8×358KB/s；</w:t>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最大刻录速度 CD 不低于 24×150KB/s；</w:t>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最大刻录速度 DVD 不低于 6× 1358KB/s；</w:t>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兼容光盘类型包含只读光盘、可读写 光盘、可擦写光盘等</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通过 SATA 固态存储/PCIe 固态存储/UFS 固态存储/SATA 硬磁盘等存储部件提供存储功能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内置控制器固态存储加密</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6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118</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网络设备功能</w:t>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*网络功能</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1.支持网络连接、网络开启/关闭功能；</w:t>
            </w:r>
            <w:r/>
          </w:p>
          <w:p>
            <w:pPr>
              <w:ind w:left="0"/>
              <w:jc w:val="left"/>
              <w:rPr>
                <w:rFonts w:ascii="宋体" w:hAnsi="宋体"/>
                <w:sz w:val="21"/>
                <w:szCs w:val="21"/>
              </w:rPr>
            </w:pPr>
            <w:r>
              <w:rPr>
                <w:rFonts w:hint="eastAsia" w:ascii="宋体" w:hAnsi="宋体"/>
                <w:sz w:val="21"/>
                <w:szCs w:val="21"/>
              </w:rPr>
              <w:t xml:space="preserve">2.支持访问网络和数据交换功能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无线网卡频段</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物理开关</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*数据传输</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支持数据传输能力，并提供数据流量和异常日志记录功能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蓝牙协议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（选配）支持蓝牙模块，蓝牙协议不低于 5.0 版本</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*有线网卡接口类型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RJ45 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无线网卡标准</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*网络设备拆装</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网络设备应支持物理拆装，包括无线网卡和蓝牙模块等</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3.5mm 孔径 4 段式接口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至少支持VGA、HDMI、DP中2种显示接口</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*HDMI、DP、Type-C显示接口要求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若提供 HDMI 或 DP 或 Type-C 作为显示接口，应支持音频和视频同步输出</w:t>
            </w:r>
            <w:r/>
          </w:p>
        </w:tc>
      </w:tr>
      <w:tr>
        <w:trPr>
          <w:trHeight w:val="6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129</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其他接口</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1.支持串行接口，可实现 GB/T 6107</w:t>
            </w:r>
            <w:r>
              <w:rPr>
                <w:rFonts w:ascii="宋体" w:hAnsi="宋体"/>
                <w:sz w:val="21"/>
                <w:szCs w:val="21"/>
              </w:rPr>
              <w:t xml:space="preserve">-2000</w:t>
            </w:r>
            <w:r>
              <w:rPr>
                <w:rFonts w:hint="eastAsia" w:ascii="宋体" w:hAnsi="宋体"/>
                <w:sz w:val="21"/>
                <w:szCs w:val="21"/>
              </w:rPr>
              <w:t xml:space="preserve">的功能；</w:t>
            </w:r>
            <w:r/>
          </w:p>
          <w:p>
            <w:pPr>
              <w:ind w:left="0"/>
              <w:jc w:val="left"/>
              <w:rPr>
                <w:rFonts w:ascii="宋体" w:hAnsi="宋体"/>
                <w:sz w:val="21"/>
                <w:szCs w:val="21"/>
              </w:rPr>
            </w:pPr>
            <w:r>
              <w:rPr>
                <w:rFonts w:hint="eastAsia" w:ascii="宋体" w:hAnsi="宋体"/>
                <w:sz w:val="21"/>
                <w:szCs w:val="21"/>
              </w:rPr>
              <w:t xml:space="preserve">2.支持并行接口，可实现 GB/T18235.1</w:t>
            </w:r>
            <w:r>
              <w:rPr>
                <w:rFonts w:ascii="宋体" w:hAnsi="宋体"/>
                <w:sz w:val="21"/>
                <w:szCs w:val="21"/>
              </w:rPr>
              <w:t xml:space="preserve">-</w:t>
            </w:r>
            <w:bookmarkStart w:id="149" w:name="OLE_LINK62"/>
            <w:r/>
            <w:bookmarkStart w:id="150" w:name="OLE_LINK63"/>
            <w:r>
              <w:rPr>
                <w:rFonts w:ascii="宋体" w:hAnsi="宋体"/>
                <w:sz w:val="21"/>
                <w:szCs w:val="21"/>
              </w:rPr>
              <w:t xml:space="preserve">2000</w:t>
            </w:r>
            <w:bookmarkEnd w:id="149"/>
            <w:r/>
            <w:bookmarkEnd w:id="150"/>
            <w:r>
              <w:rPr>
                <w:rFonts w:hint="eastAsia" w:ascii="宋体" w:hAnsi="宋体"/>
                <w:sz w:val="21"/>
                <w:szCs w:val="21"/>
              </w:rPr>
              <w:t xml:space="preserve">的功能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存储卡接口类型</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*电源线适配能力</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静音电源≥</w:t>
            </w:r>
            <w:r>
              <w:rPr>
                <w:rFonts w:hint="eastAsia" w:ascii="宋体" w:hAnsi="宋体"/>
                <w:sz w:val="21"/>
                <w:szCs w:val="21"/>
              </w:rPr>
              <w:t xml:space="preserve">2</w:t>
            </w:r>
            <w:r>
              <w:rPr>
                <w:rFonts w:ascii="宋体" w:hAnsi="宋体"/>
                <w:sz w:val="21"/>
                <w:szCs w:val="21"/>
              </w:rPr>
              <w:t xml:space="preserve">00</w:t>
            </w:r>
            <w:r>
              <w:rPr>
                <w:rFonts w:hint="eastAsia" w:ascii="宋体" w:hAnsi="宋体"/>
                <w:sz w:val="21"/>
                <w:szCs w:val="21"/>
              </w:rPr>
              <w:t xml:space="preserve">W电源适配器电线组件符合 GB/T15934</w:t>
            </w:r>
            <w:r>
              <w:rPr>
                <w:rFonts w:ascii="宋体" w:hAnsi="宋体"/>
                <w:sz w:val="21"/>
                <w:szCs w:val="21"/>
              </w:rPr>
              <w:t xml:space="preserve">-2008</w:t>
            </w:r>
            <w:r>
              <w:rPr>
                <w:rFonts w:hint="eastAsia" w:ascii="宋体" w:hAnsi="宋体"/>
                <w:sz w:val="21"/>
                <w:szCs w:val="21"/>
              </w:rPr>
              <w:t xml:space="preserve">的要求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操作系统及软件功能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*中文信息处理要求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18030</w:t>
            </w:r>
            <w:r>
              <w:rPr>
                <w:rFonts w:ascii="宋体" w:hAnsi="宋体"/>
                <w:sz w:val="21"/>
                <w:szCs w:val="21"/>
              </w:rPr>
              <w:t xml:space="preserve">-2022</w:t>
            </w:r>
            <w:r>
              <w:rPr>
                <w:rFonts w:hint="eastAsia" w:ascii="宋体" w:hAnsi="宋体"/>
                <w:sz w:val="21"/>
                <w:szCs w:val="21"/>
              </w:rPr>
              <w:t xml:space="preserve">的相关规定</w:t>
            </w:r>
            <w:r/>
          </w:p>
        </w:tc>
      </w:tr>
      <w:tr>
        <w:trPr>
          <w:trHeight w:val="8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*操作系统备份及还原功能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textDirection w:val="lrTb"/>
            <w:noWrap w:val="false"/>
          </w:tcPr>
          <w:p>
            <w:pPr>
              <w:ind w:left="0"/>
              <w:jc w:val="left"/>
              <w:rPr>
                <w:rFonts w:ascii="宋体" w:hAnsi="宋体"/>
                <w:sz w:val="21"/>
                <w:szCs w:val="21"/>
              </w:rPr>
            </w:pPr>
            <w:r>
              <w:rPr>
                <w:rFonts w:hint="eastAsia" w:ascii="宋体" w:hAnsi="宋体"/>
                <w:sz w:val="21"/>
                <w:szCs w:val="21"/>
              </w:rPr>
              <w:t xml:space="preserve">支持操作系统备份及还原功能。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*固件备份还原能力</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支持备份及还原固件的功能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*操作系统及驱动升级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支持通过网络、闪存盘等方式对操作系统、驱动进行升级</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*固件升级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支持通过网络、闪存盘等方式对固件进行升级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*BIOS 支持关闭通讯接口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BIOS 关闭以太网及 USB 接口,可提供CPU同品牌的自研版本BIOS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*固件查看信息</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支持查看固件版本、内存信息、主板信息、处理器信息和系统时间信息等功能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*固件设置启动顺序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支持设置启动顺序功能，并按照设置的启动顺序启动</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*固件设置口令</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支持设置口令、修改口令、验证口令功能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*固件设置网络引导</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支持网络引导启动和关闭功能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生物识别功能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指纹识别</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人脸识别</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静脉识别</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硬件加速功能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NPU/GPU等 AI 加速模块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视频编解码加速模块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影像处理加速模块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存储设备可靠性</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TBW ≥ 80TB（条件：240GB 硬盘容量）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通电时间≥5 万小时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显示设备可靠性</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*显示屏屏幕失效点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w:t>
            </w:r>
            <w:bookmarkStart w:id="151" w:name="OLE_LINK83"/>
            <w:r/>
            <w:bookmarkStart w:id="152" w:name="OLE_LINK88"/>
            <w:r/>
            <w:bookmarkStart w:id="153" w:name="OLE_LINK89"/>
            <w:r/>
            <w:bookmarkStart w:id="154" w:name="OLE_LINK94"/>
            <w:r>
              <w:rPr>
                <w:rFonts w:hint="eastAsia" w:ascii="宋体" w:hAnsi="宋体"/>
                <w:sz w:val="21"/>
                <w:szCs w:val="21"/>
              </w:rPr>
              <w:t xml:space="preserve">GB/T 9813.</w:t>
            </w:r>
            <w:bookmarkEnd w:id="151"/>
            <w:r/>
            <w:bookmarkEnd w:id="152"/>
            <w:r>
              <w:rPr>
                <w:rFonts w:ascii="宋体" w:hAnsi="宋体"/>
                <w:sz w:val="21"/>
                <w:szCs w:val="21"/>
              </w:rPr>
              <w:t xml:space="preserve">1</w:t>
            </w:r>
            <w:bookmarkEnd w:id="153"/>
            <w:r/>
            <w:bookmarkEnd w:id="154"/>
            <w:r>
              <w:rPr>
                <w:rFonts w:ascii="宋体" w:hAnsi="宋体"/>
                <w:sz w:val="21"/>
                <w:szCs w:val="21"/>
              </w:rPr>
              <w:t xml:space="preserve">-2016</w:t>
            </w:r>
            <w:r>
              <w:rPr>
                <w:rFonts w:hint="eastAsia" w:ascii="宋体" w:hAnsi="宋体"/>
                <w:sz w:val="21"/>
                <w:szCs w:val="21"/>
              </w:rPr>
              <w:t xml:space="preserve"> 的要求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外设可靠性</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*鼠标按键寿命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*键盘鼠标线材寿命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键盘鼠标所用线材经±60 °弯折不低于 3000 次，功能、外观完好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*风扇寿命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 万小时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整机可靠性要求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*电磁兼容性要求的抗扰度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9254.2</w:t>
            </w:r>
            <w:r>
              <w:rPr>
                <w:rFonts w:ascii="宋体" w:hAnsi="宋体"/>
                <w:sz w:val="21"/>
                <w:szCs w:val="21"/>
              </w:rPr>
              <w:t xml:space="preserve">-2021</w:t>
            </w:r>
            <w:r>
              <w:rPr>
                <w:rFonts w:hint="eastAsia" w:ascii="宋体" w:hAnsi="宋体"/>
                <w:sz w:val="21"/>
                <w:szCs w:val="21"/>
              </w:rPr>
              <w:t xml:space="preserve">的规定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*环境条件要求的气候环境适应性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bookmarkStart w:id="155" w:name="OLE_LINK59"/>
            <w:r>
              <w:rPr>
                <w:rFonts w:ascii="宋体" w:hAnsi="宋体"/>
                <w:sz w:val="21"/>
                <w:szCs w:val="21"/>
              </w:rPr>
              <w:t xml:space="preserve">-2016</w:t>
            </w:r>
            <w:bookmarkEnd w:id="155"/>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*环境条件要求的振动适应性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*环境条件要求的冲击适应性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*环境条件要求的碰撞适应性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*环境条件要求的运输包装件跌落适应性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*MTBF测试</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MTBF(m1)≥30万小时</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*常用软件兼容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textDirection w:val="lrTb"/>
            <w:noWrap w:val="false"/>
          </w:tcPr>
          <w:p>
            <w:pPr>
              <w:ind w:left="0"/>
              <w:jc w:val="left"/>
              <w:rPr>
                <w:rFonts w:ascii="宋体" w:hAnsi="宋体"/>
                <w:sz w:val="21"/>
                <w:szCs w:val="21"/>
              </w:rPr>
            </w:pPr>
            <w:r>
              <w:rPr>
                <w:rFonts w:hint="eastAsia" w:ascii="宋体" w:hAnsi="宋体"/>
                <w:sz w:val="21"/>
                <w:szCs w:val="21"/>
              </w:rPr>
              <w:t xml:space="preserve">支持流式软件、版式软件、浏览器、邮件、解压软件、多媒体、图形图像处理、机房管理软件等常用软件</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*数据库兼容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个及以上厂商的数据库产品</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*中间件兼容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个及以上厂商中间件产品</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*平台软件兼容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个及以上厂商云计算及大数据平台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*标志、包装、运输和贮存</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 和商品包装政府采购需求标准的相关规定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*配置检查工具</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供应商提供自检测试工具</w:t>
            </w:r>
            <w:r/>
          </w:p>
        </w:tc>
      </w:tr>
      <w:tr>
        <w:trPr>
          <w:trHeight w:val="234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168</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*服务响应</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1.供应商提供电话、电子邮件、远程 连接等多种形式服务</w:t>
            </w:r>
            <w:r/>
          </w:p>
          <w:p>
            <w:pPr>
              <w:ind w:left="0"/>
              <w:jc w:val="left"/>
              <w:rPr>
                <w:rFonts w:ascii="宋体" w:hAnsi="宋体"/>
                <w:sz w:val="21"/>
                <w:szCs w:val="21"/>
              </w:rPr>
            </w:pPr>
            <w:r>
              <w:rPr>
                <w:rFonts w:hint="eastAsia" w:ascii="宋体" w:hAnsi="宋体"/>
                <w:sz w:val="21"/>
                <w:szCs w:val="21"/>
              </w:rPr>
              <w:t xml:space="preserve">2.供应商提供同城 4h、异地 12h 技术 响应服务，2 个工作日解决问题，对于未能解决的问题和故障应提供可行的 升级方案，并提供周转设备或更换设备；</w:t>
            </w:r>
            <w:r/>
          </w:p>
          <w:p>
            <w:pPr>
              <w:ind w:left="0"/>
              <w:jc w:val="left"/>
              <w:rPr>
                <w:rFonts w:ascii="宋体" w:hAnsi="宋体"/>
                <w:sz w:val="21"/>
                <w:szCs w:val="21"/>
              </w:rPr>
            </w:pPr>
            <w:r>
              <w:rPr>
                <w:rFonts w:hint="eastAsia" w:ascii="宋体" w:hAnsi="宋体"/>
                <w:sz w:val="21"/>
                <w:szCs w:val="21"/>
              </w:rPr>
              <w:t xml:space="preserve">3.建立全国技术服务体系和服务团体，符合专业服务体系标准要求，提供原厂中文服务；</w:t>
            </w:r>
            <w:r/>
          </w:p>
          <w:p>
            <w:pPr>
              <w:ind w:left="0"/>
              <w:jc w:val="left"/>
              <w:rPr>
                <w:rFonts w:ascii="宋体" w:hAnsi="宋体"/>
                <w:sz w:val="21"/>
                <w:szCs w:val="21"/>
              </w:rPr>
            </w:pPr>
            <w:r>
              <w:rPr>
                <w:rFonts w:hint="eastAsia" w:ascii="宋体" w:hAnsi="宋体"/>
                <w:sz w:val="21"/>
                <w:szCs w:val="21"/>
              </w:rPr>
              <w:t xml:space="preserve">4.服务周期内提供产品的维修、换件和升级服务</w:t>
            </w:r>
            <w:r/>
          </w:p>
        </w:tc>
      </w:tr>
      <w:tr>
        <w:trPr>
          <w:trHeight w:val="13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169</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*服务周期</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1.设备停产后应继续提供质量保障服务（含备品备件），服务终止时间与最后一批设备交付时间间隔不低于 6 年；</w:t>
            </w:r>
            <w:r/>
          </w:p>
          <w:p>
            <w:pPr>
              <w:ind w:left="0"/>
              <w:jc w:val="left"/>
              <w:rPr>
                <w:rFonts w:ascii="宋体" w:hAnsi="宋体"/>
                <w:sz w:val="21"/>
                <w:szCs w:val="21"/>
              </w:rPr>
            </w:pPr>
            <w:r>
              <w:rPr>
                <w:rFonts w:hint="eastAsia" w:ascii="宋体" w:hAnsi="宋体"/>
                <w:sz w:val="21"/>
                <w:szCs w:val="21"/>
              </w:rPr>
              <w:t xml:space="preserve">2.产品停止服务时间应提前 1 年告知；</w:t>
            </w:r>
            <w:r/>
          </w:p>
          <w:p>
            <w:pPr>
              <w:ind w:left="0"/>
              <w:jc w:val="left"/>
              <w:rPr>
                <w:rFonts w:ascii="宋体" w:hAnsi="宋体"/>
                <w:sz w:val="21"/>
                <w:szCs w:val="21"/>
              </w:rPr>
            </w:pPr>
            <w:r>
              <w:rPr>
                <w:rFonts w:hint="eastAsia" w:ascii="宋体" w:hAnsi="宋体"/>
                <w:sz w:val="21"/>
                <w:szCs w:val="21"/>
              </w:rPr>
              <w:t xml:space="preserve">3.应明确产品发布日期</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*预装操作系统</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预装正版操作系统，预装的操作系统符合《操作系统政府采购需求标准（2023 年版）》中桌面操作系统政府采购需求标准的所有加*指标要求</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*培训服务</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供应商提供培训材料、产品手册、培训视频等培训相关内容</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*典型问题解决手册</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供应商提供典型问题解决说明文档或视频</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*厂家升级软件与扩容服务</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供应商提供上门升级部件/软件与扩容的增值服务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*整机质量服务要求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整机提供≥3年原厂质保及免费上门服务。</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*合格证书要求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供应商提供产品合格证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*开箱组装/使用指导要求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供应商提供开箱组装/使用指导</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*驱动下载服务要求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供应商提供驱动光盘或下载方式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*兼容适配软件下载服务要求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供应商提供兼容适配软件下载渠道（光盘、网站）</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跨架构平台应用兼容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供应链合规性</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*产品部件保障</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保障产品主要部件提供 6 年的备件服务能力(自购买之日起)，或提供可兼容原设备的升级换代产品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供应链质量</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*抗干扰性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当产品部件出现供应风险时，供应商通知采购人并提供风险应对方案确保产品的服务保障</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*供应能力证明</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供应商提供供应链稳定承诺书，确保产品的部件在产品服务周期内稳定供货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关键部件安全要求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*关键部件安全要求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CPU和操作系统等关键部件应当符合安全可靠测评要求</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整机安全性要求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*密码算法实现</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CPU芯片应符合GM/T 0008</w:t>
            </w:r>
            <w:r>
              <w:rPr>
                <w:rFonts w:ascii="宋体" w:hAnsi="宋体"/>
                <w:sz w:val="21"/>
                <w:szCs w:val="21"/>
              </w:rPr>
              <w:t xml:space="preserve">-2012</w:t>
            </w:r>
            <w:r>
              <w:rPr>
                <w:rFonts w:hint="eastAsia" w:ascii="宋体" w:hAnsi="宋体"/>
                <w:sz w:val="21"/>
                <w:szCs w:val="21"/>
              </w:rPr>
              <w:t xml:space="preserve">的相关规定，或芯片密码模块符合 GB/T 37092</w:t>
            </w:r>
            <w:r>
              <w:rPr>
                <w:rFonts w:ascii="宋体" w:hAnsi="宋体"/>
                <w:sz w:val="21"/>
                <w:szCs w:val="21"/>
              </w:rPr>
              <w:t xml:space="preserve">-2018</w:t>
            </w:r>
            <w:r>
              <w:rPr>
                <w:rFonts w:hint="eastAsia" w:ascii="宋体" w:hAnsi="宋体"/>
                <w:sz w:val="21"/>
                <w:szCs w:val="21"/>
              </w:rPr>
              <w:t xml:space="preserve">或GM/T 0028</w:t>
            </w:r>
            <w:r>
              <w:rPr>
                <w:rFonts w:ascii="宋体" w:hAnsi="宋体"/>
                <w:sz w:val="21"/>
                <w:szCs w:val="21"/>
              </w:rPr>
              <w:t xml:space="preserve">-2024</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端口管控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USB 端口管控</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安全物理锁</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支持安全物理锁</w:t>
            </w:r>
            <w:r/>
          </w:p>
        </w:tc>
      </w:tr>
      <w:tr>
        <w:trPr>
          <w:trHeight w:val="167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187</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*信息安全基本要求</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1.产品应符合 GB/T 39276</w:t>
            </w:r>
            <w:r>
              <w:rPr>
                <w:rFonts w:ascii="宋体" w:hAnsi="宋体"/>
                <w:sz w:val="21"/>
                <w:szCs w:val="21"/>
              </w:rPr>
              <w:t xml:space="preserve">-2020</w:t>
            </w:r>
            <w:r>
              <w:rPr>
                <w:rFonts w:hint="eastAsia" w:ascii="宋体" w:hAnsi="宋体"/>
                <w:sz w:val="21"/>
                <w:szCs w:val="21"/>
              </w:rPr>
              <w:t xml:space="preserve">的 5.2 的规定；</w:t>
            </w:r>
            <w:r/>
          </w:p>
          <w:p>
            <w:pPr>
              <w:ind w:left="0"/>
              <w:jc w:val="left"/>
              <w:rPr>
                <w:rFonts w:ascii="宋体" w:hAnsi="宋体"/>
                <w:sz w:val="21"/>
                <w:szCs w:val="21"/>
              </w:rPr>
            </w:pPr>
            <w:r>
              <w:rPr>
                <w:rFonts w:hint="eastAsia" w:ascii="宋体" w:hAnsi="宋体"/>
                <w:sz w:val="21"/>
                <w:szCs w:val="21"/>
              </w:rPr>
              <w:t xml:space="preserve">2.应建立漏洞跟踪表，保证产品版本涉及到的漏洞(如驱动程序等)可查看；</w:t>
            </w:r>
            <w:r/>
          </w:p>
          <w:p>
            <w:pPr>
              <w:ind w:left="0"/>
              <w:jc w:val="left"/>
              <w:rPr>
                <w:rFonts w:ascii="宋体" w:hAnsi="宋体"/>
                <w:sz w:val="21"/>
                <w:szCs w:val="21"/>
              </w:rPr>
            </w:pPr>
            <w:r>
              <w:rPr>
                <w:rFonts w:hint="eastAsia" w:ascii="宋体" w:hAnsi="宋体"/>
                <w:sz w:val="21"/>
                <w:szCs w:val="21"/>
              </w:rPr>
              <w:t xml:space="preserve">3.产品不得包含已知的恶意代码或漏洞，不存在未声明的指令、功能、接口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*固件安全启动</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支持固件安全启动功能，固件启动过程中只有通过启动校验才能正常启动</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*限用物质的限量要求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26572</w:t>
            </w:r>
            <w:bookmarkStart w:id="156" w:name="OLE_LINK60"/>
            <w:r/>
            <w:bookmarkStart w:id="157" w:name="OLE_LINK61"/>
            <w:r>
              <w:rPr>
                <w:rFonts w:ascii="宋体" w:hAnsi="宋体"/>
                <w:sz w:val="21"/>
                <w:szCs w:val="21"/>
              </w:rPr>
              <w:t xml:space="preserve">-2011</w:t>
            </w:r>
            <w:bookmarkEnd w:id="156"/>
            <w:r/>
            <w:bookmarkEnd w:id="157"/>
            <w:r>
              <w:rPr>
                <w:rFonts w:hint="eastAsia" w:ascii="宋体" w:hAnsi="宋体"/>
                <w:sz w:val="21"/>
                <w:szCs w:val="21"/>
              </w:rPr>
              <w:t xml:space="preserve">中规定</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系统要求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软件兼容性要求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*预装操作系统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b/>
                <w:sz w:val="21"/>
                <w:szCs w:val="21"/>
              </w:rPr>
            </w:pPr>
            <w:r/>
            <w:bookmarkStart w:id="158" w:name="OLE_LINK120"/>
            <w:r/>
            <w:bookmarkStart w:id="159" w:name="OLE_LINK121"/>
            <w:r>
              <w:rPr>
                <w:rFonts w:hint="eastAsia" w:ascii="宋体" w:hAnsi="宋体"/>
                <w:b/>
                <w:sz w:val="21"/>
                <w:szCs w:val="21"/>
              </w:rPr>
              <w:t xml:space="preserve">投标单位</w:t>
            </w:r>
            <w:r>
              <w:rPr>
                <w:rFonts w:hint="eastAsia" w:ascii="宋体" w:hAnsi="宋体"/>
                <w:b/>
                <w:sz w:val="21"/>
                <w:szCs w:val="21"/>
              </w:rPr>
              <w:t xml:space="preserve">需承诺中标后提供</w:t>
            </w:r>
            <w:r>
              <w:rPr>
                <w:rFonts w:hint="eastAsia" w:ascii="宋体" w:hAnsi="宋体"/>
                <w:b/>
                <w:sz w:val="21"/>
                <w:szCs w:val="21"/>
              </w:rPr>
              <w:t xml:space="preserve">正版教育操作系统，能与江苏省初中英语听力口语自动化考试系统无缝衔接，</w:t>
            </w:r>
            <w:r>
              <w:rPr>
                <w:rFonts w:hint="eastAsia" w:ascii="宋体" w:hAnsi="宋体"/>
                <w:b/>
                <w:sz w:val="21"/>
                <w:szCs w:val="21"/>
              </w:rPr>
              <w:t xml:space="preserve">投标文件须</w:t>
            </w:r>
            <w:r>
              <w:rPr>
                <w:rFonts w:hint="eastAsia" w:ascii="宋体" w:hAnsi="宋体"/>
                <w:b/>
                <w:sz w:val="21"/>
                <w:szCs w:val="21"/>
              </w:rPr>
              <w:t xml:space="preserve">承诺函并加盖公章</w:t>
            </w:r>
            <w:r>
              <w:rPr>
                <w:rFonts w:hint="eastAsia" w:ascii="宋体" w:hAnsi="宋体"/>
                <w:b/>
                <w:sz w:val="21"/>
                <w:szCs w:val="21"/>
              </w:rPr>
              <w:t xml:space="preserve">，否则视为非实质性响应。</w:t>
            </w:r>
            <w:bookmarkEnd w:id="158"/>
            <w:r/>
            <w:bookmarkEnd w:id="159"/>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*管理功能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兼容机房管理和教学软件功能，具体功能要求如下：</w:t>
            </w:r>
            <w:r/>
          </w:p>
          <w:p>
            <w:pPr>
              <w:ind w:left="0"/>
              <w:jc w:val="left"/>
              <w:rPr>
                <w:rFonts w:ascii="宋体" w:hAnsi="宋体"/>
                <w:sz w:val="21"/>
                <w:szCs w:val="21"/>
              </w:rPr>
            </w:pPr>
            <w:r>
              <w:rPr>
                <w:rFonts w:hint="eastAsia" w:ascii="宋体" w:hAnsi="宋体"/>
                <w:sz w:val="21"/>
                <w:szCs w:val="21"/>
              </w:rPr>
              <w:t xml:space="preserve">★1、教师机可对学生执行黑屏肃静、屏幕广播操作。支持区域广播方式，可选取一块区域广播给学生机；黑屏支持手动、按时、按时长解锁。</w:t>
            </w:r>
            <w:r/>
          </w:p>
          <w:p>
            <w:pPr>
              <w:ind w:left="0"/>
              <w:jc w:val="left"/>
              <w:rPr>
                <w:rFonts w:ascii="宋体" w:hAnsi="宋体"/>
                <w:sz w:val="21"/>
                <w:szCs w:val="21"/>
              </w:rPr>
            </w:pPr>
            <w:r>
              <w:rPr>
                <w:rFonts w:hint="eastAsia" w:ascii="宋体" w:hAnsi="宋体"/>
                <w:sz w:val="21"/>
                <w:szCs w:val="21"/>
              </w:rPr>
              <w:t xml:space="preserve">★2、支持程序限制功能，教师端可一键限制或卸载学生端已安装的应用程序，便于计算机老师系统管理。</w:t>
            </w:r>
            <w:r/>
          </w:p>
          <w:p>
            <w:pPr>
              <w:ind w:left="0"/>
              <w:jc w:val="left"/>
              <w:rPr>
                <w:rFonts w:ascii="宋体" w:hAnsi="宋体"/>
                <w:sz w:val="21"/>
                <w:szCs w:val="21"/>
              </w:rPr>
            </w:pPr>
            <w:r>
              <w:rPr>
                <w:rFonts w:hint="eastAsia" w:ascii="宋体" w:hAnsi="宋体"/>
                <w:sz w:val="21"/>
                <w:szCs w:val="21"/>
              </w:rPr>
              <w:t xml:space="preserve">★3、支持共享文件功能，访问和共享各种格式文件（如PPT、Word、Excel、PDF、JPG），学生可以根据自己的需求选择适合的课件下载进行学习，每个学生可以上传，共享文件给其它学员学习，提供差异化学习工具。</w:t>
            </w:r>
            <w:r/>
          </w:p>
        </w:tc>
      </w:tr>
    </w:tbl>
    <w:p>
      <w:pPr>
        <w:ind w:left="400"/>
        <w:spacing w:after="120"/>
      </w:pPr>
      <w:r/>
      <w:r/>
    </w:p>
    <w:p>
      <w:pPr>
        <w:ind w:left="0"/>
      </w:pPr>
      <w:r>
        <w:rPr>
          <w:rFonts w:hint="eastAsia" w:ascii="宋体" w:hAnsi="宋体"/>
          <w:sz w:val="21"/>
          <w:szCs w:val="21"/>
        </w:rPr>
        <w:t xml:space="preserve">2.台式计算机（学生机）</w:t>
      </w:r>
      <w:r/>
    </w:p>
    <w:tbl>
      <w:tblPr>
        <w:tblW w:w="10065" w:type="dxa"/>
        <w:tblInd w:w="-5" w:type="dxa"/>
        <w:tblLook w:val="04A0" w:firstRow="1" w:lastRow="0" w:firstColumn="1" w:lastColumn="0" w:noHBand="0" w:noVBand="1"/>
      </w:tblPr>
      <w:tblGrid>
        <w:gridCol w:w="709"/>
        <w:gridCol w:w="1134"/>
        <w:gridCol w:w="1134"/>
        <w:gridCol w:w="1418"/>
        <w:gridCol w:w="5670"/>
      </w:tblGrid>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指标分类</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一级指标</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二级指标</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bottom"/>
            <w:textDirection w:val="lrTb"/>
            <w:noWrap w:val="false"/>
          </w:tcPr>
          <w:p>
            <w:pPr>
              <w:ind w:left="0"/>
              <w:jc w:val="center"/>
              <w:rPr>
                <w:rFonts w:ascii="宋体" w:hAnsi="宋体"/>
                <w:b/>
                <w:bCs/>
                <w:sz w:val="21"/>
                <w:szCs w:val="21"/>
              </w:rPr>
            </w:pPr>
            <w:r>
              <w:rPr>
                <w:rFonts w:hint="eastAsia" w:ascii="宋体" w:hAnsi="宋体"/>
                <w:b/>
                <w:bCs/>
                <w:sz w:val="21"/>
                <w:szCs w:val="21"/>
              </w:rPr>
              <w:t xml:space="preserve">技术要求</w:t>
            </w:r>
            <w:r/>
          </w:p>
        </w:tc>
      </w:tr>
      <w:tr>
        <w:trPr>
          <w:trHeight w:val="8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CPU规格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信息</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处理器采用板载设计，配置1颗国产C86-3G CPU，每颗CPU物理核心数≥8核，每个物理核心主频≥3.0GHz，最高加速频率智能频率可提升至≥3.3GHz，每颗CPU三级缓存≥16MB，支持超线程技术，线程数量≥16，TDP≤65W</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内存规格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*内存配置容量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bottom"/>
            <w:textDirection w:val="lrTb"/>
            <w:noWrap w:val="false"/>
          </w:tcPr>
          <w:p>
            <w:pPr>
              <w:ind w:left="0"/>
              <w:jc w:val="left"/>
              <w:rPr>
                <w:rFonts w:ascii="宋体" w:hAnsi="宋体"/>
                <w:sz w:val="21"/>
                <w:szCs w:val="21"/>
              </w:rPr>
            </w:pPr>
            <w:r>
              <w:rPr>
                <w:rFonts w:hint="eastAsia" w:ascii="宋体" w:hAnsi="宋体"/>
                <w:sz w:val="21"/>
                <w:szCs w:val="21"/>
              </w:rPr>
              <w:t xml:space="preserve">≥8GB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支持DDR4 及以上内存类型</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*内存条配置数量（板载内存不涉及）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*主板集成模块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集成资源扩展模块、计算处理模块、音频扩展模块等，主板的互联拓扑可通过处理器或交换电路实现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*主板支持的 CPU和内存情况</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主板板载C86-3G架构芯片≥1和DDR4内存≥4</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主板内置PCIe 插槽数量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主板板载数量≥4，其中至少包括两个 PCIex16 和一个PCIex8</w:t>
            </w:r>
            <w:r/>
          </w:p>
        </w:tc>
      </w:tr>
      <w:tr>
        <w:trPr>
          <w:trHeight w:val="8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特殊孔位及接口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预留满足 USB3.0 数据传输规范的 接口，工作电压 5V，最大过电流应不小于 3A；</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预留多功能导入装置板卡安装孔位，采用内置方式与主机一体化集成，容量不小于 145mm×125mm×16.5mm（长×宽×高）</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*主板其他内置接口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≥4个SATA 3.0接口、≥1个M.2接口、≥10个USB接口（其中不少于1个USB Type-C</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个</w:t>
            </w:r>
            <w:r>
              <w:rPr>
                <w:rFonts w:ascii="宋体" w:hAnsi="宋体"/>
                <w:sz w:val="21"/>
                <w:szCs w:val="21"/>
              </w:rPr>
              <w:t xml:space="preserve">USB3.0</w:t>
            </w:r>
            <w:r>
              <w:rPr>
                <w:rFonts w:hint="eastAsia" w:ascii="宋体" w:hAnsi="宋体"/>
                <w:sz w:val="21"/>
                <w:szCs w:val="21"/>
              </w:rPr>
              <w:t xml:space="preserve">接口</w:t>
            </w:r>
            <w:r>
              <w:rPr>
                <w:rFonts w:hint="eastAsia" w:ascii="宋体" w:hAnsi="宋体"/>
                <w:sz w:val="21"/>
                <w:szCs w:val="21"/>
              </w:rPr>
              <w:t xml:space="preserve">)</w:t>
            </w:r>
            <w:r/>
          </w:p>
        </w:tc>
      </w:tr>
      <w:tr>
        <w:trPr>
          <w:trHeight w:val="96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*单内存插槽最大可支持容量（板载内存不涉及）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≥64GB</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*内存插槽满配时提供的最高内存总容量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≥256GB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≥512GB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*机械硬盘总容量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*机械硬盘转速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6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机械硬盘接口协议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*机械硬盘形态</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固态存储接口协议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支持NVMe接口协议</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*固态存储形态</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采用符合M.2标准的插卡形态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存储设备扩展盘位</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w:t>
            </w:r>
            <w:r/>
          </w:p>
        </w:tc>
      </w:tr>
      <w:tr>
        <w:trPr>
          <w:trHeight w:val="99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*存储设备其他参数要求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固态盘应符合 SJ/T 11654</w:t>
            </w:r>
            <w:r>
              <w:rPr>
                <w:rFonts w:ascii="宋体" w:hAnsi="宋体"/>
                <w:sz w:val="21"/>
                <w:szCs w:val="21"/>
              </w:rPr>
              <w:t xml:space="preserve">-2016</w:t>
            </w:r>
            <w:r>
              <w:rPr>
                <w:rFonts w:hint="eastAsia" w:ascii="宋体" w:hAnsi="宋体"/>
                <w:sz w:val="21"/>
                <w:szCs w:val="21"/>
              </w:rPr>
              <w:t xml:space="preserve">相关规定；</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机械硬盘准备时间应不大于30s；侧面固定螺丝孔数量可为4 孔或6 孔；工作状态环境温度应满足5℃~55℃；其它参数应符合GB/T 12628</w:t>
            </w:r>
            <w:r>
              <w:rPr>
                <w:rFonts w:ascii="宋体" w:hAnsi="宋体"/>
                <w:sz w:val="21"/>
                <w:szCs w:val="21"/>
              </w:rPr>
              <w:t xml:space="preserve">-2008</w:t>
            </w:r>
            <w:r>
              <w:rPr>
                <w:rFonts w:hint="eastAsia" w:ascii="宋体" w:hAnsi="宋体"/>
                <w:sz w:val="21"/>
                <w:szCs w:val="21"/>
              </w:rPr>
              <w:t xml:space="preserve">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显存类型为 DDR4</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*独立显卡显存位宽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显存位宽≥64位</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配置独立显卡，显存容量≥2GB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独立显卡接口协议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PCIe 协议版本大于等于 2.0的独立显卡接口协议</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*显示屏屏占比</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≥1920×1080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显示屏像素密度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≥85像素/英寸</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显示屏可视角度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水平≥178°</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*显示屏尺寸</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≥23.8 英寸IPS</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*显示屏屏幕比例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16:9/3:2/21:9/16:10 等</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*显示器外观颜色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*显示屏防蓝光</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支持防蓝光模式，蓝光加权辐射亮度比应≤0.0012W/(·cd·sr)（瓦每坎特拉每球面度）</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*显示屏低频闪</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bottom"/>
            <w:textDirection w:val="lrTb"/>
            <w:noWrap w:val="false"/>
          </w:tcPr>
          <w:p>
            <w:pPr>
              <w:ind w:left="0"/>
              <w:jc w:val="left"/>
              <w:rPr>
                <w:rFonts w:ascii="宋体" w:hAnsi="宋体"/>
                <w:sz w:val="21"/>
                <w:szCs w:val="21"/>
              </w:rPr>
            </w:pPr>
            <w:r>
              <w:rPr>
                <w:rFonts w:hint="eastAsia" w:ascii="宋体" w:hAnsi="宋体"/>
                <w:sz w:val="21"/>
                <w:szCs w:val="21"/>
              </w:rPr>
              <w:t xml:space="preserve">显示屏应支持低频闪≤-35dB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*显示屏防炫目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bottom"/>
            <w:textDirection w:val="lrTb"/>
            <w:noWrap w:val="false"/>
          </w:tcPr>
          <w:p>
            <w:pPr>
              <w:ind w:left="0"/>
              <w:jc w:val="left"/>
              <w:rPr>
                <w:rFonts w:ascii="宋体" w:hAnsi="宋体"/>
                <w:sz w:val="21"/>
                <w:szCs w:val="21"/>
              </w:rPr>
            </w:pPr>
            <w:r>
              <w:rPr>
                <w:rFonts w:hint="eastAsia" w:ascii="宋体" w:hAnsi="宋体"/>
                <w:sz w:val="21"/>
                <w:szCs w:val="21"/>
              </w:rPr>
              <w:t xml:space="preserve">显示屏镜面反射率≤10%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≥1个</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*键盘按键数目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104键全键盘</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摄像头像素</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扬声器频率范围</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扬声器总谐波失真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扬声器最大声压级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*键盘连接方式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USB有线</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*键盘键程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2.3mm ~ 4.0mm</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*键盘按键压力</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按键压力应在 0.54 N±0.14N</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*有线键盘连接线</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米</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键盘其他要求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键盘外观结构、连接方式、主要功能、安全、电磁兼容性、可靠性应符合 GB/T14081</w:t>
            </w:r>
            <w:r>
              <w:rPr>
                <w:rFonts w:ascii="宋体" w:hAnsi="宋体"/>
                <w:sz w:val="21"/>
                <w:szCs w:val="21"/>
              </w:rPr>
              <w:t xml:space="preserve">-2010</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*鼠标连接方式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*有线鼠标连接线</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米</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*鼠标DPI 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800~1600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*鼠标其他要求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其它参数应符合 GB/T 26245</w:t>
            </w:r>
            <w:r>
              <w:rPr>
                <w:rFonts w:ascii="宋体" w:hAnsi="宋体"/>
                <w:sz w:val="21"/>
                <w:szCs w:val="21"/>
              </w:rPr>
              <w:t xml:space="preserve">-2010</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内置光驱</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tabs>
                <w:tab w:val="left" w:pos="1624" w:leader="none"/>
                <w:tab w:val="left" w:pos="1715" w:leader="none"/>
              </w:tabs>
              <w:rPr>
                <w:rFonts w:ascii="宋体" w:hAnsi="宋体"/>
                <w:sz w:val="21"/>
                <w:szCs w:val="21"/>
              </w:rPr>
            </w:pPr>
            <w:r>
              <w:rPr>
                <w:rFonts w:hint="eastAsia" w:ascii="宋体" w:hAnsi="宋体"/>
                <w:sz w:val="21"/>
                <w:szCs w:val="21"/>
              </w:rPr>
              <w:t xml:space="preserve">≥1</w:t>
            </w:r>
            <w:r>
              <w:tab/>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无线网卡及天线数量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单无线网卡天线数量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外部接口规格</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机箱前面板提供≥4个USB接口（其中不少于3个USB3.0及1个Type-C接口）（要求以上均为原生非扩展接口）</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母座接口要求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≥0</w:t>
            </w:r>
            <w:r/>
          </w:p>
        </w:tc>
      </w:tr>
      <w:tr>
        <w:trPr>
          <w:trHeight w:val="166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整机基础规格</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*整机外观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产品表面不应有凹痕、划伤、裂缝、变形和污染等。表面涂层均匀，不应起泡、龟裂、脱落和磨损，金属零部件无锈蚀及其它机械损伤；</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产品表面说明功能的文字、符号、 标志，应清晰、端正、牢固</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*状态指示灯</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在产品显著位置提供状态指示功能，通过指示灯可查看机器运行状态或存储状态</w:t>
            </w:r>
            <w:r/>
          </w:p>
        </w:tc>
      </w:tr>
      <w:tr>
        <w:trPr>
          <w:trHeight w:val="843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*整机结构</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机箱应符合 GB/T 4208</w:t>
            </w:r>
            <w:r>
              <w:rPr>
                <w:rFonts w:ascii="宋体" w:hAnsi="宋体"/>
                <w:sz w:val="21"/>
                <w:szCs w:val="21"/>
              </w:rPr>
              <w:t xml:space="preserve">-2017</w:t>
            </w:r>
            <w:r>
              <w:rPr>
                <w:rFonts w:hint="eastAsia" w:ascii="宋体" w:hAnsi="宋体"/>
                <w:sz w:val="21"/>
                <w:szCs w:val="21"/>
              </w:rPr>
              <w:t xml:space="preserve">、GB/T 26246</w:t>
            </w:r>
            <w:r>
              <w:rPr>
                <w:rFonts w:ascii="宋体" w:hAnsi="宋体"/>
                <w:sz w:val="21"/>
                <w:szCs w:val="21"/>
              </w:rPr>
              <w:t xml:space="preserve">-2010</w:t>
            </w:r>
            <w:r>
              <w:rPr>
                <w:rFonts w:hint="eastAsia" w:ascii="宋体" w:hAnsi="宋体"/>
                <w:sz w:val="21"/>
                <w:szCs w:val="21"/>
              </w:rPr>
              <w:t xml:space="preserve">的相关规定；</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产品内部结构应符合通用部件的 安装需求；</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所有输入输出接口应符合相关国家或行业标准；</w:t>
            </w:r>
            <w:r/>
          </w:p>
          <w:p>
            <w:pPr>
              <w:ind w:left="0"/>
              <w:jc w:val="left"/>
              <w:rPr>
                <w:rFonts w:ascii="宋体" w:hAnsi="宋体"/>
                <w:sz w:val="21"/>
                <w:szCs w:val="21"/>
              </w:rPr>
            </w:pPr>
            <w:r>
              <w:rPr>
                <w:rFonts w:ascii="宋体" w:hAnsi="宋体"/>
                <w:sz w:val="21"/>
                <w:szCs w:val="21"/>
              </w:rPr>
              <w:t xml:space="preserve">4.</w:t>
            </w:r>
            <w:r>
              <w:rPr>
                <w:rFonts w:hint="eastAsia" w:ascii="宋体" w:hAnsi="宋体"/>
                <w:sz w:val="21"/>
                <w:szCs w:val="21"/>
              </w:rPr>
              <w:t xml:space="preserve">产品零部件应紧固无松动，可插拔部件应可靠连接，开关、按钮和其它 控制部件应灵活可靠，布局应方便使用；</w:t>
            </w:r>
            <w:r/>
          </w:p>
          <w:p>
            <w:pPr>
              <w:ind w:left="0"/>
              <w:jc w:val="left"/>
              <w:rPr>
                <w:rFonts w:ascii="宋体" w:hAnsi="宋体"/>
                <w:sz w:val="21"/>
                <w:szCs w:val="21"/>
              </w:rPr>
            </w:pPr>
            <w:r>
              <w:rPr>
                <w:rFonts w:ascii="宋体" w:hAnsi="宋体"/>
                <w:sz w:val="21"/>
                <w:szCs w:val="21"/>
              </w:rPr>
              <w:t xml:space="preserve">5.</w:t>
            </w:r>
            <w:r>
              <w:rPr>
                <w:rFonts w:hint="eastAsia" w:ascii="宋体" w:hAnsi="宋体"/>
                <w:sz w:val="21"/>
                <w:szCs w:val="21"/>
              </w:rPr>
              <w:t xml:space="preserve">所有 I/O 连接器及需插接线缆的部位应预留采购人操作空间，方便插拔解锁与插拔线缆；</w:t>
            </w:r>
            <w:r/>
          </w:p>
          <w:p>
            <w:pPr>
              <w:ind w:left="0"/>
              <w:jc w:val="left"/>
              <w:rPr>
                <w:rFonts w:ascii="宋体" w:hAnsi="宋体"/>
                <w:sz w:val="21"/>
                <w:szCs w:val="21"/>
              </w:rPr>
            </w:pPr>
            <w:r>
              <w:rPr>
                <w:rFonts w:ascii="宋体" w:hAnsi="宋体"/>
                <w:sz w:val="21"/>
                <w:szCs w:val="21"/>
              </w:rPr>
              <w:t xml:space="preserve">6.</w:t>
            </w:r>
            <w:r>
              <w:rPr>
                <w:rFonts w:hint="eastAsia" w:ascii="宋体" w:hAnsi="宋体"/>
                <w:sz w:val="21"/>
                <w:szCs w:val="21"/>
              </w:rPr>
              <w:t xml:space="preserve">可插拔板卡插槽部位应预留安装、拆卸或更换板卡空间；</w:t>
            </w:r>
            <w:r/>
          </w:p>
          <w:p>
            <w:pPr>
              <w:ind w:left="0"/>
              <w:jc w:val="left"/>
              <w:rPr>
                <w:rFonts w:ascii="宋体" w:hAnsi="宋体"/>
                <w:sz w:val="21"/>
                <w:szCs w:val="21"/>
              </w:rPr>
            </w:pPr>
            <w:r>
              <w:rPr>
                <w:rFonts w:ascii="宋体" w:hAnsi="宋体"/>
                <w:sz w:val="21"/>
                <w:szCs w:val="21"/>
              </w:rPr>
              <w:t xml:space="preserve">7.</w:t>
            </w:r>
            <w:r>
              <w:rPr>
                <w:rFonts w:hint="eastAsia" w:ascii="宋体" w:hAnsi="宋体"/>
                <w:sz w:val="21"/>
                <w:szCs w:val="21"/>
              </w:rPr>
              <w:t xml:space="preserve">拆装可能接触到的金属剪口或金属尖角部位应做防划伤处理，以保证安全；</w:t>
            </w:r>
            <w:r/>
          </w:p>
          <w:p>
            <w:pPr>
              <w:ind w:left="0"/>
              <w:jc w:val="left"/>
              <w:rPr>
                <w:rFonts w:ascii="宋体" w:hAnsi="宋体"/>
                <w:sz w:val="21"/>
                <w:szCs w:val="21"/>
              </w:rPr>
            </w:pPr>
            <w:r>
              <w:rPr>
                <w:rFonts w:ascii="宋体" w:hAnsi="宋体"/>
                <w:sz w:val="21"/>
                <w:szCs w:val="21"/>
              </w:rPr>
              <w:t xml:space="preserve">8.</w:t>
            </w:r>
            <w:r>
              <w:rPr>
                <w:rFonts w:hint="eastAsia" w:ascii="宋体" w:hAnsi="宋体"/>
                <w:sz w:val="21"/>
                <w:szCs w:val="21"/>
              </w:rPr>
              <w:t xml:space="preserve">整机内部走线应规整，固线结构和 位置要合理可靠并做防割线处理，需 便于理线和插拔操作，走线应不影响系统各主要部件组装和拆卸；</w:t>
            </w:r>
            <w:r/>
          </w:p>
          <w:p>
            <w:pPr>
              <w:ind w:left="0"/>
              <w:jc w:val="left"/>
              <w:rPr>
                <w:rFonts w:ascii="宋体" w:hAnsi="宋体"/>
                <w:sz w:val="21"/>
                <w:szCs w:val="21"/>
              </w:rPr>
            </w:pPr>
            <w:r>
              <w:rPr>
                <w:rFonts w:ascii="宋体" w:hAnsi="宋体"/>
                <w:sz w:val="21"/>
                <w:szCs w:val="21"/>
              </w:rPr>
              <w:t xml:space="preserve">9.</w:t>
            </w:r>
            <w:r>
              <w:rPr>
                <w:rFonts w:hint="eastAsia" w:ascii="宋体" w:hAnsi="宋体"/>
                <w:sz w:val="21"/>
                <w:szCs w:val="21"/>
              </w:rPr>
              <w:t xml:space="preserve">如需通过孔走线，过线孔应做防割 线处理；</w:t>
            </w:r>
            <w:r/>
          </w:p>
          <w:p>
            <w:pPr>
              <w:ind w:left="0"/>
              <w:jc w:val="left"/>
              <w:rPr>
                <w:rFonts w:ascii="宋体" w:hAnsi="宋体"/>
                <w:sz w:val="21"/>
                <w:szCs w:val="21"/>
              </w:rPr>
            </w:pPr>
            <w:r>
              <w:rPr>
                <w:rFonts w:ascii="宋体" w:hAnsi="宋体"/>
                <w:sz w:val="21"/>
                <w:szCs w:val="21"/>
              </w:rPr>
              <w:t xml:space="preserve">10.</w:t>
            </w:r>
            <w:r>
              <w:rPr>
                <w:rFonts w:hint="eastAsia" w:ascii="宋体" w:hAnsi="宋体"/>
                <w:sz w:val="21"/>
                <w:szCs w:val="21"/>
              </w:rPr>
              <w:t xml:space="preserve">各插头位置和插拔方向应合理，应做到插拔无障碍设计，具备防呆设计，有效避免误操作；</w:t>
            </w:r>
            <w:r/>
          </w:p>
          <w:p>
            <w:pPr>
              <w:ind w:left="0"/>
              <w:jc w:val="left"/>
              <w:rPr>
                <w:rFonts w:ascii="宋体" w:hAnsi="宋体"/>
                <w:sz w:val="21"/>
                <w:szCs w:val="21"/>
              </w:rPr>
            </w:pPr>
            <w:r>
              <w:rPr>
                <w:rFonts w:ascii="宋体" w:hAnsi="宋体"/>
                <w:sz w:val="21"/>
                <w:szCs w:val="21"/>
              </w:rPr>
              <w:t xml:space="preserve">11.</w:t>
            </w:r>
            <w:r>
              <w:rPr>
                <w:rFonts w:hint="eastAsia" w:ascii="宋体" w:hAnsi="宋体"/>
                <w:sz w:val="21"/>
                <w:szCs w:val="21"/>
              </w:rPr>
              <w:t xml:space="preserve">各主要部件拆装无障碍，使用常规工具拆装，无特殊拆装工具需求；</w:t>
            </w:r>
            <w:r/>
          </w:p>
          <w:p>
            <w:pPr>
              <w:ind w:left="0"/>
              <w:jc w:val="left"/>
              <w:rPr>
                <w:rFonts w:ascii="宋体" w:hAnsi="宋体"/>
                <w:sz w:val="21"/>
                <w:szCs w:val="21"/>
              </w:rPr>
            </w:pPr>
            <w:r>
              <w:rPr>
                <w:rFonts w:ascii="宋体" w:hAnsi="宋体"/>
                <w:sz w:val="21"/>
                <w:szCs w:val="21"/>
              </w:rPr>
              <w:t xml:space="preserve">12.</w:t>
            </w:r>
            <w:r>
              <w:rPr>
                <w:rFonts w:hint="eastAsia" w:ascii="宋体" w:hAnsi="宋体"/>
                <w:sz w:val="21"/>
                <w:szCs w:val="21"/>
              </w:rPr>
              <w:t xml:space="preserve">各主要部件拆装步骤要少，各自拆 装需避免相互干扰；</w:t>
            </w:r>
            <w:r/>
          </w:p>
          <w:p>
            <w:pPr>
              <w:ind w:left="0"/>
              <w:jc w:val="left"/>
              <w:rPr>
                <w:rFonts w:ascii="宋体" w:hAnsi="宋体"/>
                <w:sz w:val="21"/>
                <w:szCs w:val="21"/>
              </w:rPr>
            </w:pPr>
            <w:r>
              <w:rPr>
                <w:rFonts w:ascii="宋体" w:hAnsi="宋体"/>
                <w:sz w:val="21"/>
                <w:szCs w:val="21"/>
              </w:rPr>
              <w:t xml:space="preserve">13.</w:t>
            </w:r>
            <w:r>
              <w:rPr>
                <w:rFonts w:hint="eastAsia" w:ascii="宋体" w:hAnsi="宋体"/>
                <w:sz w:val="21"/>
                <w:szCs w:val="21"/>
              </w:rPr>
              <w:t xml:space="preserve">对于整机或零部件外表面为高亮面的，应粘贴保护膜，保护膜需粘贴 牢固，运输、组装等过程不易脱落， 撕下无残留；</w:t>
            </w:r>
            <w:r/>
          </w:p>
          <w:p>
            <w:pPr>
              <w:ind w:left="0"/>
              <w:jc w:val="left"/>
              <w:rPr>
                <w:rFonts w:ascii="宋体" w:hAnsi="宋体"/>
                <w:sz w:val="21"/>
                <w:szCs w:val="21"/>
              </w:rPr>
            </w:pPr>
            <w:r>
              <w:rPr>
                <w:rFonts w:ascii="宋体" w:hAnsi="宋体"/>
                <w:sz w:val="21"/>
                <w:szCs w:val="21"/>
              </w:rPr>
              <w:t xml:space="preserve">14.</w:t>
            </w:r>
            <w:r>
              <w:rPr>
                <w:rFonts w:hint="eastAsia" w:ascii="宋体" w:hAnsi="宋体"/>
                <w:sz w:val="21"/>
                <w:szCs w:val="21"/>
              </w:rPr>
              <w:t xml:space="preserve">其它要求应符合GB/T 9813.1</w:t>
            </w:r>
            <w:r>
              <w:rPr>
                <w:rFonts w:ascii="宋体" w:hAnsi="宋体"/>
                <w:sz w:val="21"/>
                <w:szCs w:val="21"/>
              </w:rPr>
              <w:t xml:space="preserve">-2016</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*机箱防护要求</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机箱应符合</w:t>
            </w:r>
            <w:r>
              <w:rPr>
                <w:rFonts w:hint="eastAsia" w:ascii="宋体" w:hAnsi="宋体"/>
                <w:sz w:val="21"/>
                <w:szCs w:val="21"/>
              </w:rPr>
              <w:t xml:space="preserve"> GB/T 4208</w:t>
            </w:r>
            <w:r>
              <w:rPr>
                <w:rFonts w:ascii="宋体" w:hAnsi="宋体"/>
                <w:sz w:val="21"/>
                <w:szCs w:val="21"/>
              </w:rPr>
              <w:t xml:space="preserve">-2017</w:t>
            </w:r>
            <w:r>
              <w:rPr>
                <w:rFonts w:hint="eastAsia" w:ascii="宋体" w:hAnsi="宋体"/>
                <w:sz w:val="21"/>
                <w:szCs w:val="21"/>
              </w:rPr>
              <w:t xml:space="preserve">中</w:t>
            </w:r>
            <w:r>
              <w:rPr>
                <w:rFonts w:hint="eastAsia" w:ascii="宋体" w:hAnsi="宋体"/>
                <w:sz w:val="21"/>
                <w:szCs w:val="21"/>
              </w:rPr>
              <w:t xml:space="preserve">IP20</w:t>
            </w:r>
            <w:r>
              <w:rPr>
                <w:rFonts w:hint="eastAsia" w:ascii="宋体" w:hAnsi="宋体"/>
                <w:sz w:val="21"/>
                <w:szCs w:val="21"/>
              </w:rPr>
              <w:t xml:space="preserve">防护要求</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*整机噪音</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产品工作在空闲状态下，产品的声功率级应不超过</w:t>
            </w: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  Bel</w:t>
            </w:r>
            <w:r/>
          </w:p>
        </w:tc>
      </w:tr>
      <w:tr>
        <w:trPr>
          <w:trHeight w:val="26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*整机散热</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在环境温度 25℃及处理器满载情况下，产品表面温度应符合如下要求：</w:t>
            </w:r>
            <w:r/>
          </w:p>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出风口在机箱后面板情况下，出风 口温度不高于 55℃；</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可触及面温度不高于 45℃；</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显示器表面温度：显示屏不高于 38℃，显示屏上下灯带位置温度（如 涉及）不高于 40℃，出风口温度不高 于 45℃</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*整机能效限定值</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产品能效限定值应达到 GB 28380-2012标准中能效等级 2 级及以上</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*机身材质</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塑料/金属等</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*机身颜色</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机箱尺寸容量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机箱容量应不大于10L</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CPU性能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物理核数</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物理核心数≥8</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主频</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≥3.0GHz</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末级缓存容量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≥16MB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支持的内存最高速率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内存性能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*内存读写速率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显卡性能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*显示分辨率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≥1920×1080</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*显卡显示芯片核心频率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≥300MHz</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*显存等效频率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≥1000MT/s</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*显卡可支持多屏同时显示数量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显卡应支持 2 块屏幕同时显示，分辨率应不低于 1920×1080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显示设备性能</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*显示屏刷新率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≥100Hz</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*显示屏位深</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 位</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≥99% sRGB</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*显示屏色准</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△E ≤ 4</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*显示屏响应时间</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≤5ms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 尼特</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*显示屏亮度一致性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≥70%</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*显示屏对比度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*显示屏其他参数</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显示屏采用IPS屏，其它参数应符合 SJ/T 11292</w:t>
            </w:r>
            <w:r>
              <w:rPr>
                <w:rFonts w:ascii="宋体" w:hAnsi="宋体"/>
                <w:sz w:val="21"/>
                <w:szCs w:val="21"/>
              </w:rPr>
              <w:t xml:space="preserve">-2016</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网络设备性能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*有线网卡速率</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最高速率不低于 1000Mbps，支持10Mbps、100Mbps、1000Mbps 速率自适应</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支持无线网络通信技术协议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WAP I 或 WiFi5.0 及以上协议</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*内存扩展接口(板载内存不涉及)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≥4个</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存储扩展接口(板载存储不涉及)</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支持存储设备扩展接口≥3个，如SATA3.0、SAS3.0、M.2 等接口类型</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*主板USB 瞬间过流保护</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支持瞬间过流保护功能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*主板防静电保护</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支持防静电保护功能</w:t>
            </w:r>
            <w:r/>
          </w:p>
        </w:tc>
      </w:tr>
      <w:tr>
        <w:trPr>
          <w:trHeight w:val="115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*I/O 接口功能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9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*显卡外接显示接口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显卡至少支持 VGA、HDMI、DVI、DP、Type-C 中 1 种显示接口，并与显示器接口相匹配</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独立显卡数量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显示器应与显卡外接显示接口匹配</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*显示器支架</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提供显示器底座支架</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*显示器参数调节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提供 OSD 选单按钮用于调节色彩、模式等；</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支持色温、亮度、对比度调节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摄像头物理隐私保护开关</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传声器降噪</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键盘背光</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60"/>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115</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光驱功能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SimSun" w:hAnsi="SimSun" w:eastAsia="SimSun" w:cs="SimSun"/>
                <w:color w:val="000000"/>
                <w:sz w:val="21"/>
              </w:rPr>
              <w:t xml:space="preserve">/</w:t>
            </w:r>
            <w:r>
              <w:rPr>
                <w:rFonts w:hint="eastAsia" w:ascii="宋体" w:hAnsi="宋体"/>
                <w:sz w:val="21"/>
                <w:szCs w:val="21"/>
              </w:rPr>
            </w:r>
            <w:r/>
          </w:p>
        </w:tc>
      </w:tr>
      <w:tr>
        <w:trPr>
          <w:trHeight w:val="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288"/>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tabs>
                <w:tab w:val="right" w:pos="5125" w:leader="none"/>
              </w:tabs>
              <w:rPr>
                <w:rFonts w:ascii="宋体" w:hAnsi="宋体"/>
                <w:sz w:val="21"/>
                <w:szCs w:val="21"/>
              </w:rPr>
            </w:pPr>
            <w:r>
              <w:rPr>
                <w:rFonts w:ascii="SimSun" w:hAnsi="SimSun" w:eastAsia="SimSun" w:cs="SimSun"/>
                <w:color w:val="000000"/>
                <w:sz w:val="21"/>
              </w:rPr>
              <w:t xml:space="preserve">/</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通过 SATA 固态存储/PCIe 固态存储/UFS 固态存储/SATA 硬磁盘等存储部件提供存储功能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内置控制器固态存储加密</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6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118</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网络设备功能</w:t>
            </w:r>
            <w:r/>
          </w:p>
        </w:tc>
        <w:tc>
          <w:tcPr>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*网络功能</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支持网络连接、网络开启/关闭功 能；</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支持访问网络和数据交换功能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无线网卡频段</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物理开关</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*数据传输</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支持数据传输能力，并提供数据流量和异常日志记录功能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蓝牙协议</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（选配）支持蓝牙模块，蓝牙协议不低于 5.0 版本</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*有线网卡接口类型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RJ45 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无线网卡标准</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*网络设备拆装</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网络设备应支持物理拆装，包括无线网卡和蓝牙模块等</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3.5mm 孔径 4 段式接口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*视频接口类型</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至少支持VGA、HDMI、DP中2种显示接口</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*HDMI、DP、Type-C显示接口要求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若提供 HDMI 或 DP 或 Type-C 作为显示接口，应支持音频和视频同步输出</w:t>
            </w:r>
            <w:r/>
          </w:p>
        </w:tc>
      </w:tr>
      <w:tr>
        <w:trPr>
          <w:trHeight w:val="66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129</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其他接口</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支持串行接口，可实现 GB/T 6107</w:t>
            </w:r>
            <w:r>
              <w:rPr>
                <w:rFonts w:ascii="宋体" w:hAnsi="宋体"/>
                <w:sz w:val="21"/>
                <w:szCs w:val="21"/>
              </w:rPr>
              <w:t xml:space="preserve">-2000</w:t>
            </w:r>
            <w:r>
              <w:rPr>
                <w:rFonts w:hint="eastAsia" w:ascii="宋体" w:hAnsi="宋体"/>
                <w:sz w:val="21"/>
                <w:szCs w:val="21"/>
              </w:rPr>
              <w:t xml:space="preserve"> 的功能；</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支持并行接口，可实现 GB/T18235.1</w:t>
            </w:r>
            <w:r>
              <w:rPr>
                <w:rFonts w:ascii="宋体" w:hAnsi="宋体"/>
                <w:sz w:val="21"/>
                <w:szCs w:val="21"/>
              </w:rPr>
              <w:t xml:space="preserve">-2000</w:t>
            </w:r>
            <w:r>
              <w:rPr>
                <w:rFonts w:hint="eastAsia" w:ascii="宋体" w:hAnsi="宋体"/>
                <w:sz w:val="21"/>
                <w:szCs w:val="21"/>
              </w:rPr>
              <w:t xml:space="preserve"> 的功能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存储卡接口类型</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*电源线适配能力</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静音电源≥180W电源\电源适配器电线组件符合 GB/T15934</w:t>
            </w:r>
            <w:r>
              <w:rPr>
                <w:rFonts w:ascii="宋体" w:hAnsi="宋体"/>
                <w:sz w:val="21"/>
                <w:szCs w:val="21"/>
              </w:rPr>
              <w:t xml:space="preserve">-2008</w:t>
            </w:r>
            <w:r>
              <w:rPr>
                <w:rFonts w:hint="eastAsia" w:ascii="宋体" w:hAnsi="宋体"/>
                <w:sz w:val="21"/>
                <w:szCs w:val="21"/>
              </w:rPr>
              <w:t xml:space="preserve">的要求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操作系统及软件功能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*中文信息处理要求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18030</w:t>
            </w:r>
            <w:r>
              <w:rPr>
                <w:rFonts w:ascii="宋体" w:hAnsi="宋体"/>
                <w:sz w:val="21"/>
                <w:szCs w:val="21"/>
              </w:rPr>
              <w:t xml:space="preserve">-202</w:t>
            </w:r>
            <w:r>
              <w:rPr>
                <w:rFonts w:ascii="宋体" w:hAnsi="宋体"/>
                <w:sz w:val="21"/>
                <w:szCs w:val="21"/>
              </w:rPr>
              <w:t xml:space="preserve">2</w:t>
            </w:r>
            <w:r>
              <w:rPr>
                <w:rFonts w:hint="eastAsia" w:ascii="宋体" w:hAnsi="宋体"/>
                <w:sz w:val="21"/>
                <w:szCs w:val="21"/>
              </w:rPr>
              <w:t xml:space="preserve">的相关规定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*操作系统备份及还原功能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textDirection w:val="lrTb"/>
            <w:noWrap w:val="false"/>
          </w:tcPr>
          <w:p>
            <w:pPr>
              <w:ind w:left="0"/>
              <w:jc w:val="left"/>
              <w:rPr>
                <w:rFonts w:ascii="宋体" w:hAnsi="宋体"/>
                <w:sz w:val="21"/>
                <w:szCs w:val="21"/>
              </w:rPr>
            </w:pPr>
            <w:r>
              <w:rPr>
                <w:rFonts w:hint="eastAsia" w:ascii="宋体" w:hAnsi="宋体"/>
                <w:sz w:val="21"/>
                <w:szCs w:val="21"/>
              </w:rPr>
              <w:t xml:space="preserve">支持操作系统备份及还原功能。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*固件备份还原能力</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支持备份及还原固件的功能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*操作系统及驱动升级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支持通过网络、闪存盘等方式对操作系统、驱动进行升级</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*固件升级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支持通过网络、闪存盘等方式对固件进行升级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*BIOS 支持关闭通讯接口</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BIOS 关闭以太网及 USB 接口,可提供CPU同品牌的自研版本BIOS</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*固件查看信息</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支持查看固件版本、内存信息、主板信息、处理器信息和系统时间信息等功能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*固件设置启动顺序</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支持设置启动顺序功能，并按照设置的启动顺序启动</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*固件设置口令</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支持设置口令、修改口令、验证口令功能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*固件设置网络引导</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支持网络引导启动和关闭功能</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生物识别功能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指纹识别</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人脸识别</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静脉识别</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硬件加速功能</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NPU/GPU等 AI 加速模块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视频编解码加速模块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影像处理加速模块</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存储设备可靠性</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TBW ≥ 80TB（条件：240GB 硬盘容量）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通电时间≥5 万小时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显示设备可靠性</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*显示屏屏幕失效点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w:t>
            </w:r>
            <w:bookmarkStart w:id="160" w:name="OLE_LINK64"/>
            <w:r/>
            <w:bookmarkStart w:id="161" w:name="OLE_LINK65"/>
            <w:r>
              <w:rPr>
                <w:rFonts w:hint="eastAsia" w:ascii="宋体" w:hAnsi="宋体"/>
                <w:sz w:val="21"/>
                <w:szCs w:val="21"/>
              </w:rPr>
              <w:t xml:space="preserve"> </w:t>
            </w:r>
            <w:bookmarkStart w:id="162" w:name="OLE_LINK95"/>
            <w:r/>
            <w:bookmarkStart w:id="163" w:name="OLE_LINK98"/>
            <w:r>
              <w:rPr>
                <w:rFonts w:hint="eastAsia" w:ascii="宋体" w:hAnsi="宋体"/>
                <w:sz w:val="21"/>
                <w:szCs w:val="21"/>
              </w:rPr>
              <w:t xml:space="preserve">GB/T 9813.</w:t>
            </w:r>
            <w:bookmarkEnd w:id="160"/>
            <w:r/>
            <w:bookmarkEnd w:id="161"/>
            <w:r>
              <w:rPr>
                <w:rFonts w:ascii="宋体" w:hAnsi="宋体"/>
                <w:sz w:val="21"/>
                <w:szCs w:val="21"/>
              </w:rPr>
              <w:t xml:space="preserve">1</w:t>
            </w:r>
            <w:bookmarkEnd w:id="162"/>
            <w:r/>
            <w:bookmarkEnd w:id="163"/>
            <w:r>
              <w:rPr>
                <w:rFonts w:ascii="宋体" w:hAnsi="宋体"/>
                <w:sz w:val="21"/>
                <w:szCs w:val="21"/>
              </w:rPr>
              <w:t xml:space="preserve">-2016</w:t>
            </w:r>
            <w:r>
              <w:rPr>
                <w:rFonts w:hint="eastAsia" w:ascii="宋体" w:hAnsi="宋体"/>
                <w:sz w:val="21"/>
                <w:szCs w:val="21"/>
              </w:rPr>
              <w:t xml:space="preserve">的要求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外设可靠性</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*鼠标按键寿命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*键盘鼠标线材寿命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键盘鼠标所用线材经±60 °弯折不低于 3000 次，功能、外观完好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*风扇寿命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 万小时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整机可靠性要求</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*电磁兼容性要求的抗扰度</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9254.2</w:t>
            </w:r>
            <w:r>
              <w:rPr>
                <w:rFonts w:ascii="宋体" w:hAnsi="宋体"/>
                <w:sz w:val="21"/>
                <w:szCs w:val="21"/>
              </w:rPr>
              <w:t xml:space="preserve">-2021</w:t>
            </w:r>
            <w:r>
              <w:rPr>
                <w:rFonts w:hint="eastAsia" w:ascii="宋体" w:hAnsi="宋体"/>
                <w:sz w:val="21"/>
                <w:szCs w:val="21"/>
              </w:rPr>
              <w:t xml:space="preserve">的规定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*环境条件要求的气候环境适应性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bookmarkStart w:id="164" w:name="OLE_LINK66"/>
            <w:r/>
            <w:bookmarkStart w:id="165" w:name="OLE_LINK67"/>
            <w:r>
              <w:rPr>
                <w:rFonts w:ascii="宋体" w:hAnsi="宋体"/>
                <w:sz w:val="21"/>
                <w:szCs w:val="21"/>
              </w:rPr>
              <w:t xml:space="preserve">-2016</w:t>
            </w:r>
            <w:bookmarkEnd w:id="164"/>
            <w:r/>
            <w:bookmarkEnd w:id="165"/>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*环境条件要求的振动适应性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*环境条件要求的冲击适应性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*环境条件要求的碰撞适应性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*环境条件要求的运输包装件跌落适应性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*MTBF测试</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MTBF(m1)≥30万小时</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*常用软件兼容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textDirection w:val="lrTb"/>
            <w:noWrap w:val="false"/>
          </w:tcPr>
          <w:p>
            <w:pPr>
              <w:ind w:left="0"/>
              <w:jc w:val="left"/>
              <w:rPr>
                <w:rFonts w:ascii="宋体" w:hAnsi="宋体"/>
                <w:sz w:val="21"/>
                <w:szCs w:val="21"/>
              </w:rPr>
            </w:pPr>
            <w:r>
              <w:rPr>
                <w:rFonts w:hint="eastAsia" w:ascii="宋体" w:hAnsi="宋体"/>
                <w:sz w:val="21"/>
                <w:szCs w:val="21"/>
              </w:rPr>
              <w:t xml:space="preserve">支持流式软件、版式软件、浏览器、邮件、解压软件、多媒体、图形图像处理等常用软件</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*数据库兼容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个及以上厂商的数据库产品</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*中间件兼容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个及以上厂商中间件产品</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*平台软件兼容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个及以上厂商云计算及大数据平台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*标志、包装、运输和贮存</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和商品包装政府采购需求标准的相关规定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167</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*配置检查工具</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供应商提供自检测试工具</w:t>
            </w:r>
            <w:r/>
          </w:p>
        </w:tc>
      </w:tr>
      <w:tr>
        <w:trPr>
          <w:trHeight w:val="23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*服务响应</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供应商提供电话、电子邮件、远程 连接等多种形式服务</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供应商提供同城 4h、异地 12h 技术 响应服务，2 个工作日解决问题，对于 未能解决的问题和故障应提供可行的 升级方案，并提供周转设备或更换设 备；</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建立全国技术服务体系和服务团 体，符合专业服务体系标准要求，提供原厂中文服务；</w:t>
            </w:r>
            <w:r/>
          </w:p>
          <w:p>
            <w:pPr>
              <w:ind w:left="0"/>
              <w:jc w:val="left"/>
              <w:rPr>
                <w:rFonts w:ascii="宋体" w:hAnsi="宋体"/>
                <w:sz w:val="21"/>
                <w:szCs w:val="21"/>
              </w:rPr>
            </w:pPr>
            <w:r>
              <w:rPr>
                <w:rFonts w:ascii="宋体" w:hAnsi="宋体"/>
                <w:sz w:val="21"/>
                <w:szCs w:val="21"/>
              </w:rPr>
              <w:t xml:space="preserve">4.</w:t>
            </w:r>
            <w:r>
              <w:rPr>
                <w:rFonts w:hint="eastAsia" w:ascii="宋体" w:hAnsi="宋体"/>
                <w:sz w:val="21"/>
                <w:szCs w:val="21"/>
              </w:rPr>
              <w:t xml:space="preserve">服务周期内提供产品的维修、换件和升级服务</w:t>
            </w:r>
            <w:r/>
          </w:p>
        </w:tc>
      </w:tr>
      <w:tr>
        <w:trPr>
          <w:trHeight w:val="134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*服务周期</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设备停产后应继续提供质量保障服务（含备品备件），服务终止时间与最后一批设备交付时间间隔不低于 6 年；</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产品停止服务时间应提前 1 年告知；</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应明确产品发布日期</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*预装操作系统</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预装正版操作系统，预装的操作系统符合《操作系统政府采购需求标准（2023 年版）》中桌面操作系统政府采购需求标准的所有加*指标要求</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*培训服务</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供应商提供培训材料、产品手册、培训视频等培训相关内容</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*典型问题解决手册</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供应商提供典型问题解决说明文档或视频</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*厂家升级软件与扩容服务</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供应商提供上门升级部件/软件与扩容的增值服务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*整机质量服务要求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整机提供≥3年原厂质保及免费上门服务</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*合格证书要求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供应商提供产品合格证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*开箱组装/使用指导要求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供应商提供开箱组装/使用指导</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*驱动下载服务要求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供应商提供驱动光盘或下载方式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*兼容适配软件下载服务要求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供应商提供兼容适配软件下载渠道（光盘、网站）</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跨架构平台应用兼容</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供应链合规性</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*产品部件保障</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保障产品主要部件提供 6 年的备件服务能力(自购买之日起)，或提供可兼容原设备的升级换代产品</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供应链质量</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*抗干扰性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当产品部件出现供应风险时，供应商通知采购人并提供风险应对方案确保产品的服务保障</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*供应能力证明</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供应商提供供应链稳定承诺书，确保产品的部件在产品服务周期内稳定供货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关键部件安全要求</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*关键部件安全要求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CPU和操作系统等关键部件应当符合安全可靠测评要求</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整机安全性要求</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*密码算法实现</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CPU芯片应符合GM/T 0008</w:t>
            </w:r>
            <w:r>
              <w:rPr>
                <w:rFonts w:ascii="宋体" w:hAnsi="宋体"/>
                <w:sz w:val="21"/>
                <w:szCs w:val="21"/>
              </w:rPr>
              <w:t xml:space="preserve">-2012</w:t>
            </w:r>
            <w:r>
              <w:rPr>
                <w:rFonts w:hint="eastAsia" w:ascii="宋体" w:hAnsi="宋体"/>
                <w:sz w:val="21"/>
                <w:szCs w:val="21"/>
              </w:rPr>
              <w:t xml:space="preserve">的相关规定，或芯片密码模块符合 GB/T 37092</w:t>
            </w:r>
            <w:r>
              <w:rPr>
                <w:rFonts w:ascii="宋体" w:hAnsi="宋体"/>
                <w:sz w:val="21"/>
                <w:szCs w:val="21"/>
              </w:rPr>
              <w:t xml:space="preserve">-2018</w:t>
            </w:r>
            <w:r>
              <w:rPr>
                <w:rFonts w:hint="eastAsia" w:ascii="宋体" w:hAnsi="宋体"/>
                <w:sz w:val="21"/>
                <w:szCs w:val="21"/>
              </w:rPr>
              <w:t xml:space="preserve">或GM/T 0028</w:t>
            </w:r>
            <w:r>
              <w:rPr>
                <w:rFonts w:ascii="宋体" w:hAnsi="宋体"/>
                <w:sz w:val="21"/>
                <w:szCs w:val="21"/>
              </w:rPr>
              <w:t xml:space="preserve">-2024</w:t>
            </w:r>
            <w:r>
              <w:rPr>
                <w:rFonts w:hint="eastAsia" w:ascii="宋体" w:hAnsi="宋体"/>
                <w:sz w:val="21"/>
                <w:szCs w:val="21"/>
              </w:rPr>
              <w:t xml:space="preserve">的相关规定</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端口管控</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USB 端口管控</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安全物理锁</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支持安全物理锁</w:t>
            </w:r>
            <w:r/>
          </w:p>
        </w:tc>
      </w:tr>
      <w:tr>
        <w:trPr>
          <w:trHeight w:val="167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187</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*信息安全基本要求</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产品应符合 GB/T 39276</w:t>
            </w:r>
            <w:r>
              <w:rPr>
                <w:rFonts w:ascii="宋体" w:hAnsi="宋体"/>
                <w:sz w:val="21"/>
                <w:szCs w:val="21"/>
              </w:rPr>
              <w:t xml:space="preserve">-2020</w:t>
            </w:r>
            <w:r>
              <w:rPr>
                <w:rFonts w:hint="eastAsia" w:ascii="宋体" w:hAnsi="宋体"/>
                <w:sz w:val="21"/>
                <w:szCs w:val="21"/>
              </w:rPr>
              <w:t xml:space="preserve">的 5.2 的 规定；</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应建立漏洞跟踪表，保证 产品版本涉及到的漏洞(如驱动程序 等)可查看；</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产品不得包含已知的恶意代码或 漏洞，不存在未声明的指令、功能、 接口</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*固件安全启动</w:t>
            </w:r>
            <w:r/>
          </w:p>
        </w:tc>
        <w:tc>
          <w:tcPr>
            <w:shd w:val="clear" w:color="auto" w:fill="ffffff"/>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支持固件安全启动功能，固件启动过程中只有通过启动校验才能正常启动</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*限用物质的限量要求</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26572</w:t>
            </w:r>
            <w:r>
              <w:rPr>
                <w:rFonts w:ascii="宋体" w:hAnsi="宋体"/>
                <w:sz w:val="21"/>
                <w:szCs w:val="21"/>
              </w:rPr>
              <w:t xml:space="preserve">-2011</w:t>
            </w:r>
            <w:r>
              <w:rPr>
                <w:rFonts w:hint="eastAsia" w:ascii="宋体" w:hAnsi="宋体"/>
                <w:sz w:val="21"/>
                <w:szCs w:val="21"/>
              </w:rPr>
              <w:t xml:space="preserve">中规定</w:t>
            </w:r>
            <w:r/>
          </w:p>
        </w:tc>
      </w:tr>
      <w:tr>
        <w:trPr>
          <w:trHeight w:val="5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系统要求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软件兼容性要求</w:t>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*预装操作系统</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hint="eastAsia" w:ascii="宋体" w:hAnsi="宋体"/>
                <w:b/>
                <w:sz w:val="21"/>
                <w:szCs w:val="21"/>
              </w:rPr>
            </w:pPr>
            <w:r>
              <w:rPr>
                <w:rFonts w:hint="eastAsia" w:ascii="宋体" w:hAnsi="宋体"/>
                <w:b/>
                <w:sz w:val="21"/>
                <w:szCs w:val="21"/>
              </w:rPr>
              <w:t xml:space="preserve">投标单位需承诺中标后提供正版教育操作系统，能与江苏省初中英语听力口语自动化考试系统无缝衔接，投标文件须承诺函并加盖公章，否则视为非实质性响应。</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bookmarkStart w:id="166" w:name="_GoBack"/>
            <w:r>
              <w:rPr>
                <w:rFonts w:hint="eastAsia" w:ascii="宋体" w:hAnsi="宋体"/>
                <w:sz w:val="21"/>
                <w:szCs w:val="21"/>
              </w:rPr>
              <w:t xml:space="preserve">191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*同传、还原功能</w:t>
            </w:r>
            <w:r/>
          </w:p>
        </w:tc>
        <w:tc>
          <w:tcPr>
            <w:shd w:val="clear" w:color="auto" w:fill="ffffff"/>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出厂自带机房同传、还原功能，具体功能要求如下：</w:t>
            </w:r>
            <w:r/>
          </w:p>
          <w:p>
            <w:pPr>
              <w:ind w:left="0"/>
              <w:jc w:val="left"/>
              <w:rPr>
                <w:rFonts w:ascii="宋体" w:hAnsi="宋体"/>
                <w:sz w:val="21"/>
                <w:szCs w:val="21"/>
              </w:rPr>
            </w:pPr>
            <w:r>
              <w:rPr>
                <w:rFonts w:hint="eastAsia" w:ascii="宋体" w:hAnsi="宋体"/>
                <w:sz w:val="21"/>
                <w:szCs w:val="21"/>
              </w:rPr>
              <w:t xml:space="preserve">★1.支持终端信创国产化操作系统设置立即、每天、每周、每月还原的还原方式并可创建还原点；</w:t>
            </w:r>
            <w:r/>
          </w:p>
          <w:p>
            <w:pPr>
              <w:ind w:left="0"/>
              <w:jc w:val="left"/>
              <w:rPr>
                <w:rFonts w:ascii="宋体" w:hAnsi="宋体"/>
                <w:sz w:val="21"/>
                <w:szCs w:val="21"/>
              </w:rPr>
            </w:pPr>
            <w:r>
              <w:rPr>
                <w:rFonts w:hint="eastAsia" w:ascii="宋体" w:hAnsi="宋体"/>
                <w:sz w:val="21"/>
                <w:szCs w:val="21"/>
              </w:rPr>
              <w:t xml:space="preserve">★2.支持桌面还原属性修改，在管理端根据教学需求修改教学桌面还原属性，可单独分别为系统盘和数据盘设置每次、每天、每周、每月还原或不还原，也可对任意数量的桌面实现还原操作，满足教学桌面还原和考试环境数据保存等需求；</w:t>
            </w:r>
            <w:r/>
          </w:p>
          <w:p>
            <w:pPr>
              <w:ind w:left="0"/>
              <w:jc w:val="left"/>
              <w:rPr>
                <w:rFonts w:ascii="宋体" w:hAnsi="宋体"/>
                <w:sz w:val="21"/>
                <w:szCs w:val="21"/>
              </w:rPr>
            </w:pPr>
            <w:r>
              <w:rPr>
                <w:rFonts w:hint="eastAsia" w:ascii="宋体" w:hAnsi="宋体"/>
                <w:sz w:val="21"/>
                <w:szCs w:val="21"/>
              </w:rPr>
              <w:t xml:space="preserve">★3.支持隐藏底层操作系统选单，有多个操作系统时，可设置默认进入某个操作系统，自定义进入系统的时间（时间可设置到秒），可对多个操作系统自动分配不同网段的IP地址；</w:t>
            </w:r>
            <w:r/>
          </w:p>
          <w:p>
            <w:pPr>
              <w:ind w:left="0"/>
              <w:jc w:val="left"/>
              <w:rPr>
                <w:rFonts w:ascii="宋体" w:hAnsi="宋体"/>
                <w:sz w:val="21"/>
                <w:szCs w:val="21"/>
              </w:rPr>
            </w:pPr>
            <w:r>
              <w:rPr>
                <w:rFonts w:hint="eastAsia" w:ascii="宋体" w:hAnsi="宋体"/>
                <w:sz w:val="21"/>
                <w:szCs w:val="21"/>
              </w:rPr>
              <w:t xml:space="preserve">★4.支持现有已安装信创国产化操作系统下面复制出一个同样的频道系统，无需重新分区，该频道系统可以安装不同的应用软件；</w:t>
            </w:r>
            <w:r/>
          </w:p>
          <w:p>
            <w:pPr>
              <w:ind w:left="0"/>
              <w:jc w:val="left"/>
              <w:rPr>
                <w:rFonts w:ascii="宋体" w:hAnsi="宋体"/>
                <w:sz w:val="21"/>
                <w:szCs w:val="21"/>
              </w:rPr>
            </w:pPr>
            <w:r>
              <w:rPr>
                <w:rFonts w:hint="eastAsia" w:ascii="宋体" w:hAnsi="宋体"/>
                <w:sz w:val="21"/>
                <w:szCs w:val="21"/>
              </w:rPr>
              <w:t xml:space="preserve">★5.新增频道系统可设置用户权限，用户创建属于自己的专用虚拟系统，所安装的软件和保存的数据仅自己可以使用，其他用户无法查看、修改或删除；</w:t>
            </w:r>
            <w:bookmarkEnd w:id="166"/>
            <w:r/>
            <w:r/>
          </w:p>
        </w:tc>
      </w:tr>
    </w:tbl>
    <w:p>
      <w:r/>
      <w:r/>
    </w:p>
    <w:p>
      <w:pPr>
        <w:ind w:left="0"/>
      </w:pPr>
      <w:r>
        <w:rPr>
          <w:rFonts w:hint="eastAsia" w:ascii="宋体" w:hAnsi="宋体"/>
          <w:sz w:val="21"/>
          <w:szCs w:val="21"/>
        </w:rPr>
        <w:t xml:space="preserve">3.台式计算机（教师机）</w:t>
      </w:r>
      <w:r/>
    </w:p>
    <w:tbl>
      <w:tblPr>
        <w:tblW w:w="1006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134"/>
        <w:gridCol w:w="1134"/>
        <w:gridCol w:w="1418"/>
        <w:gridCol w:w="5670"/>
      </w:tblGrid>
      <w:tr>
        <w:trPr>
          <w:trHeight w:val="8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指标分类</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一级指标</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二级指标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技术要求</w:t>
            </w:r>
            <w:r/>
          </w:p>
        </w:tc>
      </w:tr>
      <w:tr>
        <w:trPr>
          <w:trHeight w:val="8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CPU规格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信息</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处理器采用板载设计，配置1颗国产C86-3G CPU，每颗CPU物理核心数≥8核，每个物理核心主频≥3.0GHz，最高加速频率智能频率可提升至≥3.3GHz，每颗CPU三级缓存≥16MB，支持超线程技术，线程数量≥16，TDP≤65W</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内存规格</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*内存配置容量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bottom"/>
            <w:textDirection w:val="lrTb"/>
            <w:noWrap w:val="false"/>
          </w:tcPr>
          <w:p>
            <w:pPr>
              <w:ind w:left="0"/>
              <w:jc w:val="left"/>
              <w:rPr>
                <w:rFonts w:ascii="宋体" w:hAnsi="宋体"/>
                <w:sz w:val="21"/>
                <w:szCs w:val="21"/>
              </w:rPr>
            </w:pPr>
            <w:r>
              <w:rPr>
                <w:rFonts w:hint="eastAsia" w:ascii="宋体" w:hAnsi="宋体"/>
                <w:sz w:val="21"/>
                <w:szCs w:val="21"/>
              </w:rPr>
              <w:t xml:space="preserve">≥16GB</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支持DDR4 及以上内存类型</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*内存条配置数量（板载内存不涉及）</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*主板集成模块</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集成资源扩展模块、计算处理模块、音频扩展模块等，主板的互联拓扑可通过处理器或交换电路实现</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*主板支持的 CPU和内存情况</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主板板载C86-3G架构芯片≥1和DDR4内存≥4</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主板内置PCIe 插槽数量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主板板载数量≥4，其中至少包括两个 PCIex16 和一个PCIex8</w:t>
            </w:r>
            <w:r/>
          </w:p>
        </w:tc>
      </w:tr>
      <w:tr>
        <w:trPr>
          <w:trHeight w:val="115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特殊孔位及接口</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a）预留满足 USB3.0 数据传输规范的 接口，工作电压 5V，最大过电流应不小于 3A；</w:t>
            </w:r>
            <w:r>
              <w:rPr>
                <w:rFonts w:hint="eastAsia" w:ascii="宋体" w:hAnsi="宋体"/>
                <w:sz w:val="21"/>
                <w:szCs w:val="21"/>
              </w:rPr>
              <w:br/>
              <w:t xml:space="preserve">b) 预留多功能导入装置板卡安装孔位，采用内置方式与主机一体化集成，容量不小于 145mm×125mm×16.5mm（长×宽×高）</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*主板其他内置接口</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≥4个SATA 3.0接口、≥1个M.2接口、≥10个USB接口</w:t>
            </w:r>
            <w:r/>
          </w:p>
          <w:p>
            <w:pPr>
              <w:pStyle w:val="1093"/>
              <w:ind w:left="0" w:firstLine="0"/>
            </w:pPr>
            <w:r>
              <w:rPr>
                <w:rFonts w:hint="eastAsia" w:ascii="宋体" w:hAnsi="宋体"/>
                <w:sz w:val="21"/>
                <w:szCs w:val="21"/>
              </w:rPr>
              <w:t xml:space="preserve">（其中≥1个USB Type-C接口、≥6个USB3.0接口）</w:t>
            </w:r>
            <w:r/>
          </w:p>
        </w:tc>
      </w:tr>
      <w:tr>
        <w:trPr>
          <w:trHeight w:val="72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*单内存插槽最大可支持容量（板载内存不涉及）</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ascii="宋体" w:hAnsi="宋体"/>
                <w:sz w:val="21"/>
                <w:szCs w:val="21"/>
              </w:rPr>
              <w:t xml:space="preserve">4</w:t>
            </w:r>
            <w:r>
              <w:rPr>
                <w:rFonts w:hint="eastAsia" w:ascii="宋体" w:hAnsi="宋体"/>
                <w:sz w:val="21"/>
                <w:szCs w:val="21"/>
              </w:rPr>
              <w:t xml:space="preserve">GB</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*内存插槽满配时提供的最高内存总容量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56</w:t>
            </w:r>
            <w:r>
              <w:rPr>
                <w:rFonts w:hint="eastAsia" w:ascii="宋体" w:hAnsi="宋体"/>
                <w:sz w:val="21"/>
                <w:szCs w:val="21"/>
              </w:rPr>
              <w:t xml:space="preserve">GB</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*固态盘数量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≥512GB</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*机械硬盘总容量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*机械硬盘转速</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6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机械硬盘接口协议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*机械硬盘形态</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固态存储接口协议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支持NVMe接口协议</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*固态存储形态</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采用符合M.2标准的插卡形态</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存储设备扩展盘位</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w:t>
            </w:r>
            <w:r/>
          </w:p>
        </w:tc>
      </w:tr>
      <w:tr>
        <w:trPr>
          <w:trHeight w:val="170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*存储设备其他参数要求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固态盘应符合 SJ/T 11654</w:t>
            </w:r>
            <w:r>
              <w:rPr>
                <w:rFonts w:ascii="宋体" w:hAnsi="宋体"/>
                <w:sz w:val="21"/>
                <w:szCs w:val="21"/>
              </w:rPr>
              <w:t xml:space="preserve">-2016</w:t>
            </w:r>
            <w:r>
              <w:rPr>
                <w:rFonts w:hint="eastAsia" w:ascii="宋体" w:hAnsi="宋体"/>
                <w:sz w:val="21"/>
                <w:szCs w:val="21"/>
              </w:rPr>
              <w:t xml:space="preserve">相关规定；</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机械硬盘准备时间应不大于30s；侧面固定螺丝孔数量可为4 孔或6 孔；工作状态环境温度应满足5℃~55℃；其它参数应符合GB/T 12628</w:t>
            </w:r>
            <w:r>
              <w:rPr>
                <w:rFonts w:ascii="宋体" w:hAnsi="宋体"/>
                <w:sz w:val="21"/>
                <w:szCs w:val="21"/>
              </w:rPr>
              <w:t xml:space="preserve">-2008</w:t>
            </w:r>
            <w:r>
              <w:rPr>
                <w:rFonts w:hint="eastAsia" w:ascii="宋体" w:hAnsi="宋体"/>
                <w:sz w:val="21"/>
                <w:szCs w:val="21"/>
              </w:rPr>
              <w:t xml:space="preserve">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显存类型为 DDR4</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*独立显卡显存位宽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显存位宽≥64位</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配置独立显卡，显存容量≥2GB</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独立显卡接口协议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PCIe 协议版本大于等于 2.0的独立显卡接口协议</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*显示屏屏占比</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*显示屏分辨率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≥1920×1080</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显示屏像素密度</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≥85像素/英寸</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显示屏可视角度</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水平≥178°</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*显示屏尺寸</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≥23.8 英寸IPS</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*显示屏屏幕比例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16:9/3:2/21:9/16:10 等</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*显示器外观颜色</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*显示屏防蓝光</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支持防蓝光模式，蓝光加权辐射亮度比应≤0.0012W/(·cd·sr)（瓦每坎特拉每球面度）</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*显示屏低频闪</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bottom"/>
            <w:textDirection w:val="lrTb"/>
            <w:noWrap w:val="false"/>
          </w:tcPr>
          <w:p>
            <w:pPr>
              <w:ind w:left="0"/>
              <w:jc w:val="left"/>
              <w:rPr>
                <w:rFonts w:ascii="宋体" w:hAnsi="宋体"/>
                <w:sz w:val="21"/>
                <w:szCs w:val="21"/>
              </w:rPr>
            </w:pPr>
            <w:r>
              <w:rPr>
                <w:rFonts w:hint="eastAsia" w:ascii="宋体" w:hAnsi="宋体"/>
                <w:sz w:val="21"/>
                <w:szCs w:val="21"/>
              </w:rPr>
              <w:t xml:space="preserve">显示屏应支持低频闪≤-35dB</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*显示屏防炫目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bottom"/>
            <w:textDirection w:val="lrTb"/>
            <w:noWrap w:val="false"/>
          </w:tcPr>
          <w:p>
            <w:pPr>
              <w:ind w:left="0"/>
              <w:jc w:val="left"/>
              <w:rPr>
                <w:rFonts w:ascii="宋体" w:hAnsi="宋体"/>
                <w:sz w:val="21"/>
                <w:szCs w:val="21"/>
              </w:rPr>
            </w:pPr>
            <w:r>
              <w:rPr>
                <w:rFonts w:hint="eastAsia" w:ascii="宋体" w:hAnsi="宋体"/>
                <w:sz w:val="21"/>
                <w:szCs w:val="21"/>
              </w:rPr>
              <w:t xml:space="preserve">显示屏镜面反射率≤10%</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≥1个</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*键盘按键数目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104键全键盘</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摄像头像素</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摄像头分辨率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扬声器功率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扬声器频率范围</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扬声器总谐波失真</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扬声器最大声压级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*键盘连接方式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USB有线</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*键盘键程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2.3mm ~ 4.0mm</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*键盘按键压力</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按键压力应在 0.54 N±0.14N</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*有线键盘连接线</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米</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*键盘颜色</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键盘其他要求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键盘外观结构、连接方式、主要功能、安全、电磁兼容性、可靠性应符合 GB/T14081</w:t>
            </w:r>
            <w:r>
              <w:rPr>
                <w:rFonts w:ascii="宋体" w:hAnsi="宋体"/>
                <w:sz w:val="21"/>
                <w:szCs w:val="21"/>
              </w:rPr>
              <w:t xml:space="preserve">-2010</w:t>
            </w:r>
            <w:r>
              <w:rPr>
                <w:rFonts w:hint="eastAsia" w:ascii="宋体" w:hAnsi="宋体"/>
                <w:sz w:val="21"/>
                <w:szCs w:val="21"/>
              </w:rPr>
              <w:t xml:space="preserve">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*鼠标连接方式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*有线鼠标连接线</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米</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*鼠标DPI 分辨率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800~1600</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*鼠标颜色</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*鼠标其他要求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其它参数应符合 GB/T 26245</w:t>
            </w:r>
            <w:r>
              <w:rPr>
                <w:rFonts w:ascii="宋体" w:hAnsi="宋体"/>
                <w:sz w:val="21"/>
                <w:szCs w:val="21"/>
              </w:rPr>
              <w:t xml:space="preserve">-2010</w:t>
            </w:r>
            <w:r>
              <w:rPr>
                <w:rFonts w:hint="eastAsia" w:ascii="宋体" w:hAnsi="宋体"/>
                <w:sz w:val="21"/>
                <w:szCs w:val="21"/>
              </w:rPr>
              <w:t xml:space="preserve">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内置光驱</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内置光驱</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无线网卡及天线数量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单无线网卡天线数量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接口数量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≥10个USB接口，(其中</w:t>
            </w:r>
            <w:r>
              <w:rPr>
                <w:rFonts w:hint="eastAsia" w:ascii="宋体" w:hAnsi="宋体"/>
                <w:sz w:val="21"/>
                <w:szCs w:val="21"/>
              </w:rPr>
              <w:t xml:space="preserve">≥1个USB Type-C接口、≥</w:t>
            </w:r>
            <w:r>
              <w:rPr>
                <w:rFonts w:hint="eastAsia" w:ascii="宋体" w:hAnsi="宋体"/>
                <w:sz w:val="21"/>
                <w:szCs w:val="21"/>
              </w:rPr>
              <w:t xml:space="preserve">6个USB3.0接口）</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母座接口要求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≥0</w:t>
            </w:r>
            <w:r/>
          </w:p>
        </w:tc>
      </w:tr>
      <w:tr>
        <w:trPr>
          <w:trHeight w:val="16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整机基础规格</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*整机外观</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产品表面不应有凹痕、划伤、裂缝、 变形和污染等。表面涂层均匀，不应 起泡、龟裂、脱落和磨损，金属零部件无锈蚀及其它机械损伤；</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产品表面说明功能的文字、符号、 标志，应清晰、端正、牢固</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*状态指示灯</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在产品显著位置提供状态指示功能，通过指示灯可查看机器运行状态或存储状态</w:t>
            </w:r>
            <w:r/>
          </w:p>
        </w:tc>
      </w:tr>
      <w:tr>
        <w:trPr>
          <w:trHeight w:val="843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*整机结构</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机箱应符合 GB/T 4208</w:t>
            </w:r>
            <w:r>
              <w:rPr>
                <w:rFonts w:ascii="宋体" w:hAnsi="宋体"/>
                <w:sz w:val="21"/>
                <w:szCs w:val="21"/>
              </w:rPr>
              <w:t xml:space="preserve">-2017</w:t>
            </w:r>
            <w:r>
              <w:rPr>
                <w:rFonts w:hint="eastAsia" w:ascii="宋体" w:hAnsi="宋体"/>
                <w:sz w:val="21"/>
                <w:szCs w:val="21"/>
              </w:rPr>
              <w:t xml:space="preserve">、GB/T 26246</w:t>
            </w:r>
            <w:r>
              <w:rPr>
                <w:rFonts w:ascii="宋体" w:hAnsi="宋体"/>
                <w:sz w:val="21"/>
                <w:szCs w:val="21"/>
              </w:rPr>
              <w:t xml:space="preserve">-2010</w:t>
            </w:r>
            <w:r>
              <w:rPr>
                <w:rFonts w:hint="eastAsia" w:ascii="宋体" w:hAnsi="宋体"/>
                <w:sz w:val="21"/>
                <w:szCs w:val="21"/>
              </w:rPr>
              <w:t xml:space="preserve">的相关规定；</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产品内部结构应符合通用部件的 安装需求；</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所有输入输出接口应符合相关国家或行业标准；</w:t>
            </w:r>
            <w:r/>
          </w:p>
          <w:p>
            <w:pPr>
              <w:ind w:left="0"/>
              <w:jc w:val="left"/>
              <w:rPr>
                <w:rFonts w:ascii="宋体" w:hAnsi="宋体"/>
                <w:sz w:val="21"/>
                <w:szCs w:val="21"/>
              </w:rPr>
            </w:pPr>
            <w:r>
              <w:rPr>
                <w:rFonts w:ascii="宋体" w:hAnsi="宋体"/>
                <w:sz w:val="21"/>
                <w:szCs w:val="21"/>
              </w:rPr>
              <w:t xml:space="preserve">4.</w:t>
            </w:r>
            <w:r>
              <w:rPr>
                <w:rFonts w:hint="eastAsia" w:ascii="宋体" w:hAnsi="宋体"/>
                <w:sz w:val="21"/>
                <w:szCs w:val="21"/>
              </w:rPr>
              <w:t xml:space="preserve">产品零部件应紧固无松动，可插拔部件应可靠连接，开关、按钮和其它 控制部件应灵活可靠，布局应方便使用；</w:t>
            </w:r>
            <w:r/>
          </w:p>
          <w:p>
            <w:pPr>
              <w:ind w:left="0"/>
              <w:jc w:val="left"/>
              <w:rPr>
                <w:rFonts w:ascii="宋体" w:hAnsi="宋体"/>
                <w:sz w:val="21"/>
                <w:szCs w:val="21"/>
              </w:rPr>
            </w:pPr>
            <w:r>
              <w:rPr>
                <w:rFonts w:ascii="宋体" w:hAnsi="宋体"/>
                <w:sz w:val="21"/>
                <w:szCs w:val="21"/>
              </w:rPr>
              <w:t xml:space="preserve">5.</w:t>
            </w:r>
            <w:r>
              <w:rPr>
                <w:rFonts w:hint="eastAsia" w:ascii="宋体" w:hAnsi="宋体"/>
                <w:sz w:val="21"/>
                <w:szCs w:val="21"/>
              </w:rPr>
              <w:t xml:space="preserve">所有 I/O 连接器及需插接线缆的部位应预留采购人操作空间，方便插拔解锁与插拔线缆；</w:t>
            </w:r>
            <w:r/>
          </w:p>
          <w:p>
            <w:pPr>
              <w:ind w:left="0"/>
              <w:jc w:val="left"/>
              <w:rPr>
                <w:rFonts w:ascii="宋体" w:hAnsi="宋体"/>
                <w:sz w:val="21"/>
                <w:szCs w:val="21"/>
              </w:rPr>
            </w:pPr>
            <w:r>
              <w:rPr>
                <w:rFonts w:ascii="宋体" w:hAnsi="宋体"/>
                <w:sz w:val="21"/>
                <w:szCs w:val="21"/>
              </w:rPr>
              <w:t xml:space="preserve">6.</w:t>
            </w:r>
            <w:r>
              <w:rPr>
                <w:rFonts w:hint="eastAsia" w:ascii="宋体" w:hAnsi="宋体"/>
                <w:sz w:val="21"/>
                <w:szCs w:val="21"/>
              </w:rPr>
              <w:t xml:space="preserve">可插拔板卡插槽部位应预留安装、拆卸或更换板卡空间；</w:t>
            </w:r>
            <w:r/>
          </w:p>
          <w:p>
            <w:pPr>
              <w:ind w:left="0"/>
              <w:jc w:val="left"/>
              <w:rPr>
                <w:rFonts w:ascii="宋体" w:hAnsi="宋体"/>
                <w:sz w:val="21"/>
                <w:szCs w:val="21"/>
              </w:rPr>
            </w:pPr>
            <w:r>
              <w:rPr>
                <w:rFonts w:ascii="宋体" w:hAnsi="宋体"/>
                <w:sz w:val="21"/>
                <w:szCs w:val="21"/>
              </w:rPr>
              <w:t xml:space="preserve">7.</w:t>
            </w:r>
            <w:r>
              <w:rPr>
                <w:rFonts w:hint="eastAsia" w:ascii="宋体" w:hAnsi="宋体"/>
                <w:sz w:val="21"/>
                <w:szCs w:val="21"/>
              </w:rPr>
              <w:t xml:space="preserve">拆装可能接触到的金属剪口或金属尖角部位应做防划伤处理，以保证安全；</w:t>
            </w:r>
            <w:r/>
          </w:p>
          <w:p>
            <w:pPr>
              <w:ind w:left="0"/>
              <w:jc w:val="left"/>
              <w:rPr>
                <w:rFonts w:ascii="宋体" w:hAnsi="宋体"/>
                <w:sz w:val="21"/>
                <w:szCs w:val="21"/>
              </w:rPr>
            </w:pPr>
            <w:r>
              <w:rPr>
                <w:rFonts w:ascii="宋体" w:hAnsi="宋体"/>
                <w:sz w:val="21"/>
                <w:szCs w:val="21"/>
              </w:rPr>
              <w:t xml:space="preserve">8.</w:t>
            </w:r>
            <w:r>
              <w:rPr>
                <w:rFonts w:hint="eastAsia" w:ascii="宋体" w:hAnsi="宋体"/>
                <w:sz w:val="21"/>
                <w:szCs w:val="21"/>
              </w:rPr>
              <w:t xml:space="preserve">整机内部走线应规整，固线结构和 位置要合理可靠并做防割线处理，需 便于理线和插拔操作，走线应不影响系统各主要部件组装和拆卸；</w:t>
            </w:r>
            <w:r/>
          </w:p>
          <w:p>
            <w:pPr>
              <w:ind w:left="0"/>
              <w:jc w:val="left"/>
              <w:rPr>
                <w:rFonts w:ascii="宋体" w:hAnsi="宋体"/>
                <w:sz w:val="21"/>
                <w:szCs w:val="21"/>
              </w:rPr>
            </w:pPr>
            <w:r>
              <w:rPr>
                <w:rFonts w:ascii="宋体" w:hAnsi="宋体"/>
                <w:sz w:val="21"/>
                <w:szCs w:val="21"/>
              </w:rPr>
              <w:t xml:space="preserve">9.</w:t>
            </w:r>
            <w:r>
              <w:rPr>
                <w:rFonts w:hint="eastAsia" w:ascii="宋体" w:hAnsi="宋体"/>
                <w:sz w:val="21"/>
                <w:szCs w:val="21"/>
              </w:rPr>
              <w:t xml:space="preserve">如需通过孔走线，过线孔应做防割 线处理；</w:t>
            </w:r>
            <w:r/>
          </w:p>
          <w:p>
            <w:pPr>
              <w:ind w:left="0"/>
              <w:jc w:val="left"/>
              <w:rPr>
                <w:rFonts w:ascii="宋体" w:hAnsi="宋体"/>
                <w:sz w:val="21"/>
                <w:szCs w:val="21"/>
              </w:rPr>
            </w:pPr>
            <w:r>
              <w:rPr>
                <w:rFonts w:ascii="宋体" w:hAnsi="宋体"/>
                <w:sz w:val="21"/>
                <w:szCs w:val="21"/>
              </w:rPr>
              <w:t xml:space="preserve">10.</w:t>
            </w:r>
            <w:r>
              <w:rPr>
                <w:rFonts w:hint="eastAsia" w:ascii="宋体" w:hAnsi="宋体"/>
                <w:sz w:val="21"/>
                <w:szCs w:val="21"/>
              </w:rPr>
              <w:t xml:space="preserve">各插头位置和插拔方向应合理，应做到插拔无障碍设计，具备防呆设计，有效避免误操作；</w:t>
            </w:r>
            <w:r/>
          </w:p>
          <w:p>
            <w:pPr>
              <w:ind w:left="0"/>
              <w:jc w:val="left"/>
              <w:rPr>
                <w:rFonts w:ascii="宋体" w:hAnsi="宋体"/>
                <w:sz w:val="21"/>
                <w:szCs w:val="21"/>
              </w:rPr>
            </w:pPr>
            <w:r>
              <w:rPr>
                <w:rFonts w:ascii="宋体" w:hAnsi="宋体"/>
                <w:sz w:val="21"/>
                <w:szCs w:val="21"/>
              </w:rPr>
              <w:t xml:space="preserve">11.</w:t>
            </w:r>
            <w:r>
              <w:rPr>
                <w:rFonts w:hint="eastAsia" w:ascii="宋体" w:hAnsi="宋体"/>
                <w:sz w:val="21"/>
                <w:szCs w:val="21"/>
              </w:rPr>
              <w:t xml:space="preserve">各主要部件拆装无障碍，使用常规工具拆装，无特殊拆装工具需求；</w:t>
            </w:r>
            <w:r/>
          </w:p>
          <w:p>
            <w:pPr>
              <w:ind w:left="0"/>
              <w:jc w:val="left"/>
              <w:rPr>
                <w:rFonts w:ascii="宋体" w:hAnsi="宋体"/>
                <w:sz w:val="21"/>
                <w:szCs w:val="21"/>
              </w:rPr>
            </w:pPr>
            <w:r>
              <w:rPr>
                <w:rFonts w:ascii="宋体" w:hAnsi="宋体"/>
                <w:sz w:val="21"/>
                <w:szCs w:val="21"/>
              </w:rPr>
              <w:t xml:space="preserve">12.</w:t>
            </w:r>
            <w:r>
              <w:rPr>
                <w:rFonts w:hint="eastAsia" w:ascii="宋体" w:hAnsi="宋体"/>
                <w:sz w:val="21"/>
                <w:szCs w:val="21"/>
              </w:rPr>
              <w:t xml:space="preserve">各主要部件拆装步骤要少，各自拆 装需避免相互干扰；</w:t>
            </w:r>
            <w:r/>
          </w:p>
          <w:p>
            <w:pPr>
              <w:ind w:left="0"/>
              <w:jc w:val="left"/>
              <w:rPr>
                <w:rFonts w:ascii="宋体" w:hAnsi="宋体"/>
                <w:sz w:val="21"/>
                <w:szCs w:val="21"/>
              </w:rPr>
            </w:pPr>
            <w:r>
              <w:rPr>
                <w:rFonts w:ascii="宋体" w:hAnsi="宋体"/>
                <w:sz w:val="21"/>
                <w:szCs w:val="21"/>
              </w:rPr>
              <w:t xml:space="preserve">13.</w:t>
            </w:r>
            <w:r>
              <w:rPr>
                <w:rFonts w:hint="eastAsia" w:ascii="宋体" w:hAnsi="宋体"/>
                <w:sz w:val="21"/>
                <w:szCs w:val="21"/>
              </w:rPr>
              <w:t xml:space="preserve">对于整机或零部件外表面为高亮面的，应粘贴保护膜，保护膜需粘贴 牢固，运输、组装等过程不易脱落， 撕下无残留；</w:t>
            </w:r>
            <w:r/>
          </w:p>
          <w:p>
            <w:pPr>
              <w:ind w:left="0"/>
              <w:jc w:val="left"/>
              <w:rPr>
                <w:rFonts w:ascii="宋体" w:hAnsi="宋体"/>
                <w:sz w:val="21"/>
                <w:szCs w:val="21"/>
              </w:rPr>
            </w:pPr>
            <w:r>
              <w:rPr>
                <w:rFonts w:ascii="宋体" w:hAnsi="宋体"/>
                <w:sz w:val="21"/>
                <w:szCs w:val="21"/>
              </w:rPr>
              <w:t xml:space="preserve">14.</w:t>
            </w:r>
            <w:r>
              <w:rPr>
                <w:rFonts w:hint="eastAsia" w:ascii="宋体" w:hAnsi="宋体"/>
                <w:sz w:val="21"/>
                <w:szCs w:val="21"/>
              </w:rPr>
              <w:t xml:space="preserve">其它要求应符合 GB/T 9813.1</w:t>
            </w:r>
            <w:r>
              <w:rPr>
                <w:rFonts w:ascii="宋体" w:hAnsi="宋体"/>
                <w:sz w:val="21"/>
                <w:szCs w:val="21"/>
              </w:rPr>
              <w:t xml:space="preserve">-2016</w:t>
            </w:r>
            <w:r>
              <w:rPr>
                <w:rFonts w:hint="eastAsia" w:ascii="宋体" w:hAnsi="宋体"/>
                <w:sz w:val="21"/>
                <w:szCs w:val="21"/>
              </w:rPr>
              <w:t xml:space="preserve">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*机箱防护要求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机箱应符合</w:t>
            </w:r>
            <w:r>
              <w:rPr>
                <w:rFonts w:hint="eastAsia" w:ascii="宋体" w:hAnsi="宋体"/>
                <w:sz w:val="21"/>
                <w:szCs w:val="21"/>
              </w:rPr>
              <w:t xml:space="preserve"> GB/T 4208</w:t>
            </w:r>
            <w:r>
              <w:rPr>
                <w:rFonts w:ascii="宋体" w:hAnsi="宋体"/>
                <w:sz w:val="21"/>
                <w:szCs w:val="21"/>
              </w:rPr>
              <w:t xml:space="preserve">-2017</w:t>
            </w:r>
            <w:r>
              <w:rPr>
                <w:rFonts w:hint="eastAsia" w:ascii="宋体" w:hAnsi="宋体"/>
                <w:sz w:val="21"/>
                <w:szCs w:val="21"/>
              </w:rPr>
              <w:t xml:space="preserve">中</w:t>
            </w:r>
            <w:r>
              <w:rPr>
                <w:rFonts w:hint="eastAsia" w:ascii="宋体" w:hAnsi="宋体"/>
                <w:sz w:val="21"/>
                <w:szCs w:val="21"/>
              </w:rPr>
              <w:t xml:space="preserve">IP20</w:t>
            </w:r>
            <w:r>
              <w:rPr>
                <w:rFonts w:hint="eastAsia" w:ascii="宋体" w:hAnsi="宋体"/>
                <w:sz w:val="21"/>
                <w:szCs w:val="21"/>
              </w:rPr>
              <w:t xml:space="preserve">防护要求</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整机噪音</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产品工作在空闲状态下，产品的声功率级应不超过</w:t>
            </w: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 </w:t>
            </w:r>
            <w:r>
              <w:rPr>
                <w:rFonts w:hint="eastAsia" w:ascii="宋体" w:hAnsi="宋体"/>
                <w:sz w:val="21"/>
                <w:szCs w:val="21"/>
              </w:rPr>
              <w:t xml:space="preserve">Bel</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76</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*整机散热</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在环境温度 25℃及处理器满载情况下，产品表面温度应符合如下要求：</w:t>
            </w:r>
            <w:r/>
          </w:p>
        </w:tc>
      </w:tr>
      <w:tr>
        <w:trPr>
          <w:trHeight w:val="201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出风口在机箱后面板情况下，出风 口温度不高于 55℃；</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可触及面温度不高于 45℃；</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显示器表面温度：显示屏不高于 38℃，显示屏上下灯带位置温度（如 涉及）不高于 40℃，出风口温度不高 于 45℃</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*整机能效限定值</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产品能效限定值应达到 GB 28380-2012标准中能效等级 2 级及以上</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*机身材质</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塑料/金属等</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*机身颜色</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*机箱尺寸容量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机箱容量应不大于14L</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CPU性能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物理核数</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物理核心数≥8</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主频</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≥3.0GHz</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末级缓存容量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≥16MB</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支持的内存最高速率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内存性能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*内存读写速率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显卡性能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*显示分辨率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≥1920×1080</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*显卡显示芯片核心频率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≥300MHz</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*显存等效频率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≥1000MT/s</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*显卡可支持多屏同时显示数量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显卡应支持 2 块屏幕同时显示，分辨率应不低于 1920×1080</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显示设备性能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*显示屏刷新率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≥75Hz</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*显示屏位深</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 位</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*显示屏色域</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≥99% sRGB</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*显示屏色准</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△E ≤ 4</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*显示屏响应时间</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≤5ms</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 尼特</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*显示屏亮度一致性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≥70%</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*显示屏对比度</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≥1000：1</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*显示屏其他参数</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显示屏采用IPS屏，其它参数应符合 SJ/T 11292</w:t>
            </w:r>
            <w:r>
              <w:rPr>
                <w:rFonts w:ascii="宋体" w:hAnsi="宋体"/>
                <w:sz w:val="21"/>
                <w:szCs w:val="21"/>
              </w:rPr>
              <w:t xml:space="preserve">-2016</w:t>
            </w:r>
            <w:r>
              <w:rPr>
                <w:rFonts w:hint="eastAsia" w:ascii="宋体" w:hAnsi="宋体"/>
                <w:sz w:val="21"/>
                <w:szCs w:val="21"/>
              </w:rPr>
              <w:t xml:space="preserve">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网络设备性能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*有线网卡速率</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最高速率不低于 1000Mbps，支持10Mbps、100Mbps、1000Mbps 速率自适应</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支持无线网络通信技术协议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WAP I 或 WiFi5.0 及以上协议</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r>
            <w:r>
              <w:rPr>
                <w:rFonts w:ascii="SimSun" w:hAnsi="SimSun" w:eastAsia="SimSun" w:cs="SimSun"/>
                <w:color w:val="000000"/>
                <w:sz w:val="21"/>
              </w:rPr>
              <w:t xml:space="preserve">/</w:t>
            </w:r>
            <w:r>
              <w:rPr>
                <w:rFonts w:hint="eastAsia" w:ascii="宋体" w:hAnsi="宋体"/>
                <w:sz w:val="21"/>
                <w:szCs w:val="21"/>
              </w:rPr>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*内存扩展接口(板载内存不涉及)</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≥4个</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存储扩展接口(板载存储不涉及)</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支持存储设备扩展接口≥3个，如SATA3.0、SAS3.0、M.2 等接口类型</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*主板USB 瞬间过流保护</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支持瞬间过流保护功能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*主板防静电保护</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支持防静电保护功能</w:t>
            </w:r>
            <w:r/>
          </w:p>
        </w:tc>
      </w:tr>
      <w:tr>
        <w:trPr>
          <w:trHeight w:val="115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*I/O 接口功能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99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*显卡外接显示接口</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显卡至少支持 VGA、HDMI、DVI、DP、Type-C 中 1 种显示接口，并与显示器接口相匹配</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独立显卡数量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*显示器接口</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显示器应与显卡外接显示接口匹配</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*显示器支架</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提供显示器底座支架</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*显示器参数调节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提供 OSD 选单按钮用于调节色彩、模式等；</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支持色温、亮度、对比度调节</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摄像头物理隐私保护开关</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传声器降噪</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键盘背光</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115</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光驱功能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光驱应支持只读、刻录等类型；</w:t>
            </w:r>
            <w:r>
              <w:rPr>
                <w:rFonts w:hint="eastAsia" w:ascii="宋体" w:hAnsi="宋体"/>
                <w:sz w:val="21"/>
                <w:szCs w:val="21"/>
              </w:rPr>
              <w:br/>
              <w:t xml:space="preserve">最大 读取速度 CD 不低于 24×150KB/s；</w:t>
            </w:r>
            <w:r/>
          </w:p>
        </w:tc>
      </w:tr>
      <w:tr>
        <w:trPr>
          <w:trHeight w:val="28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最大读取速度 DVD 不低于 8×358KB/s；</w:t>
            </w:r>
            <w:r/>
          </w:p>
        </w:tc>
      </w:tr>
      <w:tr>
        <w:trPr>
          <w:trHeight w:val="28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最大刻录速度 CD 不低于 24×150KB/s；</w:t>
            </w:r>
            <w:r/>
          </w:p>
        </w:tc>
      </w:tr>
      <w:tr>
        <w:trPr>
          <w:trHeight w:val="28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最大刻录速度 DVD 不低于 6× 1358KB/s；</w:t>
            </w:r>
            <w:r/>
          </w:p>
        </w:tc>
      </w:tr>
      <w:tr>
        <w:trPr>
          <w:trHeight w:val="28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兼容光盘类型包含只读光盘、可读写 光盘、可擦写光盘等</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*存储功能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通过 SATA 固态存储/PCIe 固态存储/UFS 固态存储/SATA 硬磁盘等存储部件提供存储功能</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内置控制器固态存储加密</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6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*网络功能</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支持网络连接、网络开启/关闭功能；</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支持访问网络和数据交换功能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无线网卡频段</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物理开关</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*数据传输</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支持数据传输能力，并提供数据流量和异常日志记录功能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蓝牙协议</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（选配）支持蓝牙模块，蓝牙协议不低于 5.0 版本</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*有线网卡接口类型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RJ45 接口</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无线网卡标准</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*网络设备拆装</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网络设备应支持物理拆装，包括无线网卡和蓝牙模块等</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3.5mm 孔径 4 段式接口</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至少支持VGA、HDMI、DP中2种显示接口</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*HDMI、DP、Type-C显示接口要求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若提供 HDMI 或 DP 或 Type-C 作为显示接口，应支持音频和视频同步输出</w:t>
            </w:r>
            <w:r/>
          </w:p>
        </w:tc>
      </w:tr>
      <w:tr>
        <w:trPr>
          <w:trHeight w:val="6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其他接口</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支持串行接口，可实现 </w:t>
            </w:r>
            <w:bookmarkStart w:id="167" w:name="OLE_LINK41"/>
            <w:r/>
            <w:bookmarkStart w:id="168" w:name="OLE_LINK42"/>
            <w:r>
              <w:rPr>
                <w:rFonts w:hint="eastAsia" w:ascii="宋体" w:hAnsi="宋体"/>
                <w:sz w:val="21"/>
                <w:szCs w:val="21"/>
              </w:rPr>
              <w:t xml:space="preserve">GB/T 6107</w:t>
            </w:r>
            <w:bookmarkEnd w:id="167"/>
            <w:r/>
            <w:bookmarkEnd w:id="168"/>
            <w:r>
              <w:rPr>
                <w:rFonts w:ascii="宋体" w:hAnsi="宋体"/>
                <w:sz w:val="21"/>
                <w:szCs w:val="21"/>
              </w:rPr>
              <w:t xml:space="preserve">-2000</w:t>
            </w:r>
            <w:r>
              <w:rPr>
                <w:rFonts w:hint="eastAsia" w:ascii="宋体" w:hAnsi="宋体"/>
                <w:sz w:val="21"/>
                <w:szCs w:val="21"/>
              </w:rPr>
              <w:t xml:space="preserve">的功能；</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支持并行接口，可实现 GB/T18235.1</w:t>
            </w:r>
            <w:r>
              <w:rPr>
                <w:rFonts w:ascii="宋体" w:hAnsi="宋体"/>
                <w:sz w:val="21"/>
                <w:szCs w:val="21"/>
              </w:rPr>
              <w:t xml:space="preserve">-2000</w:t>
            </w:r>
            <w:r>
              <w:rPr>
                <w:rFonts w:hint="eastAsia" w:ascii="宋体" w:hAnsi="宋体"/>
                <w:sz w:val="21"/>
                <w:szCs w:val="21"/>
              </w:rPr>
              <w:t xml:space="preserve">的功能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存储卡接口类型</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*电源线适配能力</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静音电源≥180W电源\电源适配器电线组件符合 GB/T15934</w:t>
            </w:r>
            <w:r>
              <w:rPr>
                <w:rFonts w:ascii="宋体" w:hAnsi="宋体"/>
                <w:sz w:val="21"/>
                <w:szCs w:val="21"/>
              </w:rPr>
              <w:t xml:space="preserve">-2008</w:t>
            </w:r>
            <w:r>
              <w:rPr>
                <w:rFonts w:hint="eastAsia" w:ascii="宋体" w:hAnsi="宋体"/>
                <w:sz w:val="21"/>
                <w:szCs w:val="21"/>
              </w:rPr>
              <w:t xml:space="preserve">的要求</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操作系统及软件功能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*中文信息处理要求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18030</w:t>
            </w:r>
            <w:r>
              <w:rPr>
                <w:rFonts w:ascii="宋体" w:hAnsi="宋体"/>
                <w:sz w:val="21"/>
                <w:szCs w:val="21"/>
              </w:rPr>
              <w:t xml:space="preserve">-2022</w:t>
            </w:r>
            <w:r>
              <w:rPr>
                <w:rFonts w:hint="eastAsia" w:ascii="宋体" w:hAnsi="宋体"/>
                <w:sz w:val="21"/>
                <w:szCs w:val="21"/>
              </w:rPr>
              <w:t xml:space="preserve">的相关规定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*操作系统备份及还原功能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支持操作系统备份及还原功能。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*固件备份还原能力</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支持备份及还原固件的功能</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*操作系统及驱动升级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支持通过网络、闪存盘等方式对操作系统、驱动进行升级</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*固件升级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支持通过网络、闪存盘等方式对固件进行升级</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*BIOS 支持关闭通讯接口</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BIOS 关闭以太网及 USB 接口,可提供CPU同品牌的自研版本BIOS</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*固件查看信息</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支持查看固件版本、内存信息、主板信息、处理器信息和系统时间信息等功能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*固件设置启动顺序</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支持设置启动顺序功能，并按照设置的启动顺序启动</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*固件设置口令</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支持设置口令、修改口令、验证口令功能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*固件设置网络引导</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支持网络引导启动和关闭功能</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生物识别功能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指纹识别</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人脸识别</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静脉识别</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硬件加速功能</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NPU/GPU等 AI 加速模块</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视频编解码加速模块</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影像处理加速模块</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存储设备可靠性</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*固态存储寿命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TBW ≥ 80TB（条件：240GB 硬盘容量）</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*机械硬盘寿命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通电时间≥5 万小时</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显示设备可靠性</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*显示屏屏幕失效点</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 的要求</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外设可靠性</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*键盘按键寿命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 万次</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*鼠标按键寿命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≥500 万次</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*键盘鼠标线材寿命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键盘鼠标所用线材经±60 °弯折不低于 3000 次，功能、外观完好</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*风扇寿命</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 万小时</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整机可靠性要求</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*电磁兼容性要求的抗扰度</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9254.2</w:t>
            </w:r>
            <w:r>
              <w:rPr>
                <w:rFonts w:ascii="宋体" w:hAnsi="宋体"/>
                <w:sz w:val="21"/>
                <w:szCs w:val="21"/>
              </w:rPr>
              <w:t xml:space="preserve">-2021</w:t>
            </w:r>
            <w:r>
              <w:rPr>
                <w:rFonts w:hint="eastAsia" w:ascii="宋体" w:hAnsi="宋体"/>
                <w:sz w:val="21"/>
                <w:szCs w:val="21"/>
              </w:rPr>
              <w:t xml:space="preserve">的规定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*环境条件要求的气候环境适应性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bookmarkStart w:id="169" w:name="OLE_LINK15"/>
            <w:r/>
            <w:bookmarkStart w:id="170" w:name="OLE_LINK26"/>
            <w:r>
              <w:rPr>
                <w:rFonts w:ascii="宋体" w:hAnsi="宋体"/>
                <w:sz w:val="21"/>
                <w:szCs w:val="21"/>
              </w:rPr>
              <w:t xml:space="preserve">-2016</w:t>
            </w:r>
            <w:bookmarkEnd w:id="169"/>
            <w:r/>
            <w:bookmarkEnd w:id="170"/>
            <w:r>
              <w:rPr>
                <w:rFonts w:hint="eastAsia" w:ascii="宋体" w:hAnsi="宋体"/>
                <w:sz w:val="21"/>
                <w:szCs w:val="21"/>
              </w:rPr>
              <w:t xml:space="preserve">中规定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*环境条件要求的振动适应性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*环境条件要求的冲击适应性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*环境条件要求的碰撞适应性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*环境条件要求的运输包装件跌落适应性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*MTBF测试</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MTBF(m1)≥30万小时</w:t>
            </w:r>
            <w:r/>
          </w:p>
        </w:tc>
      </w:tr>
      <w:tr>
        <w:trPr>
          <w:trHeight w:val="86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*常用软件兼容</w:t>
            </w:r>
            <w:r/>
          </w:p>
        </w:tc>
        <w:tc>
          <w:tcPr>
            <w:shd w:val="clear" w:color="auto" w:fill="ffffff"/>
            <w:tcBorders>
              <w:top w:val="single" w:color="auto" w:sz="4" w:space="0"/>
              <w:left w:val="single" w:color="auto" w:sz="4" w:space="0"/>
              <w:bottom w:val="single" w:color="auto" w:sz="4" w:space="0"/>
              <w:right w:val="single" w:color="auto" w:sz="4" w:space="0"/>
            </w:tcBorders>
            <w:tcW w:w="5670" w:type="dxa"/>
            <w:textDirection w:val="lrTb"/>
            <w:noWrap w:val="false"/>
          </w:tcPr>
          <w:p>
            <w:pPr>
              <w:ind w:left="0"/>
              <w:jc w:val="left"/>
              <w:rPr>
                <w:rFonts w:ascii="宋体" w:hAnsi="宋体"/>
                <w:sz w:val="21"/>
                <w:szCs w:val="21"/>
              </w:rPr>
            </w:pPr>
            <w:r>
              <w:rPr>
                <w:rFonts w:hint="eastAsia" w:ascii="宋体" w:hAnsi="宋体"/>
                <w:sz w:val="21"/>
                <w:szCs w:val="21"/>
              </w:rPr>
              <w:t xml:space="preserve">支持流式软件、版式软件、浏览器、邮件、解压软件、多媒体、图形图像处理、等常用软件</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*数据库兼容</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个及以上厂商的数据库产品</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*中间件兼容</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个及以上厂商中间件产品</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*平台软件兼容</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个及以上厂商云计算及大数据平台</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*标志、包装、运输和贮存</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9813.1</w:t>
            </w:r>
            <w:r>
              <w:rPr>
                <w:rFonts w:ascii="宋体" w:hAnsi="宋体"/>
                <w:sz w:val="21"/>
                <w:szCs w:val="21"/>
              </w:rPr>
              <w:t xml:space="preserve">-2016</w:t>
            </w:r>
            <w:r>
              <w:rPr>
                <w:rFonts w:hint="eastAsia" w:ascii="宋体" w:hAnsi="宋体"/>
                <w:sz w:val="21"/>
                <w:szCs w:val="21"/>
              </w:rPr>
              <w:t xml:space="preserve">和商品包装政府采购需求标准的相关规定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*配置检查工具</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供应商提供自检测试工具</w:t>
            </w:r>
            <w:r/>
          </w:p>
        </w:tc>
      </w:tr>
      <w:tr>
        <w:trPr>
          <w:trHeight w:val="23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*服务响应</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供应商提供电话、电子邮件、远程 连接等多种形式服务</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供应商提供同城 4h、异地 12h 技术 响应服务，2 个工作日解决问题，对于 未能解决的问题和故障应提供可行的 升级方案，并提供周转设备或更换设 备；</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建立全国技术服务体系和服务团 体，符合专业服务体系标准要求，提 供原厂中文服务；</w:t>
            </w:r>
            <w:r/>
          </w:p>
          <w:p>
            <w:pPr>
              <w:ind w:left="0"/>
              <w:jc w:val="left"/>
              <w:rPr>
                <w:rFonts w:ascii="宋体" w:hAnsi="宋体"/>
                <w:sz w:val="21"/>
                <w:szCs w:val="21"/>
              </w:rPr>
            </w:pPr>
            <w:r>
              <w:rPr>
                <w:rFonts w:ascii="宋体" w:hAnsi="宋体"/>
                <w:sz w:val="21"/>
                <w:szCs w:val="21"/>
              </w:rPr>
              <w:t xml:space="preserve">4.</w:t>
            </w:r>
            <w:r>
              <w:rPr>
                <w:rFonts w:hint="eastAsia" w:ascii="宋体" w:hAnsi="宋体"/>
                <w:sz w:val="21"/>
                <w:szCs w:val="21"/>
              </w:rPr>
              <w:t xml:space="preserve">服务周期内提供产品的维修、换件和升级服务</w:t>
            </w:r>
            <w:r/>
          </w:p>
        </w:tc>
      </w:tr>
      <w:tr>
        <w:trPr>
          <w:trHeight w:val="134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*服务周期</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设备停产后应继续提供质量保障服务（含备品备件），服务终止时间与最后一批设备交付时间间隔不低于 6 年；</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产品停止服务时间应提前 1 年告知；</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应明确产品发布日期</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*预装操作系统</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预装正版操作系统，预装的操作系统符合《操作系统政府采购需求标准（2023 年版）》中桌面操作系统政府采购需求标准的所有加*指标要求</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*培训服务</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供应商提供培训材料、产品手册、培训视频等培训相关内容</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*典型问题解决手册</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供应商提供典型问题解决说明文档或视频</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*厂家升级软件与扩容服务</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供应商提供上门升级部件/软件与扩容的增值服务</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*整机质量服务要求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整机提供≥3年原厂质保及免费上门服务。</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*合格证书要求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供应商提供产品合格证</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*开箱组装/使用指导要求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供应商提供开箱组装/使用指导</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*驱动下载服务要求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供应商提供驱动光盘或下载方式</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*兼容适配软件下载服务要求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供应商提供兼容适配软件下载渠道（光盘、网站）</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跨架构平台应用兼容</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供应链合规性</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*产品部件保障</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保障产品主要部件提供 6 年的备件服务能力(自购买之日起)，或提供可兼容原设备的升级换代产品</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供应链质量</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*抗干扰性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当产品部件出现供应风险时，供应商通知采购人并提供风险应对方案确保产品的服务保障</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*供应能力证明</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供应商提供供应链稳定承诺书，确保产品的部件在产品服务周期内稳定供货</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关键部件安全要求</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*关键部件安全要求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CPU和操作系统等关键部件应当符合安全可靠测评要求</w:t>
            </w:r>
            <w:r/>
          </w:p>
        </w:tc>
      </w:tr>
      <w:tr>
        <w:trPr>
          <w:trHeight w:val="57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整机安全性要求</w:t>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*密码算法实现</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CPU芯片应符合GM/T 0008</w:t>
            </w:r>
            <w:r>
              <w:rPr>
                <w:rFonts w:ascii="宋体" w:hAnsi="宋体"/>
                <w:sz w:val="21"/>
                <w:szCs w:val="21"/>
              </w:rPr>
              <w:t xml:space="preserve">-2012</w:t>
            </w:r>
            <w:r>
              <w:rPr>
                <w:rFonts w:hint="eastAsia" w:ascii="宋体" w:hAnsi="宋体"/>
                <w:sz w:val="21"/>
                <w:szCs w:val="21"/>
              </w:rPr>
              <w:t xml:space="preserve">的相关规定，或芯片密码模块符合 GB/T 37092</w:t>
            </w:r>
            <w:r>
              <w:rPr>
                <w:rFonts w:ascii="宋体" w:hAnsi="宋体"/>
                <w:sz w:val="21"/>
                <w:szCs w:val="21"/>
              </w:rPr>
              <w:t xml:space="preserve">-2018</w:t>
            </w:r>
            <w:r>
              <w:rPr>
                <w:rFonts w:hint="eastAsia" w:ascii="宋体" w:hAnsi="宋体"/>
                <w:sz w:val="21"/>
                <w:szCs w:val="21"/>
              </w:rPr>
              <w:t xml:space="preserve">或GM/T 0028</w:t>
            </w:r>
            <w:r>
              <w:rPr>
                <w:rFonts w:ascii="宋体" w:hAnsi="宋体"/>
                <w:sz w:val="21"/>
                <w:szCs w:val="21"/>
              </w:rPr>
              <w:t xml:space="preserve">-2024</w:t>
            </w:r>
            <w:r>
              <w:rPr>
                <w:rFonts w:hint="eastAsia" w:ascii="宋体" w:hAnsi="宋体"/>
                <w:sz w:val="21"/>
                <w:szCs w:val="21"/>
              </w:rPr>
              <w:t xml:space="preserve">的相关规定</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端口管控</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USB 端口管控</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安全物理锁</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支持安全物理锁</w:t>
            </w:r>
            <w:r/>
          </w:p>
        </w:tc>
      </w:tr>
      <w:tr>
        <w:trPr>
          <w:trHeight w:val="16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*信息安全基本要求</w:t>
            </w:r>
            <w:r/>
          </w:p>
        </w:tc>
        <w:tc>
          <w:tcPr>
            <w:shd w:val="clear" w:color="auto" w:fill="ffffff"/>
            <w:tcBorders>
              <w:top w:val="single" w:color="auto" w:sz="4" w:space="0"/>
              <w:left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产品应符合 GB/T 39276</w:t>
            </w:r>
            <w:r>
              <w:rPr>
                <w:rFonts w:ascii="宋体" w:hAnsi="宋体"/>
                <w:sz w:val="21"/>
                <w:szCs w:val="21"/>
              </w:rPr>
              <w:t xml:space="preserve">-2020</w:t>
            </w:r>
            <w:r>
              <w:rPr>
                <w:rFonts w:hint="eastAsia" w:ascii="宋体" w:hAnsi="宋体"/>
                <w:sz w:val="21"/>
                <w:szCs w:val="21"/>
              </w:rPr>
              <w:t xml:space="preserve">的 5.2 的 规定；</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应建立漏洞跟踪表，保证 产品版本涉及到的漏洞(如驱动程序 等)可查看；</w:t>
            </w:r>
            <w:r/>
          </w:p>
          <w:p>
            <w:pPr>
              <w:ind w:left="0"/>
              <w:jc w:val="left"/>
              <w:rPr>
                <w:rFonts w:ascii="宋体" w:hAnsi="宋体"/>
                <w:sz w:val="21"/>
                <w:szCs w:val="21"/>
              </w:rPr>
            </w:pPr>
            <w:r>
              <w:rPr>
                <w:rFonts w:ascii="宋体" w:hAnsi="宋体"/>
                <w:sz w:val="21"/>
                <w:szCs w:val="21"/>
              </w:rPr>
              <w:t xml:space="preserve">3.</w:t>
            </w:r>
            <w:r>
              <w:rPr>
                <w:rFonts w:hint="eastAsia" w:ascii="宋体" w:hAnsi="宋体"/>
                <w:sz w:val="21"/>
                <w:szCs w:val="21"/>
              </w:rPr>
              <w:t xml:space="preserve">产品不得包含已知的恶意代码或 漏洞，不存在未声明的指令、功能、 接口</w:t>
            </w:r>
            <w:r/>
          </w:p>
        </w:tc>
      </w:tr>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*固件安全启动</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支持固件安全启动功能，固件启动过程中只有通过启动校验才能正常启动</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*限用物质的限量要求</w:t>
            </w:r>
            <w:r/>
          </w:p>
        </w:tc>
        <w:tc>
          <w:tcPr>
            <w:shd w:val="clear" w:color="auto" w:fill="ffffff"/>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26572</w:t>
            </w:r>
            <w:r>
              <w:rPr>
                <w:rFonts w:ascii="宋体" w:hAnsi="宋体"/>
                <w:sz w:val="21"/>
                <w:szCs w:val="21"/>
              </w:rPr>
              <w:t xml:space="preserve">-2011</w:t>
            </w:r>
            <w:r>
              <w:rPr>
                <w:rFonts w:hint="eastAsia" w:ascii="宋体" w:hAnsi="宋体"/>
                <w:sz w:val="21"/>
                <w:szCs w:val="21"/>
              </w:rPr>
              <w:t xml:space="preserve">中规定</w:t>
            </w:r>
            <w:r/>
          </w:p>
        </w:tc>
      </w:tr>
    </w:tbl>
    <w:p>
      <w:pPr>
        <w:ind w:left="400"/>
        <w:spacing w:after="120"/>
      </w:pPr>
      <w:r/>
      <w:r/>
    </w:p>
    <w:p>
      <w:pPr>
        <w:ind w:left="400"/>
        <w:spacing w:after="120"/>
      </w:pPr>
      <w:r>
        <w:rPr>
          <w:rFonts w:hint="eastAsia" w:ascii="宋体" w:hAnsi="宋体"/>
          <w:sz w:val="21"/>
          <w:szCs w:val="21"/>
        </w:rPr>
        <w:t xml:space="preserve">4.便携式计算机</w:t>
      </w:r>
      <w:r/>
    </w:p>
    <w:tbl>
      <w:tblPr>
        <w:tblW w:w="10065" w:type="dxa"/>
        <w:tblInd w:w="-5" w:type="dxa"/>
        <w:tblLook w:val="04A0" w:firstRow="1" w:lastRow="0" w:firstColumn="1" w:lastColumn="0" w:noHBand="0" w:noVBand="1"/>
      </w:tblPr>
      <w:tblGrid>
        <w:gridCol w:w="709"/>
        <w:gridCol w:w="1134"/>
        <w:gridCol w:w="1134"/>
        <w:gridCol w:w="1472"/>
        <w:gridCol w:w="5616"/>
      </w:tblGrid>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指标分类</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一级指标</w:t>
            </w:r>
            <w:r/>
          </w:p>
        </w:tc>
        <w:tc>
          <w:tcPr>
            <w:tcBorders>
              <w:top w:val="single" w:color="auto" w:sz="4" w:space="0"/>
              <w:left w:val="none" w:color="000000" w:sz="4" w:space="0"/>
              <w:bottom w:val="single" w:color="auto" w:sz="4" w:space="0"/>
              <w:right w:val="single" w:color="auto" w:sz="4" w:space="0"/>
            </w:tcBorders>
            <w:tcW w:w="147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二级指标</w:t>
            </w:r>
            <w:r/>
          </w:p>
        </w:tc>
        <w:tc>
          <w:tcPr>
            <w:shd w:val="clear" w:color="auto" w:fill="ffffff"/>
            <w:tcBorders>
              <w:top w:val="single" w:color="auto" w:sz="4" w:space="0"/>
              <w:left w:val="none" w:color="000000" w:sz="4" w:space="0"/>
              <w:bottom w:val="single" w:color="auto" w:sz="4" w:space="0"/>
              <w:right w:val="single" w:color="auto" w:sz="4" w:space="0"/>
            </w:tcBorders>
            <w:tcW w:w="5616" w:type="dxa"/>
            <w:vAlign w:val="bottom"/>
            <w:textDirection w:val="lrTb"/>
            <w:noWrap w:val="false"/>
          </w:tcPr>
          <w:p>
            <w:pPr>
              <w:ind w:left="0"/>
              <w:jc w:val="center"/>
              <w:rPr>
                <w:rFonts w:ascii="宋体" w:hAnsi="宋体"/>
                <w:b/>
                <w:bCs/>
                <w:sz w:val="21"/>
                <w:szCs w:val="21"/>
              </w:rPr>
            </w:pPr>
            <w:r>
              <w:rPr>
                <w:rFonts w:hint="eastAsia" w:ascii="宋体" w:hAnsi="宋体"/>
                <w:b/>
                <w:bCs/>
                <w:sz w:val="21"/>
                <w:szCs w:val="21"/>
              </w:rPr>
              <w:t xml:space="preserve">　</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CPU规格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信息</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处理器采用板载设计，配置1颗国产C86-3G CPU，每颗CPU物理核心数≥8核，每个物理核心主频≥2.3GHz，最高加速频率智能频率可提升至≥3.0GHz，每颗CPU三级缓存≥16MB，支持超线程技术，线程数量≥16，TDP≤25W</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内存规格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*内存配置容量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≥16GB </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*内存类型</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DDR4 及以上内存类型</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*内存条配置数量（板载内存不涉及）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*主板集成模块</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集成资源扩展模块、计算处理模块、 音频扩展模块等，主板的互联拓扑 可通过处理器或交换电路实现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*主板支持的 CPU和内存情况</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主板板载C86-3G架构芯片*1和DDR4内存*1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主板内置PCIe 插槽数量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特殊孔位及接口</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主板支持安装多功能导入装置板 卡，或预留相应孔位及接口</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*单内存插槽最大可支持容量（板载内存不涉及）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≥32GB</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*内存插槽满配时提供的最高内存总容量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≥32GB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*固态存储容量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≥1TB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*固态盘数量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*机械硬盘总容量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*机械硬盘转速</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6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机械硬盘接口协议</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*机械硬盘形态</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固态存储接口协议</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NVMe 类型接 口协议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*固态存储形态</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采用插卡或板载形态，可选用符合M.2标准或PCIe标准的插卡形态</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存储设备扩展盘位</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137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*存储设备其他参数要求</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固态盘应符合 SJ/T 11654</w:t>
            </w:r>
            <w:r>
              <w:rPr>
                <w:rFonts w:ascii="宋体" w:hAnsi="宋体"/>
                <w:sz w:val="21"/>
                <w:szCs w:val="21"/>
              </w:rPr>
              <w:t xml:space="preserve">-2016</w:t>
            </w:r>
            <w:r>
              <w:rPr>
                <w:rFonts w:hint="eastAsia" w:ascii="宋体" w:hAnsi="宋体"/>
                <w:sz w:val="21"/>
                <w:szCs w:val="21"/>
              </w:rPr>
              <w:t xml:space="preserve">相关规定;</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机械硬盘准备时间应不大于 30s；侧面固定螺丝孔数量可为 4 孔或 6 孔；工作状态环境温度应满足 5℃~55℃；其它参数应符合 GB/T 12628</w:t>
            </w:r>
            <w:r>
              <w:rPr>
                <w:rFonts w:ascii="宋体" w:hAnsi="宋体"/>
                <w:sz w:val="21"/>
                <w:szCs w:val="21"/>
              </w:rPr>
              <w:t xml:space="preserve">-2008</w:t>
            </w:r>
            <w:r>
              <w:rPr>
                <w:rFonts w:hint="eastAsia" w:ascii="宋体" w:hAnsi="宋体"/>
                <w:sz w:val="21"/>
                <w:szCs w:val="21"/>
              </w:rPr>
              <w:t xml:space="preserve">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*显卡类型</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独立显卡显存类型</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独立显卡，显存类型应为DDR3/DDR4/GDDR5/GDDR6/LPDDR4</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独立显卡显存位宽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独立显卡，显存位宽≥64位</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独立显卡显存容量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独立显卡，显存容量≥4GB</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独立显卡接口协议</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PCIe 协议版本大于等于 2.0 或</w:t>
            </w:r>
            <w:r>
              <w:rPr>
                <w:rFonts w:hint="eastAsia" w:ascii="宋体" w:hAnsi="宋体"/>
                <w:sz w:val="21"/>
                <w:szCs w:val="21"/>
              </w:rPr>
              <w:br/>
              <w:t xml:space="preserve">HT（HyperTransport）协议版本大 于等于 3.0 的独立显卡接口协议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*显示屏屏占比</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*显示屏分辨率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≥1920x1080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显示屏像素密度</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≥150 像素/英寸</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显示屏可视角度</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水平≥180°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*显示屏尺寸</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≥14英寸IPS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*显示屏屏幕比例</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16:10等</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*显示屏防蓝光</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支持防蓝光模式，蓝光加权辐射亮 度比应≤0.0012W/(·cd·sr)（瓦 每坎特拉每球面度）</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*显示屏低频闪</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显示屏应支持低频闪≤-35dB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*显示屏防炫目</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显示器镜面反射率≤10%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扬声器数量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*触控板数量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个</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*键盘按键数目</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84 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摄像头像素</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 万</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摄像头分辨率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≥1280x720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*内置扬声器功率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 瓦/个</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*内置扬声器频率范围</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100Hz-20kHz，其中 100Hz-200Hz：</w:t>
            </w:r>
            <w:r>
              <w:rPr>
                <w:rFonts w:hint="eastAsia" w:ascii="宋体" w:hAnsi="宋体"/>
                <w:sz w:val="21"/>
                <w:szCs w:val="21"/>
              </w:rPr>
              <w:br/>
              <w:t xml:space="preserve">35dB 及以上；200Hz-12kHz：55dB 及以上，12kHz-18kHz：35dB 及以上</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*内置扬声器总谐波失真</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总谐波失真在 300Hz-7kHz 频率范围 内宜不高于 5%</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*内置扬声器最大声压级</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最大声压级在粉红噪声播放场景</w:t>
            </w:r>
            <w:r>
              <w:rPr>
                <w:rFonts w:hint="eastAsia" w:ascii="宋体" w:hAnsi="宋体"/>
                <w:sz w:val="21"/>
                <w:szCs w:val="21"/>
              </w:rPr>
              <w:br/>
              <w:t xml:space="preserve">下，工作距离处声压级宜不低于 70dB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*键盘键程</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0.9mm ~ 2.3 mm</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*键盘按键压力</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按键压力宜在 0.3～0.8N 之间</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黑色/银色/白色等商务色系</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*鼠标连接方式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有线或无线</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*有线键盘连接线</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米</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*鼠标DPI 分辨率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800~1600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*键盘颜色</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黑色/银色</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*鼠标其他要求</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其它参数应符合 </w:t>
            </w:r>
            <w:bookmarkStart w:id="171" w:name="OLE_LINK101"/>
            <w:r/>
            <w:bookmarkStart w:id="172" w:name="OLE_LINK102"/>
            <w:r>
              <w:rPr>
                <w:rFonts w:hint="eastAsia" w:ascii="宋体" w:hAnsi="宋体"/>
                <w:sz w:val="21"/>
                <w:szCs w:val="21"/>
              </w:rPr>
              <w:t xml:space="preserve">GB/T 26245</w:t>
            </w:r>
            <w:bookmarkEnd w:id="171"/>
            <w:r/>
            <w:bookmarkEnd w:id="172"/>
            <w:r>
              <w:rPr>
                <w:rFonts w:ascii="宋体" w:hAnsi="宋体"/>
                <w:sz w:val="21"/>
                <w:szCs w:val="21"/>
              </w:rPr>
              <w:t xml:space="preserve">-2010</w:t>
            </w:r>
            <w:r>
              <w:rPr>
                <w:rFonts w:hint="eastAsia" w:ascii="宋体" w:hAnsi="宋体"/>
                <w:sz w:val="21"/>
                <w:szCs w:val="21"/>
              </w:rPr>
              <w:t xml:space="preserve">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*触控板尺寸</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≥70mm×50mm</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*触控板材质</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采用麦拉片或玻璃等材质</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光驱规格</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无线网卡及天线数量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单无线网卡天线数量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接口数量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接口数量应不少于 4 个，至少包含 2个 USB3.0，2个USB Type-C及以上标准接口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*输入充电接口数量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*电池规格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*电池额定能量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≥65Wh</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*电池充放电次数</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≥500 次（常温下 500 次充放电后电 池容量应不低于原始容量的 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快速充电功能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支持快速充电功能，如 UFCS、USB PD；支持关机对外充电</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*电池安全要求</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31241</w:t>
            </w:r>
            <w:r>
              <w:rPr>
                <w:rFonts w:ascii="宋体" w:hAnsi="宋体"/>
                <w:sz w:val="21"/>
                <w:szCs w:val="21"/>
              </w:rPr>
              <w:t xml:space="preserve">-2022</w:t>
            </w:r>
            <w:r>
              <w:rPr>
                <w:rFonts w:hint="eastAsia" w:ascii="宋体" w:hAnsi="宋体"/>
                <w:sz w:val="21"/>
                <w:szCs w:val="21"/>
              </w:rPr>
              <w:t xml:space="preserve">的规定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电池电芯材质</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供应商给出电池电芯材料信息</w:t>
            </w:r>
            <w:r/>
          </w:p>
        </w:tc>
      </w:tr>
      <w:tr>
        <w:trPr>
          <w:trHeight w:val="112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整机基础规格</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bookmarkStart w:id="173" w:name="OLE_LINK76"/>
            <w:r/>
            <w:bookmarkStart w:id="174" w:name="OLE_LINK77"/>
            <w:r/>
            <w:bookmarkStart w:id="175" w:name="OLE_LINK78"/>
            <w:r>
              <w:rPr>
                <w:rFonts w:hint="eastAsia" w:ascii="宋体" w:hAnsi="宋体"/>
                <w:sz w:val="21"/>
                <w:szCs w:val="21"/>
              </w:rPr>
              <w:t xml:space="preserve">整机外观</w:t>
            </w:r>
            <w:bookmarkEnd w:id="173"/>
            <w:r/>
            <w:bookmarkEnd w:id="174"/>
            <w:r/>
            <w:bookmarkEnd w:id="175"/>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产品表面不应有凹痕、划伤、裂</w:t>
            </w:r>
            <w:r>
              <w:rPr>
                <w:rFonts w:hint="eastAsia" w:ascii="宋体" w:hAnsi="宋体"/>
                <w:sz w:val="21"/>
                <w:szCs w:val="21"/>
              </w:rPr>
              <w:br/>
              <w:t xml:space="preserve">缝、变形和污染等。表面涂层均匀， 不应起泡、龟裂、脱落和磨损，金 属零部件无锈蚀及其它机械损伤； </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产品表面说明功能的文字、符号、标志，应清晰、端正、牢固；</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宜在产品显著位置提供运行状 态指示功能，并提供详细参数</w:t>
            </w:r>
            <w:r/>
          </w:p>
        </w:tc>
      </w:tr>
      <w:tr>
        <w:trPr>
          <w:trHeight w:val="410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*整机结构</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产品应符合</w:t>
            </w:r>
            <w:bookmarkStart w:id="176" w:name="OLE_LINK103"/>
            <w:r/>
            <w:bookmarkStart w:id="177" w:name="OLE_LINK104"/>
            <w:r>
              <w:rPr>
                <w:rFonts w:hint="eastAsia" w:ascii="宋体" w:hAnsi="宋体"/>
                <w:sz w:val="21"/>
                <w:szCs w:val="21"/>
              </w:rPr>
              <w:t xml:space="preserve"> GB/T 4208</w:t>
            </w:r>
            <w:bookmarkEnd w:id="176"/>
            <w:r/>
            <w:bookmarkEnd w:id="177"/>
            <w:r>
              <w:rPr>
                <w:rFonts w:ascii="宋体" w:hAnsi="宋体"/>
                <w:sz w:val="21"/>
                <w:szCs w:val="21"/>
              </w:rPr>
              <w:t xml:space="preserve">-2017</w:t>
            </w:r>
            <w:r>
              <w:rPr>
                <w:rFonts w:hint="eastAsia" w:ascii="宋体" w:hAnsi="宋体"/>
                <w:sz w:val="21"/>
                <w:szCs w:val="21"/>
              </w:rPr>
              <w:t xml:space="preserve">的相关规定；</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产品内部结构应符合通用部件 的安装需要；</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所有输入输出接口应符合相关 国家或行业标准；</w:t>
            </w:r>
            <w:r>
              <w:rPr>
                <w:rFonts w:hint="eastAsia" w:ascii="宋体" w:hAnsi="宋体"/>
                <w:sz w:val="21"/>
                <w:szCs w:val="21"/>
              </w:rPr>
              <w:br/>
            </w:r>
            <w:r>
              <w:rPr>
                <w:rFonts w:ascii="宋体" w:hAnsi="宋体"/>
                <w:sz w:val="21"/>
                <w:szCs w:val="21"/>
              </w:rPr>
              <w:t xml:space="preserve">4.</w:t>
            </w:r>
            <w:r>
              <w:rPr>
                <w:rFonts w:hint="eastAsia" w:ascii="宋体" w:hAnsi="宋体"/>
                <w:sz w:val="21"/>
                <w:szCs w:val="21"/>
              </w:rPr>
              <w:t xml:space="preserve">产品零部件应紧固无松动，可插 拔部件应可靠连接，开关、按钮和其它控制部件应灵活可靠，布局应方便使用； </w:t>
            </w:r>
            <w:r>
              <w:rPr>
                <w:rFonts w:hint="eastAsia" w:ascii="宋体" w:hAnsi="宋体"/>
                <w:sz w:val="21"/>
                <w:szCs w:val="21"/>
              </w:rPr>
              <w:br/>
            </w:r>
            <w:r>
              <w:rPr>
                <w:rFonts w:ascii="宋体" w:hAnsi="宋体"/>
                <w:sz w:val="21"/>
                <w:szCs w:val="21"/>
              </w:rPr>
              <w:t xml:space="preserve">5.</w:t>
            </w:r>
            <w:r>
              <w:rPr>
                <w:rFonts w:hint="eastAsia" w:ascii="宋体" w:hAnsi="宋体"/>
                <w:sz w:val="21"/>
                <w:szCs w:val="21"/>
              </w:rPr>
              <w:t xml:space="preserve">所有I/O连接器及需插接线缆的 部位应预留用户操作空间，方便插拔解锁与插拔线缆； </w:t>
            </w:r>
            <w:r>
              <w:rPr>
                <w:rFonts w:hint="eastAsia" w:ascii="宋体" w:hAnsi="宋体"/>
                <w:sz w:val="21"/>
                <w:szCs w:val="21"/>
              </w:rPr>
              <w:br/>
            </w:r>
            <w:r>
              <w:rPr>
                <w:rFonts w:ascii="宋体" w:hAnsi="宋体"/>
                <w:sz w:val="21"/>
                <w:szCs w:val="21"/>
              </w:rPr>
              <w:t xml:space="preserve">6.</w:t>
            </w:r>
            <w:r>
              <w:rPr>
                <w:rFonts w:hint="eastAsia" w:ascii="宋体" w:hAnsi="宋体"/>
                <w:sz w:val="21"/>
                <w:szCs w:val="21"/>
              </w:rPr>
              <w:t xml:space="preserve">可插拔板卡插槽部位应预留安装、拆卸或更换板卡空间；</w:t>
            </w:r>
            <w:r>
              <w:rPr>
                <w:rFonts w:hint="eastAsia" w:ascii="宋体" w:hAnsi="宋体"/>
                <w:sz w:val="21"/>
                <w:szCs w:val="21"/>
              </w:rPr>
              <w:br/>
            </w:r>
            <w:r>
              <w:rPr>
                <w:rFonts w:ascii="宋体" w:hAnsi="宋体"/>
                <w:sz w:val="21"/>
                <w:szCs w:val="21"/>
              </w:rPr>
              <w:t xml:space="preserve">7.</w:t>
            </w:r>
            <w:r>
              <w:rPr>
                <w:rFonts w:hint="eastAsia" w:ascii="宋体" w:hAnsi="宋体"/>
                <w:sz w:val="21"/>
                <w:szCs w:val="21"/>
              </w:rPr>
              <w:t xml:space="preserve">拆装可能接触到的金属剪口或 金属尖角部位应做防划伤处理，以保证安全；</w:t>
            </w:r>
            <w:r>
              <w:rPr>
                <w:rFonts w:hint="eastAsia" w:ascii="宋体" w:hAnsi="宋体"/>
                <w:sz w:val="21"/>
                <w:szCs w:val="21"/>
              </w:rPr>
              <w:br/>
            </w:r>
            <w:r>
              <w:rPr>
                <w:rFonts w:ascii="宋体" w:hAnsi="宋体"/>
                <w:sz w:val="21"/>
                <w:szCs w:val="21"/>
              </w:rPr>
              <w:t xml:space="preserve">8.</w:t>
            </w:r>
            <w:r>
              <w:rPr>
                <w:rFonts w:hint="eastAsia" w:ascii="宋体" w:hAnsi="宋体"/>
                <w:sz w:val="21"/>
                <w:szCs w:val="21"/>
              </w:rPr>
              <w:t xml:space="preserve">整机内部走线应规整，固线结构 和位置要合理可靠并做防割线处理，需便于理线和插拔操作，走线应不影响系统各主要部件组装和拆卸；</w:t>
            </w:r>
            <w:r>
              <w:rPr>
                <w:rFonts w:hint="eastAsia" w:ascii="宋体" w:hAnsi="宋体"/>
                <w:sz w:val="21"/>
                <w:szCs w:val="21"/>
              </w:rPr>
              <w:br/>
            </w:r>
            <w:r>
              <w:rPr>
                <w:rFonts w:ascii="宋体" w:hAnsi="宋体"/>
                <w:sz w:val="21"/>
                <w:szCs w:val="21"/>
              </w:rPr>
              <w:t xml:space="preserve">9.</w:t>
            </w:r>
            <w:r>
              <w:rPr>
                <w:rFonts w:hint="eastAsia" w:ascii="宋体" w:hAnsi="宋体"/>
                <w:sz w:val="21"/>
                <w:szCs w:val="21"/>
              </w:rPr>
              <w:t xml:space="preserve">如需通过孔走线，过线孔应做防割线处理；</w:t>
            </w:r>
            <w:r>
              <w:rPr>
                <w:rFonts w:hint="eastAsia" w:ascii="宋体" w:hAnsi="宋体"/>
                <w:sz w:val="21"/>
                <w:szCs w:val="21"/>
              </w:rPr>
              <w:br/>
            </w:r>
            <w:r>
              <w:rPr>
                <w:rFonts w:ascii="宋体" w:hAnsi="宋体"/>
                <w:sz w:val="21"/>
                <w:szCs w:val="21"/>
              </w:rPr>
              <w:t xml:space="preserve">10.</w:t>
            </w:r>
            <w:r>
              <w:rPr>
                <w:rFonts w:hint="eastAsia" w:ascii="宋体" w:hAnsi="宋体"/>
                <w:sz w:val="21"/>
                <w:szCs w:val="21"/>
              </w:rPr>
              <w:t xml:space="preserve">各插头位置和插拔方向应合理，应做到插拔无障碍设计，具备防呆设计，有效避免误操作；</w:t>
            </w:r>
            <w:r>
              <w:rPr>
                <w:rFonts w:hint="eastAsia" w:ascii="宋体" w:hAnsi="宋体"/>
                <w:sz w:val="21"/>
                <w:szCs w:val="21"/>
              </w:rPr>
              <w:br/>
            </w:r>
            <w:r>
              <w:rPr>
                <w:rFonts w:ascii="宋体" w:hAnsi="宋体"/>
                <w:sz w:val="21"/>
                <w:szCs w:val="21"/>
              </w:rPr>
              <w:t xml:space="preserve">11.</w:t>
            </w:r>
            <w:r>
              <w:rPr>
                <w:rFonts w:hint="eastAsia" w:ascii="宋体" w:hAnsi="宋体"/>
                <w:sz w:val="21"/>
                <w:szCs w:val="21"/>
              </w:rPr>
              <w:t xml:space="preserve">各主要部件拆装无障碍，使用常 规工具拆装，无特殊拆装工具需求；</w:t>
            </w:r>
            <w:r>
              <w:rPr>
                <w:rFonts w:hint="eastAsia" w:ascii="宋体" w:hAnsi="宋体"/>
                <w:sz w:val="21"/>
                <w:szCs w:val="21"/>
              </w:rPr>
              <w:br/>
            </w:r>
            <w:r>
              <w:rPr>
                <w:rFonts w:ascii="宋体" w:hAnsi="宋体"/>
                <w:sz w:val="21"/>
                <w:szCs w:val="21"/>
              </w:rPr>
              <w:t xml:space="preserve">12.</w:t>
            </w:r>
            <w:r>
              <w:rPr>
                <w:rFonts w:hint="eastAsia" w:ascii="宋体" w:hAnsi="宋体"/>
                <w:sz w:val="21"/>
                <w:szCs w:val="21"/>
              </w:rPr>
              <w:t xml:space="preserve">各主要部件拆装步骤要少，各自 拆装需避免相互干扰；</w:t>
            </w:r>
            <w:r>
              <w:rPr>
                <w:rFonts w:hint="eastAsia" w:ascii="宋体" w:hAnsi="宋体"/>
                <w:sz w:val="21"/>
                <w:szCs w:val="21"/>
              </w:rPr>
              <w:br/>
            </w:r>
            <w:r>
              <w:rPr>
                <w:rFonts w:ascii="宋体" w:hAnsi="宋体"/>
                <w:sz w:val="21"/>
                <w:szCs w:val="21"/>
              </w:rPr>
              <w:t xml:space="preserve">13.</w:t>
            </w:r>
            <w:r>
              <w:rPr>
                <w:rFonts w:hint="eastAsia" w:ascii="宋体" w:hAnsi="宋体"/>
                <w:sz w:val="21"/>
                <w:szCs w:val="21"/>
              </w:rPr>
              <w:t xml:space="preserve">对于整机或零部件外表面为高亮面的，应粘贴保护膜，保护膜需 粘贴牢固，运输、组装等过程不易脱落，撕下无残留；</w:t>
            </w:r>
            <w:r>
              <w:rPr>
                <w:rFonts w:hint="eastAsia" w:ascii="宋体" w:hAnsi="宋体"/>
                <w:sz w:val="21"/>
                <w:szCs w:val="21"/>
              </w:rPr>
              <w:br/>
            </w:r>
            <w:r>
              <w:rPr>
                <w:rFonts w:ascii="宋体" w:hAnsi="宋体"/>
                <w:sz w:val="21"/>
                <w:szCs w:val="21"/>
              </w:rPr>
              <w:t xml:space="preserve">14.</w:t>
            </w:r>
            <w:r>
              <w:rPr>
                <w:rFonts w:hint="eastAsia" w:ascii="宋体" w:hAnsi="宋体"/>
                <w:sz w:val="21"/>
                <w:szCs w:val="21"/>
              </w:rPr>
              <w:t xml:space="preserve">显示屏的开合机械寿命应能承 受至少 15000 次的显示屏开合，显示屏机械转轴的扭力应保持初始状态下扭力的 75%以上； </w:t>
            </w:r>
            <w:r>
              <w:rPr>
                <w:rFonts w:hint="eastAsia" w:ascii="宋体" w:hAnsi="宋体"/>
                <w:sz w:val="21"/>
                <w:szCs w:val="21"/>
              </w:rPr>
              <w:br/>
            </w:r>
            <w:r>
              <w:rPr>
                <w:rFonts w:ascii="宋体" w:hAnsi="宋体"/>
                <w:sz w:val="21"/>
                <w:szCs w:val="21"/>
              </w:rPr>
              <w:t xml:space="preserve">15.</w:t>
            </w:r>
            <w:r>
              <w:rPr>
                <w:rFonts w:hint="eastAsia" w:ascii="宋体" w:hAnsi="宋体"/>
                <w:sz w:val="21"/>
                <w:szCs w:val="21"/>
              </w:rPr>
              <w:t xml:space="preserve">其它要求应符合GB/T 9813.2</w:t>
            </w:r>
            <w:r>
              <w:rPr>
                <w:rFonts w:ascii="宋体" w:hAnsi="宋体"/>
                <w:sz w:val="21"/>
                <w:szCs w:val="21"/>
              </w:rPr>
              <w:t xml:space="preserve">-2016</w:t>
            </w:r>
            <w:r>
              <w:rPr>
                <w:rFonts w:hint="eastAsia" w:ascii="宋体" w:hAnsi="宋体"/>
                <w:sz w:val="21"/>
                <w:szCs w:val="21"/>
              </w:rPr>
              <w:t xml:space="preserve">的相关规定</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*整机噪音</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25 摄氏度环温条件：</w:t>
            </w:r>
            <w:r>
              <w:rPr>
                <w:rFonts w:hint="eastAsia" w:ascii="宋体" w:hAnsi="宋体"/>
                <w:sz w:val="21"/>
                <w:szCs w:val="21"/>
              </w:rPr>
              <w:br/>
              <w:t xml:space="preserve">空闲小于等于 38dBA 满载小于等于 45dBA</w:t>
            </w:r>
            <w:r/>
          </w:p>
        </w:tc>
      </w:tr>
      <w:tr>
        <w:trPr>
          <w:trHeight w:val="139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*整机散热</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产品在环境温度 25℃且运行在满载</w:t>
            </w:r>
            <w:r>
              <w:rPr>
                <w:rFonts w:hint="eastAsia" w:ascii="宋体" w:hAnsi="宋体"/>
                <w:sz w:val="21"/>
                <w:szCs w:val="21"/>
              </w:rPr>
              <w:br/>
              <w:t xml:space="preserve">的状态下，可触及面温度范围内应 不高于 45℃，各表面温度应符合以 下要求：</w:t>
            </w:r>
            <w:r>
              <w:rPr>
                <w:rFonts w:hint="eastAsia" w:ascii="宋体" w:hAnsi="宋体"/>
                <w:sz w:val="21"/>
                <w:szCs w:val="21"/>
              </w:rPr>
              <w:br/>
            </w:r>
            <w:r>
              <w:rPr>
                <w:rFonts w:ascii="宋体" w:hAnsi="宋体"/>
                <w:sz w:val="21"/>
                <w:szCs w:val="21"/>
              </w:rPr>
              <w:t xml:space="preserve">1.</w:t>
            </w:r>
            <w:r>
              <w:rPr>
                <w:rFonts w:hint="eastAsia" w:ascii="宋体" w:hAnsi="宋体"/>
                <w:sz w:val="21"/>
                <w:szCs w:val="21"/>
              </w:rPr>
              <w:t xml:space="preserve">键帽温度不高于 38℃；</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键盘间隙温度不高于 40℃；</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掌托温度不高于 38℃；</w:t>
            </w:r>
            <w:r>
              <w:rPr>
                <w:rFonts w:hint="eastAsia" w:ascii="宋体" w:hAnsi="宋体"/>
                <w:sz w:val="21"/>
                <w:szCs w:val="21"/>
              </w:rPr>
              <w:br/>
            </w:r>
            <w:r>
              <w:rPr>
                <w:rFonts w:ascii="宋体" w:hAnsi="宋体"/>
                <w:sz w:val="21"/>
                <w:szCs w:val="21"/>
              </w:rPr>
              <w:t xml:space="preserve">4.</w:t>
            </w:r>
            <w:r>
              <w:rPr>
                <w:rFonts w:hint="eastAsia" w:ascii="宋体" w:hAnsi="宋体"/>
                <w:sz w:val="21"/>
                <w:szCs w:val="21"/>
              </w:rPr>
              <w:t xml:space="preserve">触控板温度不高于 38℃；</w:t>
            </w:r>
            <w:r/>
          </w:p>
          <w:p>
            <w:pPr>
              <w:ind w:left="0"/>
              <w:jc w:val="left"/>
              <w:rPr>
                <w:rFonts w:ascii="宋体" w:hAnsi="宋体"/>
                <w:sz w:val="21"/>
                <w:szCs w:val="21"/>
              </w:rPr>
            </w:pPr>
            <w:r>
              <w:rPr>
                <w:rFonts w:ascii="宋体" w:hAnsi="宋体"/>
                <w:sz w:val="21"/>
                <w:szCs w:val="21"/>
              </w:rPr>
              <w:t xml:space="preserve">5.</w:t>
            </w:r>
            <w:r>
              <w:rPr>
                <w:rFonts w:hint="eastAsia" w:ascii="宋体" w:hAnsi="宋体"/>
                <w:sz w:val="21"/>
                <w:szCs w:val="21"/>
              </w:rPr>
              <w:t xml:space="preserve">底壳温度不高于 45℃</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*整机能效限定值</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产品能效限定值应达到</w:t>
            </w:r>
            <w:r>
              <w:rPr>
                <w:rFonts w:hint="eastAsia" w:ascii="宋体" w:hAnsi="宋体"/>
                <w:sz w:val="21"/>
                <w:szCs w:val="21"/>
              </w:rPr>
              <w:t xml:space="preserve"> GB 28380-2012</w:t>
            </w:r>
            <w:r>
              <w:rPr>
                <w:rFonts w:hint="eastAsia" w:ascii="宋体" w:hAnsi="宋体"/>
                <w:sz w:val="21"/>
                <w:szCs w:val="21"/>
              </w:rPr>
              <w:t xml:space="preserve">标准中能效等级 2 级及以上</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*整机重量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≤1.6kg</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*整机厚度</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≤20mm（不含脚垫）</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机身材质</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金属</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产品规格</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*机身颜色</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深灰色/黑色/银色</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CPU性能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物理核数</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主频</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≥2.3GHz</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末级缓存容量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≥16MB</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支持的内存最高速率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内存性能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*内存读写速率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≥3200MT/s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*显示分辨率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≥1920x1200</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*显卡显示芯片核心频率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≥300MHz</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*显存等效频率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≥4266MT/s</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*显卡可支持多屏同时显示数量</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显卡应支持3块屏幕同时显示，分辨率应≥1920×1080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显示设备性能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*显示屏刷新率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≥60Hz</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*显示屏位深</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≥8 位</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*显示屏色域</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≥99% sRGB</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*显示屏色准</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△E ≤ 4</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*显示屏响应时间</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≤30ms</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≥300 尼特</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*显示屏亮度一致性</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≥70%</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*显示屏对比度</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≥1500：1</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*显示屏其他参数</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其它参数应符合 </w:t>
            </w:r>
            <w:bookmarkStart w:id="178" w:name="OLE_LINK99"/>
            <w:r/>
            <w:bookmarkStart w:id="179" w:name="OLE_LINK100"/>
            <w:r>
              <w:rPr>
                <w:rFonts w:hint="eastAsia" w:ascii="宋体" w:hAnsi="宋体"/>
                <w:sz w:val="21"/>
                <w:szCs w:val="21"/>
              </w:rPr>
              <w:t xml:space="preserve">SJ/T 11292</w:t>
            </w:r>
            <w:bookmarkEnd w:id="178"/>
            <w:r/>
            <w:bookmarkEnd w:id="179"/>
            <w:r>
              <w:rPr>
                <w:rFonts w:ascii="宋体" w:hAnsi="宋体"/>
                <w:sz w:val="21"/>
                <w:szCs w:val="21"/>
              </w:rPr>
              <w:t xml:space="preserve">-2016</w:t>
            </w:r>
            <w:r>
              <w:rPr>
                <w:rFonts w:hint="eastAsia" w:ascii="宋体" w:hAnsi="宋体"/>
                <w:sz w:val="21"/>
                <w:szCs w:val="21"/>
              </w:rPr>
              <w:t xml:space="preserve"> 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*有线网卡速率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最高速率不低于 1000Mbps，支持 10Mbps、100Mbps、1000Mbps 速率自 适应</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*支持无线网络通信技术协议</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支持Wi-Fi6无线网络，支持802.11 b/g/n/ac/ax协议</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≥20MHz</w:t>
            </w:r>
            <w:r/>
          </w:p>
        </w:tc>
      </w:tr>
      <w:tr>
        <w:trPr>
          <w:trHeight w:val="96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*电源</w:t>
            </w:r>
            <w:r>
              <w:rPr>
                <w:rFonts w:hint="eastAsia" w:ascii="宋体" w:hAnsi="宋体"/>
                <w:sz w:val="21"/>
                <w:szCs w:val="21"/>
              </w:rPr>
              <w:br/>
              <w:t xml:space="preserve">适配</w:t>
            </w:r>
            <w:r>
              <w:rPr>
                <w:rFonts w:hint="eastAsia" w:ascii="宋体" w:hAnsi="宋体"/>
                <w:sz w:val="21"/>
                <w:szCs w:val="21"/>
              </w:rPr>
              <w:br/>
              <w:t xml:space="preserve">器性</w:t>
            </w:r>
            <w:r>
              <w:rPr>
                <w:rFonts w:hint="eastAsia" w:ascii="宋体" w:hAnsi="宋体"/>
                <w:sz w:val="21"/>
                <w:szCs w:val="21"/>
              </w:rPr>
              <w:br/>
              <w:t xml:space="preserve">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*电源适配</w:t>
            </w:r>
            <w:r>
              <w:rPr>
                <w:rFonts w:hint="eastAsia" w:ascii="宋体" w:hAnsi="宋体"/>
                <w:sz w:val="21"/>
                <w:szCs w:val="21"/>
              </w:rPr>
              <w:br/>
              <w:t xml:space="preserve">器电源效</w:t>
            </w:r>
            <w:r>
              <w:rPr>
                <w:rFonts w:hint="eastAsia" w:ascii="宋体" w:hAnsi="宋体"/>
                <w:sz w:val="21"/>
                <w:szCs w:val="21"/>
              </w:rPr>
              <w:br/>
              <w:t xml:space="preserve">率</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 20%/50%/100%负载下效率均应不低于 87%</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性能要求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*待机</w:t>
            </w:r>
            <w:r>
              <w:rPr>
                <w:rFonts w:hint="eastAsia" w:ascii="宋体" w:hAnsi="宋体"/>
                <w:sz w:val="21"/>
                <w:szCs w:val="21"/>
              </w:rPr>
              <w:br/>
              <w:t xml:space="preserve">性能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*满载待机性能（LTP）</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≥1.5 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主板功能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*内存扩展接口(板载内存不涉及)</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供应商给出内存扩展接口数量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存储扩展接口(板载存储不涉及)</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主板支持存储扩展接口类型M.2接口</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*主板USB 瞬间过流保护</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支持瞬间过流保护功能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*主板防静电保护</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支持防静电保护功能</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*I/O 接口功能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内置或通过扩展坞支持数据传输接</w:t>
            </w:r>
            <w:r>
              <w:rPr>
                <w:rFonts w:hint="eastAsia" w:ascii="宋体" w:hAnsi="宋体"/>
                <w:sz w:val="21"/>
                <w:szCs w:val="21"/>
              </w:rPr>
              <w:br/>
              <w:t xml:space="preserve">口、视频接口、音频接口、网络接 口、电源接口等各类标准接口 产品应集成键盘、触控板输入部件， 同时应具备接入键盘、鼠标、写字 板等外设的能力，宜支持触摸屏、 语音交互、手写笔等人机交互功能</w:t>
            </w:r>
            <w:r/>
          </w:p>
        </w:tc>
      </w:tr>
      <w:tr>
        <w:trPr>
          <w:trHeight w:val="999"/>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显卡功能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*显卡外接显示接口</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至少支持 VGA、HDMI、DVI、DP、Type-C中1种显示接口</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支持显示屏，同时应支持外接显示器。显示屏和外接显示器应支持多屏同时显示，显示模式应支持复制 模式和扩展模式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摄像头物理隐私保护开关</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支持物理隐私保护开关</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传声器降噪</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支持降噪功能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音频处理功能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支持音频效果处理功能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键盘背光</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支持键盘背光</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触控板多点触控</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2 点及以上触控功能</w:t>
            </w:r>
            <w:r/>
          </w:p>
        </w:tc>
      </w:tr>
      <w:tr>
        <w:trPr>
          <w:trHeight w:val="129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光驱应支持只读、刻录等类型；最</w:t>
            </w:r>
            <w:r>
              <w:rPr>
                <w:rFonts w:hint="eastAsia" w:ascii="宋体" w:hAnsi="宋体"/>
                <w:sz w:val="21"/>
                <w:szCs w:val="21"/>
              </w:rPr>
              <w:br/>
              <w:t xml:space="preserve">大读取速度 CD 不低于 24× 150KB/s；</w:t>
            </w:r>
            <w:r>
              <w:rPr>
                <w:rFonts w:hint="eastAsia" w:ascii="宋体" w:hAnsi="宋体"/>
                <w:sz w:val="21"/>
                <w:szCs w:val="21"/>
              </w:rPr>
              <w:br/>
              <w:t xml:space="preserve">最大读取速度 DVD 不低于 8× 1358KB/s；</w:t>
            </w:r>
            <w:r>
              <w:rPr>
                <w:rFonts w:hint="eastAsia" w:ascii="宋体" w:hAnsi="宋体"/>
                <w:sz w:val="21"/>
                <w:szCs w:val="21"/>
              </w:rPr>
              <w:br/>
              <w:t xml:space="preserve">最大刻录速度 CD 不低于 24× 150KB/s；</w:t>
            </w:r>
            <w:r>
              <w:rPr>
                <w:rFonts w:hint="eastAsia" w:ascii="宋体" w:hAnsi="宋体"/>
                <w:sz w:val="21"/>
                <w:szCs w:val="21"/>
              </w:rPr>
              <w:br/>
              <w:t xml:space="preserve">最大刻录速度 DVD 不低于 6× 1358KB/s； 应兼容光盘类型包含只读光盘、可 读写光盘、可擦写光盘等</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存储功能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支持信息存储功能，包括支持易失性存储功能和非易失性存储功能。 为提升存储性能和降低存储功耗， 非易失性存储宜支持固态存储设备，如 SSD/UFS。 产品应支持外出接口可以与独立的 存储设备进行数据交互</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网络设备功能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*网络功能</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支持网络连接、网络开启/关闭功能；</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支持访问网络和数据交换功 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*无线网卡频段</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支持双频段</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物理开关</w:t>
            </w:r>
            <w:r/>
          </w:p>
        </w:tc>
        <w:tc>
          <w:tcPr>
            <w:shd w:val="clear" w:color="auto" w:fill="ffffff"/>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支持网络设备物理开关</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*数据传输</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支持数据传输能力，并提供数据流</w:t>
            </w:r>
            <w:r>
              <w:rPr>
                <w:rFonts w:hint="eastAsia" w:ascii="宋体" w:hAnsi="宋体"/>
                <w:sz w:val="21"/>
                <w:szCs w:val="21"/>
              </w:rPr>
              <w:br/>
              <w:t xml:space="preserve">量和异常日志记录功能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shd w:val="clear" w:color="auto" w:fill="ffffff"/>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*蓝牙协议</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支持蓝牙模块，协议版本不低于5.2</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有线网卡接口类型</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RJ45 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*无线网卡标准</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15629.11</w:t>
            </w:r>
            <w:r>
              <w:rPr>
                <w:rFonts w:ascii="宋体" w:hAnsi="宋体"/>
                <w:sz w:val="21"/>
                <w:szCs w:val="21"/>
              </w:rPr>
              <w:t xml:space="preserve">-2003</w:t>
            </w:r>
            <w:r>
              <w:rPr>
                <w:rFonts w:hint="eastAsia" w:ascii="宋体" w:hAnsi="宋体"/>
                <w:sz w:val="21"/>
                <w:szCs w:val="21"/>
              </w:rPr>
              <w:t xml:space="preserve">所有部分</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*网络设备拆装</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网络设备应支持物理拆装，包括无线网卡和蓝牙模块等</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外部接口功能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*音频接口类型</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不少于 1 个，宜支持 3.5mm 孔径的 3段式或 4 段式接口。若支持 4 段式 接口，宜支持线序的自动识别及切 换功能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*视频接口类型</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至少支持 VGA、HDMI、DVI、DP、Type-C 中 1 种显示接口</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*HDMI、DP、Type-C显示接口要求</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若提供 HDMI 或 DP 或 Type-C 作为显示接口，应支持音频和视频同步输出</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*输入充电</w:t>
            </w:r>
            <w:r>
              <w:rPr>
                <w:rFonts w:hint="eastAsia" w:ascii="宋体" w:hAnsi="宋体"/>
                <w:sz w:val="21"/>
                <w:szCs w:val="21"/>
              </w:rPr>
              <w:br/>
              <w:t xml:space="preserve">接口类型</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Type-C 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其他接口</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存储卡接口类型</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电源功能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电池快充</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支持快速充电功能，如 UFCS、USB PD</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*电源线适配能力</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15934-2008对于可拆线插头 GB15934 不做要求</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操作系统及软件功能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*中文信息处理要求</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 18030</w:t>
            </w:r>
            <w:r>
              <w:rPr>
                <w:rFonts w:ascii="宋体" w:hAnsi="宋体"/>
                <w:sz w:val="21"/>
                <w:szCs w:val="21"/>
              </w:rPr>
              <w:t xml:space="preserve">-2022</w:t>
            </w:r>
            <w:r>
              <w:rPr>
                <w:rFonts w:hint="eastAsia" w:ascii="宋体" w:hAnsi="宋体"/>
                <w:sz w:val="21"/>
                <w:szCs w:val="21"/>
              </w:rPr>
              <w:t xml:space="preserve">的相关规定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*操作系统备份及还原功能</w:t>
            </w:r>
            <w:r/>
          </w:p>
        </w:tc>
        <w:tc>
          <w:tcPr>
            <w:shd w:val="clear" w:color="auto" w:fill="ffffff"/>
            <w:tcBorders>
              <w:top w:val="single" w:color="auto"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支持操作系统备份及还原功能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*固件备份还原能力</w:t>
            </w:r>
            <w:r/>
          </w:p>
        </w:tc>
        <w:tc>
          <w:tcPr>
            <w:shd w:val="clear" w:color="auto" w:fill="ffffff"/>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支持备份及还原固件的功能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*操作系统及驱动升级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支持通过网络、闪存盘等方式对操 作系统、驱动进行升级</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固件升级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支持通过网络、闪存盘等方式对固件进行升级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*BIOS 支持关闭通讯接口</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BIOS 关闭以太网及 USB 接口功能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*固件查看信息</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支持查看固件版本、内存信息、主板信息、处理器信息和系统时间信息等功能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*固件设置启动顺序</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支持设置启动顺序功能，并按照设置的启动顺序启动</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*固件设置口令</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支持设置口令、修改口令、验证口令功能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*固件设置网络引导</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支持网络引导启动和关闭功能</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生物识别功能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指纹识别</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指纹识别功能符合 GB/T 37742</w:t>
            </w:r>
            <w:r>
              <w:rPr>
                <w:rFonts w:ascii="宋体" w:hAnsi="宋体"/>
                <w:sz w:val="21"/>
                <w:szCs w:val="21"/>
              </w:rPr>
              <w:t xml:space="preserve">-2019</w:t>
            </w:r>
            <w:r>
              <w:rPr>
                <w:rFonts w:hint="eastAsia" w:ascii="宋体" w:hAnsi="宋体"/>
                <w:sz w:val="21"/>
                <w:szCs w:val="21"/>
              </w:rPr>
              <w:t xml:space="preserve">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人脸识别</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人脸识别功能符合 GB/T 37036.3</w:t>
            </w:r>
            <w:r>
              <w:rPr>
                <w:rFonts w:ascii="宋体" w:hAnsi="宋体"/>
                <w:sz w:val="21"/>
                <w:szCs w:val="21"/>
              </w:rPr>
              <w:t xml:space="preserve">-2019</w:t>
            </w:r>
            <w:r>
              <w:rPr>
                <w:rFonts w:hint="eastAsia" w:ascii="宋体" w:hAnsi="宋体"/>
                <w:sz w:val="21"/>
                <w:szCs w:val="21"/>
              </w:rPr>
              <w:t xml:space="preserve">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静脉识别</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指静脉识别功能符合 GB/T 33135</w:t>
            </w:r>
            <w:r>
              <w:rPr>
                <w:rFonts w:ascii="宋体" w:hAnsi="宋体"/>
                <w:sz w:val="21"/>
                <w:szCs w:val="21"/>
              </w:rPr>
              <w:t xml:space="preserve">-2016</w:t>
            </w:r>
            <w:r>
              <w:rPr>
                <w:rFonts w:hint="eastAsia" w:ascii="宋体" w:hAnsi="宋体"/>
                <w:sz w:val="21"/>
                <w:szCs w:val="21"/>
              </w:rPr>
              <w:t xml:space="preserve">的相关规定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硬件加速功能</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NPU/GPU等 AI 加速模块</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NPU/GPU 等 AI 加速模块</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视频编解码加速模块</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支持视频编解码加速模块</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功能要求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影像处理加速模块</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支持影像处理加速模块</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存储设备可靠性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*固态存储寿命</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TBW ≥ 80TB（条件：240GB 硬盘容量）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*机械硬盘寿命</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*显示设备可靠性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*显示屏屏幕失效点</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 的要求</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*外设可靠性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*键盘按键寿命</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≥1000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*鼠标按键寿命</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≥500 万次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*键盘鼠标线材寿命</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键盘鼠标所用线材经±60°弯折不 低于 3000 次，功能、外观完好</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*风扇寿命</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≥4 万小时</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整机可靠性要求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*电磁兼容性要求的抗扰度</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9254.2</w:t>
            </w:r>
            <w:r>
              <w:rPr>
                <w:rFonts w:ascii="宋体" w:hAnsi="宋体"/>
                <w:sz w:val="21"/>
                <w:szCs w:val="21"/>
              </w:rPr>
              <w:t xml:space="preserve">-2021</w:t>
            </w:r>
            <w:r>
              <w:rPr>
                <w:rFonts w:hint="eastAsia" w:ascii="宋体" w:hAnsi="宋体"/>
                <w:sz w:val="21"/>
                <w:szCs w:val="21"/>
              </w:rPr>
              <w:t xml:space="preserve">的规定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*环境条件要求的气候环境适应性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bookmarkStart w:id="180" w:name="OLE_LINK72"/>
            <w:r/>
            <w:bookmarkStart w:id="181" w:name="OLE_LINK73"/>
            <w:r>
              <w:rPr>
                <w:rFonts w:ascii="宋体" w:hAnsi="宋体"/>
                <w:sz w:val="21"/>
                <w:szCs w:val="21"/>
              </w:rPr>
              <w:t xml:space="preserve">-2016</w:t>
            </w:r>
            <w:bookmarkEnd w:id="180"/>
            <w:r/>
            <w:bookmarkEnd w:id="181"/>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*环境条件要求的振动适应性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r>
              <w:rPr>
                <w:rFonts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*环境条件要求的冲击适应性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*环境条件要求的碰撞适应性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r>
              <w:rPr>
                <w:rFonts w:hint="eastAsia" w:ascii="宋体" w:hAnsi="宋体"/>
                <w:sz w:val="21"/>
                <w:szCs w:val="21"/>
              </w:rPr>
              <w:t xml:space="preserve">-2016</w:t>
            </w:r>
            <w:r>
              <w:rPr>
                <w:rFonts w:hint="eastAsia" w:ascii="宋体" w:hAnsi="宋体"/>
                <w:sz w:val="21"/>
                <w:szCs w:val="21"/>
              </w:rPr>
              <w:t xml:space="preserve">中规定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*环境条件要求的运输包装件跌落适应性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r>
              <w:rPr>
                <w:rFonts w:hint="eastAsia" w:ascii="宋体" w:hAnsi="宋体"/>
                <w:sz w:val="21"/>
                <w:szCs w:val="21"/>
              </w:rPr>
              <w:t xml:space="preserve">-2016</w:t>
            </w:r>
            <w:r>
              <w:rPr>
                <w:rFonts w:hint="eastAsia" w:ascii="宋体" w:hAnsi="宋体"/>
                <w:sz w:val="21"/>
                <w:szCs w:val="21"/>
              </w:rPr>
              <w:t xml:space="preserve">中规定</w:t>
            </w:r>
            <w:r/>
          </w:p>
        </w:tc>
      </w:tr>
      <w:tr>
        <w:trPr>
          <w:trHeight w:val="72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*环境条件要求的运输包装件跌落适应性</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r>
              <w:rPr>
                <w:rFonts w:hint="eastAsia" w:ascii="宋体" w:hAnsi="宋体"/>
                <w:sz w:val="21"/>
                <w:szCs w:val="21"/>
              </w:rPr>
              <w:t xml:space="preserve">-2016</w:t>
            </w:r>
            <w:r>
              <w:rPr>
                <w:rFonts w:hint="eastAsia" w:ascii="宋体" w:hAnsi="宋体"/>
                <w:sz w:val="21"/>
                <w:szCs w:val="21"/>
              </w:rPr>
              <w:t xml:space="preserve">中规定</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可靠性要求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*MTBF测试</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MTBF(m1)≥30万小时</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*常用软件兼容</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支持流式软件、版式软件、浏览器、邮件客户端、解压软件、多媒体、 图形图像处理等常用软件</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*数据库兼容</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个及以上厂商的数据库产品</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*中间件兼容</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个及以上厂商中间件产品</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兼容要求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*平台软件兼容</w:t>
            </w:r>
            <w:r/>
          </w:p>
        </w:tc>
        <w:tc>
          <w:tcPr>
            <w:shd w:val="clear" w:color="auto" w:fill="ffffff"/>
            <w:tcBorders>
              <w:top w:val="non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 3 个及以上厂商云计算及大数据平台</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包装及运输要求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*标志、包装、运输和贮存</w:t>
            </w:r>
            <w:r/>
          </w:p>
        </w:tc>
        <w:tc>
          <w:tcPr>
            <w:shd w:val="clear" w:color="auto" w:fill="ffffff"/>
            <w:tcBorders>
              <w:top w:val="single" w:color="auto"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9813.2</w:t>
            </w:r>
            <w:r>
              <w:rPr>
                <w:rFonts w:hint="eastAsia" w:ascii="宋体" w:hAnsi="宋体"/>
                <w:sz w:val="21"/>
                <w:szCs w:val="21"/>
              </w:rPr>
              <w:t xml:space="preserve">-2016</w:t>
            </w:r>
            <w:r>
              <w:rPr>
                <w:rFonts w:hint="eastAsia" w:ascii="宋体" w:hAnsi="宋体"/>
                <w:sz w:val="21"/>
                <w:szCs w:val="21"/>
              </w:rPr>
              <w:t xml:space="preserve">和商品包装政府采购需求标准的相关规定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*配置检查工具</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提供自检测试工具</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*服务响应</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提供产品3年维保及上门服务（满足同城 4 小时、异地 12 小时响应要求）；</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提供政企专线 7*24 在线服务；</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现场保障技术服务团队员，国内上门服务地级市覆盖率达 100%</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*服务周期</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支持产品延保≥3 年</w:t>
            </w:r>
            <w:r>
              <w:rPr>
                <w:rFonts w:hint="eastAsia" w:ascii="宋体" w:hAnsi="宋体"/>
                <w:sz w:val="21"/>
                <w:szCs w:val="21"/>
              </w:rPr>
              <w:br/>
              <w:t xml:space="preserve">提供每年延保服务报价</w:t>
            </w:r>
            <w:r>
              <w:rPr>
                <w:rFonts w:hint="eastAsia" w:ascii="宋体" w:hAnsi="宋体"/>
                <w:sz w:val="21"/>
                <w:szCs w:val="21"/>
              </w:rPr>
              <w:br/>
              <w:t xml:space="preserve">提供备件服务能力≥6 年（自购买之日起）</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*预装操作系统</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预装符合桌面操作系统政府采购需求标准的正版操作系统</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*培训服务</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供应商提供培训材料、产品手册、培训视频等培训相关内容</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*典型问题解决手册</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供应商提供典型问题解决说明文档或视频</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*厂家升级软件与扩容服务</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提供应商供上门升级部件/软件的增值服务</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*整机质量服务要求</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整机提供≥3年原厂质保及免费上门服务</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*合格证书要求</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供应商提供产品合格证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*开箱组装/使用指导要求</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供应商提供开箱组装/使用指导</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*驱动下载服务要求</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供应商提供驱动光盘或下载方式</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*兼容适配软件下载服务要求</w:t>
            </w:r>
            <w:r/>
          </w:p>
        </w:tc>
        <w:tc>
          <w:tcPr>
            <w:shd w:val="clear" w:color="auto" w:fill="ffffff"/>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供应商提供兼容适配软件下载渠道（光盘、网站）</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跨架构平台应用兼容</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供应商提供跨架构平台应用兼容工具，兼容一种或者一种以上不同架 构平台的应用运行</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186</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供应链合规性</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*产品部件保障</w:t>
            </w:r>
            <w:r/>
          </w:p>
        </w:tc>
        <w:tc>
          <w:tcPr>
            <w:shd w:val="clear" w:color="auto" w:fill="ffffff"/>
            <w:tcBorders>
              <w:top w:val="none" w:color="000000" w:sz="4" w:space="0"/>
              <w:left w:val="single" w:color="000000" w:sz="4" w:space="0"/>
              <w:bottom w:val="singl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保障产品主要部件，应提供6年的</w:t>
            </w:r>
            <w:r>
              <w:rPr>
                <w:rFonts w:hint="eastAsia" w:ascii="宋体" w:hAnsi="宋体"/>
                <w:sz w:val="21"/>
                <w:szCs w:val="21"/>
              </w:rPr>
              <w:br/>
              <w:t xml:space="preserve">备件服务能力(自购买之日起)，或 提供可兼容原设备的升级换代产品</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187</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供应链质量</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*抗干扰性</w:t>
            </w:r>
            <w:r/>
          </w:p>
        </w:tc>
        <w:tc>
          <w:tcPr>
            <w:shd w:val="clear" w:color="auto" w:fill="ffffff"/>
            <w:tcBorders>
              <w:top w:val="non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当产品部件出现供应风险时，供应商应通知采购人并提供风险应对方案确保产品的服务保障</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188</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供应保障要求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*供应能力证明</w:t>
            </w:r>
            <w:r/>
          </w:p>
        </w:tc>
        <w:tc>
          <w:tcPr>
            <w:shd w:val="clear" w:color="auto" w:fill="ffffff"/>
            <w:tcBorders>
              <w:top w:val="single" w:color="000000" w:sz="4" w:space="0"/>
              <w:left w:val="single" w:color="000000" w:sz="4" w:space="0"/>
              <w:bottom w:val="none" w:color="000000" w:sz="4" w:space="0"/>
              <w:right w:val="single" w:color="000000"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提供供应链稳定承诺书，确保产品的部件在产品服务周期内稳定供货</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关键部件安全要求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*关键部件安全要求</w:t>
            </w:r>
            <w:r/>
          </w:p>
        </w:tc>
        <w:tc>
          <w:tcPr>
            <w:shd w:val="clear" w:color="auto" w:fill="ffffff"/>
            <w:tcBorders>
              <w:top w:val="single" w:color="auto"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和操作系统等关键部件应当符合安全可靠测评要求</w:t>
            </w:r>
            <w:r/>
          </w:p>
        </w:tc>
      </w:tr>
      <w:tr>
        <w:trPr>
          <w:trHeight w:val="432"/>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190</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113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整机安全性要求</w:t>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*密码算法实现</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CPU 芯片应符合 GM/T 0008</w:t>
            </w:r>
            <w:r>
              <w:rPr>
                <w:rFonts w:ascii="宋体" w:hAnsi="宋体"/>
                <w:sz w:val="21"/>
                <w:szCs w:val="21"/>
              </w:rPr>
              <w:t xml:space="preserve">-2012</w:t>
            </w:r>
            <w:r>
              <w:rPr>
                <w:rFonts w:hint="eastAsia" w:ascii="宋体" w:hAnsi="宋体"/>
                <w:sz w:val="21"/>
                <w:szCs w:val="21"/>
              </w:rPr>
              <w:t xml:space="preserve">的相关规定，或芯片密码模块应符合 GB/T 37092</w:t>
            </w:r>
            <w:r>
              <w:rPr>
                <w:rFonts w:ascii="宋体" w:hAnsi="宋体"/>
                <w:sz w:val="21"/>
                <w:szCs w:val="21"/>
              </w:rPr>
              <w:t xml:space="preserve">-2018</w:t>
            </w:r>
            <w:r>
              <w:rPr>
                <w:rFonts w:hint="eastAsia" w:ascii="宋体" w:hAnsi="宋体"/>
                <w:sz w:val="21"/>
                <w:szCs w:val="21"/>
              </w:rPr>
              <w:t xml:space="preserve">或 GM/T 0028</w:t>
            </w:r>
            <w:r>
              <w:rPr>
                <w:rFonts w:ascii="宋体" w:hAnsi="宋体"/>
                <w:sz w:val="21"/>
                <w:szCs w:val="21"/>
              </w:rPr>
              <w:t xml:space="preserve">-2024</w:t>
            </w:r>
            <w:r>
              <w:rPr>
                <w:rFonts w:hint="eastAsia" w:ascii="宋体" w:hAnsi="宋体"/>
                <w:sz w:val="21"/>
                <w:szCs w:val="21"/>
              </w:rPr>
              <w:t xml:space="preserve">的相关规定</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USB 端口管控</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 USB 端口管控</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安全物理锁</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支持安全物理锁</w:t>
            </w:r>
            <w:r/>
          </w:p>
        </w:tc>
      </w:tr>
      <w:tr>
        <w:trPr>
          <w:trHeight w:val="648"/>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*信息安全基本要求</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ascii="宋体" w:hAnsi="宋体"/>
                <w:sz w:val="21"/>
                <w:szCs w:val="21"/>
              </w:rPr>
              <w:t xml:space="preserve">1.</w:t>
            </w:r>
            <w:r>
              <w:rPr>
                <w:rFonts w:hint="eastAsia" w:ascii="宋体" w:hAnsi="宋体"/>
                <w:sz w:val="21"/>
                <w:szCs w:val="21"/>
              </w:rPr>
              <w:t xml:space="preserve">应符合 GB/T 39276</w:t>
            </w:r>
            <w:r>
              <w:rPr>
                <w:rFonts w:ascii="宋体" w:hAnsi="宋体"/>
                <w:sz w:val="21"/>
                <w:szCs w:val="21"/>
              </w:rPr>
              <w:t xml:space="preserve">-2020</w:t>
            </w:r>
            <w:r>
              <w:rPr>
                <w:rFonts w:hint="eastAsia" w:ascii="宋体" w:hAnsi="宋体"/>
                <w:sz w:val="21"/>
                <w:szCs w:val="21"/>
              </w:rPr>
              <w:t xml:space="preserve">的 5.2 的规定；</w:t>
            </w:r>
            <w:r>
              <w:rPr>
                <w:rFonts w:hint="eastAsia" w:ascii="宋体" w:hAnsi="宋体"/>
                <w:sz w:val="21"/>
                <w:szCs w:val="21"/>
              </w:rPr>
              <w:br/>
            </w:r>
            <w:r>
              <w:rPr>
                <w:rFonts w:ascii="宋体" w:hAnsi="宋体"/>
                <w:sz w:val="21"/>
                <w:szCs w:val="21"/>
              </w:rPr>
              <w:t xml:space="preserve">2.</w:t>
            </w:r>
            <w:r>
              <w:rPr>
                <w:rFonts w:hint="eastAsia" w:ascii="宋体" w:hAnsi="宋体"/>
                <w:sz w:val="21"/>
                <w:szCs w:val="21"/>
              </w:rPr>
              <w:t xml:space="preserve">应建立漏洞跟踪表，保证产品版本涉及到的漏洞(如驱动程序等)可查看；</w:t>
            </w:r>
            <w:r>
              <w:rPr>
                <w:rFonts w:hint="eastAsia" w:ascii="宋体" w:hAnsi="宋体"/>
                <w:sz w:val="21"/>
                <w:szCs w:val="21"/>
              </w:rPr>
              <w:br/>
            </w:r>
            <w:r>
              <w:rPr>
                <w:rFonts w:ascii="宋体" w:hAnsi="宋体"/>
                <w:sz w:val="21"/>
                <w:szCs w:val="21"/>
              </w:rPr>
              <w:t xml:space="preserve">3.</w:t>
            </w:r>
            <w:r>
              <w:rPr>
                <w:rFonts w:hint="eastAsia" w:ascii="宋体" w:hAnsi="宋体"/>
                <w:sz w:val="21"/>
                <w:szCs w:val="21"/>
              </w:rPr>
              <w:t xml:space="preserve">不得包含已知的恶意代码或漏洞，不存在未声明的指令、功能、接口</w:t>
            </w:r>
            <w:r/>
          </w:p>
        </w:tc>
      </w:tr>
      <w:tr>
        <w:trPr>
          <w:trHeight w:val="276"/>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194</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*固件安全启动</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支持固件安全启动功能，固件启动过程中只有通过启动校验才能正常启动</w:t>
            </w:r>
            <w:r/>
          </w:p>
        </w:tc>
      </w:tr>
      <w:tr>
        <w:trPr>
          <w:trHeight w:val="480"/>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安全要求</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*限用物质的限量要求</w:t>
            </w:r>
            <w:r/>
          </w:p>
        </w:tc>
        <w:tc>
          <w:tcPr>
            <w:shd w:val="clear" w:color="auto" w:fill="ffffff"/>
            <w:tcBorders>
              <w:top w:val="none" w:color="000000" w:sz="4" w:space="0"/>
              <w:left w:val="none" w:color="000000" w:sz="4" w:space="0"/>
              <w:bottom w:val="single" w:color="auto" w:sz="4" w:space="0"/>
              <w:right w:val="single" w:color="auto" w:sz="4" w:space="0"/>
            </w:tcBorders>
            <w:tcW w:w="5616"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 GB/T 26572</w:t>
            </w:r>
            <w:r>
              <w:rPr>
                <w:rFonts w:ascii="宋体" w:hAnsi="宋体"/>
                <w:sz w:val="21"/>
                <w:szCs w:val="21"/>
              </w:rPr>
              <w:t xml:space="preserve">-2011</w:t>
            </w:r>
            <w:r>
              <w:rPr>
                <w:rFonts w:hint="eastAsia" w:ascii="宋体" w:hAnsi="宋体"/>
                <w:sz w:val="21"/>
                <w:szCs w:val="21"/>
              </w:rPr>
              <w:t xml:space="preserve">中规定</w:t>
            </w:r>
            <w:r/>
          </w:p>
        </w:tc>
      </w:tr>
    </w:tbl>
    <w:p>
      <w:pPr>
        <w:ind w:left="400"/>
        <w:spacing w:after="120"/>
      </w:pPr>
      <w:r/>
      <w:r/>
    </w:p>
    <w:p>
      <w:pPr>
        <w:pStyle w:val="1093"/>
        <w:ind w:left="403" w:firstLine="420"/>
        <w:spacing w:line="360" w:lineRule="auto"/>
        <w:rPr>
          <w:rFonts w:ascii="宋体" w:hAnsi="宋体"/>
          <w:sz w:val="21"/>
          <w:szCs w:val="22"/>
        </w:rPr>
      </w:pPr>
      <w:r>
        <w:rPr>
          <w:rFonts w:hint="eastAsia" w:ascii="宋体" w:hAnsi="宋体"/>
          <w:sz w:val="21"/>
          <w:szCs w:val="22"/>
        </w:rPr>
        <w:t xml:space="preserve">（三）项目商务要求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w:t>
      </w:r>
      <w:r>
        <w:rPr>
          <w:rFonts w:hint="eastAsia" w:ascii="宋体" w:hAnsi="宋体"/>
          <w:sz w:val="21"/>
          <w:u w:val="single"/>
        </w:rPr>
        <w:t xml:space="preserve"> </w:t>
      </w:r>
      <w:r>
        <w:rPr>
          <w:rFonts w:hint="eastAsia" w:ascii="宋体" w:hAnsi="宋体"/>
          <w:sz w:val="21"/>
          <w:u w:val="single"/>
        </w:rPr>
        <w:t xml:space="preserve">郭巷街道汤堡实验小学、光福镇光福九年一贯制学校</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项目实施要求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中标单位</w:t>
      </w:r>
      <w:r>
        <w:rPr>
          <w:rFonts w:hint="eastAsia" w:ascii="宋体" w:hAnsi="宋体"/>
          <w:sz w:val="21"/>
        </w:rPr>
        <w:t xml:space="preserve">在提供所投设备的同时必须提供对于本次</w:t>
      </w:r>
      <w:r>
        <w:rPr>
          <w:rFonts w:hint="eastAsia" w:ascii="宋体" w:hAnsi="宋体"/>
          <w:sz w:val="21"/>
        </w:rPr>
        <w:t xml:space="preserve">采购</w:t>
      </w:r>
      <w:r>
        <w:rPr>
          <w:rFonts w:hint="eastAsia" w:ascii="宋体" w:hAnsi="宋体"/>
          <w:sz w:val="21"/>
        </w:rPr>
        <w:t xml:space="preserve">软硬件的系统安装、集成服务。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中标单位</w:t>
      </w:r>
      <w:r>
        <w:rPr>
          <w:rFonts w:hint="eastAsia" w:ascii="宋体" w:hAnsi="宋体"/>
          <w:sz w:val="21"/>
        </w:rPr>
        <w:t xml:space="preserve">负责软硬件安装调试，应具备实施本次项目相应的技术能力，充分了解采购</w:t>
      </w:r>
      <w:r>
        <w:rPr>
          <w:rFonts w:hint="eastAsia" w:ascii="宋体" w:hAnsi="宋体"/>
          <w:sz w:val="21"/>
        </w:rPr>
        <w:t xml:space="preserve">单位</w:t>
      </w:r>
      <w:r>
        <w:rPr>
          <w:rFonts w:hint="eastAsia" w:ascii="宋体" w:hAnsi="宋体"/>
          <w:sz w:val="21"/>
        </w:rPr>
        <w:t xml:space="preserve">现状和业务需求，与</w:t>
      </w:r>
      <w:r>
        <w:rPr>
          <w:rFonts w:hint="eastAsia" w:ascii="宋体" w:hAnsi="宋体"/>
          <w:sz w:val="21"/>
        </w:rPr>
        <w:t xml:space="preserve">采购单位</w:t>
      </w:r>
      <w:r>
        <w:rPr>
          <w:rFonts w:hint="eastAsia" w:ascii="宋体" w:hAnsi="宋体"/>
          <w:sz w:val="21"/>
        </w:rPr>
        <w:t xml:space="preserve">充分沟通后，制定详细可行的项目实施方案，对技术方案规划、项目计划与进度、项目质量、风险等进行总体管控与协调，经</w:t>
      </w:r>
      <w:r>
        <w:rPr>
          <w:rFonts w:hint="eastAsia" w:ascii="宋体" w:hAnsi="宋体"/>
          <w:sz w:val="21"/>
        </w:rPr>
        <w:t xml:space="preserve">采购单位</w:t>
      </w:r>
      <w:r>
        <w:rPr>
          <w:rFonts w:hint="eastAsia" w:ascii="宋体" w:hAnsi="宋体"/>
          <w:sz w:val="21"/>
        </w:rPr>
        <w:t xml:space="preserve">认可后方可开始实施。</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中标单位</w:t>
      </w:r>
      <w:r>
        <w:rPr>
          <w:rFonts w:hint="eastAsia" w:ascii="宋体" w:hAnsi="宋体"/>
          <w:sz w:val="21"/>
        </w:rPr>
        <w:t xml:space="preserve">需针对本项目成立专门的实施团队,具备专业的技术能力，拟派项目经理及技术负责人，积极主动与</w:t>
      </w:r>
      <w:r>
        <w:rPr>
          <w:rFonts w:hint="eastAsia" w:ascii="宋体" w:hAnsi="宋体"/>
          <w:sz w:val="21"/>
        </w:rPr>
        <w:t xml:space="preserve">采购</w:t>
      </w:r>
      <w:r>
        <w:rPr>
          <w:rFonts w:hint="eastAsia" w:ascii="宋体" w:hAnsi="宋体"/>
          <w:sz w:val="21"/>
        </w:rPr>
        <w:t xml:space="preserve">单位进行协调沟通，在规定的时间内，保证质量完成投标所提供设备的规划、安装、调试及投入运行，达成项目建设目标。安装调试期间，采购</w:t>
      </w:r>
      <w:r>
        <w:rPr>
          <w:rFonts w:hint="eastAsia" w:ascii="宋体" w:hAnsi="宋体"/>
          <w:sz w:val="21"/>
        </w:rPr>
        <w:t xml:space="preserve">单位</w:t>
      </w:r>
      <w:r>
        <w:rPr>
          <w:rFonts w:hint="eastAsia" w:ascii="宋体" w:hAnsi="宋体"/>
          <w:sz w:val="21"/>
        </w:rPr>
        <w:t xml:space="preserve">有权派技术人员参加，</w:t>
      </w:r>
      <w:r>
        <w:rPr>
          <w:rFonts w:hint="eastAsia" w:ascii="宋体" w:hAnsi="宋体"/>
          <w:sz w:val="21"/>
        </w:rPr>
        <w:t xml:space="preserve">中标单位</w:t>
      </w:r>
      <w:r>
        <w:rPr>
          <w:rFonts w:hint="eastAsia" w:ascii="宋体" w:hAnsi="宋体"/>
          <w:sz w:val="21"/>
        </w:rPr>
        <w:t xml:space="preserve">有义务对其提出问题进行解答。</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bookmarkStart w:id="182" w:name="OLE_LINK79"/>
      <w:r/>
      <w:bookmarkStart w:id="183" w:name="OLE_LINK80"/>
      <w:r>
        <w:rPr>
          <w:rFonts w:hint="eastAsia" w:ascii="宋体" w:hAnsi="宋体"/>
          <w:sz w:val="21"/>
        </w:rPr>
        <w:t xml:space="preserve">中标单位</w:t>
      </w:r>
      <w:bookmarkEnd w:id="182"/>
      <w:r/>
      <w:bookmarkEnd w:id="183"/>
      <w:r>
        <w:rPr>
          <w:rFonts w:hint="eastAsia" w:ascii="宋体" w:hAnsi="宋体"/>
          <w:sz w:val="21"/>
        </w:rPr>
        <w:t xml:space="preserve">须承担本项目实施过程涉及的全部费用（包括设备、辅材、测试和验收等），项目实施过程必须接受监督。</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项目巡检要求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需提供保修期内每年4次上门预防性主动巡检维护服务,包括但不限于重大节假日进行巡检（如春节、国庆等节假日），并出具巡检报告。巡检范围包含本次</w:t>
      </w:r>
      <w:r>
        <w:rPr>
          <w:rFonts w:hint="eastAsia" w:ascii="宋体" w:hAnsi="宋体"/>
          <w:sz w:val="21"/>
        </w:rPr>
        <w:t xml:space="preserve">采购</w:t>
      </w:r>
      <w:r>
        <w:rPr>
          <w:rFonts w:hint="eastAsia" w:ascii="宋体" w:hAnsi="宋体"/>
          <w:sz w:val="21"/>
        </w:rPr>
        <w:t xml:space="preserve">项目中的所有软硬件设备的运行情况，配置情况，性能指标等，并给出优化建议和合理的解决方案。</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售后服务要求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（1）硬件服务免费质保期：以最终客户签收单为时间起点≥三年，质保期</w:t>
      </w:r>
      <w:r>
        <w:rPr>
          <w:rFonts w:hint="eastAsia" w:ascii="宋体" w:hAnsi="宋体"/>
          <w:sz w:val="21"/>
        </w:rPr>
        <w:t xml:space="preserve">之内可享受厂家免费三包</w:t>
      </w:r>
      <w:r>
        <w:rPr>
          <w:rFonts w:hint="eastAsia" w:ascii="宋体" w:hAnsi="宋体"/>
          <w:sz w:val="21"/>
        </w:rPr>
        <w:t xml:space="preserve">服务。供货时需提供原厂出具的售后服务承诺函原件。</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w:t>
      </w:r>
      <w:r>
        <w:rPr>
          <w:rFonts w:hint="eastAsia" w:ascii="宋体" w:hAnsi="宋体"/>
          <w:sz w:val="21"/>
        </w:rPr>
        <w:t xml:space="preserve">单</w:t>
      </w:r>
      <w:r>
        <w:rPr>
          <w:rFonts w:hint="eastAsia" w:ascii="宋体" w:hAnsi="宋体"/>
          <w:sz w:val="21"/>
        </w:rPr>
        <w:t xml:space="preserve">位</w:t>
      </w:r>
      <w:r>
        <w:rPr>
          <w:rFonts w:hint="eastAsia" w:ascii="宋体" w:hAnsi="宋体"/>
          <w:sz w:val="21"/>
        </w:rPr>
        <w:t xml:space="preserve">承诺在</w:t>
      </w:r>
      <w:r>
        <w:rPr>
          <w:rFonts w:hint="eastAsia" w:ascii="宋体" w:hAnsi="宋体"/>
          <w:sz w:val="21"/>
        </w:rPr>
        <w:t xml:space="preserve">免费质保期</w:t>
      </w:r>
      <w:r>
        <w:rPr>
          <w:rFonts w:hint="eastAsia" w:ascii="宋体" w:hAnsi="宋体"/>
          <w:sz w:val="21"/>
        </w:rPr>
        <w:t xml:space="preserve">内，向</w:t>
      </w:r>
      <w:r>
        <w:rPr>
          <w:rFonts w:hint="eastAsia" w:ascii="宋体" w:hAnsi="宋体"/>
          <w:sz w:val="21"/>
        </w:rPr>
        <w:t xml:space="preserve">采购单位</w:t>
      </w:r>
      <w:r>
        <w:rPr>
          <w:rFonts w:hint="eastAsia" w:ascii="宋体" w:hAnsi="宋体"/>
          <w:sz w:val="21"/>
        </w:rPr>
        <w:t xml:space="preserve">免</w:t>
      </w:r>
      <w:r>
        <w:rPr>
          <w:rFonts w:hint="eastAsia" w:ascii="宋体" w:hAnsi="宋体"/>
          <w:sz w:val="21"/>
        </w:rPr>
        <w:t xml:space="preserve">费提供系统维护、技术支持服务；如系统出现错误和故障，</w:t>
      </w:r>
      <w:r>
        <w:rPr>
          <w:rFonts w:hint="eastAsia" w:ascii="宋体" w:hAnsi="宋体"/>
          <w:sz w:val="21"/>
        </w:rPr>
        <w:t xml:space="preserve">中标后</w:t>
      </w:r>
      <w:r>
        <w:rPr>
          <w:rFonts w:hint="eastAsia" w:ascii="宋体" w:hAnsi="宋体"/>
          <w:sz w:val="21"/>
        </w:rPr>
        <w:t xml:space="preserve">应根据</w:t>
      </w:r>
      <w:r>
        <w:rPr>
          <w:rFonts w:hint="eastAsia" w:ascii="宋体" w:hAnsi="宋体"/>
          <w:sz w:val="21"/>
        </w:rPr>
        <w:t xml:space="preserve">采购单位</w:t>
      </w:r>
      <w:r>
        <w:rPr>
          <w:rFonts w:hint="eastAsia" w:ascii="宋体" w:hAnsi="宋体"/>
          <w:sz w:val="21"/>
        </w:rPr>
        <w:t xml:space="preserve">要求给予修正。</w:t>
      </w:r>
      <w:r/>
    </w:p>
    <w:p>
      <w:pPr>
        <w:ind w:left="0" w:firstLine="420"/>
        <w:spacing w:line="360" w:lineRule="auto"/>
        <w:tabs>
          <w:tab w:val="left" w:pos="0" w:leader="none"/>
        </w:tabs>
        <w:rPr>
          <w:rFonts w:ascii="宋体" w:hAnsi="宋体"/>
          <w:sz w:val="21"/>
        </w:rPr>
      </w:pPr>
      <w:r>
        <w:rPr>
          <w:rFonts w:hint="eastAsia" w:ascii="宋体" w:hAnsi="宋体"/>
          <w:sz w:val="21"/>
        </w:rPr>
        <w:t xml:space="preserve">（3）质保期间</w:t>
      </w:r>
      <w:r>
        <w:rPr>
          <w:rFonts w:hint="eastAsia" w:ascii="宋体" w:hAnsi="宋体"/>
          <w:sz w:val="21"/>
        </w:rPr>
        <w:t xml:space="preserve">中标单位</w:t>
      </w:r>
      <w:r>
        <w:rPr>
          <w:rFonts w:hint="eastAsia" w:ascii="宋体" w:hAnsi="宋体"/>
          <w:sz w:val="21"/>
        </w:rPr>
        <w:t xml:space="preserve">需要提供7*24小时维保服务。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中标单位</w:t>
      </w:r>
      <w:r>
        <w:rPr>
          <w:rFonts w:hint="eastAsia" w:ascii="宋体" w:hAnsi="宋体"/>
          <w:sz w:val="21"/>
        </w:rPr>
        <w:t xml:space="preserve">应提供自身的响应标准、服务体系、备件体系、故障解决方案、专业技术人员保障等服务方案，</w:t>
      </w:r>
      <w:r>
        <w:rPr>
          <w:rFonts w:hint="eastAsia" w:ascii="宋体" w:hAnsi="宋体"/>
          <w:sz w:val="21"/>
        </w:rPr>
        <w:t xml:space="preserve">服务方案应科学合理、具备针对性，并指定专门的售后服务人员，确保各项售后服务能满足</w:t>
      </w:r>
      <w:r>
        <w:rPr>
          <w:rFonts w:hint="eastAsia" w:ascii="宋体" w:hAnsi="宋体"/>
          <w:sz w:val="21"/>
        </w:rPr>
        <w:t xml:space="preserve">采购</w:t>
      </w:r>
      <w:r>
        <w:rPr>
          <w:rFonts w:hint="eastAsia" w:ascii="宋体" w:hAnsi="宋体"/>
          <w:sz w:val="21"/>
        </w:rPr>
        <w:t xml:space="preserve">文件要求。</w:t>
      </w:r>
      <w:r/>
    </w:p>
    <w:p>
      <w:pPr>
        <w:ind w:left="0" w:firstLine="210"/>
        <w:spacing w:line="360" w:lineRule="auto"/>
        <w:tabs>
          <w:tab w:val="left" w:pos="0" w:leader="none"/>
        </w:tabs>
        <w:rPr>
          <w:rFonts w:ascii="宋体" w:hAnsi="宋体"/>
          <w:sz w:val="21"/>
        </w:rPr>
      </w:pPr>
      <w:r/>
      <w:bookmarkStart w:id="184" w:name="OLE_LINK217"/>
      <w:r/>
      <w:bookmarkStart w:id="185" w:name="OLE_LINK218"/>
      <w:r/>
      <w:bookmarkStart w:id="186" w:name="OLE_LINK245"/>
      <w:r/>
      <w:bookmarkStart w:id="187" w:name="OLE_LINK246"/>
      <w:r>
        <w:rPr>
          <w:rFonts w:ascii="宋体" w:hAnsi="宋体"/>
          <w:sz w:val="21"/>
        </w:rPr>
        <w:t xml:space="preserve">8.</w:t>
      </w:r>
      <w:r>
        <w:rPr>
          <w:rFonts w:hint="eastAsia" w:ascii="宋体" w:hAnsi="宋体"/>
          <w:sz w:val="21"/>
        </w:rPr>
        <w:t xml:space="preserve">验收要求</w:t>
      </w:r>
      <w:bookmarkEnd w:id="184"/>
      <w:r/>
      <w:bookmarkEnd w:id="185"/>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210"/>
        <w:spacing w:line="360" w:lineRule="auto"/>
        <w:tabs>
          <w:tab w:val="left" w:pos="0" w:leader="none"/>
        </w:tabs>
        <w:rPr>
          <w:rFonts w:ascii="宋体" w:hAnsi="宋体"/>
          <w:sz w:val="21"/>
        </w:rPr>
      </w:pPr>
      <w:r>
        <w:rPr>
          <w:rFonts w:hint="eastAsia" w:ascii="宋体" w:hAnsi="宋体"/>
          <w:sz w:val="21"/>
        </w:rPr>
        <w:t xml:space="preserve">（4）</w:t>
      </w:r>
      <w:bookmarkEnd w:id="186"/>
      <w:r/>
      <w:bookmarkEnd w:id="187"/>
      <w:r>
        <w:rPr>
          <w:rFonts w:hint="eastAsia" w:ascii="宋体" w:hAnsi="宋体"/>
          <w:sz w:val="21"/>
        </w:rPr>
        <w:t xml:space="preserve">所提供的</w:t>
      </w:r>
      <w:r>
        <w:rPr>
          <w:rFonts w:hint="eastAsia" w:ascii="宋体" w:hAnsi="宋体"/>
          <w:sz w:val="21"/>
        </w:rPr>
        <w:t xml:space="preserve">产品硬件配置必须按配置要求在原厂出厂时全部自带。所有设备外包装箱不得自行拆封，包装箱上。所有标签等不得涂改或撕毁，原厂原包装送货，不接受另</w:t>
      </w:r>
      <w:r>
        <w:rPr>
          <w:rFonts w:hint="eastAsia" w:ascii="宋体" w:hAnsi="宋体"/>
          <w:sz w:val="21"/>
        </w:rPr>
        <w:t xml:space="preserve">外改装等，以</w:t>
      </w:r>
      <w:r>
        <w:rPr>
          <w:rFonts w:hint="eastAsia" w:ascii="宋体" w:hAnsi="宋体"/>
          <w:sz w:val="21"/>
        </w:rPr>
        <w:t xml:space="preserve">防止影响原厂商的售后服务，</w:t>
      </w:r>
      <w:r>
        <w:rPr>
          <w:rFonts w:hint="eastAsia" w:ascii="宋体" w:hAnsi="宋体"/>
          <w:sz w:val="21"/>
        </w:rPr>
        <w:t xml:space="preserve">到货后所有配置按照采购要求逐一核对，确保功能齐全，否则采购单位有权拒绝验收。</w:t>
      </w:r>
      <w:r/>
    </w:p>
    <w:p>
      <w:pPr>
        <w:ind w:left="0" w:firstLine="21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其他</w:t>
      </w:r>
      <w:r>
        <w:rPr>
          <w:rFonts w:hint="eastAsia" w:ascii="宋体" w:hAnsi="宋体"/>
          <w:sz w:val="21"/>
        </w:rPr>
        <w:t xml:space="preserve">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（1）投标单位</w:t>
      </w:r>
      <w:r>
        <w:rPr>
          <w:rFonts w:hint="eastAsia" w:ascii="宋体" w:hAnsi="宋体"/>
          <w:sz w:val="21"/>
        </w:rPr>
        <w:t xml:space="preserve">提供</w:t>
      </w:r>
      <w:r>
        <w:rPr>
          <w:rFonts w:hint="eastAsia" w:ascii="宋体" w:hAnsi="宋体"/>
          <w:sz w:val="21"/>
          <w:szCs w:val="21"/>
        </w:rPr>
        <w:t xml:space="preserve">培训方案</w:t>
      </w:r>
      <w:r>
        <w:rPr>
          <w:rFonts w:hint="eastAsia" w:ascii="宋体" w:hAnsi="宋体"/>
          <w:sz w:val="21"/>
        </w:rPr>
        <w:t xml:space="preserve">方案，包含不限于：</w:t>
      </w:r>
      <w:r>
        <w:rPr>
          <w:rFonts w:hint="eastAsia" w:ascii="宋体" w:hAnsi="宋体"/>
          <w:sz w:val="21"/>
          <w:szCs w:val="21"/>
        </w:rPr>
        <w:t xml:space="preserve">培训计划与方式</w:t>
      </w:r>
      <w:r>
        <w:rPr>
          <w:rFonts w:hint="eastAsia" w:ascii="宋体" w:hAnsi="宋体"/>
          <w:sz w:val="21"/>
        </w:rPr>
        <w:t xml:space="preserve">；</w:t>
      </w:r>
      <w:r>
        <w:rPr>
          <w:rFonts w:hint="eastAsia" w:ascii="宋体" w:hAnsi="宋体"/>
          <w:sz w:val="21"/>
          <w:szCs w:val="21"/>
        </w:rPr>
        <w:t xml:space="preserve">培训内容</w:t>
      </w:r>
      <w:r>
        <w:rPr>
          <w:rFonts w:hint="eastAsia" w:ascii="宋体" w:hAnsi="宋体"/>
          <w:sz w:val="21"/>
        </w:rPr>
        <w:t xml:space="preserve">。</w:t>
      </w:r>
      <w:r/>
    </w:p>
    <w:p>
      <w:pPr>
        <w:ind w:left="0" w:firstLine="210"/>
        <w:spacing w:line="360" w:lineRule="auto"/>
        <w:tabs>
          <w:tab w:val="left" w:pos="0" w:leader="none"/>
        </w:tabs>
        <w:rPr>
          <w:rFonts w:ascii="宋体" w:hAnsi="宋体"/>
          <w:sz w:val="21"/>
        </w:rPr>
      </w:pPr>
      <w:r>
        <w:rPr>
          <w:rFonts w:hint="eastAsia" w:ascii="宋体" w:hAnsi="宋体"/>
          <w:sz w:val="21"/>
        </w:rPr>
        <w:t xml:space="preserve">（2）投标单位</w:t>
      </w:r>
      <w:r>
        <w:rPr>
          <w:rFonts w:hint="eastAsia" w:ascii="宋体" w:hAnsi="宋体"/>
          <w:sz w:val="21"/>
        </w:rPr>
        <w:t xml:space="preserve">提供</w:t>
      </w:r>
      <w:r>
        <w:rPr>
          <w:rFonts w:hint="eastAsia" w:ascii="宋体" w:hAnsi="宋体"/>
          <w:sz w:val="21"/>
          <w:szCs w:val="21"/>
        </w:rPr>
        <w:t xml:space="preserve">应急保障方案</w:t>
      </w:r>
      <w:r>
        <w:rPr>
          <w:rFonts w:hint="eastAsia" w:ascii="宋体" w:hAnsi="宋体"/>
          <w:sz w:val="21"/>
        </w:rPr>
        <w:t xml:space="preserve">方案，包含不限于：</w:t>
      </w:r>
      <w:r>
        <w:rPr>
          <w:rFonts w:hint="eastAsia" w:ascii="宋体" w:hAnsi="宋体"/>
          <w:sz w:val="21"/>
          <w:szCs w:val="21"/>
        </w:rPr>
        <w:t xml:space="preserve">应急方案</w:t>
      </w:r>
      <w:r>
        <w:rPr>
          <w:rFonts w:hint="eastAsia" w:ascii="宋体" w:hAnsi="宋体"/>
          <w:sz w:val="21"/>
        </w:rPr>
        <w:t xml:space="preserve">；</w:t>
      </w:r>
      <w:r>
        <w:rPr>
          <w:rFonts w:hint="eastAsia" w:ascii="宋体" w:hAnsi="宋体"/>
          <w:sz w:val="21"/>
          <w:szCs w:val="21"/>
        </w:rPr>
        <w:t xml:space="preserve">故障处理</w:t>
      </w:r>
      <w:r>
        <w:rPr>
          <w:rFonts w:hint="eastAsia" w:ascii="宋体" w:hAnsi="宋体"/>
          <w:sz w:val="21"/>
        </w:rPr>
        <w:t xml:space="preserve">方案。</w:t>
      </w:r>
      <w:r/>
    </w:p>
    <w:p>
      <w:pPr>
        <w:pStyle w:val="1093"/>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10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w:t>
      </w:r>
      <w:r>
        <w:rPr>
          <w:rFonts w:hint="eastAsia" w:ascii="Times New Roman" w:hAnsi="Times New Roman" w:cs="Times New Roman"/>
          <w:b/>
          <w:sz w:val="21"/>
        </w:rPr>
        <w:t xml:space="preserve">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bookmarkStart w:id="188" w:name="OLE_LINK109"/>
      <w:r/>
      <w:bookmarkStart w:id="189" w:name="OLE_LINK110"/>
      <w:r>
        <w:rPr>
          <w:rFonts w:hint="eastAsia" w:ascii="宋体" w:hAnsi="宋体"/>
          <w:b/>
          <w:sz w:val="21"/>
          <w:szCs w:val="21"/>
        </w:rPr>
        <w:t xml:space="preserve">台式计算机（机房管理教师机）、台式计算机（学生机）</w:t>
      </w:r>
      <w:bookmarkEnd w:id="188"/>
      <w:r/>
      <w:bookmarkEnd w:id="189"/>
      <w:r>
        <w:rPr>
          <w:rFonts w:hint="eastAsia" w:ascii="宋体" w:hAnsi="宋体"/>
          <w:b/>
          <w:sz w:val="21"/>
          <w:szCs w:val="21"/>
        </w:rPr>
        <w:t xml:space="preserve">、台式计算机（教师机）、便携式</w:t>
      </w:r>
      <w:r>
        <w:rPr>
          <w:rFonts w:hint="eastAsia" w:ascii="宋体" w:hAnsi="宋体"/>
          <w:b/>
          <w:sz w:val="21"/>
          <w:szCs w:val="21"/>
        </w:rPr>
        <w:t xml:space="preserve">计算机</w:t>
      </w:r>
      <w:r>
        <w:rPr>
          <w:rFonts w:hint="eastAsia" w:ascii="宋体" w:hAnsi="宋体"/>
          <w:b/>
          <w:sz w:val="21"/>
        </w:rPr>
        <w:t xml:space="preserve">等</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81"/>
        <w:ind w:left="0" w:firstLine="0"/>
        <w:jc w:val="center"/>
        <w:rPr>
          <w:rFonts w:ascii="宋体" w:hAnsi="宋体"/>
          <w:b/>
          <w:sz w:val="44"/>
          <w:szCs w:val="22"/>
        </w:rPr>
      </w:pPr>
      <w:r/>
      <w:bookmarkStart w:id="190" w:name="_Toc11789"/>
      <w:r/>
      <w:bookmarkStart w:id="191" w:name="_Toc5111"/>
      <w:r/>
      <w:bookmarkStart w:id="192" w:name="_Hlk55741158"/>
      <w:r>
        <w:rPr>
          <w:rFonts w:hint="eastAsia" w:ascii="宋体" w:hAnsi="宋体"/>
          <w:b/>
          <w:sz w:val="44"/>
          <w:szCs w:val="22"/>
        </w:rPr>
        <w:br w:type="page" w:clear="all"/>
      </w:r>
      <w:bookmarkStart w:id="193" w:name="_Toc105397794"/>
      <w:r>
        <w:rPr>
          <w:rFonts w:hint="eastAsia" w:ascii="宋体" w:hAnsi="宋体"/>
          <w:b/>
          <w:sz w:val="44"/>
          <w:szCs w:val="22"/>
        </w:rPr>
        <w:t xml:space="preserve">第五章 </w:t>
      </w:r>
      <w:bookmarkStart w:id="194" w:name="合同的特殊条款"/>
      <w:r/>
      <w:bookmarkEnd w:id="194"/>
      <w:r>
        <w:rPr>
          <w:rFonts w:hint="eastAsia" w:ascii="宋体" w:hAnsi="宋体"/>
          <w:b/>
          <w:sz w:val="44"/>
          <w:szCs w:val="22"/>
        </w:rPr>
        <w:t xml:space="preserve">合同及主要条款</w:t>
      </w:r>
      <w:bookmarkEnd w:id="190"/>
      <w:r/>
      <w:bookmarkEnd w:id="191"/>
      <w:r/>
      <w:bookmarkEnd w:id="193"/>
      <w:r/>
      <w:r/>
    </w:p>
    <w:p>
      <w:pPr>
        <w:ind w:left="0"/>
        <w:jc w:val="center"/>
        <w:rPr>
          <w:rFonts w:ascii="宋体" w:hAnsi="宋体"/>
          <w:b/>
          <w:sz w:val="32"/>
          <w:szCs w:val="32"/>
        </w:rPr>
      </w:pPr>
      <w:r/>
      <w:bookmarkStart w:id="195" w:name="_Toc57376410"/>
      <w:r/>
      <w:bookmarkStart w:id="196" w:name="_Toc27667"/>
      <w:r/>
      <w:bookmarkStart w:id="197" w:name="_Toc8564"/>
      <w:r/>
      <w:bookmarkEnd w:id="19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rPr>
          <w:rFonts w:ascii="宋体" w:hAnsi="宋体"/>
          <w:sz w:val="21"/>
        </w:rPr>
      </w:pPr>
      <w:r>
        <w:rPr>
          <w:rFonts w:hint="eastAsia" w:ascii="宋体" w:hAnsi="宋体"/>
          <w:sz w:val="21"/>
          <w:szCs w:val="21"/>
        </w:rPr>
        <w:t xml:space="preserve">（1）</w:t>
      </w:r>
      <w:r>
        <w:rPr>
          <w:rFonts w:hint="eastAsia" w:ascii="宋体" w:hAnsi="宋体"/>
          <w:sz w:val="21"/>
        </w:rPr>
        <w:t xml:space="preserve">乙方完成全部合同标的的运输、搬运、安装、调试等工作，通过甲方履约验收</w:t>
      </w:r>
      <w:r>
        <w:rPr>
          <w:rFonts w:hint="eastAsia" w:ascii="宋体" w:hAnsi="宋体"/>
          <w:sz w:val="21"/>
        </w:rPr>
        <w:t xml:space="preserve">合格</w:t>
      </w:r>
      <w:r>
        <w:rPr>
          <w:rFonts w:hint="eastAsia" w:ascii="宋体" w:hAnsi="宋体"/>
          <w:sz w:val="21"/>
        </w:rPr>
        <w:t xml:space="preserve">后</w:t>
      </w:r>
      <w:bookmarkStart w:id="198" w:name="OLE_LINK112"/>
      <w:r/>
      <w:bookmarkStart w:id="199" w:name="OLE_LINK113"/>
      <w:r>
        <w:rPr>
          <w:rFonts w:hint="eastAsia" w:ascii="宋体" w:hAnsi="宋体"/>
          <w:sz w:val="21"/>
        </w:rPr>
        <w:t xml:space="preserve">支付合同总金额</w:t>
      </w:r>
      <w:r>
        <w:rPr>
          <w:rFonts w:ascii="宋体" w:hAnsi="宋体"/>
          <w:sz w:val="21"/>
        </w:rPr>
        <w:t xml:space="preserve">90</w:t>
      </w:r>
      <w:r>
        <w:rPr>
          <w:rFonts w:hint="eastAsia" w:ascii="宋体" w:hAnsi="宋体"/>
          <w:sz w:val="21"/>
        </w:rPr>
        <w:t xml:space="preserve">%</w:t>
      </w:r>
      <w:bookmarkEnd w:id="198"/>
      <w:r/>
      <w:bookmarkEnd w:id="199"/>
      <w:r>
        <w:rPr>
          <w:rFonts w:hint="eastAsia" w:ascii="宋体" w:hAnsi="宋体"/>
          <w:sz w:val="21"/>
        </w:rPr>
        <w:t xml:space="preserve">。</w:t>
      </w:r>
      <w:r>
        <w:rPr>
          <w:rFonts w:hint="eastAsia" w:ascii="宋体" w:hAnsi="宋体"/>
          <w:sz w:val="21"/>
        </w:rPr>
        <w:t xml:space="preserve">履约验收合格后6</w:t>
      </w:r>
      <w:r>
        <w:rPr>
          <w:rFonts w:ascii="宋体" w:hAnsi="宋体"/>
          <w:sz w:val="21"/>
        </w:rPr>
        <w:t xml:space="preserve">0</w:t>
      </w:r>
      <w:r>
        <w:rPr>
          <w:rFonts w:hint="eastAsia" w:ascii="宋体" w:hAnsi="宋体"/>
          <w:sz w:val="21"/>
        </w:rPr>
        <w:t xml:space="preserve">日</w:t>
      </w:r>
      <w:r>
        <w:rPr>
          <w:rFonts w:hint="eastAsia" w:ascii="宋体" w:hAnsi="宋体"/>
          <w:sz w:val="21"/>
        </w:rPr>
        <w:t xml:space="preserve">支付合同总金额的10%。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w:t>
      </w:r>
      <w:r>
        <w:rPr>
          <w:rFonts w:hint="eastAsia" w:ascii="宋体" w:hAnsi="宋体"/>
          <w:b/>
          <w:sz w:val="21"/>
          <w:szCs w:val="21"/>
        </w:rPr>
        <w:t xml:space="preserve">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107"/>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107"/>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乙方在合同生效后三个工作日内，提供</w:t>
      </w:r>
      <w:r>
        <w:rPr>
          <w:rFonts w:hint="eastAsia" w:ascii="宋体" w:hAnsi="宋体"/>
          <w:sz w:val="21"/>
        </w:rPr>
        <w:t xml:space="preserve">台式计算机（机房管理教师机）、台式计算机（学生机）</w:t>
      </w:r>
      <w:r>
        <w:rPr>
          <w:rFonts w:hint="eastAsia" w:ascii="宋体" w:hAnsi="宋体"/>
          <w:sz w:val="21"/>
        </w:rPr>
        <w:t xml:space="preserve">各一套，送至甲方处测试运行功能，如不能达到使用运行标准需进行调试至符合使用运行标准，否则甲方有权终止合同。</w:t>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14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140"/>
        <w:ind w:left="400" w:firstLine="883"/>
        <w:rPr>
          <w:rFonts w:ascii="宋体" w:hAnsi="宋体"/>
          <w:b/>
          <w:sz w:val="44"/>
          <w:szCs w:val="22"/>
        </w:rPr>
      </w:pPr>
      <w:r>
        <w:rPr>
          <w:rFonts w:hint="eastAsia" w:ascii="宋体" w:hAnsi="宋体"/>
          <w:b/>
          <w:sz w:val="44"/>
          <w:szCs w:val="22"/>
        </w:rPr>
        <w:t xml:space="preserve"> </w:t>
      </w:r>
      <w:r/>
    </w:p>
    <w:p>
      <w:pPr>
        <w:pStyle w:val="1140"/>
        <w:ind w:left="400" w:firstLine="883"/>
        <w:rPr>
          <w:rFonts w:ascii="宋体" w:hAnsi="宋体"/>
          <w:b/>
          <w:sz w:val="44"/>
          <w:szCs w:val="22"/>
        </w:rPr>
      </w:pPr>
      <w:r>
        <w:rPr>
          <w:rFonts w:hint="eastAsia" w:ascii="宋体" w:hAnsi="宋体"/>
          <w:b/>
          <w:sz w:val="44"/>
          <w:szCs w:val="22"/>
        </w:rPr>
        <w:br w:type="page" w:clear="all"/>
      </w:r>
      <w:r/>
    </w:p>
    <w:p>
      <w:pPr>
        <w:pStyle w:val="1081"/>
        <w:ind w:left="0" w:firstLine="0"/>
        <w:jc w:val="center"/>
        <w:rPr>
          <w:rFonts w:ascii="宋体" w:hAnsi="宋体"/>
          <w:b/>
          <w:sz w:val="44"/>
          <w:szCs w:val="22"/>
        </w:rPr>
      </w:pPr>
      <w:r/>
      <w:bookmarkStart w:id="200" w:name="_Toc105397795"/>
      <w:r>
        <w:rPr>
          <w:rFonts w:hint="eastAsia" w:ascii="宋体" w:hAnsi="宋体"/>
          <w:b/>
          <w:sz w:val="44"/>
          <w:szCs w:val="22"/>
        </w:rPr>
        <w:t xml:space="preserve">第六章 </w:t>
      </w:r>
      <w:bookmarkStart w:id="201" w:name="评分要点"/>
      <w:r/>
      <w:bookmarkEnd w:id="201"/>
      <w:r>
        <w:rPr>
          <w:rFonts w:hint="eastAsia" w:ascii="宋体" w:hAnsi="宋体"/>
          <w:b/>
          <w:sz w:val="44"/>
          <w:szCs w:val="22"/>
        </w:rPr>
        <w:t xml:space="preserve">评标办法和评分标准</w:t>
      </w:r>
      <w:bookmarkEnd w:id="195"/>
      <w:r/>
      <w:bookmarkEnd w:id="196"/>
      <w:r/>
      <w:bookmarkEnd w:id="197"/>
      <w:r/>
      <w:bookmarkEnd w:id="200"/>
      <w:r/>
      <w:r/>
    </w:p>
    <w:p>
      <w:pPr>
        <w:ind w:left="0" w:firstLine="422"/>
        <w:spacing w:line="360" w:lineRule="auto"/>
        <w:rPr>
          <w:rFonts w:ascii="宋体" w:hAnsi="宋体"/>
          <w:b/>
          <w:sz w:val="21"/>
          <w:szCs w:val="21"/>
        </w:rPr>
      </w:pPr>
      <w:r/>
      <w:bookmarkStart w:id="202" w:name="_Toc17476"/>
      <w:r/>
      <w:bookmarkStart w:id="203" w:name="_Toc16264"/>
      <w:r/>
      <w:bookmarkStart w:id="204" w:name="_Toc698"/>
      <w:r>
        <w:rPr>
          <w:rFonts w:hint="eastAsia" w:ascii="宋体" w:hAnsi="宋体"/>
          <w:b/>
          <w:sz w:val="21"/>
          <w:szCs w:val="21"/>
        </w:rPr>
        <w:t xml:space="preserve">一、评标办法：</w:t>
      </w:r>
      <w:bookmarkEnd w:id="202"/>
      <w:r/>
      <w:bookmarkEnd w:id="203"/>
      <w:r/>
      <w:bookmarkEnd w:id="20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hint="eastAsia" w:ascii="宋体" w:hAnsi="宋体"/>
          <w:b/>
          <w:sz w:val="21"/>
        </w:rPr>
        <w:t xml:space="preserve">5.本项目共分为两个标段，按顺序进行评审。</w:t>
      </w:r>
      <w:r/>
    </w:p>
    <w:p>
      <w:pPr>
        <w:ind w:left="0" w:firstLine="422"/>
        <w:spacing w:line="360" w:lineRule="auto"/>
        <w:rPr>
          <w:rFonts w:ascii="宋体" w:hAnsi="宋体"/>
          <w:b/>
          <w:sz w:val="21"/>
        </w:rPr>
      </w:pPr>
      <w:r>
        <w:rPr>
          <w:rFonts w:hint="eastAsia" w:ascii="宋体" w:hAnsi="宋体"/>
          <w:b/>
          <w:sz w:val="21"/>
        </w:rPr>
        <w:t xml:space="preserve">6.同一单位可对本项目两个标段中的其中一个标段或两个标段进行报名投标, 可中其中一个或两个标段。</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jc w:val="center"/>
        <w:spacing w:line="360" w:lineRule="auto"/>
        <w:rPr>
          <w:rFonts w:ascii="宋体" w:hAnsi="宋体" w:cs="Times New Roman"/>
          <w:b/>
          <w:sz w:val="21"/>
          <w:szCs w:val="21"/>
        </w:rPr>
      </w:pPr>
      <w:r>
        <w:rPr>
          <w:rFonts w:hint="eastAsia" w:ascii="宋体" w:hAnsi="宋体" w:cs="Times New Roman"/>
          <w:b/>
          <w:sz w:val="21"/>
          <w:szCs w:val="21"/>
        </w:rPr>
        <w:t xml:space="preserve">适用于一标段至二标段</w:t>
      </w:r>
      <w:r/>
    </w:p>
    <w:p>
      <w:pPr>
        <w:pStyle w:val="1099"/>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rPr>
          <w:rFonts w:ascii="宋体" w:hAnsi="宋体"/>
          <w:b/>
          <w:bCs/>
          <w:sz w:val="21"/>
        </w:rPr>
      </w:pPr>
      <w:r>
        <w:rPr>
          <w:rFonts w:hint="eastAsia" w:ascii="宋体" w:hAnsi="宋体"/>
          <w:b/>
          <w:bCs/>
          <w:sz w:val="21"/>
        </w:rPr>
        <w:t xml:space="preserve">（二）技术方案：</w:t>
      </w:r>
      <w:r>
        <w:rPr>
          <w:rFonts w:ascii="宋体" w:hAnsi="宋体"/>
          <w:b/>
          <w:bCs/>
          <w:sz w:val="21"/>
        </w:rPr>
        <w:t xml:space="preserve">3</w:t>
      </w:r>
      <w:r>
        <w:rPr>
          <w:rFonts w:ascii="宋体" w:hAnsi="宋体"/>
          <w:b/>
          <w:bCs/>
          <w:sz w:val="21"/>
        </w:rPr>
        <w:t xml:space="preserve">4</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项目组织实施方案</w:t>
      </w:r>
      <w:r>
        <w:rPr>
          <w:rFonts w:hint="eastAsia" w:ascii="宋体" w:hAnsi="宋体"/>
          <w:sz w:val="21"/>
        </w:rPr>
        <w:t xml:space="preserve">：</w:t>
      </w:r>
      <w:r>
        <w:rPr>
          <w:rFonts w:ascii="宋体" w:hAnsi="宋体"/>
          <w:sz w:val="21"/>
        </w:rPr>
        <w:t xml:space="preserve">6</w:t>
      </w:r>
      <w:r>
        <w:rPr>
          <w:rFonts w:hint="eastAsia" w:ascii="宋体" w:hAnsi="宋体"/>
          <w:sz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根据投标单位提供</w:t>
      </w:r>
      <w:bookmarkStart w:id="205" w:name="OLE_LINK37"/>
      <w:r/>
      <w:bookmarkStart w:id="206" w:name="OLE_LINK38"/>
      <w:r>
        <w:rPr>
          <w:rFonts w:hint="eastAsia" w:ascii="宋体" w:hAnsi="宋体"/>
          <w:sz w:val="21"/>
          <w:szCs w:val="21"/>
        </w:rPr>
        <w:t xml:space="preserve">项目组织实施方案</w:t>
      </w:r>
      <w:bookmarkEnd w:id="205"/>
      <w:r/>
      <w:bookmarkEnd w:id="206"/>
      <w:r>
        <w:rPr>
          <w:rFonts w:hint="eastAsia" w:ascii="宋体" w:hAnsi="宋体"/>
          <w:sz w:val="21"/>
          <w:szCs w:val="21"/>
        </w:rPr>
        <w:t xml:space="preserve">进行综合评审。</w:t>
      </w:r>
      <w:r/>
    </w:p>
    <w:p>
      <w:pPr>
        <w:ind w:left="0" w:firstLine="420"/>
        <w:spacing w:line="360" w:lineRule="auto"/>
        <w:rPr>
          <w:rFonts w:ascii="宋体" w:hAnsi="宋体"/>
          <w:sz w:val="21"/>
        </w:rPr>
      </w:pPr>
      <w:r>
        <w:rPr>
          <w:rFonts w:hint="eastAsia" w:ascii="宋体" w:hAnsi="宋体"/>
          <w:sz w:val="21"/>
        </w:rPr>
        <w:t xml:space="preserve">（1）</w:t>
      </w:r>
      <w:bookmarkStart w:id="207" w:name="OLE_LINK16"/>
      <w:r/>
      <w:bookmarkStart w:id="208" w:name="OLE_LINK17"/>
      <w:r>
        <w:rPr>
          <w:rFonts w:hint="eastAsia" w:ascii="宋体" w:hAnsi="宋体"/>
          <w:sz w:val="21"/>
        </w:rPr>
        <w:t xml:space="preserve">项目管理</w:t>
      </w:r>
      <w:bookmarkEnd w:id="207"/>
      <w:r/>
      <w:bookmarkEnd w:id="208"/>
      <w:r>
        <w:rPr>
          <w:rFonts w:hint="eastAsia" w:ascii="宋体" w:hAnsi="宋体"/>
          <w:sz w:val="21"/>
        </w:rPr>
        <w:t xml:space="preserve">制度及</w:t>
      </w:r>
      <w:r>
        <w:rPr>
          <w:rFonts w:ascii="宋体" w:hAnsi="宋体"/>
          <w:sz w:val="21"/>
        </w:rPr>
        <w:t xml:space="preserve">措施</w:t>
      </w:r>
      <w:r>
        <w:rPr>
          <w:rFonts w:hint="eastAsia" w:ascii="宋体" w:hAnsi="宋体"/>
          <w:sz w:val="21"/>
        </w:rPr>
        <w:t xml:space="preserve">（</w:t>
      </w:r>
      <w:r>
        <w:rPr>
          <w:rFonts w:ascii="宋体" w:hAnsi="宋体"/>
          <w:sz w:val="21"/>
        </w:rPr>
        <w:t xml:space="preserve">包括</w:t>
      </w:r>
      <w:r>
        <w:rPr>
          <w:rFonts w:hint="eastAsia" w:ascii="宋体" w:hAnsi="宋体"/>
          <w:sz w:val="21"/>
        </w:rPr>
        <w:t xml:space="preserve">不限于项目组织</w:t>
      </w:r>
      <w:r>
        <w:rPr>
          <w:rFonts w:ascii="宋体" w:hAnsi="宋体"/>
          <w:sz w:val="21"/>
        </w:rPr>
        <w:t xml:space="preserve">、管理措施，</w:t>
      </w:r>
      <w:r>
        <w:rPr>
          <w:rFonts w:hint="eastAsia" w:ascii="宋体" w:hAnsi="宋体"/>
          <w:sz w:val="21"/>
        </w:rPr>
        <w:t xml:space="preserve">质量</w:t>
      </w:r>
      <w:r>
        <w:rPr>
          <w:rFonts w:ascii="宋体" w:hAnsi="宋体"/>
          <w:sz w:val="21"/>
        </w:rPr>
        <w:t xml:space="preserve">控制措施</w:t>
      </w:r>
      <w:r>
        <w:rPr>
          <w:rFonts w:hint="eastAsia" w:ascii="宋体" w:hAnsi="宋体"/>
          <w:sz w:val="21"/>
        </w:rPr>
        <w:t xml:space="preserve">等</w:t>
      </w:r>
      <w:r>
        <w:rPr>
          <w:rFonts w:ascii="宋体" w:hAnsi="宋体"/>
          <w:sz w:val="21"/>
        </w:rPr>
        <w:t xml:space="preserve">）</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项目实施方案（包括不限于设备供货配送，设备安装及调试方案，验收方案等）</w:t>
      </w:r>
      <w:r>
        <w:rPr>
          <w:rFonts w:hint="eastAsia" w:ascii="宋体" w:hAnsi="宋体"/>
          <w:sz w:val="21"/>
        </w:rPr>
        <w:t xml:space="preserve">；</w:t>
      </w:r>
      <w:r/>
    </w:p>
    <w:p>
      <w:pPr>
        <w:ind w:left="0" w:firstLine="420"/>
        <w:spacing w:line="360" w:lineRule="auto"/>
        <w:rPr>
          <w:rFonts w:ascii="宋体" w:hAnsi="宋体"/>
          <w:sz w:val="21"/>
        </w:rPr>
      </w:pPr>
      <w:r/>
      <w:bookmarkStart w:id="209" w:name="OLE_LINK68"/>
      <w:r/>
      <w:bookmarkStart w:id="210" w:name="OLE_LINK69"/>
      <w:r>
        <w:rPr>
          <w:rFonts w:hint="eastAsia" w:ascii="宋体" w:hAnsi="宋体"/>
          <w:sz w:val="21"/>
        </w:rPr>
        <w:t xml:space="preserve">（3）</w:t>
      </w:r>
      <w:bookmarkEnd w:id="209"/>
      <w:r/>
      <w:bookmarkEnd w:id="210"/>
      <w:r>
        <w:rPr>
          <w:rFonts w:hint="eastAsia" w:ascii="宋体" w:hAnsi="宋体"/>
          <w:sz w:val="21"/>
        </w:rPr>
        <w:t xml:space="preserve">项目组织实施人员配备（</w:t>
      </w:r>
      <w:r>
        <w:rPr>
          <w:rFonts w:ascii="宋体" w:hAnsi="宋体"/>
          <w:sz w:val="21"/>
        </w:rPr>
        <w:t xml:space="preserve">包括</w:t>
      </w:r>
      <w:r>
        <w:rPr>
          <w:rFonts w:hint="eastAsia" w:ascii="宋体" w:hAnsi="宋体"/>
          <w:sz w:val="21"/>
        </w:rPr>
        <w:t xml:space="preserve">不限于安装人员配备，</w:t>
      </w:r>
      <w:r>
        <w:rPr>
          <w:rFonts w:ascii="宋体" w:hAnsi="宋体"/>
          <w:sz w:val="21"/>
        </w:rPr>
        <w:t xml:space="preserve">岗位</w:t>
      </w:r>
      <w:r>
        <w:rPr>
          <w:rFonts w:hint="eastAsia" w:ascii="宋体" w:hAnsi="宋体"/>
          <w:sz w:val="21"/>
        </w:rPr>
        <w:t xml:space="preserve">职责</w:t>
      </w:r>
      <w:r>
        <w:rPr>
          <w:rFonts w:ascii="宋体" w:hAnsi="宋体"/>
          <w:sz w:val="21"/>
        </w:rPr>
        <w:t xml:space="preserve">，专业</w:t>
      </w:r>
      <w:r>
        <w:rPr>
          <w:rFonts w:hint="eastAsia" w:ascii="宋体" w:hAnsi="宋体"/>
          <w:sz w:val="21"/>
        </w:rPr>
        <w:t xml:space="preserve">能力</w:t>
      </w:r>
      <w:r>
        <w:rPr>
          <w:rFonts w:ascii="宋体" w:hAnsi="宋体"/>
          <w:sz w:val="21"/>
        </w:rPr>
        <w:t xml:space="preserve">程度</w:t>
      </w:r>
      <w:r>
        <w:rPr>
          <w:rFonts w:hint="eastAsia" w:ascii="宋体" w:hAnsi="宋体"/>
          <w:sz w:val="21"/>
        </w:rPr>
        <w:t xml:space="preserve">等）</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szCs w:val="21"/>
        </w:rPr>
        <w:t xml:space="preserve">2.</w:t>
      </w:r>
      <w:r>
        <w:rPr>
          <w:rFonts w:hint="eastAsia" w:ascii="宋体" w:hAnsi="宋体"/>
          <w:sz w:val="21"/>
          <w:szCs w:val="21"/>
        </w:rPr>
        <w:t xml:space="preserve">项目验收方案</w:t>
      </w:r>
      <w:r>
        <w:rPr>
          <w:rFonts w:hint="eastAsia" w:ascii="宋体" w:hAnsi="宋体"/>
          <w:sz w:val="21"/>
        </w:rPr>
        <w:t xml:space="preserve">：</w:t>
      </w:r>
      <w:r>
        <w:rPr>
          <w:rFonts w:ascii="宋体" w:hAnsi="宋体"/>
          <w:sz w:val="21"/>
        </w:rPr>
        <w:t xml:space="preserve">6</w:t>
      </w:r>
      <w:r>
        <w:rPr>
          <w:rFonts w:hint="eastAsia" w:ascii="宋体" w:hAnsi="宋体"/>
          <w:sz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根据投标单位提供</w:t>
      </w:r>
      <w:r>
        <w:rPr>
          <w:rFonts w:hint="eastAsia" w:ascii="宋体" w:hAnsi="宋体"/>
          <w:sz w:val="21"/>
          <w:szCs w:val="21"/>
        </w:rPr>
        <w:t xml:space="preserve">项目</w:t>
      </w:r>
      <w:r>
        <w:rPr>
          <w:rFonts w:hint="eastAsia" w:ascii="宋体" w:hAnsi="宋体"/>
          <w:sz w:val="21"/>
          <w:szCs w:val="21"/>
        </w:rPr>
        <w:t xml:space="preserve">验收</w:t>
      </w:r>
      <w:r>
        <w:rPr>
          <w:rFonts w:hint="eastAsia" w:ascii="宋体" w:hAnsi="宋体"/>
          <w:sz w:val="21"/>
          <w:szCs w:val="21"/>
        </w:rPr>
        <w:t xml:space="preserve">方案</w:t>
      </w:r>
      <w:r>
        <w:rPr>
          <w:rFonts w:hint="eastAsia" w:ascii="宋体" w:hAnsi="宋体"/>
          <w:sz w:val="21"/>
          <w:szCs w:val="21"/>
        </w:rPr>
        <w:t xml:space="preserve">进行综合评审。</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验收标准与质量要求</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验收组织、流程、内容</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验收结果及处理</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szCs w:val="21"/>
        </w:rPr>
        <w:t xml:space="preserve">售后服务方案</w:t>
      </w:r>
      <w:r>
        <w:rPr>
          <w:rFonts w:hint="eastAsia" w:ascii="宋体" w:hAnsi="宋体"/>
          <w:sz w:val="21"/>
        </w:rPr>
        <w:t xml:space="preserve">：</w:t>
      </w:r>
      <w:r>
        <w:rPr>
          <w:rFonts w:ascii="宋体" w:hAnsi="宋体"/>
          <w:sz w:val="21"/>
        </w:rPr>
        <w:t xml:space="preserve">6</w:t>
      </w:r>
      <w:r>
        <w:rPr>
          <w:rFonts w:hint="eastAsia" w:ascii="宋体" w:hAnsi="宋体"/>
          <w:sz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根据投标单位提供</w:t>
      </w:r>
      <w:r>
        <w:rPr>
          <w:rFonts w:hint="eastAsia" w:ascii="宋体" w:hAnsi="宋体"/>
          <w:sz w:val="21"/>
          <w:szCs w:val="21"/>
        </w:rPr>
        <w:t xml:space="preserve">售后服务方案</w:t>
      </w:r>
      <w:r>
        <w:rPr>
          <w:rFonts w:hint="eastAsia" w:ascii="宋体" w:hAnsi="宋体"/>
          <w:sz w:val="21"/>
          <w:szCs w:val="21"/>
        </w:rPr>
        <w:t xml:space="preserve">进行综合评审。</w:t>
      </w:r>
      <w:r/>
    </w:p>
    <w:p>
      <w:pPr>
        <w:ind w:left="0" w:firstLine="420"/>
        <w:spacing w:line="360" w:lineRule="auto"/>
        <w:rPr>
          <w:rFonts w:ascii="宋体" w:hAnsi="宋体"/>
          <w:sz w:val="21"/>
        </w:rPr>
      </w:pPr>
      <w:r/>
      <w:bookmarkStart w:id="211" w:name="OLE_LINK56"/>
      <w:r/>
      <w:bookmarkStart w:id="212" w:name="OLE_LINK55"/>
      <w:r>
        <w:rPr>
          <w:rFonts w:hint="eastAsia" w:ascii="宋体" w:hAnsi="宋体"/>
          <w:sz w:val="21"/>
        </w:rPr>
        <w:t xml:space="preserve">（1）</w:t>
      </w:r>
      <w:r>
        <w:rPr>
          <w:rFonts w:hint="eastAsia" w:ascii="宋体" w:hAnsi="宋体"/>
          <w:sz w:val="21"/>
        </w:rPr>
        <w:t xml:space="preserve">售后服务方案</w:t>
      </w:r>
      <w:r>
        <w:rPr>
          <w:rFonts w:ascii="宋体" w:hAnsi="宋体"/>
          <w:sz w:val="21"/>
        </w:rPr>
        <w:t xml:space="preserve">（包括</w:t>
      </w:r>
      <w:r>
        <w:rPr>
          <w:rFonts w:hint="eastAsia" w:ascii="宋体" w:hAnsi="宋体"/>
          <w:sz w:val="21"/>
        </w:rPr>
        <w:t xml:space="preserve">不限于售后</w:t>
      </w:r>
      <w:r>
        <w:rPr>
          <w:rFonts w:ascii="宋体" w:hAnsi="宋体"/>
          <w:sz w:val="21"/>
        </w:rPr>
        <w:t xml:space="preserve">服务</w:t>
      </w:r>
      <w:r>
        <w:rPr>
          <w:rFonts w:hint="eastAsia" w:ascii="宋体" w:hAnsi="宋体"/>
          <w:sz w:val="21"/>
        </w:rPr>
        <w:t xml:space="preserve">方式流程，服务</w:t>
      </w:r>
      <w:r>
        <w:rPr>
          <w:rFonts w:ascii="宋体" w:hAnsi="宋体"/>
          <w:sz w:val="21"/>
        </w:rPr>
        <w:t xml:space="preserve">内容、</w:t>
      </w:r>
      <w:r>
        <w:rPr>
          <w:rFonts w:hint="eastAsia" w:ascii="宋体" w:hAnsi="宋体"/>
          <w:sz w:val="21"/>
        </w:rPr>
        <w:t xml:space="preserve">期限</w:t>
      </w:r>
      <w:r>
        <w:rPr>
          <w:rFonts w:ascii="宋体" w:hAnsi="宋体"/>
          <w:sz w:val="21"/>
        </w:rPr>
        <w:t xml:space="preserve">，响应时效等</w:t>
      </w:r>
      <w:r>
        <w:rPr>
          <w:rFonts w:hint="eastAsia" w:ascii="宋体" w:hAnsi="宋体"/>
          <w:sz w:val="21"/>
        </w:rPr>
        <w:t xml:space="preserve">）</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维保运维</w:t>
      </w:r>
      <w:r>
        <w:rPr>
          <w:rFonts w:ascii="宋体" w:hAnsi="宋体"/>
          <w:sz w:val="21"/>
        </w:rPr>
        <w:t xml:space="preserve">方案</w:t>
      </w:r>
      <w:r>
        <w:rPr>
          <w:rFonts w:hint="eastAsia" w:ascii="宋体" w:hAnsi="宋体"/>
          <w:sz w:val="21"/>
        </w:rPr>
        <w:t xml:space="preserve">（</w:t>
      </w:r>
      <w:r>
        <w:rPr>
          <w:rFonts w:ascii="宋体" w:hAnsi="宋体"/>
          <w:sz w:val="21"/>
        </w:rPr>
        <w:t xml:space="preserve">包括</w:t>
      </w:r>
      <w:r>
        <w:rPr>
          <w:rFonts w:hint="eastAsia" w:ascii="宋体" w:hAnsi="宋体"/>
          <w:sz w:val="21"/>
        </w:rPr>
        <w:t xml:space="preserve">不限于运维</w:t>
      </w:r>
      <w:r>
        <w:rPr>
          <w:rFonts w:ascii="宋体" w:hAnsi="宋体"/>
          <w:sz w:val="21"/>
        </w:rPr>
        <w:t xml:space="preserve">人员</w:t>
      </w:r>
      <w:r>
        <w:rPr>
          <w:rFonts w:hint="eastAsia" w:ascii="宋体" w:hAnsi="宋体"/>
          <w:sz w:val="21"/>
        </w:rPr>
        <w:t xml:space="preserve">配备</w:t>
      </w:r>
      <w:r>
        <w:rPr>
          <w:rFonts w:ascii="宋体" w:hAnsi="宋体"/>
          <w:sz w:val="21"/>
        </w:rPr>
        <w:t xml:space="preserve">，维保内容，</w:t>
      </w:r>
      <w:r>
        <w:rPr>
          <w:rFonts w:hint="eastAsia" w:ascii="宋体" w:hAnsi="宋体"/>
          <w:sz w:val="21"/>
        </w:rPr>
        <w:t xml:space="preserve">应急故障</w:t>
      </w:r>
      <w:r>
        <w:rPr>
          <w:rFonts w:ascii="宋体" w:hAnsi="宋体"/>
          <w:sz w:val="21"/>
        </w:rPr>
        <w:t xml:space="preserve">处理</w:t>
      </w:r>
      <w:r>
        <w:rPr>
          <w:rFonts w:hint="eastAsia" w:ascii="宋体" w:hAnsi="宋体"/>
          <w:sz w:val="21"/>
        </w:rPr>
        <w:t xml:space="preserve">等）</w:t>
      </w:r>
      <w:r>
        <w:rPr>
          <w:rFonts w:hint="eastAsia" w:ascii="宋体" w:hAnsi="宋体"/>
          <w:sz w:val="21"/>
        </w:rPr>
        <w:t xml:space="preserve">。</w:t>
      </w:r>
      <w:bookmarkEnd w:id="211"/>
      <w:r/>
      <w:bookmarkEnd w:id="212"/>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3</w:t>
      </w:r>
      <w:r>
        <w:rPr>
          <w:rFonts w:hint="eastAsia" w:ascii="宋体" w:hAnsi="宋体"/>
          <w:sz w:val="21"/>
        </w:rPr>
        <w:t xml:space="preserve">分；方案合理性较弱、可行性有所欠缺、操作性不强、与项目实际贴合度不高的得</w:t>
      </w:r>
      <w:r>
        <w:rPr>
          <w:rFonts w:ascii="宋体" w:hAnsi="宋体"/>
          <w:sz w:val="21"/>
        </w:rPr>
        <w:t xml:space="preserve">1.5</w:t>
      </w:r>
      <w:r>
        <w:rPr>
          <w:rFonts w:hint="eastAsia" w:ascii="宋体" w:hAnsi="宋体"/>
          <w:sz w:val="21"/>
        </w:rPr>
        <w:t xml:space="preserve">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szCs w:val="21"/>
        </w:rPr>
      </w:pPr>
      <w:r/>
      <w:bookmarkStart w:id="213" w:name="OLE_LINK53"/>
      <w:r/>
      <w:bookmarkStart w:id="214" w:name="OLE_LINK54"/>
      <w:r>
        <w:rPr>
          <w:rFonts w:ascii="宋体" w:hAnsi="宋体"/>
          <w:sz w:val="21"/>
          <w:szCs w:val="21"/>
        </w:rPr>
        <w:t xml:space="preserve">4.</w:t>
      </w:r>
      <w:r>
        <w:rPr>
          <w:rFonts w:hint="eastAsia" w:ascii="宋体" w:hAnsi="宋体"/>
          <w:sz w:val="21"/>
          <w:szCs w:val="21"/>
        </w:rPr>
        <w:t xml:space="preserve">针对本项目培训方案</w:t>
      </w:r>
      <w:bookmarkEnd w:id="213"/>
      <w:r/>
      <w:bookmarkEnd w:id="214"/>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根据投标单位提供</w:t>
      </w:r>
      <w:r>
        <w:rPr>
          <w:rFonts w:hint="eastAsia" w:ascii="宋体" w:hAnsi="宋体"/>
          <w:sz w:val="21"/>
          <w:szCs w:val="21"/>
        </w:rPr>
        <w:t xml:space="preserve">针对本项目培训方案</w:t>
      </w:r>
      <w:r>
        <w:rPr>
          <w:rFonts w:hint="eastAsia" w:ascii="宋体" w:hAnsi="宋体"/>
          <w:sz w:val="21"/>
          <w:szCs w:val="21"/>
        </w:rPr>
        <w:t xml:space="preserve">进行综合评审。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培训计划与方式</w:t>
      </w:r>
      <w:r>
        <w:rPr>
          <w:rFonts w:ascii="宋体" w:hAnsi="宋体"/>
          <w:sz w:val="21"/>
          <w:szCs w:val="21"/>
        </w:rPr>
        <w:t xml:space="preserve">（包括</w:t>
      </w:r>
      <w:r>
        <w:rPr>
          <w:rFonts w:hint="eastAsia" w:ascii="宋体" w:hAnsi="宋体"/>
          <w:sz w:val="21"/>
          <w:szCs w:val="21"/>
        </w:rPr>
        <w:t xml:space="preserve">不限于培训</w:t>
      </w:r>
      <w:r>
        <w:rPr>
          <w:rFonts w:ascii="宋体" w:hAnsi="宋体"/>
          <w:sz w:val="21"/>
          <w:szCs w:val="21"/>
        </w:rPr>
        <w:t xml:space="preserve">流程、培训</w:t>
      </w:r>
      <w:r>
        <w:rPr>
          <w:rFonts w:hint="eastAsia" w:ascii="宋体" w:hAnsi="宋体"/>
          <w:sz w:val="21"/>
          <w:szCs w:val="21"/>
        </w:rPr>
        <w:t xml:space="preserve">方式、时间、</w:t>
      </w:r>
      <w:r>
        <w:rPr>
          <w:rFonts w:ascii="宋体" w:hAnsi="宋体"/>
          <w:sz w:val="21"/>
          <w:szCs w:val="21"/>
        </w:rPr>
        <w:t xml:space="preserve">周期计划</w:t>
      </w:r>
      <w:r>
        <w:rPr>
          <w:rFonts w:hint="eastAsia" w:ascii="宋体" w:hAnsi="宋体"/>
          <w:sz w:val="21"/>
          <w:szCs w:val="21"/>
        </w:rPr>
        <w:t xml:space="preserve">等）</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bookmarkStart w:id="215" w:name="OLE_LINK51"/>
      <w:r>
        <w:rPr>
          <w:rFonts w:hint="eastAsia" w:ascii="宋体" w:hAnsi="宋体"/>
          <w:sz w:val="21"/>
          <w:szCs w:val="21"/>
        </w:rPr>
        <w:t xml:space="preserve">（2）</w:t>
      </w:r>
      <w:bookmarkEnd w:id="215"/>
      <w:r>
        <w:rPr>
          <w:rFonts w:ascii="宋体" w:hAnsi="宋体"/>
          <w:sz w:val="21"/>
          <w:szCs w:val="21"/>
        </w:rPr>
        <w:t xml:space="preserve">培训内容</w:t>
      </w:r>
      <w:r>
        <w:rPr>
          <w:rFonts w:hint="eastAsia" w:ascii="宋体" w:hAnsi="宋体"/>
          <w:sz w:val="21"/>
          <w:szCs w:val="21"/>
        </w:rPr>
        <w:t xml:space="preserve">（</w:t>
      </w:r>
      <w:r>
        <w:rPr>
          <w:rFonts w:ascii="宋体" w:hAnsi="宋体"/>
          <w:sz w:val="21"/>
          <w:szCs w:val="21"/>
        </w:rPr>
        <w:t xml:space="preserve">包括</w:t>
      </w:r>
      <w:r>
        <w:rPr>
          <w:rFonts w:hint="eastAsia" w:ascii="宋体" w:hAnsi="宋体"/>
          <w:sz w:val="21"/>
          <w:szCs w:val="21"/>
        </w:rPr>
        <w:t xml:space="preserve">不限于培训</w:t>
      </w:r>
      <w:r>
        <w:rPr>
          <w:rFonts w:ascii="宋体" w:hAnsi="宋体"/>
          <w:sz w:val="21"/>
          <w:szCs w:val="21"/>
        </w:rPr>
        <w:t xml:space="preserve">产品介绍，</w:t>
      </w:r>
      <w:r>
        <w:rPr>
          <w:rFonts w:hint="eastAsia" w:ascii="宋体" w:hAnsi="宋体"/>
          <w:sz w:val="21"/>
          <w:szCs w:val="21"/>
        </w:rPr>
        <w:t xml:space="preserve">基本</w:t>
      </w:r>
      <w:r>
        <w:rPr>
          <w:rFonts w:ascii="宋体" w:hAnsi="宋体"/>
          <w:sz w:val="21"/>
          <w:szCs w:val="21"/>
        </w:rPr>
        <w:t xml:space="preserve">功能使用</w:t>
      </w:r>
      <w:r>
        <w:rPr>
          <w:rFonts w:hint="eastAsia" w:ascii="宋体" w:hAnsi="宋体"/>
          <w:sz w:val="21"/>
          <w:szCs w:val="21"/>
        </w:rPr>
        <w:t xml:space="preserve">，</w:t>
      </w:r>
      <w:r>
        <w:rPr>
          <w:rFonts w:ascii="宋体" w:hAnsi="宋体"/>
          <w:sz w:val="21"/>
          <w:szCs w:val="21"/>
        </w:rPr>
        <w:t xml:space="preserve">注意事项等）</w:t>
      </w:r>
      <w:r>
        <w:rPr>
          <w:rFonts w:hint="eastAsia" w:ascii="宋体" w:hAnsi="宋体"/>
          <w:sz w:val="21"/>
          <w:szCs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3</w:t>
      </w:r>
      <w:r>
        <w:rPr>
          <w:rFonts w:hint="eastAsia" w:ascii="宋体" w:hAnsi="宋体"/>
          <w:sz w:val="21"/>
        </w:rPr>
        <w:t xml:space="preserve">分；方案合理性较弱、可行性有所欠缺、操作性不强、与项目实际贴合度不高的得</w:t>
      </w:r>
      <w:r>
        <w:rPr>
          <w:rFonts w:ascii="宋体" w:hAnsi="宋体"/>
          <w:sz w:val="21"/>
        </w:rPr>
        <w:t xml:space="preserve">1.5</w:t>
      </w:r>
      <w:r>
        <w:rPr>
          <w:rFonts w:hint="eastAsia" w:ascii="宋体" w:hAnsi="宋体"/>
          <w:sz w:val="21"/>
        </w:rPr>
        <w:t xml:space="preserve">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针对本项目</w:t>
      </w:r>
      <w:bookmarkStart w:id="216" w:name="OLE_LINK25"/>
      <w:r/>
      <w:bookmarkStart w:id="217" w:name="OLE_LINK22"/>
      <w:r>
        <w:rPr>
          <w:rFonts w:hint="eastAsia" w:ascii="宋体" w:hAnsi="宋体"/>
          <w:sz w:val="21"/>
          <w:szCs w:val="21"/>
        </w:rPr>
        <w:t xml:space="preserve">项目巡检方案</w:t>
      </w:r>
      <w:bookmarkEnd w:id="216"/>
      <w:r/>
      <w:bookmarkEnd w:id="217"/>
      <w:r>
        <w:rPr>
          <w:rFonts w:hint="eastAsia" w:ascii="宋体" w:hAnsi="宋体"/>
          <w:sz w:val="21"/>
          <w:szCs w:val="21"/>
        </w:rPr>
        <w:t xml:space="preserve">：6分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根据投标单位提供针对本项目巡检方案进行综合评审。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bookmarkStart w:id="218" w:name="OLE_LINK57"/>
      <w:r>
        <w:rPr>
          <w:rFonts w:hint="eastAsia" w:ascii="宋体" w:hAnsi="宋体"/>
          <w:sz w:val="21"/>
          <w:szCs w:val="21"/>
        </w:rPr>
        <w:t xml:space="preserve">巡检计划方案</w:t>
      </w:r>
      <w:r>
        <w:rPr>
          <w:rFonts w:ascii="宋体" w:hAnsi="宋体"/>
          <w:sz w:val="21"/>
          <w:szCs w:val="21"/>
        </w:rPr>
        <w:t xml:space="preserve">（包括</w:t>
      </w:r>
      <w:r>
        <w:rPr>
          <w:rFonts w:hint="eastAsia" w:ascii="宋体" w:hAnsi="宋体"/>
          <w:sz w:val="21"/>
          <w:szCs w:val="21"/>
        </w:rPr>
        <w:t xml:space="preserve">不限于巡检方式、人员</w:t>
      </w:r>
      <w:r>
        <w:rPr>
          <w:rFonts w:ascii="宋体" w:hAnsi="宋体"/>
          <w:sz w:val="21"/>
          <w:szCs w:val="21"/>
        </w:rPr>
        <w:t xml:space="preserve">组织、周期</w:t>
      </w:r>
      <w:r>
        <w:rPr>
          <w:rFonts w:hint="eastAsia" w:ascii="宋体" w:hAnsi="宋体"/>
          <w:sz w:val="21"/>
          <w:szCs w:val="21"/>
        </w:rPr>
        <w:t xml:space="preserve">频率等）</w:t>
      </w:r>
      <w:r>
        <w:rPr>
          <w:rFonts w:hint="eastAsia" w:ascii="宋体" w:hAnsi="宋体"/>
          <w:sz w:val="21"/>
          <w:szCs w:val="21"/>
        </w:rPr>
        <w:t xml:space="preserve">；</w:t>
      </w:r>
      <w:bookmarkEnd w:id="218"/>
      <w:r/>
      <w:r/>
    </w:p>
    <w:p>
      <w:pPr>
        <w:ind w:left="0" w:firstLine="420"/>
        <w:spacing w:line="360" w:lineRule="auto"/>
        <w:widowControl w:val="off"/>
        <w:rPr>
          <w:rFonts w:ascii="宋体" w:hAnsi="宋体"/>
          <w:sz w:val="21"/>
          <w:szCs w:val="21"/>
        </w:rPr>
      </w:pPr>
      <w:r>
        <w:rPr>
          <w:rFonts w:hint="eastAsia" w:ascii="宋体" w:hAnsi="宋体"/>
          <w:sz w:val="21"/>
          <w:szCs w:val="21"/>
        </w:rPr>
        <w:t xml:space="preserve">（2）巡检内容及解决方案（包括不限于巡检内容，巡检报告，解决或优化方案）。</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3分；方案合理性较弱、可行性有所欠缺、操作性不强、与项目实际贴合度不高的得1.5分；每项叙述内容完全脱离采购需求或未作完整叙述的不得分。本项最高得6分。</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应急保障方案</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根据投标单位提供针对本项目</w:t>
      </w:r>
      <w:r>
        <w:rPr>
          <w:rFonts w:hint="eastAsia" w:ascii="宋体" w:hAnsi="宋体"/>
          <w:sz w:val="21"/>
          <w:szCs w:val="21"/>
        </w:rPr>
        <w:t xml:space="preserve">应急保障方案</w:t>
      </w:r>
      <w:r>
        <w:rPr>
          <w:rFonts w:hint="eastAsia" w:ascii="宋体" w:hAnsi="宋体"/>
          <w:sz w:val="21"/>
          <w:szCs w:val="21"/>
        </w:rPr>
        <w:t xml:space="preserve">进行综合评审。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应急方案</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故障处理</w:t>
      </w:r>
      <w:r>
        <w:rPr>
          <w:rFonts w:hint="eastAsia" w:ascii="宋体" w:hAnsi="宋体"/>
          <w:sz w:val="21"/>
          <w:szCs w:val="21"/>
        </w:rPr>
        <w:t xml:space="preserve">方案</w:t>
      </w:r>
      <w:r>
        <w:rPr>
          <w:rFonts w:hint="eastAsia" w:ascii="宋体" w:hAnsi="宋体"/>
          <w:sz w:val="21"/>
          <w:szCs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2</w:t>
      </w:r>
      <w:r>
        <w:rPr>
          <w:rFonts w:hint="eastAsia" w:ascii="宋体" w:hAnsi="宋体"/>
          <w:sz w:val="21"/>
        </w:rPr>
        <w:t xml:space="preserve">分；方案合理性较弱、可行性有所欠缺、操作性不强、与项目实际贴合度不高的得1分；每项叙述内容完全脱离采购需求或未作完整叙述的不得分。本项最高得</w:t>
      </w:r>
      <w:r>
        <w:rPr>
          <w:rFonts w:ascii="宋体" w:hAnsi="宋体"/>
          <w:sz w:val="21"/>
        </w:rPr>
        <w:t xml:space="preserve">4</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（三）</w:t>
      </w:r>
      <w:bookmarkStart w:id="219" w:name="OLE_LINK27"/>
      <w:r>
        <w:rPr>
          <w:rFonts w:hint="eastAsia" w:ascii="宋体" w:hAnsi="宋体"/>
          <w:b/>
          <w:bCs/>
          <w:sz w:val="21"/>
        </w:rPr>
        <w:t xml:space="preserve">技术参数响应</w:t>
      </w:r>
      <w:bookmarkEnd w:id="219"/>
      <w:r>
        <w:rPr>
          <w:rFonts w:hint="eastAsia" w:ascii="宋体" w:hAnsi="宋体"/>
          <w:b/>
          <w:bCs/>
          <w:sz w:val="21"/>
        </w:rPr>
        <w:t xml:space="preserve">：</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bCs/>
          <w:sz w:val="21"/>
        </w:rPr>
        <w:t xml:space="preserve">投标文件中技术参数</w:t>
      </w:r>
      <w:r>
        <w:rPr>
          <w:rFonts w:hint="eastAsia" w:ascii="宋体" w:hAnsi="宋体"/>
          <w:sz w:val="21"/>
        </w:rPr>
        <w:t xml:space="preserve">完全符合或优于招标文件的技术参数要求的，</w:t>
      </w:r>
      <w:r>
        <w:rPr>
          <w:rFonts w:hint="eastAsia" w:ascii="宋体" w:hAnsi="宋体"/>
          <w:bCs/>
          <w:sz w:val="21"/>
        </w:rPr>
        <w:t xml:space="preserve">带</w:t>
      </w:r>
      <w:r>
        <w:rPr>
          <w:rFonts w:hint="eastAsia" w:ascii="宋体" w:hAnsi="宋体"/>
          <w:sz w:val="21"/>
        </w:rPr>
        <w:t xml:space="preserve">“</w:t>
      </w:r>
      <w:r>
        <w:rPr>
          <w:rFonts w:hint="eastAsia" w:ascii="宋体" w:hAnsi="宋体"/>
          <w:sz w:val="21"/>
          <w:szCs w:val="21"/>
        </w:rPr>
        <w:t xml:space="preserve">★</w:t>
      </w:r>
      <w:r>
        <w:rPr>
          <w:rFonts w:hint="eastAsia" w:ascii="宋体" w:hAnsi="宋体"/>
          <w:sz w:val="21"/>
        </w:rPr>
        <w:t xml:space="preserve">”</w:t>
      </w:r>
      <w:r>
        <w:rPr>
          <w:rFonts w:hint="eastAsia" w:ascii="宋体" w:hAnsi="宋体"/>
          <w:bCs/>
          <w:sz w:val="21"/>
        </w:rPr>
        <w:t xml:space="preserve">项</w:t>
      </w:r>
      <w:r>
        <w:rPr>
          <w:rFonts w:hint="eastAsia" w:ascii="宋体" w:hAnsi="宋体"/>
          <w:sz w:val="21"/>
        </w:rPr>
        <w:t xml:space="preserve">技术参数，每提供一项证明材料的得</w:t>
      </w:r>
      <w:r>
        <w:rPr>
          <w:rFonts w:ascii="宋体" w:hAnsi="宋体"/>
          <w:sz w:val="21"/>
        </w:rPr>
        <w:t xml:space="preserve">1</w:t>
      </w:r>
      <w:r>
        <w:rPr>
          <w:rFonts w:hint="eastAsia" w:ascii="宋体" w:hAnsi="宋体"/>
          <w:sz w:val="21"/>
        </w:rPr>
        <w:t xml:space="preserve">分；最高得</w:t>
      </w:r>
      <w:r>
        <w:rPr>
          <w:rFonts w:ascii="宋体" w:hAnsi="宋体"/>
          <w:sz w:val="21"/>
        </w:rPr>
        <w:t xml:space="preserve">10</w:t>
      </w:r>
      <w:r>
        <w:rPr>
          <w:rFonts w:hint="eastAsia" w:ascii="宋体" w:hAnsi="宋体"/>
          <w:sz w:val="21"/>
        </w:rPr>
        <w:t xml:space="preserve">分。</w:t>
      </w:r>
      <w:r/>
    </w:p>
    <w:p>
      <w:pPr>
        <w:ind w:left="0" w:firstLine="422"/>
        <w:jc w:val="left"/>
        <w:spacing w:line="500" w:lineRule="exact"/>
        <w:rPr>
          <w:rFonts w:ascii="宋体" w:hAnsi="宋体"/>
          <w:b/>
          <w:sz w:val="21"/>
          <w:szCs w:val="21"/>
        </w:rPr>
      </w:pPr>
      <w:r>
        <w:rPr>
          <w:rFonts w:hint="eastAsia" w:ascii="宋体" w:hAnsi="宋体"/>
          <w:b/>
          <w:sz w:val="21"/>
          <w:szCs w:val="21"/>
        </w:rPr>
        <w:t xml:space="preserve">（注：带</w:t>
      </w:r>
      <w:r>
        <w:rPr>
          <w:rFonts w:hint="eastAsia" w:ascii="宋体" w:hAnsi="宋体"/>
          <w:sz w:val="21"/>
        </w:rPr>
        <w:t xml:space="preserve">“</w:t>
      </w:r>
      <w:r>
        <w:rPr>
          <w:rFonts w:hint="eastAsia" w:ascii="宋体" w:hAnsi="宋体"/>
          <w:sz w:val="21"/>
          <w:szCs w:val="21"/>
        </w:rPr>
        <w:t xml:space="preserve">★</w:t>
      </w:r>
      <w:r>
        <w:rPr>
          <w:rFonts w:hint="eastAsia" w:ascii="宋体" w:hAnsi="宋体"/>
          <w:b/>
          <w:sz w:val="21"/>
          <w:szCs w:val="21"/>
        </w:rPr>
        <w:t xml:space="preserve">”项技术参数投标文件中需提供以下任意一种证明材料：1.具有</w:t>
      </w:r>
      <w:r>
        <w:rPr>
          <w:rFonts w:hint="eastAsia" w:ascii="Times New Roman" w:hAnsi="Times New Roman" w:cs="Times New Roman"/>
          <w:b/>
          <w:bCs/>
          <w:color w:val="000000" w:themeColor="text1"/>
          <w:sz w:val="21"/>
          <w:szCs w:val="22"/>
        </w:rPr>
        <w:t xml:space="preserve">检测资质的检测</w:t>
      </w:r>
      <w:r>
        <w:rPr>
          <w:rFonts w:hint="eastAsia" w:ascii="宋体" w:hAnsi="宋体"/>
          <w:b/>
          <w:sz w:val="21"/>
          <w:szCs w:val="21"/>
        </w:rPr>
        <w:t xml:space="preserve">机构出具的</w:t>
      </w:r>
      <w:r>
        <w:rPr>
          <w:rFonts w:hint="eastAsia" w:ascii="Times New Roman" w:hAnsi="Times New Roman" w:cs="Times New Roman"/>
          <w:b/>
          <w:bCs/>
          <w:color w:val="000000" w:themeColor="text1"/>
          <w:sz w:val="21"/>
          <w:szCs w:val="22"/>
        </w:rPr>
        <w:t xml:space="preserve">检测报告页面必须有</w:t>
      </w:r>
      <w:r>
        <w:rPr>
          <w:rFonts w:ascii="Times New Roman" w:hAnsi="Times New Roman" w:cs="Times New Roman"/>
          <w:b/>
          <w:bCs/>
          <w:color w:val="000000" w:themeColor="text1"/>
          <w:sz w:val="21"/>
          <w:szCs w:val="22"/>
        </w:rPr>
        <w:t xml:space="preserve">CMA</w:t>
      </w:r>
      <w:r>
        <w:rPr>
          <w:rFonts w:hint="eastAsia" w:ascii="Times New Roman" w:hAnsi="Times New Roman" w:cs="Times New Roman"/>
          <w:b/>
          <w:bCs/>
          <w:color w:val="000000" w:themeColor="text1"/>
          <w:sz w:val="21"/>
          <w:szCs w:val="22"/>
        </w:rPr>
        <w:t xml:space="preserve">认证标志的检测报告复印件</w:t>
      </w:r>
      <w:r>
        <w:rPr>
          <w:rFonts w:hint="eastAsia" w:ascii="宋体" w:hAnsi="宋体"/>
          <w:b/>
          <w:sz w:val="21"/>
          <w:szCs w:val="21"/>
        </w:rPr>
        <w:t xml:space="preserve">2.官网截图证明3.产品功能界面截图或彩页说明书，未按要求提供证明材料的不得分。）</w:t>
      </w:r>
      <w:r/>
    </w:p>
    <w:p>
      <w:pPr>
        <w:ind w:left="0" w:firstLine="422"/>
        <w:spacing w:line="360" w:lineRule="auto"/>
        <w:rPr>
          <w:rFonts w:ascii="宋体" w:hAnsi="宋体"/>
          <w:b/>
          <w:bCs/>
          <w:sz w:val="21"/>
        </w:rPr>
      </w:pPr>
      <w:r>
        <w:rPr>
          <w:rFonts w:hint="eastAsia" w:ascii="宋体" w:hAnsi="宋体"/>
          <w:b/>
          <w:bCs/>
          <w:sz w:val="21"/>
        </w:rPr>
        <w:t xml:space="preserve">（四）</w:t>
      </w:r>
      <w:bookmarkStart w:id="220" w:name="OLE_LINK29"/>
      <w:r/>
      <w:bookmarkStart w:id="221" w:name="OLE_LINK28"/>
      <w:r>
        <w:rPr>
          <w:rFonts w:hint="eastAsia" w:ascii="宋体" w:hAnsi="宋体"/>
          <w:b/>
          <w:bCs/>
          <w:sz w:val="21"/>
        </w:rPr>
        <w:t xml:space="preserve">综合实力比较</w:t>
      </w:r>
      <w:bookmarkEnd w:id="220"/>
      <w:r/>
      <w:bookmarkEnd w:id="221"/>
      <w:r>
        <w:rPr>
          <w:rFonts w:hint="eastAsia" w:ascii="宋体" w:hAnsi="宋体"/>
          <w:b/>
          <w:bCs/>
          <w:sz w:val="21"/>
        </w:rPr>
        <w:t xml:space="preserve">：</w:t>
      </w:r>
      <w:r>
        <w:rPr>
          <w:rFonts w:ascii="宋体" w:hAnsi="宋体"/>
          <w:b/>
          <w:bCs/>
          <w:sz w:val="21"/>
        </w:rPr>
        <w:t xml:space="preserve">14</w:t>
      </w:r>
      <w:r>
        <w:rPr>
          <w:rFonts w:hint="eastAsia" w:ascii="宋体" w:hAnsi="宋体"/>
          <w:b/>
          <w:bCs/>
          <w:sz w:val="21"/>
        </w:rPr>
        <w:t xml:space="preserve">分</w:t>
      </w:r>
      <w:r/>
    </w:p>
    <w:p>
      <w:pPr>
        <w:ind w:left="0" w:firstLine="420"/>
        <w:spacing w:line="360" w:lineRule="auto"/>
        <w:rPr>
          <w:rFonts w:ascii="宋体" w:hAnsi="宋体"/>
          <w:bCs/>
          <w:sz w:val="21"/>
        </w:rPr>
      </w:pPr>
      <w:r>
        <w:rPr>
          <w:rFonts w:hint="eastAsia" w:ascii="宋体" w:hAnsi="宋体"/>
          <w:bCs/>
          <w:sz w:val="21"/>
        </w:rPr>
        <w:t xml:space="preserve">1</w:t>
      </w:r>
      <w:r>
        <w:rPr>
          <w:rFonts w:ascii="宋体" w:hAnsi="宋体"/>
          <w:bCs/>
          <w:sz w:val="21"/>
        </w:rPr>
        <w:t xml:space="preserve">.</w:t>
      </w:r>
      <w:r>
        <w:rPr>
          <w:rFonts w:hint="eastAsia" w:ascii="宋体" w:hAnsi="宋体"/>
          <w:bCs/>
          <w:sz w:val="21"/>
        </w:rPr>
        <w:t xml:space="preserve">投标单位具有质量管理体系认证证书</w:t>
      </w:r>
      <w:r>
        <w:rPr>
          <w:rFonts w:hint="eastAsia" w:ascii="宋体" w:hAnsi="宋体"/>
          <w:bCs/>
          <w:sz w:val="21"/>
        </w:rPr>
        <w:t xml:space="preserve">、职业健康安全管理体系认证证书</w:t>
      </w:r>
      <w:bookmarkStart w:id="222" w:name="OLE_LINK71"/>
      <w:r/>
      <w:bookmarkStart w:id="223" w:name="OLE_LINK70"/>
      <w:r>
        <w:rPr>
          <w:rFonts w:hint="eastAsia" w:ascii="宋体" w:hAnsi="宋体"/>
          <w:bCs/>
          <w:sz w:val="21"/>
        </w:rPr>
        <w:t xml:space="preserve">、信息安全管理体系认证证书、信息技术服务管理体系认证证书</w:t>
      </w:r>
      <w:bookmarkEnd w:id="222"/>
      <w:r/>
      <w:bookmarkEnd w:id="223"/>
      <w:r>
        <w:rPr>
          <w:rFonts w:hint="eastAsia" w:ascii="宋体" w:hAnsi="宋体"/>
          <w:bCs/>
          <w:sz w:val="21"/>
        </w:rPr>
        <w:t xml:space="preserve">的有一项得</w:t>
      </w:r>
      <w:r>
        <w:rPr>
          <w:rFonts w:ascii="宋体" w:hAnsi="宋体"/>
          <w:bCs/>
          <w:sz w:val="21"/>
        </w:rPr>
        <w:t xml:space="preserve">0.5</w:t>
      </w:r>
      <w:r>
        <w:rPr>
          <w:rFonts w:hint="eastAsia" w:ascii="宋体" w:hAnsi="宋体"/>
          <w:bCs/>
          <w:sz w:val="21"/>
        </w:rPr>
        <w:t xml:space="preserve">分，最多得</w:t>
      </w:r>
      <w:r>
        <w:rPr>
          <w:rFonts w:ascii="宋体" w:hAnsi="宋体"/>
          <w:bCs/>
          <w:sz w:val="21"/>
        </w:rPr>
        <w:t xml:space="preserve">2</w:t>
      </w:r>
      <w:r>
        <w:rPr>
          <w:rFonts w:hint="eastAsia" w:ascii="宋体" w:hAnsi="宋体"/>
          <w:bCs/>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w:t>
      </w:r>
      <w:bookmarkStart w:id="224" w:name="_Hlk152854893"/>
      <w:r>
        <w:rPr>
          <w:rFonts w:hint="eastAsia" w:ascii="宋体" w:hAnsi="宋体"/>
          <w:b/>
          <w:bCs/>
          <w:sz w:val="21"/>
        </w:rPr>
        <w:t xml:space="preserve">注：</w:t>
      </w:r>
      <w:bookmarkEnd w:id="224"/>
      <w:r>
        <w:rPr>
          <w:rFonts w:hint="eastAsia" w:ascii="宋体" w:hAnsi="宋体"/>
          <w:b/>
          <w:bCs/>
          <w:sz w:val="21"/>
        </w:rPr>
        <w:t xml:space="preserve">投标文件中须提供证书复印件或国家认监委官网查询截图并加盖投标单位公章，未提供不得分。</w:t>
      </w:r>
      <w:r>
        <w:rPr>
          <w:rFonts w:ascii="宋体" w:hAnsi="宋体"/>
          <w:b/>
          <w:bCs/>
          <w:sz w:val="21"/>
        </w:rPr>
        <w:t xml:space="preserve">)</w:t>
      </w:r>
      <w:r/>
    </w:p>
    <w:p>
      <w:pPr>
        <w:ind w:left="0" w:firstLine="420"/>
        <w:spacing w:line="360" w:lineRule="auto"/>
        <w:rPr>
          <w:rFonts w:ascii="宋体" w:hAnsi="宋体"/>
          <w:bCs/>
          <w:sz w:val="21"/>
        </w:rPr>
      </w:pPr>
      <w:r>
        <w:rPr>
          <w:rFonts w:ascii="宋体" w:hAnsi="宋体"/>
          <w:bCs/>
          <w:sz w:val="21"/>
        </w:rPr>
        <w:t xml:space="preserve">2.</w:t>
      </w:r>
      <w:r>
        <w:rPr>
          <w:rFonts w:hint="eastAsia" w:ascii="宋体" w:hAnsi="宋体"/>
          <w:bCs/>
          <w:sz w:val="21"/>
        </w:rPr>
        <w:t xml:space="preserve">投标单位具有有效的国家标准</w:t>
      </w:r>
      <w:r>
        <w:rPr>
          <w:rFonts w:ascii="宋体" w:hAnsi="宋体"/>
          <w:bCs/>
          <w:sz w:val="21"/>
        </w:rPr>
        <w:t xml:space="preserve">(GB/T27922-2011)</w:t>
      </w:r>
      <w:r>
        <w:rPr>
          <w:rFonts w:hint="eastAsia" w:ascii="宋体" w:hAnsi="宋体"/>
          <w:bCs/>
          <w:sz w:val="21"/>
        </w:rPr>
        <w:t xml:space="preserve">售后服务认证证书的，五星级</w:t>
      </w:r>
      <w:r>
        <w:rPr>
          <w:rFonts w:hint="eastAsia" w:ascii="宋体" w:hAnsi="宋体"/>
          <w:bCs/>
          <w:sz w:val="21"/>
        </w:rPr>
        <w:t xml:space="preserve">或以上级别的</w:t>
      </w:r>
      <w:r>
        <w:rPr>
          <w:rFonts w:hint="eastAsia" w:ascii="宋体" w:hAnsi="宋体"/>
          <w:bCs/>
          <w:sz w:val="21"/>
        </w:rPr>
        <w:t xml:space="preserve">得</w:t>
      </w:r>
      <w:r>
        <w:rPr>
          <w:rFonts w:ascii="宋体" w:hAnsi="宋体"/>
          <w:bCs/>
          <w:sz w:val="21"/>
        </w:rPr>
        <w:t xml:space="preserve">2</w:t>
      </w:r>
      <w:r>
        <w:rPr>
          <w:rFonts w:hint="eastAsia" w:ascii="宋体" w:hAnsi="宋体"/>
          <w:bCs/>
          <w:sz w:val="21"/>
        </w:rPr>
        <w:t xml:space="preserve">分。</w:t>
      </w:r>
      <w:r/>
    </w:p>
    <w:p>
      <w:pPr>
        <w:ind w:left="0" w:firstLine="422"/>
        <w:spacing w:line="360" w:lineRule="auto"/>
        <w:rPr>
          <w:rFonts w:ascii="宋体" w:hAnsi="宋体"/>
          <w:b/>
          <w:sz w:val="21"/>
          <w:szCs w:val="21"/>
        </w:rPr>
      </w:pPr>
      <w:r/>
      <w:bookmarkStart w:id="225" w:name="OLE_LINK46"/>
      <w:r/>
      <w:bookmarkStart w:id="226" w:name="OLE_LINK47"/>
      <w:r>
        <w:rPr>
          <w:rFonts w:hint="eastAsia" w:ascii="宋体" w:hAnsi="宋体"/>
          <w:b/>
          <w:sz w:val="21"/>
          <w:szCs w:val="21"/>
        </w:rPr>
        <w:t xml:space="preserve">（注：投标文件中须提供证书复印件或国家认监委官网查询截图并加盖投标单位公章，未提供不得分。</w:t>
      </w:r>
      <w:r>
        <w:rPr>
          <w:rFonts w:ascii="宋体" w:hAnsi="宋体"/>
          <w:b/>
          <w:sz w:val="21"/>
          <w:szCs w:val="21"/>
        </w:rPr>
        <w:t xml:space="preserve">)</w:t>
      </w:r>
      <w:bookmarkEnd w:id="225"/>
      <w:r/>
      <w:bookmarkEnd w:id="226"/>
      <w:r/>
      <w:r/>
    </w:p>
    <w:p>
      <w:pPr>
        <w:ind w:left="0" w:firstLine="420"/>
        <w:spacing w:line="360" w:lineRule="auto"/>
        <w:rPr>
          <w:rFonts w:ascii="宋体" w:hAnsi="宋体"/>
          <w:bCs/>
          <w:sz w:val="21"/>
        </w:rPr>
      </w:pPr>
      <w:r>
        <w:rPr>
          <w:rFonts w:ascii="宋体" w:hAnsi="宋体"/>
          <w:bCs/>
          <w:sz w:val="21"/>
        </w:rPr>
        <w:t xml:space="preserve">3.</w:t>
      </w:r>
      <w:r>
        <w:rPr>
          <w:rFonts w:hint="eastAsia" w:ascii="宋体" w:hAnsi="宋体"/>
          <w:bCs/>
          <w:sz w:val="21"/>
        </w:rPr>
        <w:t xml:space="preserve">所投产品</w:t>
      </w:r>
      <w:r>
        <w:rPr>
          <w:rFonts w:hint="eastAsia" w:ascii="宋体" w:hAnsi="宋体"/>
          <w:bCs/>
          <w:sz w:val="21"/>
        </w:rPr>
        <w:t xml:space="preserve">台式计算机、显示器、便携式计算机均为同一品牌</w:t>
      </w:r>
      <w:r>
        <w:rPr>
          <w:rFonts w:hint="eastAsia" w:ascii="宋体" w:hAnsi="宋体"/>
          <w:bCs/>
          <w:sz w:val="21"/>
        </w:rPr>
        <w:t xml:space="preserve">的</w:t>
      </w:r>
      <w:r>
        <w:rPr>
          <w:rFonts w:hint="eastAsia" w:ascii="宋体" w:hAnsi="宋体"/>
          <w:bCs/>
          <w:sz w:val="21"/>
        </w:rPr>
        <w:t xml:space="preserve">得</w:t>
      </w:r>
      <w:r>
        <w:rPr>
          <w:rFonts w:ascii="宋体" w:hAnsi="宋体"/>
          <w:bCs/>
          <w:sz w:val="21"/>
        </w:rPr>
        <w:t xml:space="preserve">2</w:t>
      </w:r>
      <w:r>
        <w:rPr>
          <w:rFonts w:hint="eastAsia" w:ascii="宋体" w:hAnsi="宋体"/>
          <w:bCs/>
          <w:sz w:val="21"/>
        </w:rPr>
        <w:t xml:space="preserve">分。</w:t>
      </w:r>
      <w:r/>
    </w:p>
    <w:p>
      <w:pPr>
        <w:ind w:left="0" w:firstLine="422"/>
        <w:spacing w:line="360" w:lineRule="auto"/>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以</w:t>
      </w:r>
      <w:r>
        <w:rPr>
          <w:rFonts w:hint="eastAsia" w:ascii="宋体" w:hAnsi="宋体"/>
          <w:b/>
          <w:sz w:val="21"/>
          <w:szCs w:val="21"/>
        </w:rPr>
        <w:t xml:space="preserve">投标文件中</w:t>
      </w:r>
      <w:r>
        <w:rPr>
          <w:rFonts w:hint="eastAsia" w:ascii="宋体" w:hAnsi="宋体"/>
          <w:b/>
          <w:sz w:val="21"/>
          <w:szCs w:val="21"/>
        </w:rPr>
        <w:t xml:space="preserve">品牌为准</w:t>
      </w:r>
      <w:r>
        <w:rPr>
          <w:rFonts w:hint="eastAsia" w:ascii="宋体" w:hAnsi="宋体"/>
          <w:b/>
          <w:sz w:val="21"/>
          <w:szCs w:val="21"/>
        </w:rPr>
        <w:t xml:space="preserve">，</w:t>
      </w:r>
      <w:r>
        <w:rPr>
          <w:rFonts w:hint="eastAsia" w:ascii="宋体" w:hAnsi="宋体"/>
          <w:b/>
          <w:sz w:val="21"/>
          <w:szCs w:val="21"/>
        </w:rPr>
        <w:t xml:space="preserve">非同一品牌的</w:t>
      </w:r>
      <w:r>
        <w:rPr>
          <w:rFonts w:hint="eastAsia" w:ascii="宋体" w:hAnsi="宋体"/>
          <w:b/>
          <w:sz w:val="21"/>
          <w:szCs w:val="21"/>
        </w:rPr>
        <w:t xml:space="preserve">不得分。)</w:t>
      </w:r>
      <w:r/>
    </w:p>
    <w:p>
      <w:pPr>
        <w:ind w:left="0" w:firstLine="420"/>
        <w:spacing w:line="360" w:lineRule="auto"/>
        <w:rPr>
          <w:rFonts w:ascii="宋体" w:hAnsi="宋体"/>
          <w:bCs/>
          <w:sz w:val="21"/>
        </w:rPr>
      </w:pPr>
      <w:r/>
      <w:bookmarkStart w:id="227" w:name="OLE_LINK44"/>
      <w:r/>
      <w:bookmarkStart w:id="228" w:name="OLE_LINK45"/>
      <w:r>
        <w:rPr>
          <w:rFonts w:ascii="宋体" w:hAnsi="宋体"/>
          <w:bCs/>
          <w:sz w:val="21"/>
        </w:rPr>
        <w:t xml:space="preserve">4.</w:t>
      </w:r>
      <w:r>
        <w:rPr>
          <w:rFonts w:hint="eastAsia" w:ascii="宋体" w:hAnsi="宋体"/>
          <w:bCs/>
          <w:sz w:val="21"/>
        </w:rPr>
        <w:t xml:space="preserve">所投产品台式计算机（机房管理教师机）</w:t>
      </w:r>
      <w:r>
        <w:rPr>
          <w:rFonts w:hint="eastAsia" w:ascii="宋体" w:hAnsi="宋体"/>
          <w:bCs/>
          <w:sz w:val="21"/>
        </w:rPr>
        <w:t xml:space="preserve">或</w:t>
      </w:r>
      <w:bookmarkStart w:id="229" w:name="OLE_LINK123"/>
      <w:r/>
      <w:bookmarkStart w:id="230" w:name="OLE_LINK124"/>
      <w:r>
        <w:rPr>
          <w:rFonts w:hint="eastAsia" w:ascii="宋体" w:hAnsi="宋体"/>
          <w:bCs/>
          <w:sz w:val="21"/>
        </w:rPr>
        <w:t xml:space="preserve">台式计算机（学生机）</w:t>
      </w:r>
      <w:bookmarkEnd w:id="229"/>
      <w:r/>
      <w:bookmarkEnd w:id="230"/>
      <w:r>
        <w:rPr>
          <w:rFonts w:hint="eastAsia" w:ascii="宋体" w:hAnsi="宋体"/>
          <w:bCs/>
          <w:sz w:val="21"/>
        </w:rPr>
        <w:t xml:space="preserve">或台式计算机（教师机）</w:t>
      </w:r>
      <w:r>
        <w:rPr>
          <w:rFonts w:hint="eastAsia" w:ascii="宋体" w:hAnsi="宋体"/>
          <w:bCs/>
          <w:sz w:val="21"/>
        </w:rPr>
        <w:t xml:space="preserve">具备有效期内的中国环境标志产品认证证书的得</w:t>
      </w:r>
      <w:r>
        <w:rPr>
          <w:rFonts w:ascii="宋体" w:hAnsi="宋体"/>
          <w:bCs/>
          <w:sz w:val="21"/>
        </w:rPr>
        <w:t xml:space="preserve">1</w:t>
      </w:r>
      <w:r>
        <w:rPr>
          <w:rFonts w:hint="eastAsia" w:ascii="宋体" w:hAnsi="宋体"/>
          <w:bCs/>
          <w:sz w:val="21"/>
        </w:rPr>
        <w:t xml:space="preserve">分。</w:t>
      </w:r>
      <w:r/>
    </w:p>
    <w:p>
      <w:pPr>
        <w:ind w:left="0" w:firstLine="422"/>
        <w:spacing w:line="360" w:lineRule="auto"/>
        <w:rPr>
          <w:rFonts w:ascii="宋体" w:hAnsi="宋体"/>
          <w:b/>
          <w:sz w:val="21"/>
          <w:szCs w:val="21"/>
        </w:rPr>
      </w:pPr>
      <w:r/>
      <w:bookmarkStart w:id="231" w:name="OLE_LINK48"/>
      <w:r>
        <w:rPr>
          <w:rFonts w:hint="eastAsia" w:ascii="宋体" w:hAnsi="宋体"/>
          <w:b/>
          <w:sz w:val="21"/>
          <w:szCs w:val="21"/>
        </w:rPr>
        <w:t xml:space="preserve">（注：投标文件中须提供证书复印件并加盖投标单位公章，未提供不得分。</w:t>
      </w:r>
      <w:r>
        <w:rPr>
          <w:rFonts w:ascii="宋体" w:hAnsi="宋体"/>
          <w:b/>
          <w:sz w:val="21"/>
          <w:szCs w:val="21"/>
        </w:rPr>
        <w:t xml:space="preserve">)</w:t>
      </w:r>
      <w:bookmarkEnd w:id="227"/>
      <w:r/>
      <w:bookmarkEnd w:id="228"/>
      <w:r/>
      <w:bookmarkEnd w:id="231"/>
      <w:r/>
      <w:r/>
    </w:p>
    <w:p>
      <w:pPr>
        <w:ind w:left="0" w:firstLine="420"/>
        <w:spacing w:line="360" w:lineRule="auto"/>
        <w:rPr>
          <w:rFonts w:ascii="宋体" w:hAnsi="宋体"/>
          <w:bCs/>
          <w:sz w:val="21"/>
        </w:rPr>
      </w:pPr>
      <w:r>
        <w:rPr>
          <w:rFonts w:ascii="宋体" w:hAnsi="宋体"/>
          <w:bCs/>
          <w:sz w:val="21"/>
        </w:rPr>
        <w:t xml:space="preserve">5.</w:t>
      </w:r>
      <w:r>
        <w:rPr>
          <w:rFonts w:hint="eastAsia" w:ascii="宋体" w:hAnsi="宋体"/>
          <w:bCs/>
          <w:sz w:val="21"/>
        </w:rPr>
        <w:t xml:space="preserve">所投产品</w:t>
      </w:r>
      <w:r>
        <w:rPr>
          <w:rFonts w:hint="eastAsia" w:ascii="宋体" w:hAnsi="宋体"/>
          <w:bCs/>
          <w:sz w:val="21"/>
        </w:rPr>
        <w:t xml:space="preserve">便携式计算机</w:t>
      </w:r>
      <w:r>
        <w:rPr>
          <w:rFonts w:hint="eastAsia" w:ascii="宋体" w:hAnsi="宋体"/>
          <w:bCs/>
          <w:sz w:val="21"/>
        </w:rPr>
        <w:t xml:space="preserve">具备有效期内的中国环境标志产品认证证书的得</w:t>
      </w:r>
      <w:r>
        <w:rPr>
          <w:rFonts w:ascii="宋体" w:hAnsi="宋体"/>
          <w:bCs/>
          <w:sz w:val="21"/>
        </w:rPr>
        <w:t xml:space="preserve">2</w:t>
      </w:r>
      <w:r>
        <w:rPr>
          <w:rFonts w:hint="eastAsia" w:ascii="宋体" w:hAnsi="宋体"/>
          <w:bCs/>
          <w:sz w:val="21"/>
        </w:rPr>
        <w:t xml:space="preserve">分。</w:t>
      </w:r>
      <w:r/>
    </w:p>
    <w:p>
      <w:pPr>
        <w:ind w:left="0" w:firstLine="422"/>
        <w:spacing w:line="360" w:lineRule="auto"/>
        <w:rPr>
          <w:rFonts w:ascii="宋体" w:hAnsi="宋体"/>
          <w:b/>
          <w:sz w:val="21"/>
          <w:szCs w:val="21"/>
        </w:rPr>
      </w:pPr>
      <w:r/>
      <w:bookmarkStart w:id="232" w:name="OLE_LINK50"/>
      <w:r>
        <w:rPr>
          <w:rFonts w:hint="eastAsia" w:ascii="宋体" w:hAnsi="宋体"/>
          <w:b/>
          <w:sz w:val="21"/>
          <w:szCs w:val="21"/>
        </w:rPr>
        <w:t xml:space="preserve">（注：投标文件中须提供证书复印件并加盖投标单位公章，未提供不得分。</w:t>
      </w:r>
      <w:r>
        <w:rPr>
          <w:rFonts w:ascii="宋体" w:hAnsi="宋体"/>
          <w:b/>
          <w:sz w:val="21"/>
          <w:szCs w:val="21"/>
        </w:rPr>
        <w:t xml:space="preserve">)</w:t>
      </w:r>
      <w:r/>
    </w:p>
    <w:p>
      <w:pPr>
        <w:ind w:left="0" w:firstLine="420"/>
        <w:spacing w:line="360" w:lineRule="auto"/>
        <w:rPr>
          <w:rFonts w:ascii="宋体" w:hAnsi="宋体"/>
          <w:bCs/>
          <w:sz w:val="21"/>
        </w:rPr>
      </w:pPr>
      <w:r/>
      <w:bookmarkStart w:id="233" w:name="OLE_LINK39"/>
      <w:r/>
      <w:bookmarkStart w:id="234" w:name="OLE_LINK40"/>
      <w:r/>
      <w:bookmarkEnd w:id="232"/>
      <w:r>
        <w:rPr>
          <w:rFonts w:ascii="宋体" w:hAnsi="宋体"/>
          <w:bCs/>
          <w:sz w:val="21"/>
        </w:rPr>
        <w:t xml:space="preserve">6</w:t>
      </w:r>
      <w:bookmarkStart w:id="235" w:name="OLE_LINK49"/>
      <w:r>
        <w:rPr>
          <w:rFonts w:ascii="宋体" w:hAnsi="宋体"/>
          <w:bCs/>
          <w:sz w:val="21"/>
        </w:rPr>
        <w:t xml:space="preserve">.</w:t>
      </w:r>
      <w:r>
        <w:rPr>
          <w:rFonts w:hint="eastAsia" w:ascii="宋体" w:hAnsi="宋体"/>
          <w:bCs/>
          <w:sz w:val="21"/>
        </w:rPr>
        <w:t xml:space="preserve">所投产品</w:t>
      </w:r>
      <w:bookmarkEnd w:id="233"/>
      <w:r/>
      <w:bookmarkEnd w:id="234"/>
      <w:r>
        <w:rPr>
          <w:rFonts w:hint="eastAsia" w:ascii="宋体" w:hAnsi="宋体"/>
          <w:bCs/>
          <w:sz w:val="21"/>
        </w:rPr>
        <w:t xml:space="preserve">便携式计算机存储数据具备数据恢复服务的得2分</w:t>
      </w:r>
      <w:bookmarkEnd w:id="235"/>
      <w:r>
        <w:rPr>
          <w:rFonts w:hint="eastAsia" w:ascii="宋体" w:hAnsi="宋体"/>
          <w:bCs/>
          <w:sz w:val="21"/>
        </w:rPr>
        <w:t xml:space="preserve">；投标单位承诺中标后所投产品便携式计算机存储数据具备数据恢复服务的得</w:t>
      </w:r>
      <w:r>
        <w:rPr>
          <w:rFonts w:ascii="宋体" w:hAnsi="宋体"/>
          <w:bCs/>
          <w:sz w:val="21"/>
        </w:rPr>
        <w:t xml:space="preserve">1</w:t>
      </w:r>
      <w:r>
        <w:rPr>
          <w:rFonts w:hint="eastAsia" w:ascii="宋体" w:hAnsi="宋体"/>
          <w:bCs/>
          <w:sz w:val="21"/>
        </w:rPr>
        <w:t xml:space="preserve">分；最高得2分。</w:t>
      </w:r>
      <w:r/>
    </w:p>
    <w:p>
      <w:pPr>
        <w:ind w:left="0" w:firstLine="422"/>
        <w:spacing w:line="360" w:lineRule="auto"/>
        <w:rPr>
          <w:rFonts w:ascii="宋体" w:hAnsi="宋体"/>
          <w:b/>
          <w:sz w:val="21"/>
          <w:szCs w:val="21"/>
        </w:rPr>
      </w:pPr>
      <w:r>
        <w:rPr>
          <w:rFonts w:hint="eastAsia" w:ascii="宋体" w:hAnsi="宋体"/>
          <w:b/>
          <w:sz w:val="21"/>
          <w:szCs w:val="21"/>
        </w:rPr>
        <w:t xml:space="preserve">（注：投标文件中须提供相关证明材料复印件或承诺函并加盖投标单位公章，未提供不得分。</w:t>
      </w:r>
      <w:r>
        <w:rPr>
          <w:rFonts w:ascii="宋体" w:hAnsi="宋体"/>
          <w:b/>
          <w:sz w:val="21"/>
          <w:szCs w:val="21"/>
        </w:rPr>
        <w:t xml:space="preserve">)</w:t>
      </w:r>
      <w:r/>
    </w:p>
    <w:p>
      <w:pPr>
        <w:ind w:left="0" w:firstLine="420"/>
        <w:spacing w:line="360" w:lineRule="auto"/>
        <w:rPr>
          <w:rFonts w:ascii="宋体" w:hAnsi="宋体"/>
          <w:bCs/>
          <w:sz w:val="21"/>
        </w:rPr>
      </w:pPr>
      <w:r>
        <w:rPr>
          <w:rFonts w:hint="eastAsia" w:ascii="宋体" w:hAnsi="宋体"/>
          <w:bCs/>
          <w:sz w:val="21"/>
        </w:rPr>
        <w:t xml:space="preserve">7</w:t>
      </w:r>
      <w:r>
        <w:rPr>
          <w:rFonts w:ascii="宋体" w:hAnsi="宋体"/>
          <w:bCs/>
          <w:sz w:val="21"/>
        </w:rPr>
        <w:t xml:space="preserve">.</w:t>
      </w:r>
      <w:r>
        <w:rPr>
          <w:rFonts w:hint="eastAsia" w:ascii="宋体" w:hAnsi="宋体"/>
          <w:bCs/>
          <w:sz w:val="21"/>
        </w:rPr>
        <w:t xml:space="preserve">投标单位承诺中标后在满足招标文件要求的基础上延长原厂质保期的，承诺延长原厂质保期每延长1年多增加1.5分，最高得3</w:t>
      </w:r>
      <w:r>
        <w:rPr>
          <w:rFonts w:hint="eastAsia" w:ascii="宋体" w:hAnsi="宋体"/>
          <w:bCs/>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（注：投标文件中须提供承诺函并加盖投标单位公章，未提供不得分）</w:t>
      </w:r>
      <w:r/>
    </w:p>
    <w:p>
      <w:pPr>
        <w:ind w:left="0" w:firstLine="422"/>
        <w:spacing w:line="360" w:lineRule="auto"/>
        <w:rPr>
          <w:rFonts w:ascii="Times New Roman" w:hAnsi="Times New Roman" w:cs="Times New Roman"/>
          <w:b/>
          <w:color w:val="000000" w:themeColor="text1"/>
          <w:sz w:val="21"/>
          <w:szCs w:val="22"/>
        </w:rPr>
      </w:pPr>
      <w:r>
        <w:rPr>
          <w:rFonts w:hint="eastAsia" w:ascii="Times New Roman" w:hAnsi="Times New Roman" w:cs="Times New Roman"/>
          <w:b/>
          <w:color w:val="000000" w:themeColor="text1"/>
          <w:sz w:val="21"/>
          <w:szCs w:val="22"/>
        </w:rPr>
        <w:t xml:space="preserve">（</w:t>
      </w:r>
      <w:r>
        <w:rPr>
          <w:rFonts w:hint="eastAsia" w:ascii="Times New Roman" w:hAnsi="Times New Roman" w:cs="Times New Roman"/>
          <w:b/>
          <w:color w:val="000000" w:themeColor="text1"/>
          <w:sz w:val="21"/>
          <w:szCs w:val="22"/>
        </w:rPr>
        <w:t xml:space="preserve">五</w:t>
      </w:r>
      <w:r>
        <w:rPr>
          <w:rFonts w:hint="eastAsia" w:ascii="Times New Roman" w:hAnsi="Times New Roman" w:cs="Times New Roman"/>
          <w:b/>
          <w:color w:val="000000" w:themeColor="text1"/>
          <w:sz w:val="21"/>
          <w:szCs w:val="22"/>
        </w:rPr>
        <w:t xml:space="preserve">）</w:t>
      </w:r>
      <w:r>
        <w:rPr>
          <w:rFonts w:hint="eastAsia" w:ascii="Times New Roman" w:hAnsi="Times New Roman" w:cs="Times New Roman"/>
          <w:b/>
          <w:color w:val="000000" w:themeColor="text1"/>
          <w:sz w:val="21"/>
          <w:szCs w:val="22"/>
        </w:rPr>
        <w:t xml:space="preserve">类似项目业绩：</w:t>
      </w:r>
      <w:r>
        <w:rPr>
          <w:rFonts w:ascii="Times New Roman" w:hAnsi="Times New Roman" w:cs="Times New Roman"/>
          <w:b/>
          <w:color w:val="000000" w:themeColor="text1"/>
          <w:sz w:val="21"/>
          <w:szCs w:val="22"/>
        </w:rPr>
        <w:t xml:space="preserve">2</w:t>
      </w:r>
      <w:r>
        <w:rPr>
          <w:rFonts w:hint="eastAsia" w:ascii="Times New Roman" w:hAnsi="Times New Roman" w:cs="Times New Roman"/>
          <w:b/>
          <w:color w:val="000000" w:themeColor="text1"/>
          <w:sz w:val="21"/>
          <w:szCs w:val="22"/>
        </w:rPr>
        <w:t xml:space="preserve">分</w:t>
      </w:r>
      <w:r/>
    </w:p>
    <w:p>
      <w:pPr>
        <w:ind w:left="0" w:firstLine="420"/>
        <w:spacing w:line="360" w:lineRule="auto"/>
        <w:rPr>
          <w:rFonts w:ascii="宋体" w:hAnsi="宋体"/>
          <w:bCs/>
          <w:sz w:val="21"/>
        </w:rPr>
      </w:pPr>
      <w:r>
        <w:rPr>
          <w:rFonts w:hint="eastAsia" w:ascii="宋体" w:hAnsi="宋体"/>
          <w:bCs/>
          <w:sz w:val="21"/>
        </w:rPr>
        <w:t xml:space="preserve">投</w:t>
      </w:r>
      <w:r>
        <w:rPr>
          <w:rFonts w:hint="eastAsia" w:ascii="宋体" w:hAnsi="宋体"/>
          <w:bCs/>
          <w:sz w:val="21"/>
        </w:rPr>
        <w:t xml:space="preserve">标单位或所投产品生产厂家自</w:t>
      </w:r>
      <w:r>
        <w:rPr>
          <w:rFonts w:ascii="宋体" w:hAnsi="宋体"/>
          <w:bCs/>
          <w:sz w:val="21"/>
        </w:rPr>
        <w:t xml:space="preserve">2022</w:t>
      </w:r>
      <w:r>
        <w:rPr>
          <w:rFonts w:hint="eastAsia" w:ascii="宋体" w:hAnsi="宋体"/>
          <w:bCs/>
          <w:sz w:val="21"/>
        </w:rPr>
        <w:t xml:space="preserve">年</w:t>
      </w:r>
      <w:r>
        <w:rPr>
          <w:rFonts w:ascii="宋体" w:hAnsi="宋体"/>
          <w:bCs/>
          <w:sz w:val="21"/>
        </w:rPr>
        <w:t xml:space="preserve">1</w:t>
      </w:r>
      <w:r>
        <w:rPr>
          <w:rFonts w:hint="eastAsia" w:ascii="宋体" w:hAnsi="宋体"/>
          <w:bCs/>
          <w:sz w:val="21"/>
        </w:rPr>
        <w:t xml:space="preserve">月</w:t>
      </w:r>
      <w:r>
        <w:rPr>
          <w:rFonts w:ascii="宋体" w:hAnsi="宋体"/>
          <w:bCs/>
          <w:sz w:val="21"/>
        </w:rPr>
        <w:t xml:space="preserve">1</w:t>
      </w:r>
      <w:r>
        <w:rPr>
          <w:rFonts w:hint="eastAsia" w:ascii="宋体" w:hAnsi="宋体"/>
          <w:bCs/>
          <w:sz w:val="21"/>
        </w:rPr>
        <w:t xml:space="preserve">日起至今（以合同签订之日起为准）具有类似项目业绩的，每提供一个得</w:t>
      </w:r>
      <w:r>
        <w:rPr>
          <w:rFonts w:ascii="宋体" w:hAnsi="宋体"/>
          <w:bCs/>
          <w:sz w:val="21"/>
        </w:rPr>
        <w:t xml:space="preserve">1</w:t>
      </w:r>
      <w:r>
        <w:rPr>
          <w:rFonts w:hint="eastAsia" w:ascii="宋体" w:hAnsi="宋体"/>
          <w:bCs/>
          <w:sz w:val="21"/>
        </w:rPr>
        <w:t xml:space="preserve">分，最高</w:t>
      </w:r>
      <w:r>
        <w:rPr>
          <w:rFonts w:hint="eastAsia" w:ascii="宋体" w:hAnsi="宋体"/>
          <w:bCs/>
          <w:sz w:val="21"/>
        </w:rPr>
        <w:t xml:space="preserve">得</w:t>
      </w:r>
      <w:r>
        <w:rPr>
          <w:rFonts w:ascii="宋体" w:hAnsi="宋体"/>
          <w:bCs/>
          <w:sz w:val="21"/>
        </w:rPr>
        <w:t xml:space="preserve">2</w:t>
      </w:r>
      <w:r>
        <w:rPr>
          <w:rFonts w:hint="eastAsia" w:ascii="宋体" w:hAnsi="宋体"/>
          <w:bCs/>
          <w:sz w:val="21"/>
        </w:rPr>
        <w:t xml:space="preserve">分。</w:t>
      </w:r>
      <w:r/>
    </w:p>
    <w:p>
      <w:pPr>
        <w:ind w:left="0" w:firstLine="422"/>
        <w:jc w:val="left"/>
        <w:spacing w:line="500" w:lineRule="exact"/>
        <w:rPr>
          <w:rFonts w:ascii="宋体" w:hAnsi="宋体"/>
          <w:b/>
          <w:sz w:val="21"/>
          <w:szCs w:val="21"/>
        </w:rPr>
      </w:pPr>
      <w:r>
        <w:rPr>
          <w:rFonts w:hint="eastAsia" w:ascii="宋体" w:hAnsi="宋体"/>
          <w:b/>
          <w:sz w:val="21"/>
          <w:szCs w:val="21"/>
        </w:rPr>
        <w:t xml:space="preserve">（注：投标文件中需提供合同复印件及对应合同发票复印件并加盖投标单位公章，不提供不得分。类似业绩日期认定：以签订合同日期为准） </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23"/>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23"/>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3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3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3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13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13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13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3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3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13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13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620" w:hanging="360"/>
        <w:tabs>
          <w:tab w:val="num"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0" w:hanging="360"/>
        <w:tabs>
          <w:tab w:val="num"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287" w:hanging="720"/>
      </w:pPr>
      <w:rPr>
        <w:rFonts w:hint="default"/>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8">
    <w:multiLevelType w:val="hybridMultilevel"/>
    <w:lvl w:ilvl="0">
      <w:start w:val="1"/>
      <w:numFmt w:val="decimal"/>
      <w:isLgl w:val="false"/>
      <w:suff w:val="tab"/>
      <w:lvlText w:val="（%1）"/>
      <w:lvlJc w:val="left"/>
      <w:pPr>
        <w:ind w:left="1287" w:hanging="720"/>
      </w:pPr>
      <w:rPr>
        <w:rFonts w:hint="default"/>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9">
    <w:multiLevelType w:val="hybridMultilevel"/>
    <w:lvl w:ilvl="0">
      <w:start w:val="1"/>
      <w:numFmt w:val="decimal"/>
      <w:isLgl w:val="false"/>
      <w:suff w:val="tab"/>
      <w:lvlText w:val="%1."/>
      <w:lvlJc w:val="left"/>
      <w:pPr>
        <w:ind w:left="840" w:hanging="420"/>
      </w:pPr>
      <w:rPr>
        <w:color w:val="auto"/>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2">
    <w:multiLevelType w:val="hybridMultilevel"/>
    <w:lvl w:ilvl="0">
      <w:start w:val="1"/>
      <w:numFmt w:val="decimal"/>
      <w:isLgl w:val="false"/>
      <w:suff w:val="tab"/>
      <w:lvlText w:val="（%1）"/>
      <w:lvlJc w:val="left"/>
      <w:pPr>
        <w:ind w:left="1287" w:hanging="720"/>
      </w:pPr>
      <w:rPr>
        <w:rFonts w:hint="default"/>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13">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3"/>
  </w:num>
  <w:num w:numId="2">
    <w:abstractNumId w:val="9"/>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8"/>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5"/>
  </w:num>
  <w:num w:numId="12">
    <w:abstractNumId w:val="4"/>
  </w:num>
  <w:num w:numId="13">
    <w:abstractNumId w:val="3"/>
  </w:num>
  <w:num w:numId="14">
    <w:abstractNumId w:val="2"/>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2">
    <w:name w:val="Heading 1 Char"/>
    <w:basedOn w:val="1090"/>
    <w:link w:val="1081"/>
    <w:uiPriority w:val="9"/>
    <w:rPr>
      <w:rFonts w:ascii="Arial" w:hAnsi="Arial" w:eastAsia="Arial" w:cs="Arial"/>
      <w:sz w:val="40"/>
      <w:szCs w:val="40"/>
    </w:rPr>
  </w:style>
  <w:style w:type="character" w:styleId="933">
    <w:name w:val="Heading 2 Char"/>
    <w:basedOn w:val="1090"/>
    <w:link w:val="1082"/>
    <w:uiPriority w:val="9"/>
    <w:rPr>
      <w:rFonts w:ascii="Arial" w:hAnsi="Arial" w:eastAsia="Arial" w:cs="Arial"/>
      <w:sz w:val="34"/>
    </w:rPr>
  </w:style>
  <w:style w:type="character" w:styleId="934">
    <w:name w:val="Heading 3 Char"/>
    <w:basedOn w:val="1090"/>
    <w:link w:val="1083"/>
    <w:uiPriority w:val="9"/>
    <w:rPr>
      <w:rFonts w:ascii="Arial" w:hAnsi="Arial" w:eastAsia="Arial" w:cs="Arial"/>
      <w:sz w:val="30"/>
      <w:szCs w:val="30"/>
    </w:rPr>
  </w:style>
  <w:style w:type="character" w:styleId="935">
    <w:name w:val="Heading 4 Char"/>
    <w:basedOn w:val="1090"/>
    <w:link w:val="1084"/>
    <w:uiPriority w:val="9"/>
    <w:rPr>
      <w:rFonts w:ascii="Arial" w:hAnsi="Arial" w:eastAsia="Arial" w:cs="Arial"/>
      <w:b/>
      <w:bCs/>
      <w:sz w:val="26"/>
      <w:szCs w:val="26"/>
    </w:rPr>
  </w:style>
  <w:style w:type="character" w:styleId="936">
    <w:name w:val="Heading 5 Char"/>
    <w:basedOn w:val="1090"/>
    <w:link w:val="1085"/>
    <w:uiPriority w:val="9"/>
    <w:rPr>
      <w:rFonts w:ascii="Arial" w:hAnsi="Arial" w:eastAsia="Arial" w:cs="Arial"/>
      <w:b/>
      <w:bCs/>
      <w:sz w:val="24"/>
      <w:szCs w:val="24"/>
    </w:rPr>
  </w:style>
  <w:style w:type="character" w:styleId="937">
    <w:name w:val="Heading 6 Char"/>
    <w:basedOn w:val="1090"/>
    <w:link w:val="1086"/>
    <w:uiPriority w:val="9"/>
    <w:rPr>
      <w:rFonts w:ascii="Arial" w:hAnsi="Arial" w:eastAsia="Arial" w:cs="Arial"/>
      <w:b/>
      <w:bCs/>
      <w:sz w:val="22"/>
      <w:szCs w:val="22"/>
    </w:rPr>
  </w:style>
  <w:style w:type="character" w:styleId="938">
    <w:name w:val="Heading 7 Char"/>
    <w:basedOn w:val="1090"/>
    <w:link w:val="1087"/>
    <w:uiPriority w:val="9"/>
    <w:rPr>
      <w:rFonts w:ascii="Arial" w:hAnsi="Arial" w:eastAsia="Arial" w:cs="Arial"/>
      <w:b/>
      <w:bCs/>
      <w:i/>
      <w:iCs/>
      <w:sz w:val="22"/>
      <w:szCs w:val="22"/>
    </w:rPr>
  </w:style>
  <w:style w:type="character" w:styleId="939">
    <w:name w:val="Heading 8 Char"/>
    <w:basedOn w:val="1090"/>
    <w:link w:val="1088"/>
    <w:uiPriority w:val="9"/>
    <w:rPr>
      <w:rFonts w:ascii="Arial" w:hAnsi="Arial" w:eastAsia="Arial" w:cs="Arial"/>
      <w:i/>
      <w:iCs/>
      <w:sz w:val="22"/>
      <w:szCs w:val="22"/>
    </w:rPr>
  </w:style>
  <w:style w:type="character" w:styleId="940">
    <w:name w:val="Heading 9 Char"/>
    <w:basedOn w:val="1090"/>
    <w:link w:val="1089"/>
    <w:uiPriority w:val="9"/>
    <w:rPr>
      <w:rFonts w:ascii="Arial" w:hAnsi="Arial" w:eastAsia="Arial" w:cs="Arial"/>
      <w:i/>
      <w:iCs/>
      <w:sz w:val="21"/>
      <w:szCs w:val="21"/>
    </w:rPr>
  </w:style>
  <w:style w:type="paragraph" w:styleId="941">
    <w:name w:val="No Spacing"/>
    <w:uiPriority w:val="1"/>
    <w:qFormat/>
    <w:pPr>
      <w:spacing w:before="0" w:after="0" w:line="240" w:lineRule="auto"/>
    </w:pPr>
  </w:style>
  <w:style w:type="paragraph" w:styleId="942">
    <w:name w:val="Title"/>
    <w:basedOn w:val="1080"/>
    <w:next w:val="1080"/>
    <w:link w:val="943"/>
    <w:uiPriority w:val="10"/>
    <w:qFormat/>
    <w:pPr>
      <w:contextualSpacing/>
      <w:spacing w:before="300" w:after="200"/>
    </w:pPr>
    <w:rPr>
      <w:sz w:val="48"/>
      <w:szCs w:val="48"/>
    </w:rPr>
  </w:style>
  <w:style w:type="character" w:styleId="943">
    <w:name w:val="Title Char"/>
    <w:basedOn w:val="1090"/>
    <w:link w:val="942"/>
    <w:uiPriority w:val="10"/>
    <w:rPr>
      <w:sz w:val="48"/>
      <w:szCs w:val="48"/>
    </w:rPr>
  </w:style>
  <w:style w:type="character" w:styleId="944">
    <w:name w:val="Subtitle Char"/>
    <w:basedOn w:val="1090"/>
    <w:link w:val="1127"/>
    <w:uiPriority w:val="11"/>
    <w:rPr>
      <w:sz w:val="24"/>
      <w:szCs w:val="24"/>
    </w:rPr>
  </w:style>
  <w:style w:type="character" w:styleId="945">
    <w:name w:val="Quote Char"/>
    <w:link w:val="1332"/>
    <w:uiPriority w:val="29"/>
    <w:rPr>
      <w:i/>
    </w:rPr>
  </w:style>
  <w:style w:type="character" w:styleId="946">
    <w:name w:val="Intense Quote Char"/>
    <w:link w:val="1458"/>
    <w:uiPriority w:val="30"/>
    <w:rPr>
      <w:i/>
    </w:rPr>
  </w:style>
  <w:style w:type="character" w:styleId="947">
    <w:name w:val="Header Char"/>
    <w:basedOn w:val="1090"/>
    <w:link w:val="1125"/>
    <w:uiPriority w:val="99"/>
  </w:style>
  <w:style w:type="character" w:styleId="948">
    <w:name w:val="Footer Char"/>
    <w:basedOn w:val="1090"/>
    <w:link w:val="1123"/>
    <w:uiPriority w:val="99"/>
  </w:style>
  <w:style w:type="character" w:styleId="949">
    <w:name w:val="Caption Char"/>
    <w:basedOn w:val="1100"/>
    <w:link w:val="1123"/>
    <w:uiPriority w:val="99"/>
  </w:style>
  <w:style w:type="table" w:styleId="950">
    <w:name w:val="Table Grid Light"/>
    <w:basedOn w:val="10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1">
    <w:name w:val="Plain Table 1"/>
    <w:basedOn w:val="10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name w:val="Plain Table 2"/>
    <w:basedOn w:val="10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name w:val="Plain Table 3"/>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name w:val="Plain Table 4"/>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name w:val="Plain Table 5"/>
    <w:basedOn w:val="10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6">
    <w:name w:val="Grid Table 1 Light"/>
    <w:basedOn w:val="10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7">
    <w:name w:val="Grid Table 1 Light - Accent 1"/>
    <w:basedOn w:val="10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8">
    <w:name w:val="Grid Table 1 Light - Accent 2"/>
    <w:basedOn w:val="10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9">
    <w:name w:val="Grid Table 1 Light - Accent 3"/>
    <w:basedOn w:val="10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0">
    <w:name w:val="Grid Table 1 Light - Accent 4"/>
    <w:basedOn w:val="10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1">
    <w:name w:val="Grid Table 1 Light - Accent 5"/>
    <w:basedOn w:val="10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2">
    <w:name w:val="Grid Table 1 Light - Accent 6"/>
    <w:basedOn w:val="10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3">
    <w:name w:val="Grid Table 2"/>
    <w:basedOn w:val="10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4">
    <w:name w:val="Grid Table 2 - Accent 1"/>
    <w:basedOn w:val="10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5">
    <w:name w:val="Grid Table 2 - Accent 2"/>
    <w:basedOn w:val="10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2 - Accent 3"/>
    <w:basedOn w:val="10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2 - Accent 4"/>
    <w:basedOn w:val="10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2 - Accent 5"/>
    <w:basedOn w:val="10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9">
    <w:name w:val="Grid Table 2 - Accent 6"/>
    <w:basedOn w:val="10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0">
    <w:name w:val="Grid Table 3"/>
    <w:basedOn w:val="10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1"/>
    <w:basedOn w:val="10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2"/>
    <w:basedOn w:val="10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3"/>
    <w:basedOn w:val="10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4"/>
    <w:basedOn w:val="10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5"/>
    <w:basedOn w:val="10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6"/>
    <w:basedOn w:val="10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4"/>
    <w:basedOn w:val="10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name w:val="Grid Table 4 - Accent 1"/>
    <w:basedOn w:val="10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9">
    <w:name w:val="Grid Table 4 - Accent 2"/>
    <w:basedOn w:val="10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0">
    <w:name w:val="Grid Table 4 - Accent 3"/>
    <w:basedOn w:val="10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1">
    <w:name w:val="Grid Table 4 - Accent 4"/>
    <w:basedOn w:val="10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2">
    <w:name w:val="Grid Table 4 - Accent 5"/>
    <w:basedOn w:val="10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3">
    <w:name w:val="Grid Table 4 - Accent 6"/>
    <w:basedOn w:val="10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4">
    <w:name w:val="Grid Table 5 Dark"/>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5">
    <w:name w:val="Grid Table 5 Dark- Accent 1"/>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6">
    <w:name w:val="Grid Table 5 Dark - Accent 2"/>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7">
    <w:name w:val="Grid Table 5 Dark - Accent 3"/>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8">
    <w:name w:val="Grid Table 5 Dark- Accent 4"/>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9">
    <w:name w:val="Grid Table 5 Dark - Accent 5"/>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0">
    <w:name w:val="Grid Table 5 Dark - Accent 6"/>
    <w:basedOn w:val="10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1">
    <w:name w:val="Grid Table 6 Colorful"/>
    <w:basedOn w:val="10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2">
    <w:name w:val="Grid Table 6 Colorful - Accent 1"/>
    <w:basedOn w:val="10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3">
    <w:name w:val="Grid Table 6 Colorful - Accent 2"/>
    <w:basedOn w:val="10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4">
    <w:name w:val="Grid Table 6 Colorful - Accent 3"/>
    <w:basedOn w:val="10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5">
    <w:name w:val="Grid Table 6 Colorful - Accent 4"/>
    <w:basedOn w:val="10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6">
    <w:name w:val="Grid Table 6 Colorful - Accent 5"/>
    <w:basedOn w:val="10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7">
    <w:name w:val="Grid Table 6 Colorful - Accent 6"/>
    <w:basedOn w:val="10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8">
    <w:name w:val="Grid Table 7 Colorful"/>
    <w:basedOn w:val="10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9">
    <w:name w:val="Grid Table 7 Colorful - Accent 1"/>
    <w:basedOn w:val="10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0">
    <w:name w:val="Grid Table 7 Colorful - Accent 2"/>
    <w:basedOn w:val="10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1">
    <w:name w:val="Grid Table 7 Colorful - Accent 3"/>
    <w:basedOn w:val="10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2">
    <w:name w:val="Grid Table 7 Colorful - Accent 4"/>
    <w:basedOn w:val="10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3">
    <w:name w:val="Grid Table 7 Colorful - Accent 5"/>
    <w:basedOn w:val="10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4">
    <w:name w:val="Grid Table 7 Colorful - Accent 6"/>
    <w:basedOn w:val="10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5">
    <w:name w:val="List Table 1 Light"/>
    <w:basedOn w:val="10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name w:val="List Table 1 Light - Accent 1"/>
    <w:basedOn w:val="10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7">
    <w:name w:val="List Table 1 Light - Accent 2"/>
    <w:basedOn w:val="10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8">
    <w:name w:val="List Table 1 Light - Accent 3"/>
    <w:basedOn w:val="10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9">
    <w:name w:val="List Table 1 Light - Accent 4"/>
    <w:basedOn w:val="10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0">
    <w:name w:val="List Table 1 Light - Accent 5"/>
    <w:basedOn w:val="10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1">
    <w:name w:val="List Table 1 Light - Accent 6"/>
    <w:basedOn w:val="10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2">
    <w:name w:val="List Table 2"/>
    <w:basedOn w:val="10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2 - Accent 1"/>
    <w:basedOn w:val="10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4">
    <w:name w:val="List Table 2 - Accent 2"/>
    <w:basedOn w:val="10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5">
    <w:name w:val="List Table 2 - Accent 3"/>
    <w:basedOn w:val="10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6">
    <w:name w:val="List Table 2 - Accent 4"/>
    <w:basedOn w:val="10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7">
    <w:name w:val="List Table 2 - Accent 5"/>
    <w:basedOn w:val="10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8">
    <w:name w:val="List Table 2 - Accent 6"/>
    <w:basedOn w:val="10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9">
    <w:name w:val="List Table 3"/>
    <w:basedOn w:val="10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3 - Accent 1"/>
    <w:basedOn w:val="10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3 - Accent 2"/>
    <w:basedOn w:val="10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2">
    <w:name w:val="List Table 3 - Accent 3"/>
    <w:basedOn w:val="10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3">
    <w:name w:val="List Table 3 - Accent 4"/>
    <w:basedOn w:val="10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4">
    <w:name w:val="List Table 3 - Accent 5"/>
    <w:basedOn w:val="10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5">
    <w:name w:val="List Table 3 - Accent 6"/>
    <w:basedOn w:val="10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6">
    <w:name w:val="List Table 4"/>
    <w:basedOn w:val="10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7">
    <w:name w:val="List Table 4 - Accent 1"/>
    <w:basedOn w:val="10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8">
    <w:name w:val="List Table 4 - Accent 2"/>
    <w:basedOn w:val="10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9">
    <w:name w:val="List Table 4 - Accent 3"/>
    <w:basedOn w:val="10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0">
    <w:name w:val="List Table 4 - Accent 4"/>
    <w:basedOn w:val="10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1">
    <w:name w:val="List Table 4 - Accent 5"/>
    <w:basedOn w:val="10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2">
    <w:name w:val="List Table 4 - Accent 6"/>
    <w:basedOn w:val="10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3">
    <w:name w:val="List Table 5 Dark"/>
    <w:basedOn w:val="10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1"/>
    <w:basedOn w:val="10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2"/>
    <w:basedOn w:val="10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3"/>
    <w:basedOn w:val="10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4"/>
    <w:basedOn w:val="10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5"/>
    <w:basedOn w:val="10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6"/>
    <w:basedOn w:val="10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6 Colorful"/>
    <w:basedOn w:val="10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1">
    <w:name w:val="List Table 6 Colorful - Accent 1"/>
    <w:basedOn w:val="10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2">
    <w:name w:val="List Table 6 Colorful - Accent 2"/>
    <w:basedOn w:val="10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3">
    <w:name w:val="List Table 6 Colorful - Accent 3"/>
    <w:basedOn w:val="10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4">
    <w:name w:val="List Table 6 Colorful - Accent 4"/>
    <w:basedOn w:val="10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5">
    <w:name w:val="List Table 6 Colorful - Accent 5"/>
    <w:basedOn w:val="10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6">
    <w:name w:val="List Table 6 Colorful - Accent 6"/>
    <w:basedOn w:val="10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7">
    <w:name w:val="List Table 7 Colorful"/>
    <w:basedOn w:val="10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8">
    <w:name w:val="List Table 7 Colorful - Accent 1"/>
    <w:basedOn w:val="10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9">
    <w:name w:val="List Table 7 Colorful - Accent 2"/>
    <w:basedOn w:val="10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0">
    <w:name w:val="List Table 7 Colorful - Accent 3"/>
    <w:basedOn w:val="10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1">
    <w:name w:val="List Table 7 Colorful - Accent 4"/>
    <w:basedOn w:val="10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2">
    <w:name w:val="List Table 7 Colorful - Accent 5"/>
    <w:basedOn w:val="10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3">
    <w:name w:val="List Table 7 Colorful - Accent 6"/>
    <w:basedOn w:val="10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4">
    <w:name w:val="Lined - Accent"/>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Lined - Accent 1"/>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Lined - Accent 2"/>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Lined - Accent 3"/>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Lined - Accent 4"/>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Lined - Accent 5"/>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Lined - Accent 6"/>
    <w:basedOn w:val="10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amp; Lined - Accent"/>
    <w:basedOn w:val="10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2">
    <w:name w:val="Bordered &amp; Lined - Accent 1"/>
    <w:basedOn w:val="10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3">
    <w:name w:val="Bordered &amp; Lined - Accent 2"/>
    <w:basedOn w:val="10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4">
    <w:name w:val="Bordered &amp; Lined - Accent 3"/>
    <w:basedOn w:val="10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5">
    <w:name w:val="Bordered &amp; Lined - Accent 4"/>
    <w:basedOn w:val="10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6">
    <w:name w:val="Bordered &amp; Lined - Accent 5"/>
    <w:basedOn w:val="10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7">
    <w:name w:val="Bordered &amp; Lined - Accent 6"/>
    <w:basedOn w:val="10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8">
    <w:name w:val="Bordered"/>
    <w:basedOn w:val="10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9">
    <w:name w:val="Bordered - Accent 1"/>
    <w:basedOn w:val="10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0">
    <w:name w:val="Bordered - Accent 2"/>
    <w:basedOn w:val="10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1">
    <w:name w:val="Bordered - Accent 3"/>
    <w:basedOn w:val="10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2">
    <w:name w:val="Bordered - Accent 4"/>
    <w:basedOn w:val="10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3">
    <w:name w:val="Bordered - Accent 5"/>
    <w:basedOn w:val="10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4">
    <w:name w:val="Bordered - Accent 6"/>
    <w:basedOn w:val="10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75">
    <w:name w:val="Footnote Text Char"/>
    <w:link w:val="1130"/>
    <w:uiPriority w:val="99"/>
    <w:rPr>
      <w:sz w:val="18"/>
    </w:rPr>
  </w:style>
  <w:style w:type="character" w:styleId="1076">
    <w:name w:val="Endnote Text Char"/>
    <w:link w:val="1120"/>
    <w:uiPriority w:val="99"/>
    <w:rPr>
      <w:sz w:val="20"/>
    </w:rPr>
  </w:style>
  <w:style w:type="character" w:styleId="1077">
    <w:name w:val="endnote reference"/>
    <w:basedOn w:val="1090"/>
    <w:uiPriority w:val="99"/>
    <w:semiHidden/>
    <w:unhideWhenUsed/>
    <w:rPr>
      <w:vertAlign w:val="superscript"/>
    </w:r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93"/>
    <w:qFormat/>
    <w:pPr>
      <w:ind w:left="1024"/>
      <w:jc w:val="both"/>
    </w:pPr>
    <w:rPr>
      <w:rFonts w:ascii="Calibri" w:hAnsi="Calibri"/>
    </w:rPr>
  </w:style>
  <w:style w:type="paragraph" w:styleId="1081">
    <w:name w:val="Heading 1"/>
    <w:basedOn w:val="1080"/>
    <w:next w:val="1080"/>
    <w:link w:val="1502"/>
    <w:qFormat/>
    <w:pPr>
      <w:ind w:left="432" w:firstLine="18"/>
      <w:spacing w:before="340" w:after="330" w:line="578" w:lineRule="auto"/>
      <w:outlineLvl w:val="0"/>
    </w:pPr>
  </w:style>
  <w:style w:type="paragraph" w:styleId="1082">
    <w:name w:val="Heading 2"/>
    <w:basedOn w:val="1080"/>
    <w:next w:val="1080"/>
    <w:link w:val="1503"/>
    <w:qFormat/>
    <w:pPr>
      <w:ind w:left="576" w:firstLine="24"/>
      <w:spacing w:before="260" w:after="260" w:line="416" w:lineRule="auto"/>
      <w:outlineLvl w:val="1"/>
    </w:pPr>
    <w:rPr>
      <w:rFonts w:ascii="Times New Roman" w:hAnsi="Times New Roman" w:cs="Times New Roman"/>
    </w:rPr>
  </w:style>
  <w:style w:type="paragraph" w:styleId="1083">
    <w:name w:val="Heading 3"/>
    <w:basedOn w:val="1080"/>
    <w:next w:val="1094"/>
    <w:link w:val="1504"/>
    <w:qFormat/>
    <w:pPr>
      <w:ind w:left="720"/>
      <w:spacing w:before="260" w:after="260" w:line="416" w:lineRule="auto"/>
      <w:outlineLvl w:val="2"/>
    </w:pPr>
    <w:rPr>
      <w:rFonts w:ascii="Times New Roman" w:hAnsi="Times New Roman" w:cs="Times New Roman"/>
    </w:rPr>
  </w:style>
  <w:style w:type="paragraph" w:styleId="1084">
    <w:name w:val="Heading 4"/>
    <w:basedOn w:val="1081"/>
    <w:next w:val="1080"/>
    <w:link w:val="1505"/>
    <w:qFormat/>
    <w:pPr>
      <w:ind w:left="864" w:firstLine="24"/>
      <w:spacing w:before="280" w:after="290" w:line="376" w:lineRule="auto"/>
      <w:outlineLvl w:val="3"/>
    </w:pPr>
    <w:rPr>
      <w:rFonts w:ascii="Times New Roman" w:hAnsi="Times New Roman" w:cs="Times New Roman"/>
    </w:rPr>
  </w:style>
  <w:style w:type="paragraph" w:styleId="1085">
    <w:name w:val="Heading 5"/>
    <w:basedOn w:val="1081"/>
    <w:next w:val="1080"/>
    <w:link w:val="1506"/>
    <w:qFormat/>
    <w:pPr>
      <w:ind w:left="1008"/>
      <w:spacing w:before="280" w:after="290" w:line="376" w:lineRule="auto"/>
      <w:outlineLvl w:val="4"/>
    </w:pPr>
    <w:rPr>
      <w:rFonts w:ascii="Times New Roman" w:hAnsi="Times New Roman" w:cs="Times New Roman"/>
    </w:rPr>
  </w:style>
  <w:style w:type="paragraph" w:styleId="1086">
    <w:name w:val="Heading 6"/>
    <w:basedOn w:val="1081"/>
    <w:next w:val="1080"/>
    <w:link w:val="1507"/>
    <w:qFormat/>
    <w:pPr>
      <w:ind w:left="1152" w:firstLine="20"/>
      <w:spacing w:before="240" w:after="64" w:line="320" w:lineRule="auto"/>
      <w:outlineLvl w:val="5"/>
    </w:pPr>
    <w:rPr>
      <w:rFonts w:ascii="Times New Roman" w:hAnsi="Times New Roman" w:cs="Times New Roman"/>
    </w:rPr>
  </w:style>
  <w:style w:type="paragraph" w:styleId="1087">
    <w:name w:val="Heading 7"/>
    <w:basedOn w:val="1081"/>
    <w:next w:val="1080"/>
    <w:link w:val="1508"/>
    <w:qFormat/>
    <w:pPr>
      <w:ind w:left="1296" w:firstLine="14"/>
      <w:spacing w:before="240" w:after="64" w:line="320" w:lineRule="auto"/>
      <w:outlineLvl w:val="6"/>
    </w:pPr>
    <w:rPr>
      <w:rFonts w:ascii="Times New Roman" w:hAnsi="Times New Roman" w:cs="Times New Roman"/>
    </w:rPr>
  </w:style>
  <w:style w:type="paragraph" w:styleId="1088">
    <w:name w:val="Heading 8"/>
    <w:basedOn w:val="1081"/>
    <w:next w:val="1080"/>
    <w:link w:val="1509"/>
    <w:qFormat/>
    <w:pPr>
      <w:ind w:left="1440"/>
      <w:spacing w:before="240" w:after="64" w:line="320" w:lineRule="auto"/>
      <w:outlineLvl w:val="7"/>
    </w:pPr>
    <w:rPr>
      <w:rFonts w:ascii="Times New Roman" w:hAnsi="Times New Roman" w:cs="Times New Roman"/>
    </w:rPr>
  </w:style>
  <w:style w:type="paragraph" w:styleId="1089">
    <w:name w:val="Heading 9"/>
    <w:basedOn w:val="1081"/>
    <w:next w:val="1080"/>
    <w:link w:val="1510"/>
    <w:qFormat/>
    <w:pPr>
      <w:ind w:left="1584" w:firstLine="22"/>
      <w:spacing w:before="240" w:after="64" w:line="320" w:lineRule="auto"/>
      <w:outlineLvl w:val="8"/>
    </w:pPr>
    <w:rPr>
      <w:rFonts w:ascii="Times New Roman" w:hAnsi="Times New Roman" w:cs="Times New Roman"/>
    </w:rPr>
  </w:style>
  <w:style w:type="character" w:styleId="1090" w:default="1">
    <w:name w:val="Default Paragraph Font"/>
    <w:uiPriority w:val="1"/>
    <w:semiHidden/>
    <w:unhideWhenUsed/>
  </w:style>
  <w:style w:type="table" w:styleId="1091" w:default="1">
    <w:name w:val="Normal Table"/>
    <w:uiPriority w:val="99"/>
    <w:semiHidden/>
    <w:unhideWhenUsed/>
    <w:tblPr>
      <w:tblInd w:w="0" w:type="dxa"/>
      <w:tblCellMar>
        <w:left w:w="108" w:type="dxa"/>
        <w:top w:w="0" w:type="dxa"/>
        <w:right w:w="108" w:type="dxa"/>
        <w:bottom w:w="0" w:type="dxa"/>
      </w:tblCellMar>
    </w:tblPr>
  </w:style>
  <w:style w:type="numbering" w:styleId="1092" w:default="1">
    <w:name w:val="No List"/>
    <w:uiPriority w:val="99"/>
    <w:semiHidden/>
    <w:unhideWhenUsed/>
  </w:style>
  <w:style w:type="paragraph" w:styleId="1093">
    <w:name w:val="Body Text Indent"/>
    <w:basedOn w:val="1080"/>
    <w:next w:val="1080"/>
    <w:link w:val="1500"/>
    <w:uiPriority w:val="99"/>
    <w:qFormat/>
    <w:pPr>
      <w:ind w:left="420" w:firstLine="1188"/>
      <w:spacing w:line="360" w:lineRule="exact"/>
    </w:pPr>
    <w:rPr>
      <w:rFonts w:ascii="Times New Roman" w:hAnsi="Times New Roman" w:cs="Times New Roman"/>
    </w:rPr>
  </w:style>
  <w:style w:type="paragraph" w:styleId="1094" w:customStyle="1">
    <w:name w:val="正文2"/>
    <w:basedOn w:val="1080"/>
    <w:next w:val="1080"/>
    <w:qFormat/>
    <w:pPr>
      <w:ind w:left="0" w:hanging="2155"/>
      <w:spacing w:line="360" w:lineRule="auto"/>
      <w:shd w:val="clear" w:color="auto" w:fill="ffffff"/>
    </w:pPr>
    <w:rPr>
      <w:rFonts w:ascii="宋体" w:hAnsi="宋体"/>
    </w:rPr>
  </w:style>
  <w:style w:type="paragraph" w:styleId="1095">
    <w:name w:val="toc 7"/>
    <w:basedOn w:val="1081"/>
    <w:next w:val="1080"/>
    <w:qFormat/>
    <w:pPr>
      <w:ind w:left="1640" w:firstLine="3784"/>
      <w:spacing w:before="0" w:after="0" w:line="360" w:lineRule="auto"/>
    </w:pPr>
    <w:rPr>
      <w:rFonts w:ascii="Times New Roman" w:hAnsi="Times New Roman" w:cs="Times New Roman"/>
    </w:rPr>
  </w:style>
  <w:style w:type="paragraph" w:styleId="1096">
    <w:name w:val="List Bullet 4"/>
    <w:basedOn w:val="1081"/>
    <w:next w:val="1097"/>
    <w:qFormat/>
    <w:pPr>
      <w:ind w:left="1620" w:firstLine="2652"/>
      <w:spacing w:before="0" w:after="0" w:line="360" w:lineRule="auto"/>
    </w:pPr>
    <w:rPr>
      <w:rFonts w:ascii="Times New Roman" w:hAnsi="Times New Roman" w:cs="Times New Roman"/>
    </w:rPr>
  </w:style>
  <w:style w:type="paragraph" w:styleId="1097">
    <w:name w:val="List Bullet 2"/>
    <w:basedOn w:val="1081"/>
    <w:next w:val="1080"/>
    <w:qFormat/>
    <w:pPr>
      <w:ind w:left="900" w:firstLine="2652"/>
      <w:spacing w:before="0" w:after="0" w:line="360" w:lineRule="auto"/>
    </w:pPr>
    <w:rPr>
      <w:rFonts w:ascii="Times New Roman" w:hAnsi="Times New Roman" w:cs="Times New Roman"/>
    </w:rPr>
  </w:style>
  <w:style w:type="paragraph" w:styleId="1098">
    <w:name w:val="List Number"/>
    <w:basedOn w:val="1081"/>
    <w:next w:val="1080"/>
    <w:qFormat/>
    <w:pPr>
      <w:ind w:left="454" w:firstLine="2788"/>
      <w:spacing w:before="0" w:after="0" w:line="240" w:lineRule="auto"/>
    </w:pPr>
    <w:rPr>
      <w:rFonts w:ascii="Times New Roman" w:hAnsi="Times New Roman" w:cs="Times New Roman"/>
    </w:rPr>
  </w:style>
  <w:style w:type="paragraph" w:styleId="1099">
    <w:name w:val="Normal Indent"/>
    <w:basedOn w:val="1080"/>
    <w:next w:val="1080"/>
    <w:link w:val="1149"/>
    <w:qFormat/>
    <w:pPr>
      <w:ind w:left="420" w:firstLine="4772"/>
    </w:pPr>
  </w:style>
  <w:style w:type="paragraph" w:styleId="1100">
    <w:name w:val="Caption"/>
    <w:basedOn w:val="1081"/>
    <w:next w:val="1080"/>
    <w:qFormat/>
    <w:pPr>
      <w:ind w:left="200" w:firstLine="2248"/>
      <w:jc w:val="center"/>
      <w:spacing w:before="0" w:after="0" w:line="240" w:lineRule="auto"/>
    </w:pPr>
    <w:rPr>
      <w:rFonts w:ascii="Times New Roman" w:hAnsi="Times New Roman" w:cs="Times New Roman"/>
    </w:rPr>
  </w:style>
  <w:style w:type="paragraph" w:styleId="1101">
    <w:name w:val="List Bullet"/>
    <w:basedOn w:val="1081"/>
    <w:next w:val="1080"/>
    <w:qFormat/>
    <w:pPr>
      <w:ind w:left="900" w:firstLine="2652"/>
      <w:spacing w:before="0" w:after="0" w:line="360" w:lineRule="auto"/>
    </w:pPr>
    <w:rPr>
      <w:rFonts w:ascii="Times New Roman" w:hAnsi="Times New Roman" w:cs="Times New Roman"/>
    </w:rPr>
  </w:style>
  <w:style w:type="paragraph" w:styleId="1102">
    <w:name w:val="Document Map"/>
    <w:basedOn w:val="1081"/>
    <w:next w:val="1103"/>
    <w:qFormat/>
    <w:pPr>
      <w:ind w:left="0" w:firstLine="4"/>
      <w:spacing w:before="0" w:after="0" w:line="240" w:lineRule="auto"/>
      <w:shd w:val="clear" w:color="000000" w:fill="000080"/>
    </w:pPr>
    <w:rPr>
      <w:rFonts w:ascii="Times New Roman" w:hAnsi="Times New Roman" w:cs="Times New Roman"/>
    </w:rPr>
  </w:style>
  <w:style w:type="paragraph" w:styleId="1103">
    <w:name w:val="annotation subject"/>
    <w:next w:val="1080"/>
    <w:qFormat/>
    <w:pPr>
      <w:ind w:firstLine="4608"/>
      <w:spacing w:line="360" w:lineRule="auto"/>
    </w:pPr>
    <w:rPr>
      <w:rFonts w:ascii="Calibri" w:hAnsi="Calibri"/>
    </w:rPr>
  </w:style>
  <w:style w:type="paragraph" w:styleId="1104">
    <w:name w:val="annotation text"/>
    <w:basedOn w:val="1081"/>
    <w:next w:val="1080"/>
    <w:qFormat/>
    <w:pPr>
      <w:ind w:left="0" w:firstLine="3584"/>
      <w:spacing w:before="0" w:after="0" w:line="360" w:lineRule="auto"/>
    </w:pPr>
    <w:rPr>
      <w:rFonts w:ascii="Times New Roman" w:hAnsi="Times New Roman" w:cs="Times New Roman"/>
    </w:rPr>
  </w:style>
  <w:style w:type="paragraph" w:styleId="1105">
    <w:name w:val="Body Text 3"/>
    <w:basedOn w:val="1081"/>
    <w:next w:val="1080"/>
    <w:link w:val="1519"/>
    <w:qFormat/>
    <w:pPr>
      <w:ind w:left="0" w:firstLine="2048"/>
      <w:spacing w:before="0" w:after="0" w:line="500" w:lineRule="exact"/>
    </w:pPr>
    <w:rPr>
      <w:rFonts w:ascii="Times New Roman" w:hAnsi="Times New Roman" w:cs="Times New Roman"/>
    </w:rPr>
  </w:style>
  <w:style w:type="paragraph" w:styleId="1106">
    <w:name w:val="List Bullet 3"/>
    <w:basedOn w:val="1081"/>
    <w:next w:val="1080"/>
    <w:qFormat/>
    <w:pPr>
      <w:ind w:left="900" w:firstLine="2652"/>
      <w:spacing w:before="0" w:after="0" w:line="360" w:lineRule="auto"/>
    </w:pPr>
    <w:rPr>
      <w:rFonts w:ascii="Times New Roman" w:hAnsi="Times New Roman" w:cs="Times New Roman"/>
    </w:rPr>
  </w:style>
  <w:style w:type="paragraph" w:styleId="1107">
    <w:name w:val="Body Text"/>
    <w:basedOn w:val="1080"/>
    <w:next w:val="1080"/>
    <w:qFormat/>
    <w:pPr>
      <w:ind w:left="0" w:firstLine="2560"/>
    </w:pPr>
    <w:rPr>
      <w:rFonts w:ascii="Times New Roman" w:hAnsi="Times New Roman" w:cs="Times New Roman"/>
    </w:rPr>
  </w:style>
  <w:style w:type="paragraph" w:styleId="1108">
    <w:name w:val="List Number 3"/>
    <w:basedOn w:val="1081"/>
    <w:next w:val="1080"/>
    <w:qFormat/>
    <w:pPr>
      <w:ind w:left="420" w:firstLine="3584"/>
      <w:spacing w:before="0" w:after="0" w:line="240" w:lineRule="auto"/>
    </w:pPr>
    <w:rPr>
      <w:rFonts w:ascii="Times New Roman" w:hAnsi="Times New Roman" w:cs="Times New Roman"/>
    </w:rPr>
  </w:style>
  <w:style w:type="paragraph" w:styleId="1109">
    <w:name w:val="List 2"/>
    <w:basedOn w:val="1081"/>
    <w:next w:val="1095"/>
    <w:qFormat/>
    <w:pPr>
      <w:ind w:left="100" w:firstLine="3640"/>
      <w:spacing w:before="0" w:after="0" w:line="240" w:lineRule="auto"/>
    </w:pPr>
    <w:rPr>
      <w:rFonts w:ascii="Times New Roman" w:hAnsi="Times New Roman" w:cs="Times New Roman"/>
    </w:rPr>
  </w:style>
  <w:style w:type="paragraph" w:styleId="1110">
    <w:name w:val="Block Text"/>
    <w:basedOn w:val="1081"/>
    <w:next w:val="1080"/>
    <w:qFormat/>
    <w:pPr>
      <w:ind w:left="420" w:right="33" w:firstLine="2560"/>
      <w:spacing w:before="0" w:after="0" w:line="240" w:lineRule="auto"/>
    </w:pPr>
    <w:rPr>
      <w:rFonts w:ascii="Times New Roman" w:hAnsi="Times New Roman" w:cs="Times New Roman"/>
    </w:rPr>
  </w:style>
  <w:style w:type="paragraph" w:styleId="1111">
    <w:name w:val="toc 5"/>
    <w:basedOn w:val="1081"/>
    <w:next w:val="1080"/>
    <w:qFormat/>
    <w:pPr>
      <w:ind w:left="1160" w:firstLine="3784"/>
      <w:spacing w:before="0" w:after="0" w:line="360" w:lineRule="auto"/>
    </w:pPr>
    <w:rPr>
      <w:rFonts w:ascii="Times New Roman" w:hAnsi="Times New Roman" w:cs="Times New Roman"/>
    </w:rPr>
  </w:style>
  <w:style w:type="paragraph" w:styleId="1112">
    <w:name w:val="toc 3"/>
    <w:basedOn w:val="1081"/>
    <w:next w:val="1080"/>
    <w:qFormat/>
    <w:pPr>
      <w:ind w:left="0" w:firstLine="1024"/>
      <w:spacing w:before="0" w:after="0" w:line="360" w:lineRule="auto"/>
    </w:pPr>
    <w:rPr>
      <w:rFonts w:ascii="Times New Roman" w:hAnsi="Times New Roman" w:cs="Times New Roman"/>
    </w:rPr>
  </w:style>
  <w:style w:type="paragraph" w:styleId="1113">
    <w:name w:val="Plain Text"/>
    <w:basedOn w:val="1081"/>
    <w:next w:val="1114"/>
    <w:link w:val="1521"/>
    <w:qFormat/>
    <w:pPr>
      <w:ind w:left="0" w:firstLine="2048"/>
      <w:spacing w:before="0" w:after="0" w:line="240" w:lineRule="auto"/>
    </w:pPr>
    <w:rPr>
      <w:rFonts w:ascii="Times New Roman" w:hAnsi="Times New Roman" w:cs="Times New Roman"/>
    </w:rPr>
  </w:style>
  <w:style w:type="paragraph" w:styleId="1114">
    <w:name w:val="toc 1"/>
    <w:basedOn w:val="1081"/>
    <w:next w:val="1080"/>
    <w:uiPriority w:val="39"/>
    <w:qFormat/>
    <w:pPr>
      <w:ind w:left="0" w:firstLine="4608"/>
      <w:spacing w:before="0" w:after="0" w:line="240" w:lineRule="auto"/>
    </w:pPr>
    <w:rPr>
      <w:rFonts w:ascii="Times New Roman" w:hAnsi="Times New Roman" w:cs="Times New Roman"/>
    </w:rPr>
  </w:style>
  <w:style w:type="paragraph" w:styleId="1115">
    <w:name w:val="List Bullet 5"/>
    <w:basedOn w:val="1081"/>
    <w:next w:val="1116"/>
    <w:qFormat/>
    <w:pPr>
      <w:ind w:left="2040" w:firstLine="2560"/>
      <w:spacing w:before="0" w:after="0" w:line="360" w:lineRule="auto"/>
    </w:pPr>
    <w:rPr>
      <w:rFonts w:ascii="Times New Roman" w:hAnsi="Times New Roman" w:cs="Times New Roman"/>
    </w:rPr>
  </w:style>
  <w:style w:type="paragraph" w:styleId="1116" w:customStyle="1">
    <w:name w:val="正文首行缩进1"/>
    <w:next w:val="1108"/>
    <w:qFormat/>
    <w:pPr>
      <w:ind w:left="420" w:firstLine="2724"/>
      <w:spacing w:after="120" w:line="360" w:lineRule="auto"/>
    </w:pPr>
    <w:rPr>
      <w:rFonts w:ascii="Calibri" w:hAnsi="Calibri"/>
    </w:rPr>
  </w:style>
  <w:style w:type="paragraph" w:styleId="1117">
    <w:name w:val="toc 8"/>
    <w:basedOn w:val="1081"/>
    <w:next w:val="1080"/>
    <w:qFormat/>
    <w:pPr>
      <w:ind w:left="1880" w:firstLine="3784"/>
      <w:spacing w:before="0" w:after="0" w:line="360" w:lineRule="auto"/>
    </w:pPr>
    <w:rPr>
      <w:rFonts w:ascii="Times New Roman" w:hAnsi="Times New Roman" w:cs="Times New Roman"/>
    </w:rPr>
  </w:style>
  <w:style w:type="paragraph" w:styleId="1118">
    <w:name w:val="Date"/>
    <w:basedOn w:val="1081"/>
    <w:next w:val="1080"/>
    <w:link w:val="1513"/>
    <w:qFormat/>
    <w:pPr>
      <w:ind w:left="0" w:firstLine="2560"/>
      <w:spacing w:before="0" w:after="0" w:line="240" w:lineRule="auto"/>
    </w:pPr>
    <w:rPr>
      <w:rFonts w:ascii="Times New Roman" w:hAnsi="Times New Roman" w:cs="Times New Roman"/>
    </w:rPr>
  </w:style>
  <w:style w:type="paragraph" w:styleId="1119">
    <w:name w:val="Body Text Indent 2"/>
    <w:basedOn w:val="1081"/>
    <w:next w:val="1093"/>
    <w:link w:val="1520"/>
    <w:qFormat/>
    <w:pPr>
      <w:ind w:left="481" w:firstLine="2784"/>
      <w:spacing w:before="0" w:after="0" w:line="400" w:lineRule="exact"/>
    </w:pPr>
    <w:rPr>
      <w:rFonts w:ascii="Times New Roman" w:hAnsi="Times New Roman" w:cs="Times New Roman"/>
    </w:rPr>
  </w:style>
  <w:style w:type="paragraph" w:styleId="1120">
    <w:name w:val="endnote text"/>
    <w:basedOn w:val="1081"/>
    <w:next w:val="1121"/>
    <w:link w:val="1514"/>
    <w:qFormat/>
    <w:pPr>
      <w:ind w:left="0" w:firstLine="2560"/>
      <w:spacing w:before="0" w:after="0" w:line="360" w:lineRule="auto"/>
    </w:pPr>
    <w:rPr>
      <w:rFonts w:ascii="Times New Roman" w:hAnsi="Times New Roman" w:cs="Times New Roman"/>
    </w:rPr>
  </w:style>
  <w:style w:type="paragraph" w:styleId="1121" w:customStyle="1">
    <w:name w:val="Char11"/>
    <w:basedOn w:val="1081"/>
    <w:next w:val="1080"/>
    <w:qFormat/>
    <w:pPr>
      <w:ind w:left="0" w:firstLine="3584"/>
      <w:spacing w:before="0" w:after="0" w:line="240" w:lineRule="auto"/>
    </w:pPr>
    <w:rPr>
      <w:rFonts w:ascii="Times New Roman" w:hAnsi="Times New Roman" w:cs="Times New Roman"/>
    </w:rPr>
  </w:style>
  <w:style w:type="paragraph" w:styleId="1122">
    <w:name w:val="Balloon Text"/>
    <w:basedOn w:val="1081"/>
    <w:next w:val="1098"/>
    <w:qFormat/>
    <w:pPr>
      <w:ind w:left="0" w:firstLine="2048"/>
      <w:spacing w:before="0" w:after="0" w:line="240" w:lineRule="auto"/>
    </w:pPr>
    <w:rPr>
      <w:rFonts w:ascii="Times New Roman" w:hAnsi="Times New Roman" w:cs="Times New Roman"/>
    </w:rPr>
  </w:style>
  <w:style w:type="paragraph" w:styleId="1123">
    <w:name w:val="Footer"/>
    <w:basedOn w:val="1080"/>
    <w:next w:val="1124"/>
    <w:link w:val="1150"/>
    <w:qFormat/>
    <w:pPr>
      <w:ind w:left="0" w:firstLine="3584"/>
    </w:pPr>
  </w:style>
  <w:style w:type="paragraph" w:styleId="1124" w:customStyle="1">
    <w:name w:val="Char Char Char Char Char Char Char Char Char Char Char Char Char"/>
    <w:basedOn w:val="1081"/>
    <w:next w:val="1080"/>
    <w:qFormat/>
    <w:pPr>
      <w:ind w:left="0" w:firstLine="3584"/>
      <w:spacing w:before="0" w:after="160" w:line="240" w:lineRule="exact"/>
    </w:pPr>
    <w:rPr>
      <w:rFonts w:ascii="Times New Roman" w:hAnsi="Times New Roman" w:cs="Times New Roman"/>
    </w:rPr>
  </w:style>
  <w:style w:type="paragraph" w:styleId="1125">
    <w:name w:val="Header"/>
    <w:basedOn w:val="1081"/>
    <w:next w:val="1118"/>
    <w:link w:val="1151"/>
    <w:qFormat/>
    <w:pPr>
      <w:ind w:left="0" w:firstLine="3584"/>
      <w:jc w:val="center"/>
      <w:spacing w:before="0" w:after="0" w:line="240" w:lineRule="auto"/>
    </w:pPr>
  </w:style>
  <w:style w:type="paragraph" w:styleId="1126">
    <w:name w:val="toc 4"/>
    <w:basedOn w:val="1081"/>
    <w:next w:val="1080"/>
    <w:qFormat/>
    <w:pPr>
      <w:ind w:left="1260" w:firstLine="1024"/>
      <w:spacing w:before="0" w:after="0" w:line="240" w:lineRule="auto"/>
    </w:pPr>
    <w:rPr>
      <w:rFonts w:ascii="Times New Roman" w:hAnsi="Times New Roman" w:cs="Times New Roman"/>
    </w:rPr>
  </w:style>
  <w:style w:type="paragraph" w:styleId="1127">
    <w:name w:val="Subtitle"/>
    <w:next w:val="1080"/>
    <w:link w:val="1516"/>
    <w:qFormat/>
    <w:pPr>
      <w:ind w:left="1024"/>
      <w:jc w:val="center"/>
      <w:spacing w:after="60"/>
    </w:pPr>
    <w:rPr>
      <w:rFonts w:ascii="Calibri" w:hAnsi="Calibri"/>
    </w:rPr>
  </w:style>
  <w:style w:type="paragraph" w:styleId="1128">
    <w:name w:val="List"/>
    <w:basedOn w:val="1081"/>
    <w:next w:val="1129"/>
    <w:qFormat/>
    <w:pPr>
      <w:ind w:left="200" w:firstLine="3640"/>
      <w:spacing w:before="0" w:after="0" w:line="240" w:lineRule="auto"/>
    </w:pPr>
    <w:rPr>
      <w:rFonts w:ascii="Times New Roman" w:hAnsi="Times New Roman" w:cs="Times New Roman"/>
    </w:rPr>
  </w:style>
  <w:style w:type="paragraph" w:styleId="1129">
    <w:name w:val="Body Text First Indent"/>
    <w:next w:val="1080"/>
    <w:link w:val="1515"/>
    <w:qFormat/>
    <w:pPr>
      <w:ind w:left="420" w:firstLine="3748"/>
      <w:spacing w:after="120"/>
    </w:pPr>
    <w:rPr>
      <w:rFonts w:ascii="Calibri" w:hAnsi="Calibri"/>
    </w:rPr>
  </w:style>
  <w:style w:type="paragraph" w:styleId="1130">
    <w:name w:val="footnote text"/>
    <w:basedOn w:val="1081"/>
    <w:next w:val="1110"/>
    <w:link w:val="1512"/>
    <w:qFormat/>
    <w:pPr>
      <w:ind w:left="0" w:firstLine="3584"/>
      <w:spacing w:before="0" w:after="0" w:line="360" w:lineRule="auto"/>
    </w:pPr>
    <w:rPr>
      <w:rFonts w:ascii="Times New Roman" w:hAnsi="Times New Roman" w:cs="Times New Roman"/>
    </w:rPr>
  </w:style>
  <w:style w:type="paragraph" w:styleId="1131">
    <w:name w:val="toc 6"/>
    <w:basedOn w:val="1081"/>
    <w:next w:val="1080"/>
    <w:qFormat/>
    <w:pPr>
      <w:ind w:left="1400" w:firstLine="3784"/>
      <w:spacing w:before="0" w:after="0" w:line="360" w:lineRule="auto"/>
    </w:pPr>
    <w:rPr>
      <w:rFonts w:ascii="Times New Roman" w:hAnsi="Times New Roman" w:cs="Times New Roman"/>
    </w:rPr>
  </w:style>
  <w:style w:type="paragraph" w:styleId="1132">
    <w:name w:val="List 5"/>
    <w:basedOn w:val="1081"/>
    <w:next w:val="1107"/>
    <w:qFormat/>
    <w:pPr>
      <w:ind w:left="2100" w:firstLine="3676"/>
      <w:spacing w:before="0" w:after="0" w:line="240" w:lineRule="auto"/>
    </w:pPr>
    <w:rPr>
      <w:rFonts w:ascii="Times New Roman" w:hAnsi="Times New Roman" w:cs="Times New Roman"/>
    </w:rPr>
  </w:style>
  <w:style w:type="paragraph" w:styleId="1133">
    <w:name w:val="Body Text Indent 3"/>
    <w:basedOn w:val="1081"/>
    <w:next w:val="1131"/>
    <w:qFormat/>
    <w:pPr>
      <w:ind w:left="480" w:firstLine="2784"/>
      <w:spacing w:before="0" w:after="0" w:line="400" w:lineRule="exact"/>
    </w:pPr>
    <w:rPr>
      <w:rFonts w:ascii="Times New Roman" w:hAnsi="Times New Roman" w:cs="Times New Roman"/>
    </w:rPr>
  </w:style>
  <w:style w:type="paragraph" w:styleId="1134">
    <w:name w:val="toc 2"/>
    <w:basedOn w:val="1081"/>
    <w:next w:val="1080"/>
    <w:qFormat/>
    <w:pPr>
      <w:ind w:left="0" w:firstLine="1024"/>
      <w:spacing w:before="0" w:after="0" w:line="360" w:lineRule="auto"/>
    </w:pPr>
    <w:rPr>
      <w:rFonts w:ascii="Times New Roman" w:hAnsi="Times New Roman" w:cs="Times New Roman"/>
    </w:rPr>
  </w:style>
  <w:style w:type="paragraph" w:styleId="1135">
    <w:name w:val="toc 9"/>
    <w:basedOn w:val="1081"/>
    <w:next w:val="1080"/>
    <w:qFormat/>
    <w:pPr>
      <w:ind w:left="2120" w:firstLine="3784"/>
      <w:spacing w:before="0" w:after="0" w:line="360" w:lineRule="auto"/>
    </w:pPr>
    <w:rPr>
      <w:rFonts w:ascii="Times New Roman" w:hAnsi="Times New Roman" w:cs="Times New Roman"/>
    </w:rPr>
  </w:style>
  <w:style w:type="paragraph" w:styleId="1136">
    <w:name w:val="Body Text 2"/>
    <w:basedOn w:val="1081"/>
    <w:next w:val="1101"/>
    <w:link w:val="1518"/>
    <w:qFormat/>
    <w:pPr>
      <w:ind w:left="0" w:firstLine="1024"/>
      <w:spacing w:before="0" w:after="120" w:line="480" w:lineRule="auto"/>
    </w:pPr>
    <w:rPr>
      <w:rFonts w:ascii="Times New Roman" w:hAnsi="Times New Roman" w:cs="Times New Roman"/>
    </w:rPr>
  </w:style>
  <w:style w:type="paragraph" w:styleId="1137">
    <w:name w:val="HTML Preformatted"/>
    <w:basedOn w:val="1081"/>
    <w:next w:val="1100"/>
    <w:link w:val="1511"/>
    <w:qFormat/>
    <w:pPr>
      <w:ind w:left="0" w:firstLine="2048"/>
      <w:spacing w:before="0" w:after="0" w:line="253" w:lineRule="atLeast"/>
    </w:pPr>
    <w:rPr>
      <w:rFonts w:ascii="Times New Roman" w:hAnsi="Times New Roman" w:cs="Times New Roman"/>
    </w:rPr>
  </w:style>
  <w:style w:type="paragraph" w:styleId="1138">
    <w:name w:val="Normal (Web)"/>
    <w:basedOn w:val="1080"/>
    <w:next w:val="1109"/>
    <w:qFormat/>
    <w:pPr>
      <w:ind w:left="15" w:right="15" w:firstLine="4608"/>
      <w:spacing w:before="60" w:after="60" w:line="312" w:lineRule="auto"/>
    </w:pPr>
    <w:rPr>
      <w:rFonts w:ascii="Times New Roman" w:hAnsi="Times New Roman" w:cs="Times New Roman"/>
    </w:rPr>
  </w:style>
  <w:style w:type="paragraph" w:styleId="1139">
    <w:name w:val="index 1"/>
    <w:basedOn w:val="1081"/>
    <w:next w:val="1080"/>
    <w:qFormat/>
    <w:pPr>
      <w:ind w:left="0" w:firstLine="3584"/>
      <w:spacing w:before="0" w:after="0" w:line="240" w:lineRule="auto"/>
    </w:pPr>
    <w:rPr>
      <w:rFonts w:ascii="Times New Roman" w:hAnsi="Times New Roman" w:cs="Times New Roman"/>
    </w:rPr>
  </w:style>
  <w:style w:type="paragraph" w:styleId="1140">
    <w:name w:val="Body Text First Indent 2"/>
    <w:basedOn w:val="1093"/>
    <w:link w:val="1517"/>
    <w:unhideWhenUsed/>
    <w:qFormat/>
    <w:pPr>
      <w:ind w:firstLine="420"/>
    </w:pPr>
  </w:style>
  <w:style w:type="table" w:styleId="114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42">
    <w:name w:val="Strong"/>
    <w:qFormat/>
    <w:rPr>
      <w:rFonts w:ascii="Times New Roman" w:hAnsi="Times New Roman" w:eastAsia="宋体" w:cs="Times New Roman"/>
      <w:b/>
      <w:sz w:val="20"/>
    </w:rPr>
  </w:style>
  <w:style w:type="character" w:styleId="1143">
    <w:name w:val="page number"/>
    <w:qFormat/>
    <w:rPr>
      <w:rFonts w:ascii="Times New Roman" w:hAnsi="Times New Roman" w:eastAsia="宋体" w:cs="Times New Roman"/>
      <w:sz w:val="20"/>
    </w:rPr>
  </w:style>
  <w:style w:type="character" w:styleId="1144">
    <w:name w:val="FollowedHyperlink"/>
    <w:uiPriority w:val="99"/>
    <w:qFormat/>
    <w:rPr>
      <w:rFonts w:ascii="Times New Roman" w:hAnsi="Times New Roman" w:eastAsia="宋体" w:cs="Times New Roman"/>
      <w:color w:val="800080"/>
      <w:sz w:val="20"/>
      <w:u w:val="single"/>
    </w:rPr>
  </w:style>
  <w:style w:type="character" w:styleId="1145">
    <w:name w:val="Emphasis"/>
    <w:qFormat/>
    <w:rPr>
      <w:rFonts w:ascii="Times New Roman" w:hAnsi="Times New Roman" w:eastAsia="宋体" w:cs="Times New Roman"/>
      <w:i/>
      <w:sz w:val="21"/>
    </w:rPr>
  </w:style>
  <w:style w:type="character" w:styleId="1146">
    <w:name w:val="Hyperlink"/>
    <w:uiPriority w:val="99"/>
    <w:qFormat/>
    <w:rPr>
      <w:rFonts w:ascii="Times New Roman" w:hAnsi="Times New Roman" w:eastAsia="宋体" w:cs="Times New Roman"/>
      <w:color w:val="0000ff"/>
      <w:sz w:val="20"/>
      <w:u w:val="single"/>
    </w:rPr>
  </w:style>
  <w:style w:type="character" w:styleId="1147">
    <w:name w:val="annotation reference"/>
    <w:qFormat/>
    <w:rPr>
      <w:rFonts w:ascii="Times New Roman" w:hAnsi="Times New Roman" w:eastAsia="宋体" w:cs="Times New Roman"/>
      <w:sz w:val="20"/>
    </w:rPr>
  </w:style>
  <w:style w:type="character" w:styleId="1148">
    <w:name w:val="footnote reference"/>
    <w:qFormat/>
    <w:rPr>
      <w:rFonts w:ascii="Times New Roman" w:hAnsi="Times New Roman" w:eastAsia="宋体" w:cs="Times New Roman"/>
      <w:vertAlign w:val="superscript"/>
    </w:rPr>
  </w:style>
  <w:style w:type="character" w:styleId="1149" w:customStyle="1">
    <w:name w:val="正文缩进 字符"/>
    <w:link w:val="1099"/>
    <w:qFormat/>
    <w:rPr>
      <w:rFonts w:ascii="Calibri" w:hAnsi="Calibri" w:eastAsia="宋体" w:cs="Times New Roman"/>
    </w:rPr>
  </w:style>
  <w:style w:type="character" w:styleId="1150" w:customStyle="1">
    <w:name w:val="页脚 字符"/>
    <w:link w:val="1123"/>
    <w:qFormat/>
    <w:rPr>
      <w:rFonts w:ascii="Calibri" w:hAnsi="Calibri" w:eastAsia="宋体" w:cs="Times New Roman"/>
    </w:rPr>
  </w:style>
  <w:style w:type="character" w:styleId="1151" w:customStyle="1">
    <w:name w:val="页眉 字符"/>
    <w:link w:val="1125"/>
    <w:qFormat/>
    <w:rPr>
      <w:rFonts w:ascii="Calibri" w:hAnsi="Calibri" w:eastAsia="宋体" w:cs="Times New Roman"/>
    </w:rPr>
  </w:style>
  <w:style w:type="character" w:styleId="1152" w:customStyle="1">
    <w:name w:val="日期 Char"/>
    <w:qFormat/>
    <w:rPr>
      <w:rFonts w:ascii="Times New Roman" w:hAnsi="Times New Roman" w:eastAsia="宋体" w:cs="Times New Roman"/>
      <w:sz w:val="20"/>
    </w:rPr>
  </w:style>
  <w:style w:type="character" w:styleId="1153" w:customStyle="1">
    <w:name w:val="批注引用1"/>
    <w:qFormat/>
    <w:rPr>
      <w:rFonts w:ascii="Times New Roman" w:hAnsi="Times New Roman" w:eastAsia="宋体" w:cs="Times New Roman"/>
      <w:sz w:val="20"/>
    </w:rPr>
  </w:style>
  <w:style w:type="character" w:styleId="1154" w:customStyle="1">
    <w:name w:val="应答文本 Char Char"/>
    <w:qFormat/>
    <w:rPr>
      <w:rFonts w:ascii="Times New Roman" w:hAnsi="Times New Roman" w:eastAsia="宋体" w:cs="Times New Roman"/>
      <w:sz w:val="20"/>
    </w:rPr>
  </w:style>
  <w:style w:type="character" w:styleId="1155" w:customStyle="1">
    <w:name w:val="图片0 Char Char"/>
    <w:qFormat/>
    <w:rPr>
      <w:rFonts w:ascii="Times New Roman" w:hAnsi="Times New Roman" w:eastAsia="宋体" w:cs="Times New Roman"/>
      <w:sz w:val="20"/>
    </w:rPr>
  </w:style>
  <w:style w:type="character" w:styleId="1156" w:customStyle="1">
    <w:name w:val="尾注文本 Char"/>
    <w:qFormat/>
    <w:rPr>
      <w:rFonts w:ascii="Times New Roman" w:hAnsi="Times New Roman" w:eastAsia="宋体" w:cs="Times New Roman"/>
      <w:sz w:val="20"/>
    </w:rPr>
  </w:style>
  <w:style w:type="character" w:styleId="1157" w:customStyle="1">
    <w:name w:val="文档结构图 字符"/>
    <w:qFormat/>
    <w:rPr>
      <w:rFonts w:ascii="Microsoft YaHei UI" w:hAnsi="Times New Roman" w:eastAsia="Microsoft YaHei UI" w:cs="Times New Roman"/>
      <w:sz w:val="18"/>
      <w:szCs w:val="18"/>
    </w:rPr>
  </w:style>
  <w:style w:type="character" w:styleId="1158" w:customStyle="1">
    <w:name w:val="_Style 337"/>
    <w:qFormat/>
    <w:rPr>
      <w:rFonts w:ascii="Times New Roman" w:hAnsi="Times New Roman" w:eastAsia="宋体" w:cs="Times New Roman"/>
      <w:color w:val="auto"/>
      <w:sz w:val="21"/>
    </w:rPr>
  </w:style>
  <w:style w:type="character" w:styleId="1159" w:customStyle="1">
    <w:name w:val="正文文本 字符"/>
    <w:qFormat/>
    <w:rPr>
      <w:rFonts w:ascii="Times New Roman" w:hAnsi="Times New Roman" w:eastAsia="宋体" w:cs="Times New Roman"/>
      <w:sz w:val="21"/>
    </w:rPr>
  </w:style>
  <w:style w:type="character" w:styleId="1160" w:customStyle="1">
    <w:name w:val="批注文字 字符"/>
    <w:qFormat/>
    <w:rPr>
      <w:rFonts w:ascii="Times New Roman" w:hAnsi="Times New Roman" w:eastAsia="宋体" w:cs="Times New Roman"/>
      <w:sz w:val="20"/>
    </w:rPr>
  </w:style>
  <w:style w:type="character" w:styleId="1161" w:customStyle="1">
    <w:name w:val="批注文字 Char1"/>
    <w:qFormat/>
    <w:rPr>
      <w:rFonts w:ascii="Times New Roman" w:hAnsi="Times New Roman" w:eastAsia="宋体" w:cs="Times New Roman"/>
      <w:sz w:val="20"/>
    </w:rPr>
  </w:style>
  <w:style w:type="character" w:styleId="1162" w:customStyle="1">
    <w:name w:val="txt"/>
    <w:qFormat/>
    <w:rPr>
      <w:rFonts w:ascii="Times New Roman" w:hAnsi="Times New Roman" w:eastAsia="宋体" w:cs="Times New Roman"/>
      <w:sz w:val="20"/>
    </w:rPr>
  </w:style>
  <w:style w:type="character" w:styleId="1163" w:customStyle="1">
    <w:name w:val="标书正文 Char"/>
    <w:qFormat/>
    <w:rPr>
      <w:rFonts w:ascii="Times New Roman" w:hAnsi="Times New Roman" w:eastAsia="宋体" w:cs="Times New Roman"/>
      <w:sz w:val="20"/>
    </w:rPr>
  </w:style>
  <w:style w:type="character" w:styleId="1164" w:customStyle="1">
    <w:name w:val="font21"/>
    <w:qFormat/>
    <w:rPr>
      <w:rFonts w:hint="eastAsia" w:ascii="宋体" w:hAnsi="宋体" w:eastAsia="宋体" w:cs="宋体"/>
      <w:color w:val="ff0000"/>
      <w:sz w:val="24"/>
      <w:szCs w:val="24"/>
      <w:u w:val="none"/>
    </w:rPr>
  </w:style>
  <w:style w:type="character" w:styleId="1165" w:customStyle="1">
    <w:name w:val="apple-converted-space"/>
    <w:qFormat/>
    <w:rPr>
      <w:rFonts w:ascii="Times New Roman" w:hAnsi="Times New Roman" w:eastAsia="宋体" w:cs="Times New Roman"/>
      <w:sz w:val="20"/>
    </w:rPr>
  </w:style>
  <w:style w:type="character" w:styleId="1166" w:customStyle="1">
    <w:name w:val="纯文本 Char1"/>
    <w:qFormat/>
    <w:rPr>
      <w:rFonts w:ascii="Times New Roman" w:hAnsi="Times New Roman" w:eastAsia="宋体" w:cs="Times New Roman"/>
      <w:sz w:val="20"/>
    </w:rPr>
  </w:style>
  <w:style w:type="character" w:styleId="1167" w:customStyle="1">
    <w:name w:val="para1"/>
    <w:qFormat/>
    <w:rPr>
      <w:rFonts w:ascii="Times New Roman" w:hAnsi="Times New Roman" w:eastAsia="宋体" w:cs="Times New Roman"/>
      <w:sz w:val="20"/>
    </w:rPr>
  </w:style>
  <w:style w:type="character" w:styleId="1168" w:customStyle="1">
    <w:name w:val="HTML 预设格式 Char1"/>
    <w:qFormat/>
    <w:rPr>
      <w:rFonts w:ascii="Times New Roman" w:hAnsi="Times New Roman" w:eastAsia="宋体" w:cs="Times New Roman"/>
      <w:sz w:val="20"/>
    </w:rPr>
  </w:style>
  <w:style w:type="character" w:styleId="1169" w:customStyle="1">
    <w:name w:val="批注文字 Char"/>
    <w:qFormat/>
    <w:rPr>
      <w:rFonts w:ascii="Times New Roman" w:hAnsi="Times New Roman" w:eastAsia="宋体" w:cs="Times New Roman"/>
      <w:sz w:val="20"/>
    </w:rPr>
  </w:style>
  <w:style w:type="character" w:styleId="1170" w:customStyle="1">
    <w:name w:val="文档结构图 Char"/>
    <w:qFormat/>
    <w:rPr>
      <w:rFonts w:ascii="Times New Roman" w:hAnsi="Times New Roman" w:eastAsia="宋体" w:cs="Times New Roman"/>
      <w:sz w:val="20"/>
    </w:rPr>
  </w:style>
  <w:style w:type="character" w:styleId="1171" w:customStyle="1">
    <w:name w:val="超级链接"/>
    <w:qFormat/>
    <w:rPr>
      <w:rFonts w:ascii="Times New Roman" w:hAnsi="Times New Roman" w:eastAsia="宋体" w:cs="Times New Roman"/>
      <w:color w:val="0000ff"/>
      <w:sz w:val="20"/>
      <w:u w:val="single"/>
    </w:rPr>
  </w:style>
  <w:style w:type="character" w:styleId="1172" w:customStyle="1">
    <w:name w:val="p141"/>
    <w:qFormat/>
    <w:rPr>
      <w:rFonts w:ascii="Times New Roman" w:hAnsi="Times New Roman" w:eastAsia="宋体" w:cs="Times New Roman"/>
      <w:color w:val="000000"/>
      <w:sz w:val="20"/>
      <w:u w:val="none"/>
    </w:rPr>
  </w:style>
  <w:style w:type="character" w:styleId="1173" w:customStyle="1">
    <w:name w:val="宏文本 Char"/>
    <w:qFormat/>
    <w:rPr>
      <w:rFonts w:ascii="Times New Roman" w:hAnsi="Times New Roman" w:eastAsia="宋体" w:cs="Times New Roman"/>
      <w:sz w:val="20"/>
    </w:rPr>
  </w:style>
  <w:style w:type="character" w:styleId="1174" w:customStyle="1">
    <w:name w:val="_Style 313"/>
    <w:qFormat/>
    <w:rPr>
      <w:rFonts w:ascii="Times New Roman" w:hAnsi="Times New Roman" w:eastAsia="宋体" w:cs="Times New Roman"/>
      <w:b/>
      <w:i/>
      <w:sz w:val="21"/>
    </w:rPr>
  </w:style>
  <w:style w:type="character" w:styleId="1175" w:customStyle="1">
    <w:name w:val="页脚 Char1"/>
    <w:qFormat/>
    <w:rPr>
      <w:rFonts w:ascii="Times New Roman" w:hAnsi="Times New Roman" w:eastAsia="宋体" w:cs="Times New Roman"/>
      <w:sz w:val="20"/>
    </w:rPr>
  </w:style>
  <w:style w:type="character" w:styleId="1176" w:customStyle="1">
    <w:name w:val="页眉 Char"/>
    <w:qFormat/>
    <w:rPr>
      <w:rFonts w:ascii="Times New Roman" w:hAnsi="Times New Roman" w:eastAsia="宋体" w:cs="Times New Roman"/>
      <w:sz w:val="20"/>
    </w:rPr>
  </w:style>
  <w:style w:type="character" w:styleId="1177" w:customStyle="1">
    <w:name w:val="标题 7 Char"/>
    <w:qFormat/>
    <w:rPr>
      <w:rFonts w:ascii="Times New Roman" w:hAnsi="Times New Roman" w:eastAsia="宋体" w:cs="Times New Roman"/>
      <w:b/>
      <w:sz w:val="20"/>
    </w:rPr>
  </w:style>
  <w:style w:type="character" w:styleId="1178" w:customStyle="1">
    <w:name w:val="Char Char12"/>
    <w:qFormat/>
    <w:rPr>
      <w:rFonts w:ascii="Times New Roman" w:hAnsi="Times New Roman" w:eastAsia="宋体" w:cs="Times New Roman"/>
      <w:sz w:val="20"/>
    </w:rPr>
  </w:style>
  <w:style w:type="character" w:styleId="1179" w:customStyle="1">
    <w:name w:val="标题 3 Char"/>
    <w:qFormat/>
    <w:rPr>
      <w:rFonts w:ascii="Times New Roman" w:hAnsi="Times New Roman" w:eastAsia="宋体" w:cs="Times New Roman"/>
      <w:b/>
      <w:sz w:val="20"/>
    </w:rPr>
  </w:style>
  <w:style w:type="character" w:styleId="1180" w:customStyle="1">
    <w:name w:val="正文（首行缩进 2 字符） Char Char"/>
    <w:qFormat/>
    <w:rPr>
      <w:rFonts w:ascii="Times New Roman" w:hAnsi="Times New Roman" w:eastAsia="宋体" w:cs="Times New Roman"/>
      <w:sz w:val="20"/>
    </w:rPr>
  </w:style>
  <w:style w:type="character" w:styleId="1181" w:customStyle="1">
    <w:name w:val="表格用 Char Char"/>
    <w:qFormat/>
    <w:rPr>
      <w:rFonts w:ascii="Times New Roman" w:hAnsi="Times New Roman" w:eastAsia="宋体" w:cs="Times New Roman"/>
      <w:sz w:val="20"/>
    </w:rPr>
  </w:style>
  <w:style w:type="character" w:styleId="1182" w:customStyle="1">
    <w:name w:val="正文文本缩进 3 Char1"/>
    <w:qFormat/>
    <w:rPr>
      <w:rFonts w:ascii="Times New Roman" w:hAnsi="Times New Roman" w:eastAsia="宋体" w:cs="Times New Roman"/>
      <w:sz w:val="20"/>
    </w:rPr>
  </w:style>
  <w:style w:type="character" w:styleId="1183" w:customStyle="1">
    <w:name w:val="正文缩进 Char"/>
    <w:qFormat/>
    <w:rPr>
      <w:rFonts w:ascii="Times New Roman" w:hAnsi="Times New Roman" w:eastAsia="宋体" w:cs="Times New Roman"/>
      <w:sz w:val="20"/>
    </w:rPr>
  </w:style>
  <w:style w:type="character" w:styleId="1184" w:customStyle="1">
    <w:name w:val="批注框文本 Char1"/>
    <w:qFormat/>
    <w:rPr>
      <w:rFonts w:ascii="Times New Roman" w:hAnsi="Times New Roman" w:eastAsia="宋体" w:cs="Times New Roman"/>
      <w:sz w:val="20"/>
    </w:rPr>
  </w:style>
  <w:style w:type="character" w:styleId="1185" w:customStyle="1">
    <w:name w:val="Char Char13"/>
    <w:qFormat/>
    <w:rPr>
      <w:rFonts w:ascii="Times New Roman" w:hAnsi="Times New Roman" w:eastAsia="宋体" w:cs="Times New Roman"/>
      <w:sz w:val="20"/>
    </w:rPr>
  </w:style>
  <w:style w:type="character" w:styleId="1186" w:customStyle="1">
    <w:name w:val="样式2 Char"/>
    <w:qFormat/>
    <w:rPr>
      <w:rFonts w:ascii="Times New Roman" w:hAnsi="Times New Roman" w:eastAsia="宋体" w:cs="Times New Roman"/>
      <w:b/>
      <w:sz w:val="20"/>
    </w:rPr>
  </w:style>
  <w:style w:type="character" w:styleId="1187" w:customStyle="1">
    <w:name w:val="页脚 Char"/>
    <w:qFormat/>
    <w:rPr>
      <w:rFonts w:ascii="Times New Roman" w:hAnsi="Times New Roman" w:eastAsia="宋体" w:cs="Times New Roman"/>
      <w:sz w:val="20"/>
    </w:rPr>
  </w:style>
  <w:style w:type="character" w:styleId="1188" w:customStyle="1">
    <w:name w:val="标准文本 Char"/>
    <w:qFormat/>
    <w:rPr>
      <w:rFonts w:ascii="Times New Roman" w:hAnsi="Times New Roman" w:eastAsia="宋体" w:cs="Times New Roman"/>
      <w:sz w:val="20"/>
    </w:rPr>
  </w:style>
  <w:style w:type="character" w:styleId="1189" w:customStyle="1">
    <w:name w:val="font01"/>
    <w:qFormat/>
    <w:rPr>
      <w:rFonts w:hint="eastAsia" w:ascii="宋体" w:hAnsi="宋体" w:eastAsia="宋体" w:cs="宋体"/>
      <w:color w:val="000000"/>
      <w:sz w:val="24"/>
      <w:szCs w:val="24"/>
      <w:u w:val="none"/>
    </w:rPr>
  </w:style>
  <w:style w:type="character" w:styleId="1190" w:customStyle="1">
    <w:name w:val="标题 3 Char1"/>
    <w:qFormat/>
    <w:rPr>
      <w:rFonts w:ascii="Times New Roman" w:hAnsi="Times New Roman" w:eastAsia="宋体" w:cs="Times New Roman"/>
      <w:b/>
      <w:sz w:val="20"/>
      <w:u w:val="single"/>
    </w:rPr>
  </w:style>
  <w:style w:type="character" w:styleId="1191" w:customStyle="1">
    <w:name w:val="表格 Char Char"/>
    <w:qFormat/>
    <w:rPr>
      <w:rFonts w:ascii="Times New Roman" w:hAnsi="Times New Roman" w:eastAsia="宋体" w:cs="Times New Roman"/>
      <w:sz w:val="20"/>
    </w:rPr>
  </w:style>
  <w:style w:type="character" w:styleId="1192" w:customStyle="1">
    <w:name w:val="正文首行缩进 Char"/>
    <w:qFormat/>
    <w:rPr>
      <w:rFonts w:ascii="Times New Roman" w:hAnsi="Times New Roman" w:eastAsia="宋体" w:cs="Times New Roman"/>
      <w:sz w:val="20"/>
    </w:rPr>
  </w:style>
  <w:style w:type="character" w:styleId="1193" w:customStyle="1">
    <w:name w:val="标题 9 Char"/>
    <w:qFormat/>
    <w:rPr>
      <w:rFonts w:ascii="Times New Roman" w:hAnsi="Times New Roman" w:eastAsia="宋体" w:cs="Times New Roman"/>
      <w:sz w:val="20"/>
    </w:rPr>
  </w:style>
  <w:style w:type="character" w:styleId="1194" w:customStyle="1">
    <w:name w:val="lh151"/>
    <w:qFormat/>
    <w:rPr>
      <w:rFonts w:ascii="Times New Roman" w:hAnsi="Times New Roman" w:eastAsia="宋体" w:cs="Times New Roman"/>
      <w:color w:val="666666"/>
      <w:sz w:val="20"/>
    </w:rPr>
  </w:style>
  <w:style w:type="character" w:styleId="1195" w:customStyle="1">
    <w:name w:val="日期 Char1"/>
    <w:qFormat/>
    <w:rPr>
      <w:rFonts w:ascii="Times New Roman" w:hAnsi="Times New Roman" w:eastAsia="宋体" w:cs="Times New Roman"/>
      <w:sz w:val="20"/>
    </w:rPr>
  </w:style>
  <w:style w:type="character" w:styleId="1196" w:customStyle="1">
    <w:name w:val="图片 Char Char"/>
    <w:qFormat/>
    <w:rPr>
      <w:rFonts w:ascii="Times New Roman" w:hAnsi="Times New Roman" w:eastAsia="宋体" w:cs="Times New Roman"/>
      <w:sz w:val="20"/>
    </w:rPr>
  </w:style>
  <w:style w:type="character" w:styleId="1197" w:customStyle="1">
    <w:name w:val="批注框文本 字符"/>
    <w:qFormat/>
    <w:rPr>
      <w:rFonts w:ascii="Times New Roman" w:hAnsi="Times New Roman" w:eastAsia="宋体" w:cs="Times New Roman"/>
      <w:sz w:val="20"/>
    </w:rPr>
  </w:style>
  <w:style w:type="character" w:styleId="1198" w:customStyle="1">
    <w:name w:val="HTML 预设格式 Char"/>
    <w:qFormat/>
    <w:rPr>
      <w:rFonts w:ascii="Times New Roman" w:hAnsi="Times New Roman" w:eastAsia="宋体" w:cs="Times New Roman"/>
      <w:sz w:val="20"/>
    </w:rPr>
  </w:style>
  <w:style w:type="character" w:styleId="1199" w:customStyle="1">
    <w:name w:val="列出段落 Char"/>
    <w:qFormat/>
    <w:rPr>
      <w:rFonts w:ascii="Times New Roman" w:hAnsi="Times New Roman" w:eastAsia="宋体" w:cs="Times New Roman"/>
      <w:sz w:val="20"/>
    </w:rPr>
  </w:style>
  <w:style w:type="character" w:styleId="1200" w:customStyle="1">
    <w:name w:val="标题 5 Char"/>
    <w:qFormat/>
    <w:rPr>
      <w:rFonts w:ascii="Times New Roman" w:hAnsi="Times New Roman" w:eastAsia="宋体" w:cs="Times New Roman"/>
      <w:b/>
      <w:sz w:val="20"/>
    </w:rPr>
  </w:style>
  <w:style w:type="character" w:styleId="1201" w:customStyle="1">
    <w:name w:val="链接"/>
    <w:qFormat/>
    <w:rPr>
      <w:rFonts w:ascii="Times New Roman" w:hAnsi="Times New Roman" w:eastAsia="宋体" w:cs="Times New Roman"/>
      <w:color w:val="0000ff"/>
      <w:sz w:val="20"/>
      <w:u w:val="single"/>
    </w:rPr>
  </w:style>
  <w:style w:type="character" w:styleId="1202" w:customStyle="1">
    <w:name w:val="18h1"/>
    <w:qFormat/>
    <w:rPr>
      <w:rFonts w:ascii="Times New Roman" w:hAnsi="Times New Roman" w:eastAsia="宋体" w:cs="Times New Roman"/>
      <w:color w:val="3b3b3b"/>
      <w:sz w:val="20"/>
    </w:rPr>
  </w:style>
  <w:style w:type="character" w:styleId="1203" w:customStyle="1">
    <w:name w:val="表格文字（两侧对齐） Char Char"/>
    <w:qFormat/>
    <w:rPr>
      <w:rFonts w:ascii="Times New Roman" w:hAnsi="Times New Roman" w:eastAsia="宋体" w:cs="Times New Roman"/>
      <w:sz w:val="20"/>
    </w:rPr>
  </w:style>
  <w:style w:type="character" w:styleId="1204" w:customStyle="1">
    <w:name w:val="正文文本缩进 2 Char"/>
    <w:qFormat/>
    <w:rPr>
      <w:rFonts w:ascii="Times New Roman" w:hAnsi="Times New Roman" w:eastAsia="宋体" w:cs="Times New Roman"/>
      <w:sz w:val="20"/>
    </w:rPr>
  </w:style>
  <w:style w:type="character" w:styleId="1205" w:customStyle="1">
    <w:name w:val="Char Char14"/>
    <w:qFormat/>
    <w:rPr>
      <w:rFonts w:ascii="Times New Roman" w:hAnsi="Times New Roman" w:eastAsia="宋体" w:cs="Times New Roman"/>
      <w:sz w:val="20"/>
    </w:rPr>
  </w:style>
  <w:style w:type="character" w:styleId="1206" w:customStyle="1">
    <w:name w:val="标题 1 Char1"/>
    <w:qFormat/>
    <w:rPr>
      <w:rFonts w:ascii="Times New Roman" w:hAnsi="Times New Roman" w:eastAsia="宋体" w:cs="Times New Roman"/>
      <w:b/>
      <w:sz w:val="20"/>
    </w:rPr>
  </w:style>
  <w:style w:type="character" w:styleId="1207" w:customStyle="1">
    <w:name w:val="批注框文本 Char"/>
    <w:qFormat/>
    <w:rPr>
      <w:rFonts w:ascii="Times New Roman" w:hAnsi="Times New Roman" w:eastAsia="宋体" w:cs="Times New Roman"/>
      <w:sz w:val="20"/>
    </w:rPr>
  </w:style>
  <w:style w:type="character" w:styleId="1208" w:customStyle="1">
    <w:name w:val="apple-style-span"/>
    <w:qFormat/>
    <w:rPr>
      <w:rFonts w:ascii="Times New Roman" w:hAnsi="Times New Roman" w:eastAsia="宋体" w:cs="Times New Roman"/>
      <w:sz w:val="20"/>
    </w:rPr>
  </w:style>
  <w:style w:type="character" w:styleId="1209" w:customStyle="1">
    <w:name w:val="插图 Char Char"/>
    <w:qFormat/>
    <w:rPr>
      <w:rFonts w:ascii="Times New Roman" w:hAnsi="Times New Roman" w:eastAsia="宋体" w:cs="Times New Roman"/>
      <w:sz w:val="20"/>
    </w:rPr>
  </w:style>
  <w:style w:type="character" w:styleId="1210" w:customStyle="1">
    <w:name w:val="标题 2 Char1"/>
    <w:qFormat/>
    <w:rPr>
      <w:rFonts w:ascii="Times New Roman" w:hAnsi="Times New Roman" w:eastAsia="宋体" w:cs="Times New Roman"/>
      <w:b/>
      <w:sz w:val="20"/>
    </w:rPr>
  </w:style>
  <w:style w:type="character" w:styleId="1211" w:customStyle="1">
    <w:name w:val="_Style 332"/>
    <w:qFormat/>
    <w:rPr>
      <w:rFonts w:ascii="Times New Roman" w:hAnsi="Times New Roman" w:eastAsia="宋体" w:cs="Times New Roman"/>
      <w:i/>
      <w:color w:val="auto"/>
      <w:sz w:val="21"/>
    </w:rPr>
  </w:style>
  <w:style w:type="character" w:styleId="1212" w:customStyle="1">
    <w:name w:val="正文文本 3 Char1"/>
    <w:qFormat/>
    <w:rPr>
      <w:rFonts w:ascii="Times New Roman" w:hAnsi="Times New Roman" w:eastAsia="宋体" w:cs="Times New Roman"/>
      <w:sz w:val="20"/>
    </w:rPr>
  </w:style>
  <w:style w:type="character" w:styleId="1213" w:customStyle="1">
    <w:name w:val="标题 5 Char1"/>
    <w:qFormat/>
    <w:rPr>
      <w:rFonts w:ascii="Times New Roman" w:hAnsi="Times New Roman" w:eastAsia="宋体" w:cs="Times New Roman"/>
      <w:b/>
      <w:sz w:val="20"/>
    </w:rPr>
  </w:style>
  <w:style w:type="character" w:styleId="1214" w:customStyle="1">
    <w:name w:val="批注主题 Char"/>
    <w:qFormat/>
    <w:rPr>
      <w:rFonts w:ascii="Times New Roman" w:hAnsi="Times New Roman" w:eastAsia="宋体" w:cs="Times New Roman"/>
      <w:b/>
      <w:sz w:val="20"/>
    </w:rPr>
  </w:style>
  <w:style w:type="character" w:styleId="1215" w:customStyle="1">
    <w:name w:val="标题 1 Char"/>
    <w:qFormat/>
    <w:rPr>
      <w:rFonts w:ascii="Times New Roman" w:hAnsi="Times New Roman" w:eastAsia="宋体" w:cs="Times New Roman"/>
      <w:b/>
      <w:sz w:val="20"/>
    </w:rPr>
  </w:style>
  <w:style w:type="character" w:styleId="1216" w:customStyle="1">
    <w:name w:val="正文文本 2 Char1"/>
    <w:qFormat/>
    <w:rPr>
      <w:rFonts w:ascii="Times New Roman" w:hAnsi="Times New Roman" w:eastAsia="宋体" w:cs="Times New Roman"/>
      <w:sz w:val="20"/>
    </w:rPr>
  </w:style>
  <w:style w:type="character" w:styleId="1217" w:customStyle="1">
    <w:name w:val="标题 4 Char1"/>
    <w:qFormat/>
    <w:rPr>
      <w:rFonts w:ascii="Times New Roman" w:hAnsi="Times New Roman" w:eastAsia="宋体" w:cs="Times New Roman"/>
      <w:b/>
      <w:sz w:val="20"/>
    </w:rPr>
  </w:style>
  <w:style w:type="character" w:styleId="1218" w:customStyle="1">
    <w:name w:val="正文文本 2 Char"/>
    <w:qFormat/>
    <w:rPr>
      <w:rFonts w:ascii="Times New Roman" w:hAnsi="Times New Roman" w:eastAsia="宋体" w:cs="Times New Roman"/>
      <w:sz w:val="20"/>
    </w:rPr>
  </w:style>
  <w:style w:type="character" w:styleId="1219" w:customStyle="1">
    <w:name w:val="_Style 376"/>
    <w:qFormat/>
    <w:rPr>
      <w:rFonts w:ascii="Times New Roman" w:hAnsi="Times New Roman" w:eastAsia="宋体" w:cs="Times New Roman"/>
      <w:b/>
      <w:color w:val="auto"/>
      <w:sz w:val="21"/>
    </w:rPr>
  </w:style>
  <w:style w:type="character" w:styleId="1220" w:customStyle="1">
    <w:name w:val="062"/>
    <w:qFormat/>
    <w:rPr>
      <w:rFonts w:ascii="Times New Roman" w:hAnsi="Times New Roman" w:eastAsia="宋体" w:cs="Times New Roman"/>
      <w:b/>
      <w:sz w:val="20"/>
    </w:rPr>
  </w:style>
  <w:style w:type="character" w:styleId="1221" w:customStyle="1">
    <w:name w:val="正文文本 Char1"/>
    <w:qFormat/>
    <w:rPr>
      <w:rFonts w:ascii="Times New Roman" w:hAnsi="Times New Roman" w:eastAsia="宋体" w:cs="Times New Roman"/>
      <w:sz w:val="20"/>
    </w:rPr>
  </w:style>
  <w:style w:type="character" w:styleId="1222" w:customStyle="1">
    <w:name w:val="题注 Char"/>
    <w:qFormat/>
    <w:rPr>
      <w:rFonts w:ascii="Times New Roman" w:hAnsi="Times New Roman" w:eastAsia="宋体" w:cs="Times New Roman"/>
      <w:sz w:val="20"/>
    </w:rPr>
  </w:style>
  <w:style w:type="character" w:styleId="1223" w:customStyle="1">
    <w:name w:val="脚注文本 Char"/>
    <w:qFormat/>
    <w:rPr>
      <w:rFonts w:ascii="Times New Roman" w:hAnsi="Times New Roman" w:eastAsia="宋体" w:cs="Times New Roman"/>
      <w:sz w:val="20"/>
    </w:rPr>
  </w:style>
  <w:style w:type="character" w:styleId="1224" w:customStyle="1">
    <w:name w:val="_Style 336"/>
    <w:qFormat/>
    <w:rPr>
      <w:rFonts w:ascii="Times New Roman" w:hAnsi="Times New Roman" w:eastAsia="宋体" w:cs="Times New Roman"/>
      <w:i/>
      <w:color w:val="auto"/>
      <w:sz w:val="21"/>
    </w:rPr>
  </w:style>
  <w:style w:type="character" w:styleId="1225" w:customStyle="1">
    <w:name w:val="表格 Char"/>
    <w:qFormat/>
    <w:rPr>
      <w:rFonts w:ascii="Times New Roman" w:hAnsi="Times New Roman" w:eastAsia="宋体" w:cs="Times New Roman"/>
      <w:color w:val="000000"/>
      <w:sz w:val="20"/>
    </w:rPr>
  </w:style>
  <w:style w:type="character" w:styleId="1226" w:customStyle="1">
    <w:name w:val="批注主题 字符"/>
    <w:qFormat/>
    <w:rPr>
      <w:rFonts w:ascii="Times New Roman" w:hAnsi="Times New Roman" w:eastAsia="宋体" w:cs="Times New Roman"/>
      <w:b/>
      <w:sz w:val="20"/>
    </w:rPr>
  </w:style>
  <w:style w:type="character" w:styleId="1227" w:customStyle="1">
    <w:name w:val="图注 Char Char"/>
    <w:qFormat/>
    <w:rPr>
      <w:rFonts w:ascii="Times New Roman" w:hAnsi="Times New Roman" w:eastAsia="宋体" w:cs="Times New Roman"/>
      <w:sz w:val="20"/>
    </w:rPr>
  </w:style>
  <w:style w:type="character" w:styleId="1228" w:customStyle="1">
    <w:name w:val="页码1"/>
    <w:qFormat/>
    <w:rPr>
      <w:rFonts w:ascii="Times New Roman" w:hAnsi="Times New Roman" w:eastAsia="宋体" w:cs="Times New Roman"/>
      <w:sz w:val="20"/>
    </w:rPr>
  </w:style>
  <w:style w:type="character" w:styleId="1229" w:customStyle="1">
    <w:name w:val="列表框1 Char Char"/>
    <w:qFormat/>
    <w:rPr>
      <w:rFonts w:ascii="Times New Roman" w:hAnsi="Times New Roman" w:eastAsia="宋体" w:cs="Times New Roman"/>
      <w:sz w:val="20"/>
    </w:rPr>
  </w:style>
  <w:style w:type="character" w:styleId="1230" w:customStyle="1">
    <w:name w:val="1ji Char"/>
    <w:qFormat/>
    <w:rPr>
      <w:rFonts w:ascii="Times New Roman" w:hAnsi="Times New Roman" w:eastAsia="宋体" w:cs="Times New Roman"/>
      <w:b/>
      <w:sz w:val="20"/>
    </w:rPr>
  </w:style>
  <w:style w:type="character" w:styleId="1231" w:customStyle="1">
    <w:name w:val="正文文本缩进 Char"/>
    <w:qFormat/>
    <w:rPr>
      <w:rFonts w:ascii="Times New Roman" w:hAnsi="Times New Roman" w:eastAsia="宋体" w:cs="Times New Roman"/>
      <w:sz w:val="20"/>
    </w:rPr>
  </w:style>
  <w:style w:type="character" w:styleId="1232" w:customStyle="1">
    <w:name w:val="标准文本 Char Char"/>
    <w:qFormat/>
    <w:rPr>
      <w:rFonts w:ascii="Times New Roman" w:hAnsi="Times New Roman" w:eastAsia="宋体" w:cs="Times New Roman"/>
      <w:sz w:val="20"/>
    </w:rPr>
  </w:style>
  <w:style w:type="character" w:styleId="1233" w:customStyle="1">
    <w:name w:val="表格用 Char"/>
    <w:qFormat/>
    <w:rPr>
      <w:rFonts w:ascii="Times New Roman" w:hAnsi="Times New Roman" w:eastAsia="宋体" w:cs="Times New Roman"/>
      <w:color w:val="000000"/>
      <w:sz w:val="20"/>
    </w:rPr>
  </w:style>
  <w:style w:type="character" w:styleId="1234" w:customStyle="1">
    <w:name w:val="标题 7 Char1"/>
    <w:qFormat/>
    <w:rPr>
      <w:rFonts w:ascii="Times New Roman" w:hAnsi="Times New Roman" w:eastAsia="宋体" w:cs="Times New Roman"/>
      <w:b/>
      <w:sz w:val="20"/>
    </w:rPr>
  </w:style>
  <w:style w:type="character" w:styleId="1235" w:customStyle="1">
    <w:name w:val="H 3 Char"/>
    <w:qFormat/>
    <w:rPr>
      <w:rFonts w:ascii="Times New Roman" w:hAnsi="Times New Roman" w:eastAsia="宋体" w:cs="Times New Roman"/>
      <w:b/>
      <w:sz w:val="20"/>
    </w:rPr>
  </w:style>
  <w:style w:type="character" w:styleId="1236" w:customStyle="1">
    <w:name w:val="正文文本缩进 3 字符"/>
    <w:qFormat/>
    <w:rPr>
      <w:rFonts w:ascii="Times New Roman" w:hAnsi="Times New Roman" w:eastAsia="宋体" w:cs="Times New Roman"/>
      <w:sz w:val="16"/>
      <w:szCs w:val="16"/>
    </w:rPr>
  </w:style>
  <w:style w:type="character" w:styleId="1237" w:customStyle="1">
    <w:name w:val="标题 Char"/>
    <w:qFormat/>
    <w:rPr>
      <w:rFonts w:ascii="Times New Roman" w:hAnsi="Times New Roman" w:eastAsia="宋体" w:cs="Times New Roman"/>
      <w:b/>
      <w:sz w:val="20"/>
    </w:rPr>
  </w:style>
  <w:style w:type="character" w:styleId="1238" w:customStyle="1">
    <w:name w:val="H 4 Char"/>
    <w:qFormat/>
    <w:rPr>
      <w:rFonts w:ascii="Times New Roman" w:hAnsi="Times New Roman" w:eastAsia="宋体" w:cs="Times New Roman"/>
      <w:b/>
      <w:sz w:val="20"/>
    </w:rPr>
  </w:style>
  <w:style w:type="character" w:styleId="1239" w:customStyle="1">
    <w:name w:val="批注主题 Char1"/>
    <w:qFormat/>
    <w:rPr>
      <w:rFonts w:ascii="Times New Roman" w:hAnsi="Times New Roman" w:eastAsia="宋体" w:cs="Times New Roman"/>
      <w:b/>
      <w:sz w:val="20"/>
    </w:rPr>
  </w:style>
  <w:style w:type="character" w:styleId="1240" w:customStyle="1">
    <w:name w:val="正文文本缩进 Char1"/>
    <w:qFormat/>
    <w:rPr>
      <w:rFonts w:ascii="Times New Roman" w:hAnsi="Times New Roman" w:eastAsia="宋体" w:cs="Times New Roman"/>
      <w:sz w:val="20"/>
    </w:rPr>
  </w:style>
  <w:style w:type="character" w:styleId="1241" w:customStyle="1">
    <w:name w:val="正文文本 3 Char"/>
    <w:qFormat/>
    <w:rPr>
      <w:rFonts w:ascii="Times New Roman" w:hAnsi="Times New Roman" w:eastAsia="宋体" w:cs="Times New Roman"/>
      <w:sz w:val="20"/>
    </w:rPr>
  </w:style>
  <w:style w:type="character" w:styleId="1242" w:customStyle="1">
    <w:name w:val="正文首行缩进 2 Char"/>
    <w:qFormat/>
    <w:rPr>
      <w:rFonts w:ascii="Times New Roman" w:hAnsi="Times New Roman" w:eastAsia="宋体" w:cs="Times New Roman"/>
      <w:sz w:val="20"/>
    </w:rPr>
  </w:style>
  <w:style w:type="character" w:styleId="1243" w:customStyle="1">
    <w:name w:val="页眉 Char1"/>
    <w:qFormat/>
    <w:rPr>
      <w:rFonts w:ascii="Times New Roman" w:hAnsi="Times New Roman" w:eastAsia="宋体" w:cs="Times New Roman"/>
      <w:sz w:val="20"/>
    </w:rPr>
  </w:style>
  <w:style w:type="character" w:styleId="1244" w:customStyle="1">
    <w:name w:val="Char Char2"/>
    <w:qFormat/>
    <w:rPr>
      <w:rFonts w:ascii="Times New Roman" w:hAnsi="Times New Roman" w:eastAsia="宋体" w:cs="Times New Roman"/>
      <w:sz w:val="20"/>
    </w:rPr>
  </w:style>
  <w:style w:type="character" w:styleId="1245" w:customStyle="1">
    <w:name w:val="样式 首行缩进:  2 字符 Char1"/>
    <w:qFormat/>
    <w:rPr>
      <w:rFonts w:ascii="Times New Roman" w:hAnsi="Times New Roman" w:eastAsia="宋体" w:cs="Times New Roman"/>
      <w:sz w:val="20"/>
    </w:rPr>
  </w:style>
  <w:style w:type="character" w:styleId="1246" w:customStyle="1">
    <w:name w:val="标题 2 Char"/>
    <w:qFormat/>
    <w:rPr>
      <w:rFonts w:ascii="Times New Roman" w:hAnsi="Times New Roman" w:eastAsia="宋体" w:cs="Times New Roman"/>
      <w:b/>
      <w:sz w:val="20"/>
    </w:rPr>
  </w:style>
  <w:style w:type="character" w:styleId="1247" w:customStyle="1">
    <w:name w:val="表格文字图表文字 Char Char"/>
    <w:qFormat/>
    <w:rPr>
      <w:rFonts w:ascii="Times New Roman" w:hAnsi="Times New Roman" w:eastAsia="宋体" w:cs="Times New Roman"/>
      <w:sz w:val="20"/>
    </w:rPr>
  </w:style>
  <w:style w:type="character" w:styleId="1248" w:customStyle="1">
    <w:name w:val="图片 Char"/>
    <w:qFormat/>
    <w:rPr>
      <w:rFonts w:ascii="Times New Roman" w:hAnsi="Times New Roman" w:eastAsia="宋体" w:cs="Times New Roman"/>
      <w:sz w:val="20"/>
    </w:rPr>
  </w:style>
  <w:style w:type="character" w:styleId="1249" w:customStyle="1">
    <w:name w:val="标题 6 Char"/>
    <w:qFormat/>
    <w:rPr>
      <w:rFonts w:ascii="Times New Roman" w:hAnsi="Times New Roman" w:eastAsia="宋体" w:cs="Times New Roman"/>
      <w:b/>
      <w:sz w:val="20"/>
    </w:rPr>
  </w:style>
  <w:style w:type="character" w:styleId="1250" w:customStyle="1">
    <w:name w:val="标题 4 Char"/>
    <w:qFormat/>
    <w:rPr>
      <w:rFonts w:ascii="Times New Roman" w:hAnsi="Times New Roman" w:eastAsia="宋体" w:cs="Times New Roman"/>
      <w:b/>
      <w:sz w:val="20"/>
    </w:rPr>
  </w:style>
  <w:style w:type="character" w:styleId="1251" w:customStyle="1">
    <w:name w:val="文档结构图 Char1"/>
    <w:qFormat/>
    <w:rPr>
      <w:rFonts w:ascii="Times New Roman" w:hAnsi="Times New Roman" w:eastAsia="宋体" w:cs="Times New Roman"/>
      <w:sz w:val="20"/>
    </w:rPr>
  </w:style>
  <w:style w:type="character" w:styleId="1252" w:customStyle="1">
    <w:name w:val="项目符0 Char"/>
    <w:qFormat/>
    <w:rPr>
      <w:rFonts w:ascii="Times New Roman" w:hAnsi="Times New Roman" w:eastAsia="宋体" w:cs="Times New Roman"/>
      <w:sz w:val="20"/>
    </w:rPr>
  </w:style>
  <w:style w:type="character" w:styleId="1253" w:customStyle="1">
    <w:name w:val="正文文本缩进 3 Char"/>
    <w:qFormat/>
    <w:rPr>
      <w:rFonts w:ascii="Times New Roman" w:hAnsi="Times New Roman" w:eastAsia="宋体" w:cs="Times New Roman"/>
      <w:sz w:val="20"/>
    </w:rPr>
  </w:style>
  <w:style w:type="character" w:styleId="1254" w:customStyle="1">
    <w:name w:val="Char Char3"/>
    <w:qFormat/>
    <w:rPr>
      <w:rFonts w:ascii="Times New Roman" w:hAnsi="Times New Roman" w:eastAsia="宋体" w:cs="Times New Roman"/>
      <w:sz w:val="20"/>
    </w:rPr>
  </w:style>
  <w:style w:type="character" w:styleId="1255" w:customStyle="1">
    <w:name w:val="纯文本 Char"/>
    <w:qFormat/>
    <w:rPr>
      <w:rFonts w:ascii="Times New Roman" w:hAnsi="Times New Roman" w:eastAsia="宋体" w:cs="Times New Roman"/>
      <w:sz w:val="20"/>
    </w:rPr>
  </w:style>
  <w:style w:type="character" w:styleId="1256" w:customStyle="1">
    <w:name w:val="正文文本缩进 2 Char1"/>
    <w:qFormat/>
    <w:rPr>
      <w:rFonts w:ascii="Times New Roman" w:hAnsi="Times New Roman" w:eastAsia="宋体" w:cs="Times New Roman"/>
      <w:sz w:val="20"/>
    </w:rPr>
  </w:style>
  <w:style w:type="character" w:styleId="1257" w:customStyle="1">
    <w:name w:val="标题 8 Char"/>
    <w:qFormat/>
    <w:rPr>
      <w:rFonts w:ascii="Times New Roman" w:hAnsi="Times New Roman" w:eastAsia="宋体" w:cs="Times New Roman"/>
      <w:sz w:val="20"/>
    </w:rPr>
  </w:style>
  <w:style w:type="character" w:styleId="1258" w:customStyle="1">
    <w:name w:val="标题 6 Char1"/>
    <w:qFormat/>
    <w:rPr>
      <w:rFonts w:ascii="Times New Roman" w:hAnsi="Times New Roman" w:eastAsia="宋体" w:cs="Times New Roman"/>
      <w:b/>
      <w:sz w:val="20"/>
    </w:rPr>
  </w:style>
  <w:style w:type="character" w:styleId="1259" w:customStyle="1">
    <w:name w:val="case31"/>
    <w:qFormat/>
    <w:rPr>
      <w:rFonts w:ascii="Times New Roman" w:hAnsi="Times New Roman" w:eastAsia="宋体" w:cs="Times New Roman"/>
      <w:sz w:val="20"/>
    </w:rPr>
  </w:style>
  <w:style w:type="character" w:styleId="1260" w:customStyle="1">
    <w:name w:val="正文文本 Char"/>
    <w:qFormat/>
    <w:rPr>
      <w:rFonts w:ascii="Times New Roman" w:hAnsi="Times New Roman" w:eastAsia="宋体" w:cs="Times New Roman"/>
      <w:sz w:val="20"/>
    </w:rPr>
  </w:style>
  <w:style w:type="paragraph" w:styleId="1261" w:customStyle="1">
    <w:name w:val="节标题"/>
    <w:basedOn w:val="1081"/>
    <w:next w:val="1262"/>
    <w:qFormat/>
    <w:pPr>
      <w:ind w:left="0" w:firstLine="5120"/>
      <w:jc w:val="center"/>
      <w:spacing w:before="0" w:after="0" w:line="289" w:lineRule="atLeast"/>
    </w:pPr>
    <w:rPr>
      <w:rFonts w:ascii="Times New Roman" w:hAnsi="Times New Roman" w:cs="Times New Roman"/>
    </w:rPr>
  </w:style>
  <w:style w:type="paragraph" w:styleId="1262" w:customStyle="1">
    <w:name w:val="文档标题6"/>
    <w:basedOn w:val="1087"/>
    <w:next w:val="1080"/>
    <w:qFormat/>
    <w:pPr>
      <w:ind w:left="1134" w:firstLine="20"/>
      <w:spacing w:before="280" w:after="280" w:line="360" w:lineRule="auto"/>
      <w:outlineLvl w:val="5"/>
    </w:pPr>
  </w:style>
  <w:style w:type="paragraph" w:styleId="1263" w:customStyle="1">
    <w:name w:val="正文段"/>
    <w:basedOn w:val="1081"/>
    <w:next w:val="1264"/>
    <w:qFormat/>
    <w:pPr>
      <w:ind w:left="454" w:firstLine="1222"/>
      <w:spacing w:before="0" w:after="240" w:line="240" w:lineRule="atLeast"/>
    </w:pPr>
    <w:rPr>
      <w:rFonts w:ascii="Times New Roman" w:hAnsi="Times New Roman" w:cs="Times New Roman"/>
    </w:rPr>
  </w:style>
  <w:style w:type="paragraph" w:styleId="1264" w:customStyle="1">
    <w:name w:val="批注主题1"/>
    <w:next w:val="1080"/>
    <w:qFormat/>
    <w:pPr>
      <w:ind w:left="200" w:firstLine="4808"/>
      <w:spacing w:line="360" w:lineRule="auto"/>
    </w:pPr>
    <w:rPr>
      <w:rFonts w:ascii="Calibri" w:hAnsi="Calibri"/>
    </w:rPr>
  </w:style>
  <w:style w:type="paragraph" w:styleId="1265" w:customStyle="1">
    <w:name w:val="_Style 224"/>
    <w:next w:val="1266"/>
    <w:qFormat/>
    <w:pPr>
      <w:ind w:firstLine="3584"/>
    </w:pPr>
    <w:rPr>
      <w:rFonts w:ascii="Calibri" w:hAnsi="Calibri"/>
    </w:rPr>
  </w:style>
  <w:style w:type="paragraph" w:styleId="1266" w:customStyle="1">
    <w:name w:val="编号1"/>
    <w:basedOn w:val="1081"/>
    <w:next w:val="1267"/>
    <w:qFormat/>
    <w:pPr>
      <w:ind w:left="360" w:right="210" w:firstLine="2200"/>
      <w:spacing w:before="0" w:after="0" w:line="240" w:lineRule="auto"/>
    </w:pPr>
    <w:rPr>
      <w:rFonts w:ascii="Times New Roman" w:hAnsi="Times New Roman" w:cs="Times New Roman"/>
    </w:rPr>
  </w:style>
  <w:style w:type="paragraph" w:styleId="1267" w:customStyle="1">
    <w:name w:val="图片"/>
    <w:basedOn w:val="1081"/>
    <w:next w:val="1268"/>
    <w:qFormat/>
    <w:pPr>
      <w:ind w:left="-283" w:firstLine="2674"/>
      <w:jc w:val="center"/>
      <w:spacing w:before="0" w:after="0" w:line="360" w:lineRule="auto"/>
    </w:pPr>
    <w:rPr>
      <w:rFonts w:ascii="Times New Roman" w:hAnsi="Times New Roman" w:cs="Times New Roman"/>
    </w:rPr>
  </w:style>
  <w:style w:type="paragraph" w:styleId="1268" w:customStyle="1">
    <w:name w:val="样式 目录 3 + 左侧:  2 字符"/>
    <w:next w:val="1133"/>
    <w:qFormat/>
    <w:pPr>
      <w:ind w:left="400" w:firstLine="5120"/>
      <w:spacing w:line="360" w:lineRule="auto"/>
      <w:widowControl w:val="off"/>
    </w:pPr>
    <w:rPr>
      <w:rFonts w:ascii="Calibri" w:hAnsi="Calibri"/>
    </w:rPr>
  </w:style>
  <w:style w:type="paragraph" w:styleId="1269" w:customStyle="1">
    <w:name w:val="图注"/>
    <w:next w:val="1270"/>
    <w:qFormat/>
    <w:pPr>
      <w:ind w:left="360" w:firstLine="2152"/>
      <w:jc w:val="center"/>
    </w:pPr>
    <w:rPr>
      <w:rFonts w:ascii="Calibri" w:hAnsi="Calibri"/>
    </w:rPr>
  </w:style>
  <w:style w:type="paragraph" w:styleId="1270" w:customStyle="1">
    <w:name w:val="列表编号 41"/>
    <w:basedOn w:val="1081"/>
    <w:next w:val="1271"/>
    <w:qFormat/>
    <w:pPr>
      <w:ind w:left="1620" w:firstLine="2712"/>
      <w:spacing w:before="0" w:after="0" w:line="360" w:lineRule="auto"/>
    </w:pPr>
    <w:rPr>
      <w:rFonts w:ascii="Times New Roman" w:hAnsi="Times New Roman" w:cs="Times New Roman"/>
    </w:rPr>
  </w:style>
  <w:style w:type="paragraph" w:styleId="1271" w:customStyle="1">
    <w:name w:val="项目符0"/>
    <w:basedOn w:val="1081"/>
    <w:next w:val="1272"/>
    <w:qFormat/>
    <w:pPr>
      <w:ind w:left="300" w:right="57" w:firstLine="2760"/>
      <w:spacing w:before="0" w:after="0" w:line="300" w:lineRule="auto"/>
    </w:pPr>
    <w:rPr>
      <w:rFonts w:ascii="Times New Roman" w:hAnsi="Times New Roman" w:cs="Times New Roman"/>
    </w:rPr>
  </w:style>
  <w:style w:type="paragraph" w:styleId="1272" w:customStyle="1">
    <w:name w:val="宏文本1"/>
    <w:next w:val="1273"/>
    <w:qFormat/>
    <w:pPr>
      <w:ind w:firstLine="5632"/>
      <w:widowControl w:val="off"/>
    </w:pPr>
    <w:rPr>
      <w:rFonts w:ascii="Calibri" w:hAnsi="Calibri"/>
    </w:rPr>
  </w:style>
  <w:style w:type="paragraph" w:styleId="1273" w:customStyle="1">
    <w:name w:val="Item Step in Table"/>
    <w:next w:val="1274"/>
    <w:qFormat/>
    <w:pPr>
      <w:ind w:left="397" w:firstLine="3699"/>
      <w:jc w:val="both"/>
      <w:spacing w:before="40" w:after="40"/>
    </w:pPr>
    <w:rPr>
      <w:rFonts w:ascii="Calibri" w:hAnsi="Calibri"/>
    </w:rPr>
  </w:style>
  <w:style w:type="paragraph" w:styleId="1274" w:customStyle="1">
    <w:name w:val="Char Char Char Char Char Char1 Char Char Char Char Char Char"/>
    <w:basedOn w:val="1081"/>
    <w:next w:val="1275"/>
    <w:qFormat/>
    <w:pPr>
      <w:ind w:left="0" w:firstLine="2560"/>
      <w:spacing w:before="0" w:after="0" w:line="240" w:lineRule="auto"/>
    </w:pPr>
    <w:rPr>
      <w:rFonts w:ascii="Times New Roman" w:hAnsi="Times New Roman" w:cs="Times New Roman"/>
    </w:rPr>
  </w:style>
  <w:style w:type="paragraph" w:styleId="1275" w:customStyle="1">
    <w:name w:val="Char Char1"/>
    <w:basedOn w:val="1081"/>
    <w:next w:val="1276"/>
    <w:qFormat/>
    <w:pPr>
      <w:ind w:left="0" w:firstLine="3584"/>
      <w:spacing w:before="0" w:after="160" w:line="240" w:lineRule="exact"/>
    </w:pPr>
    <w:rPr>
      <w:rFonts w:ascii="Times New Roman" w:hAnsi="Times New Roman" w:cs="Times New Roman"/>
    </w:rPr>
  </w:style>
  <w:style w:type="paragraph" w:styleId="1276" w:customStyle="1">
    <w:name w:val="样式 标题 3 + 行距: 1.5 倍行距"/>
    <w:basedOn w:val="1084"/>
    <w:next w:val="1139"/>
    <w:qFormat/>
    <w:pPr>
      <w:ind w:left="200" w:firstLine="18"/>
      <w:spacing w:before="0" w:after="0" w:line="360" w:lineRule="auto"/>
      <w:outlineLvl w:val="2"/>
    </w:pPr>
  </w:style>
  <w:style w:type="paragraph" w:styleId="1277" w:customStyle="1">
    <w:name w:val="xl76"/>
    <w:basedOn w:val="1081"/>
    <w:next w:val="1136"/>
    <w:qFormat/>
    <w:pPr>
      <w:ind w:left="0" w:firstLine="3584"/>
      <w:jc w:val="center"/>
      <w:spacing w:before="280" w:after="280" w:line="240" w:lineRule="auto"/>
    </w:pPr>
    <w:rPr>
      <w:rFonts w:ascii="Times New Roman" w:hAnsi="Times New Roman" w:cs="Times New Roman"/>
    </w:rPr>
  </w:style>
  <w:style w:type="paragraph" w:styleId="1278" w:customStyle="1">
    <w:name w:val="xl26"/>
    <w:basedOn w:val="1081"/>
    <w:next w:val="1279"/>
    <w:qFormat/>
    <w:pPr>
      <w:ind w:left="0" w:firstLine="20"/>
      <w:jc w:val="center"/>
      <w:spacing w:before="280" w:after="280" w:line="240" w:lineRule="auto"/>
      <w:shd w:val="clear" w:color="000000" w:fill="ffffff"/>
    </w:pPr>
    <w:rPr>
      <w:rFonts w:ascii="Times New Roman" w:hAnsi="Times New Roman" w:cs="Times New Roman"/>
    </w:rPr>
  </w:style>
  <w:style w:type="paragraph" w:styleId="1279" w:customStyle="1">
    <w:name w:val="Char1 Char Char"/>
    <w:basedOn w:val="1081"/>
    <w:next w:val="1119"/>
    <w:qFormat/>
    <w:pPr>
      <w:ind w:left="0" w:firstLine="2560"/>
      <w:spacing w:before="0" w:after="0" w:line="240" w:lineRule="auto"/>
    </w:pPr>
    <w:rPr>
      <w:rFonts w:ascii="Times New Roman" w:hAnsi="Times New Roman" w:cs="Times New Roman"/>
    </w:rPr>
  </w:style>
  <w:style w:type="paragraph" w:styleId="1280" w:customStyle="1">
    <w:name w:val="纯文本2"/>
    <w:basedOn w:val="1081"/>
    <w:next w:val="1281"/>
    <w:qFormat/>
    <w:pPr>
      <w:ind w:left="0" w:firstLine="3584"/>
      <w:spacing w:before="0" w:after="0" w:line="240" w:lineRule="auto"/>
    </w:pPr>
    <w:rPr>
      <w:rFonts w:ascii="Times New Roman" w:hAnsi="Times New Roman" w:cs="Times New Roman"/>
    </w:rPr>
  </w:style>
  <w:style w:type="paragraph" w:styleId="1281" w:customStyle="1">
    <w:name w:val="xl69"/>
    <w:basedOn w:val="1081"/>
    <w:next w:val="1282"/>
    <w:qFormat/>
    <w:pPr>
      <w:ind w:left="0" w:firstLine="3584"/>
      <w:spacing w:before="280" w:after="280" w:line="240" w:lineRule="auto"/>
    </w:pPr>
    <w:rPr>
      <w:rFonts w:ascii="Times New Roman" w:hAnsi="Times New Roman" w:cs="Times New Roman"/>
    </w:rPr>
  </w:style>
  <w:style w:type="paragraph" w:styleId="1282" w:customStyle="1">
    <w:name w:val="Char Char Char"/>
    <w:basedOn w:val="1081"/>
    <w:next w:val="1283"/>
    <w:qFormat/>
    <w:pPr>
      <w:ind w:left="0" w:firstLine="2560"/>
      <w:spacing w:before="0" w:after="0" w:line="240" w:lineRule="auto"/>
    </w:pPr>
    <w:rPr>
      <w:rFonts w:ascii="Times New Roman" w:hAnsi="Times New Roman" w:cs="Times New Roman"/>
    </w:rPr>
  </w:style>
  <w:style w:type="paragraph" w:styleId="1283" w:customStyle="1">
    <w:name w:val="表格"/>
    <w:basedOn w:val="1081"/>
    <w:next w:val="1278"/>
    <w:qFormat/>
    <w:pPr>
      <w:ind w:left="0" w:firstLine="2560"/>
      <w:spacing w:before="0" w:after="0" w:line="360" w:lineRule="auto"/>
    </w:pPr>
    <w:rPr>
      <w:rFonts w:ascii="Times New Roman" w:hAnsi="Times New Roman" w:cs="Times New Roman"/>
    </w:rPr>
  </w:style>
  <w:style w:type="paragraph" w:styleId="1284" w:customStyle="1">
    <w:name w:val="xl68"/>
    <w:basedOn w:val="1081"/>
    <w:next w:val="1285"/>
    <w:qFormat/>
    <w:pPr>
      <w:ind w:left="100" w:firstLine="5220"/>
      <w:spacing w:before="280" w:after="280" w:line="240" w:lineRule="auto"/>
    </w:pPr>
    <w:rPr>
      <w:rFonts w:ascii="Times New Roman" w:hAnsi="Times New Roman" w:cs="Times New Roman"/>
    </w:rPr>
  </w:style>
  <w:style w:type="paragraph" w:styleId="1285" w:customStyle="1">
    <w:name w:val="Char1"/>
    <w:basedOn w:val="1081"/>
    <w:next w:val="1286"/>
    <w:qFormat/>
    <w:pPr>
      <w:ind w:left="0" w:firstLine="2560"/>
      <w:spacing w:before="0" w:after="0" w:line="240" w:lineRule="auto"/>
    </w:pPr>
    <w:rPr>
      <w:rFonts w:ascii="Times New Roman" w:hAnsi="Times New Roman" w:cs="Times New Roman"/>
    </w:rPr>
  </w:style>
  <w:style w:type="paragraph" w:styleId="1286" w:customStyle="1">
    <w:name w:val="需求文档正文样式"/>
    <w:basedOn w:val="1081"/>
    <w:next w:val="1287"/>
    <w:qFormat/>
    <w:pPr>
      <w:ind w:left="437" w:firstLine="2741"/>
      <w:spacing w:before="0" w:after="0" w:line="360" w:lineRule="auto"/>
    </w:pPr>
    <w:rPr>
      <w:rFonts w:ascii="Times New Roman" w:hAnsi="Times New Roman" w:cs="Times New Roman"/>
    </w:rPr>
  </w:style>
  <w:style w:type="paragraph" w:styleId="1287" w:customStyle="1">
    <w:name w:val="xl74"/>
    <w:basedOn w:val="1081"/>
    <w:next w:val="1288"/>
    <w:qFormat/>
    <w:pPr>
      <w:ind w:left="0" w:firstLine="16"/>
      <w:jc w:val="center"/>
      <w:spacing w:before="280" w:after="280" w:line="240" w:lineRule="auto"/>
      <w:shd w:val="clear" w:color="000000" w:fill="538dd5"/>
    </w:pPr>
    <w:rPr>
      <w:rFonts w:ascii="Times New Roman" w:hAnsi="Times New Roman" w:cs="Times New Roman"/>
    </w:rPr>
  </w:style>
  <w:style w:type="paragraph" w:styleId="1288" w:customStyle="1">
    <w:name w:val="xl88"/>
    <w:basedOn w:val="1081"/>
    <w:next w:val="1289"/>
    <w:qFormat/>
    <w:pPr>
      <w:ind w:left="0" w:firstLine="5120"/>
      <w:spacing w:before="280" w:after="280" w:line="240" w:lineRule="auto"/>
    </w:pPr>
    <w:rPr>
      <w:rFonts w:ascii="Times New Roman" w:hAnsi="Times New Roman" w:cs="Times New Roman"/>
    </w:rPr>
  </w:style>
  <w:style w:type="paragraph" w:styleId="1289" w:customStyle="1">
    <w:name w:val="xl70"/>
    <w:basedOn w:val="1081"/>
    <w:next w:val="1135"/>
    <w:qFormat/>
    <w:pPr>
      <w:ind w:left="0" w:firstLine="1024"/>
      <w:spacing w:before="280" w:after="280" w:line="240" w:lineRule="auto"/>
    </w:pPr>
    <w:rPr>
      <w:rFonts w:ascii="Times New Roman" w:hAnsi="Times New Roman" w:cs="Times New Roman"/>
    </w:rPr>
  </w:style>
  <w:style w:type="paragraph" w:styleId="1290" w:customStyle="1">
    <w:name w:val="文档标题5"/>
    <w:basedOn w:val="1086"/>
    <w:next w:val="1080"/>
    <w:qFormat/>
    <w:pPr>
      <w:ind w:left="992" w:firstLine="18"/>
      <w:spacing w:before="280" w:after="280" w:line="360" w:lineRule="auto"/>
      <w:outlineLvl w:val="4"/>
    </w:pPr>
  </w:style>
  <w:style w:type="paragraph" w:styleId="1291" w:customStyle="1">
    <w:name w:val="样式 加粗 居中"/>
    <w:basedOn w:val="1081"/>
    <w:next w:val="1292"/>
    <w:qFormat/>
    <w:pPr>
      <w:ind w:left="0" w:firstLine="2560"/>
      <w:jc w:val="center"/>
      <w:spacing w:before="0" w:after="0" w:line="360" w:lineRule="auto"/>
    </w:pPr>
    <w:rPr>
      <w:rFonts w:ascii="Times New Roman" w:hAnsi="Times New Roman" w:cs="Times New Roman"/>
    </w:rPr>
  </w:style>
  <w:style w:type="paragraph" w:styleId="1292" w:customStyle="1">
    <w:name w:val="_Style 12"/>
    <w:next w:val="1293"/>
    <w:qFormat/>
    <w:pPr>
      <w:ind w:firstLine="14"/>
      <w:spacing w:line="360" w:lineRule="auto"/>
      <w:shd w:val="clear" w:color="000000" w:fill="000080"/>
    </w:pPr>
    <w:rPr>
      <w:rFonts w:ascii="Calibri" w:hAnsi="Calibri"/>
    </w:rPr>
  </w:style>
  <w:style w:type="paragraph" w:styleId="1293" w:customStyle="1">
    <w:name w:val="正文文本缩进1"/>
    <w:basedOn w:val="1081"/>
    <w:next w:val="1294"/>
    <w:qFormat/>
    <w:pPr>
      <w:ind w:left="420" w:firstLine="3584"/>
      <w:spacing w:before="0" w:after="120" w:line="240" w:lineRule="auto"/>
    </w:pPr>
    <w:rPr>
      <w:rFonts w:ascii="Times New Roman" w:hAnsi="Times New Roman" w:cs="Times New Roman"/>
    </w:rPr>
  </w:style>
  <w:style w:type="paragraph" w:styleId="1294" w:customStyle="1">
    <w:name w:val="列表编号 31"/>
    <w:basedOn w:val="1081"/>
    <w:next w:val="1137"/>
    <w:qFormat/>
    <w:pPr>
      <w:ind w:left="1200" w:firstLine="2712"/>
      <w:spacing w:before="0" w:after="0" w:line="360" w:lineRule="auto"/>
    </w:pPr>
    <w:rPr>
      <w:rFonts w:ascii="Times New Roman" w:hAnsi="Times New Roman" w:cs="Times New Roman"/>
    </w:rPr>
  </w:style>
  <w:style w:type="paragraph" w:styleId="1295" w:customStyle="1">
    <w:name w:val="三号 居中"/>
    <w:basedOn w:val="1081"/>
    <w:next w:val="1296"/>
    <w:qFormat/>
    <w:pPr>
      <w:ind w:left="0" w:firstLine="6144"/>
      <w:jc w:val="center"/>
      <w:spacing w:before="0" w:after="0" w:line="360" w:lineRule="auto"/>
    </w:pPr>
    <w:rPr>
      <w:rFonts w:ascii="Times New Roman" w:hAnsi="Times New Roman" w:cs="Times New Roman"/>
    </w:rPr>
  </w:style>
  <w:style w:type="paragraph" w:styleId="1296" w:customStyle="1">
    <w:name w:val="列出段落1"/>
    <w:basedOn w:val="1081"/>
    <w:next w:val="1297"/>
    <w:qFormat/>
    <w:pPr>
      <w:ind w:left="420" w:firstLine="3748"/>
      <w:spacing w:before="0" w:after="0" w:line="240" w:lineRule="auto"/>
    </w:pPr>
    <w:rPr>
      <w:rFonts w:ascii="Times New Roman" w:hAnsi="Times New Roman" w:cs="Times New Roman"/>
    </w:rPr>
  </w:style>
  <w:style w:type="paragraph" w:styleId="1297" w:customStyle="1">
    <w:name w:val="Char Char Char Char Char Char1 Char Char Char1 Char Char Char"/>
    <w:basedOn w:val="1081"/>
    <w:next w:val="1298"/>
    <w:qFormat/>
    <w:pPr>
      <w:ind w:left="0" w:firstLine="2560"/>
      <w:spacing w:before="0" w:after="0" w:line="240" w:lineRule="auto"/>
    </w:pPr>
    <w:rPr>
      <w:rFonts w:ascii="Times New Roman" w:hAnsi="Times New Roman" w:cs="Times New Roman"/>
    </w:rPr>
  </w:style>
  <w:style w:type="paragraph" w:styleId="1298" w:customStyle="1">
    <w:name w:val="Char Char Char Char Char Char1 Char Char Char1 Char"/>
    <w:basedOn w:val="1081"/>
    <w:next w:val="1299"/>
    <w:qFormat/>
    <w:pPr>
      <w:ind w:left="0" w:firstLine="2560"/>
      <w:spacing w:before="0" w:after="0" w:line="240" w:lineRule="auto"/>
    </w:pPr>
    <w:rPr>
      <w:rFonts w:ascii="Times New Roman" w:hAnsi="Times New Roman" w:cs="Times New Roman"/>
    </w:rPr>
  </w:style>
  <w:style w:type="paragraph" w:styleId="1299" w:customStyle="1">
    <w:name w:val="正文符号4"/>
    <w:basedOn w:val="1081"/>
    <w:next w:val="1291"/>
    <w:qFormat/>
    <w:pPr>
      <w:ind w:left="0" w:firstLine="5632"/>
      <w:spacing w:before="0" w:after="0" w:line="240" w:lineRule="auto"/>
    </w:pPr>
    <w:rPr>
      <w:rFonts w:ascii="Times New Roman" w:hAnsi="Times New Roman" w:cs="Times New Roman"/>
    </w:rPr>
  </w:style>
  <w:style w:type="paragraph" w:styleId="1300" w:customStyle="1">
    <w:name w:val="加粗（居中）"/>
    <w:next w:val="1301"/>
    <w:qFormat/>
    <w:pPr>
      <w:ind w:firstLine="2560"/>
    </w:pPr>
    <w:rPr>
      <w:rFonts w:ascii="Calibri" w:hAnsi="Calibri"/>
    </w:rPr>
  </w:style>
  <w:style w:type="paragraph" w:styleId="1301" w:customStyle="1">
    <w:name w:val="xl65"/>
    <w:basedOn w:val="1081"/>
    <w:next w:val="1261"/>
    <w:qFormat/>
    <w:pPr>
      <w:ind w:left="0" w:firstLine="5120"/>
      <w:spacing w:before="280" w:after="280" w:line="240" w:lineRule="auto"/>
    </w:pPr>
    <w:rPr>
      <w:rFonts w:ascii="Times New Roman" w:hAnsi="Times New Roman" w:cs="Times New Roman"/>
    </w:rPr>
  </w:style>
  <w:style w:type="paragraph" w:styleId="1302" w:customStyle="1">
    <w:name w:val="WPSOffice手动目录 3"/>
    <w:qFormat/>
    <w:pPr>
      <w:ind w:left="400"/>
    </w:pPr>
  </w:style>
  <w:style w:type="paragraph" w:styleId="1303" w:customStyle="1">
    <w:name w:val="xl77"/>
    <w:basedOn w:val="1081"/>
    <w:next w:val="1304"/>
    <w:qFormat/>
    <w:pPr>
      <w:ind w:left="0" w:firstLine="3584"/>
      <w:spacing w:before="280" w:after="280" w:line="240" w:lineRule="auto"/>
    </w:pPr>
    <w:rPr>
      <w:rFonts w:ascii="Times New Roman" w:hAnsi="Times New Roman" w:cs="Times New Roman"/>
    </w:rPr>
  </w:style>
  <w:style w:type="paragraph" w:styleId="1304" w:customStyle="1">
    <w:name w:val="Char Char Char1"/>
    <w:basedOn w:val="1081"/>
    <w:next w:val="1305"/>
    <w:qFormat/>
    <w:pPr>
      <w:ind w:left="900" w:firstLine="2096"/>
      <w:spacing w:before="0" w:after="0" w:line="240" w:lineRule="auto"/>
    </w:pPr>
    <w:rPr>
      <w:rFonts w:ascii="Times New Roman" w:hAnsi="Times New Roman" w:cs="Times New Roman"/>
    </w:rPr>
  </w:style>
  <w:style w:type="paragraph" w:styleId="1305" w:customStyle="1">
    <w:name w:val="索引 21"/>
    <w:basedOn w:val="1081"/>
    <w:next w:val="1080"/>
    <w:qFormat/>
    <w:pPr>
      <w:ind w:left="200" w:firstLine="2560"/>
      <w:jc w:val="center"/>
      <w:spacing w:before="0" w:after="0" w:line="360" w:lineRule="auto"/>
    </w:pPr>
    <w:rPr>
      <w:rFonts w:ascii="Times New Roman" w:hAnsi="Times New Roman" w:cs="Times New Roman"/>
    </w:rPr>
  </w:style>
  <w:style w:type="paragraph" w:styleId="1306" w:customStyle="1">
    <w:name w:val="正文（首行缩进 2 字符）"/>
    <w:next w:val="1307"/>
    <w:qFormat/>
    <w:pPr>
      <w:ind w:left="480" w:firstLine="2784"/>
      <w:jc w:val="center"/>
      <w:spacing w:line="300" w:lineRule="auto"/>
    </w:pPr>
    <w:rPr>
      <w:rFonts w:ascii="Calibri" w:hAnsi="Calibri"/>
    </w:rPr>
  </w:style>
  <w:style w:type="paragraph" w:styleId="1307" w:customStyle="1">
    <w:name w:val="xl28"/>
    <w:basedOn w:val="1081"/>
    <w:next w:val="1308"/>
    <w:qFormat/>
    <w:pPr>
      <w:ind w:left="0" w:firstLine="20"/>
      <w:spacing w:before="280" w:after="280" w:line="240" w:lineRule="auto"/>
      <w:shd w:val="clear" w:color="000000" w:fill="ffffff"/>
    </w:pPr>
    <w:rPr>
      <w:rFonts w:ascii="Times New Roman" w:hAnsi="Times New Roman" w:cs="Times New Roman"/>
    </w:rPr>
  </w:style>
  <w:style w:type="paragraph" w:styleId="1308" w:customStyle="1">
    <w:name w:val="HTML 预设格式1"/>
    <w:basedOn w:val="1081"/>
    <w:next w:val="1309"/>
    <w:qFormat/>
    <w:pPr>
      <w:ind w:left="0" w:firstLine="3584"/>
      <w:spacing w:before="0" w:after="0" w:line="253" w:lineRule="atLeast"/>
    </w:pPr>
    <w:rPr>
      <w:rFonts w:ascii="Times New Roman" w:hAnsi="Times New Roman" w:cs="Times New Roman"/>
    </w:rPr>
  </w:style>
  <w:style w:type="paragraph" w:styleId="1309" w:customStyle="1">
    <w:name w:val="项目符号：一级"/>
    <w:basedOn w:val="1081"/>
    <w:next w:val="1080"/>
    <w:qFormat/>
    <w:pPr>
      <w:ind w:left="425" w:firstLine="1111"/>
      <w:spacing w:before="0" w:after="0" w:line="360" w:lineRule="auto"/>
    </w:pPr>
    <w:rPr>
      <w:rFonts w:ascii="Times New Roman" w:hAnsi="Times New Roman" w:cs="Times New Roman"/>
    </w:rPr>
  </w:style>
  <w:style w:type="paragraph" w:styleId="1310" w:customStyle="1">
    <w:name w:val="Default"/>
    <w:next w:val="1115"/>
    <w:qFormat/>
    <w:pPr>
      <w:ind w:firstLine="5120"/>
      <w:widowControl w:val="off"/>
    </w:pPr>
    <w:rPr>
      <w:rFonts w:ascii="Calibri" w:hAnsi="Calibri"/>
    </w:rPr>
  </w:style>
  <w:style w:type="paragraph" w:styleId="1311" w:customStyle="1">
    <w:name w:val="xl84"/>
    <w:basedOn w:val="1081"/>
    <w:next w:val="1312"/>
    <w:qFormat/>
    <w:pPr>
      <w:ind w:left="0" w:firstLine="2048"/>
      <w:jc w:val="center"/>
      <w:spacing w:before="280" w:after="280" w:line="240" w:lineRule="auto"/>
    </w:pPr>
    <w:rPr>
      <w:rFonts w:ascii="Times New Roman" w:hAnsi="Times New Roman" w:cs="Times New Roman"/>
    </w:rPr>
  </w:style>
  <w:style w:type="paragraph" w:styleId="1312" w:customStyle="1">
    <w:name w:val="2-2ji"/>
    <w:basedOn w:val="1083"/>
    <w:next w:val="1313"/>
    <w:qFormat/>
    <w:pPr>
      <w:ind w:left="0" w:firstLine="24"/>
      <w:jc w:val="center"/>
      <w:spacing w:before="0" w:after="0" w:line="360" w:lineRule="auto"/>
      <w:outlineLvl w:val="1"/>
    </w:pPr>
  </w:style>
  <w:style w:type="paragraph" w:styleId="1313" w:customStyle="1">
    <w:name w:val="应答文本"/>
    <w:basedOn w:val="1081"/>
    <w:next w:val="1314"/>
    <w:qFormat/>
    <w:pPr>
      <w:ind w:left="1296" w:firstLine="2112"/>
      <w:spacing w:before="0" w:after="0" w:line="460" w:lineRule="exact"/>
    </w:pPr>
    <w:rPr>
      <w:rFonts w:ascii="Times New Roman" w:hAnsi="Times New Roman" w:cs="Times New Roman"/>
    </w:rPr>
  </w:style>
  <w:style w:type="paragraph" w:styleId="1314" w:customStyle="1">
    <w:name w:val="引文目录1"/>
    <w:basedOn w:val="1081"/>
    <w:next w:val="1080"/>
    <w:qFormat/>
    <w:pPr>
      <w:ind w:left="420" w:firstLine="2560"/>
      <w:jc w:val="center"/>
      <w:spacing w:before="0" w:after="0" w:line="360" w:lineRule="auto"/>
    </w:pPr>
    <w:rPr>
      <w:rFonts w:ascii="Times New Roman" w:hAnsi="Times New Roman" w:cs="Times New Roman"/>
    </w:rPr>
  </w:style>
  <w:style w:type="paragraph" w:styleId="1315" w:customStyle="1">
    <w:name w:val="首行缩进"/>
    <w:basedOn w:val="1080"/>
    <w:qFormat/>
    <w:pPr>
      <w:ind w:firstLine="480"/>
    </w:pPr>
    <w:rPr>
      <w:rFonts w:ascii="Times New Roman" w:hAnsi="Times New Roman" w:cs="Times New Roman"/>
      <w:lang w:val="zh-CN"/>
    </w:rPr>
  </w:style>
  <w:style w:type="paragraph" w:styleId="1316" w:customStyle="1">
    <w:name w:val="font9"/>
    <w:basedOn w:val="1081"/>
    <w:next w:val="1317"/>
    <w:qFormat/>
    <w:pPr>
      <w:ind w:left="0" w:firstLine="7168"/>
      <w:spacing w:before="280" w:after="280" w:line="240" w:lineRule="auto"/>
    </w:pPr>
    <w:rPr>
      <w:rFonts w:ascii="Times New Roman" w:hAnsi="Times New Roman" w:cs="Times New Roman"/>
    </w:rPr>
  </w:style>
  <w:style w:type="paragraph" w:styleId="1317" w:customStyle="1">
    <w:name w:val="样式 标题 3 + (中文) 黑体 小四 非加粗 段前: 7.8 磅 段后: 0 磅 行距: 固定值 20 磅"/>
    <w:basedOn w:val="1084"/>
    <w:next w:val="1318"/>
    <w:qFormat/>
    <w:pPr>
      <w:ind w:left="0"/>
      <w:spacing w:before="0" w:after="0" w:line="400" w:lineRule="exact"/>
      <w:outlineLvl w:val="2"/>
    </w:pPr>
  </w:style>
  <w:style w:type="paragraph" w:styleId="1318" w:customStyle="1">
    <w:name w:val="标书正文"/>
    <w:basedOn w:val="1081"/>
    <w:next w:val="1319"/>
    <w:qFormat/>
    <w:pPr>
      <w:ind w:left="440" w:right="100" w:firstLine="2760"/>
      <w:spacing w:before="0" w:after="0" w:line="360" w:lineRule="auto"/>
    </w:pPr>
    <w:rPr>
      <w:rFonts w:ascii="Times New Roman" w:hAnsi="Times New Roman" w:cs="Times New Roman"/>
    </w:rPr>
  </w:style>
  <w:style w:type="paragraph" w:styleId="1319" w:customStyle="1">
    <w:name w:val="xl67"/>
    <w:basedOn w:val="1081"/>
    <w:next w:val="1320"/>
    <w:qFormat/>
    <w:pPr>
      <w:ind w:left="0" w:firstLine="5120"/>
      <w:spacing w:before="280" w:after="280" w:line="240" w:lineRule="auto"/>
    </w:pPr>
    <w:rPr>
      <w:rFonts w:ascii="Times New Roman" w:hAnsi="Times New Roman" w:cs="Times New Roman"/>
    </w:rPr>
  </w:style>
  <w:style w:type="paragraph" w:styleId="1320" w:customStyle="1">
    <w:name w:val="索引 61"/>
    <w:basedOn w:val="1081"/>
    <w:next w:val="1080"/>
    <w:qFormat/>
    <w:pPr>
      <w:ind w:left="1000" w:firstLine="2560"/>
      <w:jc w:val="center"/>
      <w:spacing w:before="0" w:after="0" w:line="360" w:lineRule="auto"/>
    </w:pPr>
    <w:rPr>
      <w:rFonts w:ascii="Times New Roman" w:hAnsi="Times New Roman" w:cs="Times New Roman"/>
    </w:rPr>
  </w:style>
  <w:style w:type="paragraph" w:styleId="1321" w:customStyle="1">
    <w:name w:val="目录3"/>
    <w:basedOn w:val="1081"/>
    <w:next w:val="1080"/>
    <w:qFormat/>
    <w:pPr>
      <w:ind w:left="419" w:firstLine="5283"/>
      <w:spacing w:before="0" w:after="0" w:line="317" w:lineRule="atLeast"/>
    </w:pPr>
    <w:rPr>
      <w:rFonts w:ascii="Times New Roman" w:hAnsi="Times New Roman" w:cs="Times New Roman"/>
    </w:rPr>
  </w:style>
  <w:style w:type="paragraph" w:styleId="1322" w:customStyle="1">
    <w:name w:val="xl90"/>
    <w:basedOn w:val="1081"/>
    <w:next w:val="1323"/>
    <w:qFormat/>
    <w:pPr>
      <w:ind w:left="0" w:firstLine="3584"/>
      <w:spacing w:before="280" w:after="280" w:line="240" w:lineRule="auto"/>
    </w:pPr>
    <w:rPr>
      <w:rFonts w:ascii="Times New Roman" w:hAnsi="Times New Roman" w:cs="Times New Roman"/>
    </w:rPr>
  </w:style>
  <w:style w:type="paragraph" w:styleId="1323" w:customStyle="1">
    <w:name w:val="列表框1"/>
    <w:next w:val="1314"/>
    <w:qFormat/>
    <w:pPr>
      <w:ind w:firstLine="2048"/>
      <w:spacing w:line="460" w:lineRule="exact"/>
    </w:pPr>
    <w:rPr>
      <w:rFonts w:ascii="Calibri" w:hAnsi="Calibri"/>
    </w:rPr>
  </w:style>
  <w:style w:type="paragraph" w:styleId="1324" w:customStyle="1">
    <w:name w:val="1ji"/>
    <w:basedOn w:val="1082"/>
    <w:next w:val="1303"/>
    <w:qFormat/>
    <w:pPr>
      <w:ind w:left="0" w:firstLine="18"/>
      <w:jc w:val="center"/>
      <w:spacing w:before="0" w:after="0" w:line="240" w:lineRule="auto"/>
      <w:outlineLvl w:val="0"/>
    </w:pPr>
  </w:style>
  <w:style w:type="paragraph" w:styleId="1325" w:customStyle="1">
    <w:name w:val="索引 81"/>
    <w:basedOn w:val="1081"/>
    <w:next w:val="1080"/>
    <w:qFormat/>
    <w:pPr>
      <w:ind w:left="1400" w:firstLine="2560"/>
      <w:jc w:val="center"/>
      <w:spacing w:before="0" w:after="0" w:line="360" w:lineRule="auto"/>
    </w:pPr>
    <w:rPr>
      <w:rFonts w:ascii="Times New Roman" w:hAnsi="Times New Roman" w:cs="Times New Roman"/>
    </w:rPr>
  </w:style>
  <w:style w:type="paragraph" w:styleId="1326" w:customStyle="1">
    <w:name w:val="正文1"/>
    <w:basedOn w:val="1080"/>
    <w:next w:val="1080"/>
    <w:qFormat/>
    <w:pPr>
      <w:spacing w:line="312" w:lineRule="atLeast"/>
    </w:pPr>
    <w:rPr>
      <w:rFonts w:ascii="楷体_GB2312" w:hAnsi="Times New Roman" w:eastAsia="楷体_GB2312" w:cs="Times New Roman"/>
      <w:sz w:val="24"/>
    </w:rPr>
  </w:style>
  <w:style w:type="paragraph" w:styleId="1327" w:customStyle="1">
    <w:name w:val="Char Char Char Char Char Char1 Char Char Char1 Char Char Char Char Char Char Char Char Char Char Char Char Char Char Char Char Char Char"/>
    <w:basedOn w:val="1081"/>
    <w:next w:val="1328"/>
    <w:qFormat/>
    <w:pPr>
      <w:ind w:left="0" w:firstLine="2560"/>
      <w:spacing w:before="0" w:after="0" w:line="240" w:lineRule="auto"/>
    </w:pPr>
    <w:rPr>
      <w:rFonts w:ascii="Times New Roman" w:hAnsi="Times New Roman" w:cs="Times New Roman"/>
    </w:rPr>
  </w:style>
  <w:style w:type="paragraph" w:styleId="1328" w:customStyle="1">
    <w:name w:val="样式 加粗 居中11"/>
    <w:basedOn w:val="1081"/>
    <w:next w:val="1329"/>
    <w:qFormat/>
    <w:pPr>
      <w:ind w:left="0" w:firstLine="2560"/>
      <w:jc w:val="center"/>
      <w:spacing w:before="0" w:after="0" w:line="360" w:lineRule="auto"/>
    </w:pPr>
    <w:rPr>
      <w:rFonts w:ascii="Times New Roman" w:hAnsi="Times New Roman" w:cs="Times New Roman"/>
    </w:rPr>
  </w:style>
  <w:style w:type="paragraph" w:styleId="1329" w:customStyle="1">
    <w:name w:val="xl89"/>
    <w:basedOn w:val="1081"/>
    <w:next w:val="1330"/>
    <w:qFormat/>
    <w:pPr>
      <w:ind w:left="0" w:firstLine="3584"/>
      <w:spacing w:before="280" w:after="280" w:line="240" w:lineRule="auto"/>
    </w:pPr>
    <w:rPr>
      <w:rFonts w:ascii="Times New Roman" w:hAnsi="Times New Roman" w:cs="Times New Roman"/>
    </w:rPr>
  </w:style>
  <w:style w:type="paragraph" w:styleId="1330" w:customStyle="1">
    <w:name w:val="Char Char Char Char Char Char1 Char Char Char Char Char Char1 Char Char Char Char Char Char Char Char Char"/>
    <w:basedOn w:val="1081"/>
    <w:next w:val="1331"/>
    <w:qFormat/>
    <w:pPr>
      <w:ind w:left="0" w:firstLine="2560"/>
      <w:spacing w:before="0" w:after="0" w:line="240" w:lineRule="auto"/>
    </w:pPr>
    <w:rPr>
      <w:rFonts w:ascii="Times New Roman" w:hAnsi="Times New Roman" w:cs="Times New Roman"/>
    </w:rPr>
  </w:style>
  <w:style w:type="paragraph" w:styleId="1331" w:customStyle="1">
    <w:name w:val="文章附标题"/>
    <w:basedOn w:val="1081"/>
    <w:next w:val="1081"/>
    <w:qFormat/>
    <w:pPr>
      <w:ind w:left="0" w:firstLine="5120"/>
      <w:jc w:val="center"/>
      <w:spacing w:before="187" w:after="175" w:line="374" w:lineRule="atLeast"/>
    </w:pPr>
    <w:rPr>
      <w:rFonts w:ascii="Times New Roman" w:hAnsi="Times New Roman" w:cs="Times New Roman"/>
    </w:rPr>
  </w:style>
  <w:style w:type="paragraph" w:styleId="1332">
    <w:name w:val="Quote"/>
    <w:next w:val="1080"/>
    <w:link w:val="1522"/>
    <w:qFormat/>
    <w:pPr>
      <w:ind w:left="3680" w:right="864"/>
      <w:jc w:val="center"/>
      <w:spacing w:before="200" w:after="160"/>
    </w:pPr>
    <w:rPr>
      <w:rFonts w:ascii="Calibri" w:hAnsi="Calibri"/>
      <w:i/>
    </w:rPr>
  </w:style>
  <w:style w:type="paragraph" w:styleId="1333" w:customStyle="1">
    <w:name w:val="Default Paragraph Font Para Char Char Char Char Char Char"/>
    <w:basedOn w:val="1081"/>
    <w:next w:val="1334"/>
    <w:qFormat/>
    <w:pPr>
      <w:ind w:left="0" w:firstLine="3584"/>
      <w:spacing w:before="0" w:after="160" w:line="240" w:lineRule="exact"/>
    </w:pPr>
    <w:rPr>
      <w:rFonts w:ascii="Times New Roman" w:hAnsi="Times New Roman" w:cs="Times New Roman"/>
    </w:rPr>
  </w:style>
  <w:style w:type="paragraph" w:styleId="1334" w:customStyle="1">
    <w:name w:val="xl23"/>
    <w:basedOn w:val="1081"/>
    <w:next w:val="1117"/>
    <w:qFormat/>
    <w:pPr>
      <w:ind w:left="0" w:firstLine="20"/>
      <w:spacing w:before="280" w:after="280" w:line="240" w:lineRule="auto"/>
      <w:shd w:val="clear" w:color="000000" w:fill="ffffff"/>
    </w:pPr>
    <w:rPr>
      <w:rFonts w:ascii="Times New Roman" w:hAnsi="Times New Roman" w:cs="Times New Roman"/>
    </w:rPr>
  </w:style>
  <w:style w:type="paragraph" w:styleId="1335" w:customStyle="1">
    <w:name w:val="列出段落11"/>
    <w:basedOn w:val="1081"/>
    <w:next w:val="1336"/>
    <w:qFormat/>
    <w:pPr>
      <w:ind w:left="420" w:firstLine="3748"/>
      <w:spacing w:before="0" w:after="0" w:line="240" w:lineRule="auto"/>
    </w:pPr>
    <w:rPr>
      <w:rFonts w:ascii="Times New Roman" w:hAnsi="Times New Roman" w:cs="Times New Roman"/>
    </w:rPr>
  </w:style>
  <w:style w:type="paragraph" w:styleId="1336" w:customStyle="1">
    <w:name w:val="样式 标题 2 + (西文) 宋体 非加粗 居中"/>
    <w:basedOn w:val="1083"/>
    <w:next w:val="1337"/>
    <w:qFormat/>
    <w:pPr>
      <w:ind w:left="0" w:firstLine="24"/>
      <w:jc w:val="center"/>
      <w:spacing w:line="412" w:lineRule="auto"/>
      <w:outlineLvl w:val="1"/>
    </w:pPr>
  </w:style>
  <w:style w:type="paragraph" w:styleId="1337" w:customStyle="1">
    <w:name w:val="页脚 Char Char"/>
    <w:basedOn w:val="1081"/>
    <w:next w:val="1338"/>
    <w:qFormat/>
    <w:pPr>
      <w:ind w:left="0" w:firstLine="5120"/>
      <w:spacing w:before="0" w:after="0" w:line="240" w:lineRule="auto"/>
    </w:pPr>
    <w:rPr>
      <w:rFonts w:ascii="Times New Roman" w:hAnsi="Times New Roman" w:cs="Times New Roman"/>
    </w:rPr>
  </w:style>
  <w:style w:type="paragraph" w:styleId="1338" w:customStyle="1">
    <w:name w:val="样式 标题 1 + 段前: 16 磅 段后: 16 磅"/>
    <w:basedOn w:val="1082"/>
    <w:next w:val="1339"/>
    <w:qFormat/>
    <w:pPr>
      <w:ind w:left="0" w:firstLine="18"/>
      <w:jc w:val="center"/>
      <w:spacing w:before="120" w:after="0" w:line="360" w:lineRule="auto"/>
      <w:outlineLvl w:val="0"/>
    </w:pPr>
  </w:style>
  <w:style w:type="paragraph" w:styleId="1339" w:customStyle="1">
    <w:name w:val="Char1 Char Char Char Char Char Char"/>
    <w:basedOn w:val="1081"/>
    <w:next w:val="1340"/>
    <w:qFormat/>
    <w:pPr>
      <w:ind w:left="0" w:firstLine="2560"/>
      <w:spacing w:before="0" w:after="0" w:line="240" w:lineRule="auto"/>
    </w:pPr>
    <w:rPr>
      <w:rFonts w:ascii="Times New Roman" w:hAnsi="Times New Roman" w:cs="Times New Roman"/>
    </w:rPr>
  </w:style>
  <w:style w:type="paragraph" w:styleId="1340" w:customStyle="1">
    <w:name w:val="文档标题4"/>
    <w:basedOn w:val="1085"/>
    <w:next w:val="1080"/>
    <w:qFormat/>
    <w:pPr>
      <w:ind w:left="851" w:firstLine="30"/>
      <w:spacing w:after="280" w:line="360" w:lineRule="auto"/>
      <w:outlineLvl w:val="3"/>
    </w:pPr>
  </w:style>
  <w:style w:type="paragraph" w:styleId="1341" w:customStyle="1">
    <w:name w:val="font0"/>
    <w:basedOn w:val="1081"/>
    <w:next w:val="1316"/>
    <w:qFormat/>
    <w:pPr>
      <w:ind w:left="0" w:firstLine="1024"/>
      <w:spacing w:before="280" w:after="280" w:line="240" w:lineRule="auto"/>
    </w:pPr>
    <w:rPr>
      <w:rFonts w:ascii="Times New Roman" w:hAnsi="Times New Roman" w:cs="Times New Roman"/>
    </w:rPr>
  </w:style>
  <w:style w:type="paragraph" w:styleId="1342" w:customStyle="1">
    <w:name w:val="CM5"/>
    <w:basedOn w:val="1081"/>
    <w:next w:val="1080"/>
    <w:qFormat/>
    <w:pPr>
      <w:ind w:left="200" w:firstLine="2760"/>
      <w:spacing w:before="0" w:after="0" w:line="400" w:lineRule="atLeast"/>
    </w:pPr>
    <w:rPr>
      <w:rFonts w:ascii="Times New Roman" w:hAnsi="Times New Roman" w:cs="Times New Roman"/>
    </w:rPr>
  </w:style>
  <w:style w:type="paragraph" w:styleId="1343" w:customStyle="1">
    <w:name w:val="Pa0"/>
    <w:basedOn w:val="1081"/>
    <w:next w:val="1080"/>
    <w:qFormat/>
    <w:pPr>
      <w:ind w:left="0" w:firstLine="4608"/>
      <w:spacing w:before="0" w:after="0" w:line="241" w:lineRule="atLeast"/>
    </w:pPr>
    <w:rPr>
      <w:rFonts w:ascii="Times New Roman" w:hAnsi="Times New Roman" w:cs="Times New Roman"/>
    </w:rPr>
  </w:style>
  <w:style w:type="paragraph" w:styleId="1344" w:customStyle="1">
    <w:name w:val="招标文件》"/>
    <w:basedOn w:val="1081"/>
    <w:next w:val="1280"/>
    <w:qFormat/>
    <w:pPr>
      <w:ind w:left="420" w:firstLine="2140"/>
      <w:spacing w:before="120" w:after="120" w:line="300" w:lineRule="auto"/>
    </w:pPr>
    <w:rPr>
      <w:rFonts w:ascii="Times New Roman" w:hAnsi="Times New Roman" w:cs="Times New Roman"/>
    </w:rPr>
  </w:style>
  <w:style w:type="paragraph" w:styleId="1345" w:customStyle="1">
    <w:name w:val="段"/>
    <w:next w:val="1080"/>
    <w:qFormat/>
    <w:pPr>
      <w:ind w:firstLine="200"/>
      <w:jc w:val="both"/>
      <w:spacing w:line="360" w:lineRule="auto"/>
    </w:pPr>
    <w:rPr>
      <w:sz w:val="24"/>
      <w:szCs w:val="22"/>
    </w:rPr>
  </w:style>
  <w:style w:type="paragraph" w:styleId="1346" w:customStyle="1">
    <w:name w:val="标书_正文"/>
    <w:basedOn w:val="1081"/>
    <w:next w:val="1347"/>
    <w:qFormat/>
    <w:pPr>
      <w:ind w:left="420" w:firstLine="1188"/>
      <w:spacing w:before="0" w:after="0" w:line="360" w:lineRule="auto"/>
    </w:pPr>
    <w:rPr>
      <w:rFonts w:ascii="Times New Roman" w:hAnsi="Times New Roman" w:cs="Times New Roman"/>
    </w:rPr>
  </w:style>
  <w:style w:type="paragraph" w:styleId="1347" w:customStyle="1">
    <w:name w:val="样式 标题 2 + Times New Roman 四号 非加粗 段前: 5 磅 段后: 0 磅 行距: 固定值 20..."/>
    <w:basedOn w:val="1083"/>
    <w:next w:val="1295"/>
    <w:qFormat/>
    <w:pPr>
      <w:ind w:left="0" w:firstLine="24"/>
      <w:spacing w:before="100" w:after="0" w:line="400" w:lineRule="exact"/>
      <w:outlineLvl w:val="1"/>
    </w:pPr>
  </w:style>
  <w:style w:type="paragraph" w:styleId="1348" w:customStyle="1">
    <w:name w:val="图片0"/>
    <w:basedOn w:val="1081"/>
    <w:next w:val="1128"/>
    <w:qFormat/>
    <w:pPr>
      <w:ind w:left="-161" w:firstLine="1187"/>
      <w:spacing w:before="0" w:after="0" w:line="276" w:lineRule="auto"/>
    </w:pPr>
    <w:rPr>
      <w:rFonts w:ascii="Times New Roman" w:hAnsi="Times New Roman" w:cs="Times New Roman"/>
    </w:rPr>
  </w:style>
  <w:style w:type="paragraph" w:styleId="1349" w:customStyle="1">
    <w:name w:val="Char Char Char2 Char Char Char2 Char"/>
    <w:basedOn w:val="1081"/>
    <w:next w:val="1321"/>
    <w:qFormat/>
    <w:pPr>
      <w:ind w:left="560" w:firstLine="3632"/>
      <w:spacing w:before="0" w:after="160" w:line="240" w:lineRule="exact"/>
    </w:pPr>
    <w:rPr>
      <w:rFonts w:ascii="Times New Roman" w:hAnsi="Times New Roman" w:cs="Times New Roman"/>
    </w:rPr>
  </w:style>
  <w:style w:type="paragraph" w:styleId="1350" w:customStyle="1">
    <w:name w:val="Char Char Char Char"/>
    <w:next w:val="1351"/>
    <w:qFormat/>
    <w:pPr>
      <w:ind w:firstLine="10"/>
      <w:spacing w:line="360" w:lineRule="auto"/>
      <w:shd w:val="clear" w:color="000000" w:fill="000080"/>
    </w:pPr>
    <w:rPr>
      <w:rFonts w:ascii="Calibri" w:hAnsi="Calibri"/>
    </w:rPr>
  </w:style>
  <w:style w:type="paragraph" w:styleId="1351" w:customStyle="1">
    <w:name w:val="杨昂超式样黑体主"/>
    <w:basedOn w:val="1081"/>
    <w:next w:val="1352"/>
    <w:qFormat/>
    <w:pPr>
      <w:ind w:left="0" w:firstLine="4608"/>
      <w:spacing w:before="0" w:after="0" w:line="240" w:lineRule="auto"/>
    </w:pPr>
    <w:rPr>
      <w:rFonts w:ascii="Times New Roman" w:hAnsi="Times New Roman" w:cs="Times New Roman"/>
    </w:rPr>
  </w:style>
  <w:style w:type="paragraph" w:styleId="1352" w:customStyle="1">
    <w:name w:val="Char Char Char Char Char Char1 Char Char Char Char Char Char Char Char Char Char"/>
    <w:basedOn w:val="1081"/>
    <w:next w:val="1353"/>
    <w:qFormat/>
    <w:pPr>
      <w:ind w:left="0" w:firstLine="2560"/>
      <w:spacing w:before="0" w:after="0" w:line="240" w:lineRule="auto"/>
    </w:pPr>
    <w:rPr>
      <w:rFonts w:ascii="Times New Roman" w:hAnsi="Times New Roman" w:cs="Times New Roman"/>
    </w:rPr>
  </w:style>
  <w:style w:type="paragraph" w:styleId="1353" w:customStyle="1">
    <w:name w:val="目录1"/>
    <w:basedOn w:val="1081"/>
    <w:next w:val="1080"/>
    <w:qFormat/>
    <w:pPr>
      <w:ind w:left="0" w:firstLine="7168"/>
      <w:spacing w:before="0" w:after="136" w:line="289" w:lineRule="atLeast"/>
    </w:pPr>
    <w:rPr>
      <w:rFonts w:ascii="Times New Roman" w:hAnsi="Times New Roman" w:cs="Times New Roman"/>
    </w:rPr>
  </w:style>
  <w:style w:type="paragraph" w:styleId="1354" w:customStyle="1">
    <w:name w:val="文档结构图1"/>
    <w:basedOn w:val="1081"/>
    <w:next w:val="1355"/>
    <w:qFormat/>
    <w:pPr>
      <w:ind w:left="200" w:firstLine="2248"/>
      <w:spacing w:before="0" w:after="0" w:line="360" w:lineRule="auto"/>
    </w:pPr>
    <w:rPr>
      <w:rFonts w:ascii="Times New Roman" w:hAnsi="Times New Roman" w:cs="Times New Roman"/>
    </w:rPr>
  </w:style>
  <w:style w:type="paragraph" w:styleId="1355" w:customStyle="1">
    <w:name w:val="2ji"/>
    <w:basedOn w:val="1083"/>
    <w:next w:val="1123"/>
    <w:qFormat/>
    <w:pPr>
      <w:ind w:left="0" w:firstLine="24"/>
      <w:spacing w:before="0" w:after="0" w:line="360" w:lineRule="auto"/>
      <w:outlineLvl w:val="1"/>
    </w:pPr>
  </w:style>
  <w:style w:type="paragraph" w:styleId="1356" w:customStyle="1">
    <w:name w:val="xl91"/>
    <w:basedOn w:val="1081"/>
    <w:next w:val="1277"/>
    <w:qFormat/>
    <w:pPr>
      <w:ind w:left="0" w:firstLine="3584"/>
      <w:spacing w:before="280" w:after="280" w:line="240" w:lineRule="auto"/>
    </w:pPr>
    <w:rPr>
      <w:rFonts w:ascii="Times New Roman" w:hAnsi="Times New Roman" w:cs="Times New Roman"/>
    </w:rPr>
  </w:style>
  <w:style w:type="paragraph" w:styleId="1357" w:customStyle="1">
    <w:name w:val="Text Body"/>
    <w:basedOn w:val="1081"/>
    <w:next w:val="1358"/>
    <w:qFormat/>
    <w:pPr>
      <w:ind w:left="0" w:firstLine="4096"/>
      <w:spacing w:before="0" w:after="120" w:line="240" w:lineRule="auto"/>
    </w:pPr>
    <w:rPr>
      <w:rFonts w:ascii="Times New Roman" w:hAnsi="Times New Roman" w:cs="Times New Roman"/>
    </w:rPr>
  </w:style>
  <w:style w:type="paragraph" w:styleId="1358" w:customStyle="1">
    <w:name w:val="项目符1"/>
    <w:basedOn w:val="1081"/>
    <w:next w:val="1359"/>
    <w:qFormat/>
    <w:pPr>
      <w:ind w:left="1365" w:right="100" w:firstLine="2728"/>
      <w:spacing w:before="78" w:after="78" w:line="300" w:lineRule="auto"/>
    </w:pPr>
    <w:rPr>
      <w:rFonts w:ascii="Times New Roman" w:hAnsi="Times New Roman" w:cs="Times New Roman"/>
    </w:rPr>
  </w:style>
  <w:style w:type="paragraph" w:styleId="1359" w:customStyle="1">
    <w:name w:val="引文目录标题1"/>
    <w:basedOn w:val="1081"/>
    <w:next w:val="1080"/>
    <w:qFormat/>
    <w:pPr>
      <w:ind w:left="0" w:firstLine="4608"/>
      <w:jc w:val="center"/>
      <w:spacing w:before="120" w:after="0" w:line="360" w:lineRule="auto"/>
    </w:pPr>
    <w:rPr>
      <w:rFonts w:ascii="Times New Roman" w:hAnsi="Times New Roman" w:cs="Times New Roman"/>
    </w:rPr>
  </w:style>
  <w:style w:type="paragraph" w:styleId="1360" w:customStyle="1">
    <w:name w:val="样式 标题 3 + (西文) 黑体 (中文) 黑体 (符号) 宋体 小四 段前: 5 磅 段后: 5 磅 行距: 1..."/>
    <w:basedOn w:val="1084"/>
    <w:next w:val="1361"/>
    <w:qFormat/>
    <w:pPr>
      <w:ind w:left="1429" w:firstLine="18"/>
      <w:spacing w:before="100" w:after="100" w:line="360" w:lineRule="auto"/>
      <w:outlineLvl w:val="2"/>
    </w:pPr>
  </w:style>
  <w:style w:type="paragraph" w:styleId="1361" w:customStyle="1">
    <w:name w:val="xl22"/>
    <w:basedOn w:val="1081"/>
    <w:next w:val="1362"/>
    <w:qFormat/>
    <w:pPr>
      <w:ind w:left="0" w:firstLine="20"/>
      <w:jc w:val="right"/>
      <w:spacing w:before="280" w:after="280" w:line="240" w:lineRule="auto"/>
      <w:shd w:val="clear" w:color="000000" w:fill="ffffff"/>
    </w:pPr>
    <w:rPr>
      <w:rFonts w:ascii="Times New Roman" w:hAnsi="Times New Roman" w:cs="Times New Roman"/>
    </w:rPr>
  </w:style>
  <w:style w:type="paragraph" w:styleId="1362" w:customStyle="1">
    <w:name w:val="自定义一"/>
    <w:basedOn w:val="1081"/>
    <w:next w:val="1080"/>
    <w:qFormat/>
    <w:pPr>
      <w:ind w:left="0"/>
      <w:spacing w:before="0" w:after="0" w:line="360" w:lineRule="auto"/>
    </w:pPr>
    <w:rPr>
      <w:rFonts w:ascii="Times New Roman" w:hAnsi="Times New Roman" w:cs="Times New Roman"/>
    </w:rPr>
  </w:style>
  <w:style w:type="paragraph" w:styleId="1363" w:customStyle="1">
    <w:name w:val="xl78"/>
    <w:basedOn w:val="1081"/>
    <w:next w:val="1364"/>
    <w:qFormat/>
    <w:pPr>
      <w:ind w:left="0" w:firstLine="3584"/>
      <w:jc w:val="center"/>
      <w:spacing w:before="280" w:after="280" w:line="240" w:lineRule="auto"/>
    </w:pPr>
    <w:rPr>
      <w:rFonts w:ascii="Times New Roman" w:hAnsi="Times New Roman" w:cs="Times New Roman"/>
    </w:rPr>
  </w:style>
  <w:style w:type="paragraph" w:styleId="1364" w:customStyle="1">
    <w:name w:val="段落正文"/>
    <w:next w:val="1306"/>
    <w:qFormat/>
    <w:pPr>
      <w:ind w:firstLine="4608"/>
      <w:jc w:val="center"/>
      <w:spacing w:line="360" w:lineRule="auto"/>
    </w:pPr>
    <w:rPr>
      <w:rFonts w:ascii="Calibri" w:hAnsi="Calibri"/>
    </w:rPr>
  </w:style>
  <w:style w:type="paragraph" w:styleId="1365" w:customStyle="1">
    <w:name w:val="_Style 169"/>
    <w:next w:val="1080"/>
    <w:qFormat/>
    <w:pPr>
      <w:ind w:left="2560"/>
    </w:pPr>
    <w:rPr>
      <w:rFonts w:ascii="Calibri" w:hAnsi="Calibri"/>
    </w:rPr>
  </w:style>
  <w:style w:type="paragraph" w:styleId="1366" w:customStyle="1">
    <w:name w:val="样式 小四 行距: 1.5 倍行距 首行缩进:  2 字符"/>
    <w:basedOn w:val="1081"/>
    <w:next w:val="1311"/>
    <w:qFormat/>
    <w:pPr>
      <w:ind w:left="480" w:firstLine="2784"/>
      <w:spacing w:before="0" w:after="0" w:line="360" w:lineRule="auto"/>
    </w:pPr>
    <w:rPr>
      <w:rFonts w:ascii="Times New Roman" w:hAnsi="Times New Roman" w:cs="Times New Roman"/>
    </w:rPr>
  </w:style>
  <w:style w:type="paragraph" w:styleId="1367" w:customStyle="1">
    <w:name w:val="小节标题"/>
    <w:basedOn w:val="1081"/>
    <w:next w:val="1080"/>
    <w:qFormat/>
    <w:pPr>
      <w:ind w:left="0" w:firstLine="7168"/>
      <w:spacing w:before="175" w:after="102" w:line="351" w:lineRule="atLeast"/>
    </w:pPr>
    <w:rPr>
      <w:rFonts w:ascii="Times New Roman" w:hAnsi="Times New Roman" w:cs="Times New Roman"/>
    </w:rPr>
  </w:style>
  <w:style w:type="paragraph" w:styleId="1368" w:customStyle="1">
    <w:name w:val="TOC 标题2"/>
    <w:basedOn w:val="1081"/>
    <w:next w:val="108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69" w:customStyle="1">
    <w:name w:val="表格文字（两侧对齐）"/>
    <w:basedOn w:val="1081"/>
    <w:next w:val="1370"/>
    <w:qFormat/>
    <w:pPr>
      <w:ind w:left="0" w:firstLine="3584"/>
      <w:spacing w:before="0" w:after="0" w:line="240" w:lineRule="auto"/>
    </w:pPr>
    <w:rPr>
      <w:rFonts w:ascii="Times New Roman" w:hAnsi="Times New Roman" w:cs="Times New Roman"/>
    </w:rPr>
  </w:style>
  <w:style w:type="paragraph" w:styleId="1370" w:customStyle="1">
    <w:name w:val="Char"/>
    <w:basedOn w:val="1081"/>
    <w:next w:val="1349"/>
    <w:qFormat/>
    <w:pPr>
      <w:ind w:left="900" w:firstLine="2608"/>
      <w:spacing w:before="0" w:after="0" w:line="240" w:lineRule="auto"/>
    </w:pPr>
    <w:rPr>
      <w:rFonts w:ascii="Times New Roman" w:hAnsi="Times New Roman" w:cs="Times New Roman"/>
    </w:rPr>
  </w:style>
  <w:style w:type="paragraph" w:styleId="1371" w:customStyle="1">
    <w:name w:val="xl86"/>
    <w:basedOn w:val="1081"/>
    <w:next w:val="1372"/>
    <w:qFormat/>
    <w:pPr>
      <w:ind w:left="0" w:firstLine="5120"/>
      <w:spacing w:before="280" w:after="280" w:line="240" w:lineRule="auto"/>
    </w:pPr>
    <w:rPr>
      <w:rFonts w:ascii="Times New Roman" w:hAnsi="Times New Roman" w:cs="Times New Roman"/>
    </w:rPr>
  </w:style>
  <w:style w:type="paragraph" w:styleId="1372" w:customStyle="1">
    <w:name w:val="索引 71"/>
    <w:basedOn w:val="1081"/>
    <w:next w:val="1080"/>
    <w:qFormat/>
    <w:pPr>
      <w:ind w:left="1200" w:firstLine="2560"/>
      <w:jc w:val="center"/>
      <w:spacing w:before="0" w:after="0" w:line="360" w:lineRule="auto"/>
    </w:pPr>
    <w:rPr>
      <w:rFonts w:ascii="Times New Roman" w:hAnsi="Times New Roman" w:cs="Times New Roman"/>
    </w:rPr>
  </w:style>
  <w:style w:type="paragraph" w:styleId="1373" w:customStyle="1">
    <w:name w:val="111"/>
    <w:next w:val="1374"/>
    <w:qFormat/>
    <w:pPr>
      <w:ind w:left="480" w:firstLine="4320"/>
      <w:spacing w:line="440" w:lineRule="exact"/>
    </w:pPr>
    <w:rPr>
      <w:rFonts w:ascii="Calibri" w:hAnsi="Calibri"/>
    </w:rPr>
  </w:style>
  <w:style w:type="paragraph" w:styleId="1374" w:customStyle="1">
    <w:name w:val="4"/>
    <w:basedOn w:val="1081"/>
    <w:next w:val="1093"/>
    <w:qFormat/>
    <w:pPr>
      <w:ind w:left="409" w:firstLine="3737"/>
      <w:spacing w:before="0" w:after="0" w:line="420" w:lineRule="exact"/>
    </w:pPr>
    <w:rPr>
      <w:rFonts w:ascii="Times New Roman" w:hAnsi="Times New Roman" w:cs="Times New Roman"/>
    </w:rPr>
  </w:style>
  <w:style w:type="paragraph" w:styleId="1375" w:customStyle="1">
    <w:name w:val="Char Char Char Char Char Char1 Char Char Char1 Char Char Char Char Char Char"/>
    <w:basedOn w:val="1081"/>
    <w:next w:val="1360"/>
    <w:qFormat/>
    <w:pPr>
      <w:ind w:left="0" w:firstLine="2560"/>
      <w:spacing w:before="0" w:after="0" w:line="240" w:lineRule="auto"/>
    </w:pPr>
    <w:rPr>
      <w:rFonts w:ascii="Times New Roman" w:hAnsi="Times New Roman" w:cs="Times New Roman"/>
    </w:rPr>
  </w:style>
  <w:style w:type="paragraph" w:styleId="1376" w:customStyle="1">
    <w:name w:val="Char Char Char Char Char Char1 Char Char Char Char Char Char1 Char Char Char"/>
    <w:basedOn w:val="1081"/>
    <w:next w:val="1377"/>
    <w:qFormat/>
    <w:pPr>
      <w:ind w:left="0" w:firstLine="2560"/>
      <w:spacing w:before="0" w:after="0" w:line="240" w:lineRule="auto"/>
    </w:pPr>
    <w:rPr>
      <w:rFonts w:ascii="Times New Roman" w:hAnsi="Times New Roman" w:cs="Times New Roman"/>
    </w:rPr>
  </w:style>
  <w:style w:type="paragraph" w:styleId="1377" w:customStyle="1">
    <w:name w:val="正文符号1"/>
    <w:basedOn w:val="1081"/>
    <w:next w:val="1378"/>
    <w:qFormat/>
    <w:pPr>
      <w:ind w:left="987" w:firstLine="5724"/>
      <w:spacing w:before="0" w:after="0" w:line="240" w:lineRule="auto"/>
    </w:pPr>
    <w:rPr>
      <w:rFonts w:ascii="Times New Roman" w:hAnsi="Times New Roman" w:cs="Times New Roman"/>
    </w:rPr>
  </w:style>
  <w:style w:type="paragraph" w:styleId="1378" w:customStyle="1">
    <w:name w:val="索引 31"/>
    <w:basedOn w:val="1081"/>
    <w:next w:val="1080"/>
    <w:qFormat/>
    <w:pPr>
      <w:ind w:left="400" w:firstLine="2560"/>
      <w:jc w:val="center"/>
      <w:spacing w:before="0" w:after="0" w:line="360" w:lineRule="auto"/>
    </w:pPr>
    <w:rPr>
      <w:rFonts w:ascii="Times New Roman" w:hAnsi="Times New Roman" w:cs="Times New Roman"/>
    </w:rPr>
  </w:style>
  <w:style w:type="paragraph" w:styleId="1379" w:customStyle="1">
    <w:name w:val="目录4"/>
    <w:basedOn w:val="1081"/>
    <w:next w:val="1080"/>
    <w:qFormat/>
    <w:pPr>
      <w:ind w:left="629" w:firstLine="5237"/>
      <w:spacing w:before="0" w:after="0" w:line="317" w:lineRule="atLeast"/>
    </w:pPr>
    <w:rPr>
      <w:rFonts w:ascii="Times New Roman" w:hAnsi="Times New Roman" w:cs="Times New Roman"/>
    </w:rPr>
  </w:style>
  <w:style w:type="paragraph" w:styleId="1380" w:customStyle="1">
    <w:name w:val="p15"/>
    <w:basedOn w:val="1080"/>
    <w:qFormat/>
    <w:pPr>
      <w:ind w:left="0"/>
    </w:pPr>
    <w:rPr>
      <w:rFonts w:ascii="宋体" w:hAnsi="宋体"/>
      <w:sz w:val="28"/>
      <w:szCs w:val="28"/>
    </w:rPr>
  </w:style>
  <w:style w:type="paragraph" w:styleId="1381" w:customStyle="1">
    <w:name w:val="四号 居中"/>
    <w:basedOn w:val="1081"/>
    <w:next w:val="1375"/>
    <w:qFormat/>
    <w:pPr>
      <w:ind w:left="0" w:firstLine="6144"/>
      <w:jc w:val="center"/>
      <w:spacing w:before="0" w:after="0" w:line="360" w:lineRule="auto"/>
    </w:pPr>
    <w:rPr>
      <w:rFonts w:ascii="Times New Roman" w:hAnsi="Times New Roman" w:cs="Times New Roman"/>
    </w:rPr>
  </w:style>
  <w:style w:type="paragraph" w:styleId="1382" w:customStyle="1">
    <w:name w:val="p0"/>
    <w:next w:val="1080"/>
    <w:qFormat/>
    <w:pPr>
      <w:ind w:firstLine="2048"/>
      <w:spacing w:line="360" w:lineRule="auto"/>
    </w:pPr>
    <w:rPr>
      <w:rFonts w:ascii="Calibri" w:hAnsi="Calibri"/>
    </w:rPr>
  </w:style>
  <w:style w:type="paragraph" w:styleId="1383" w:customStyle="1">
    <w:name w:val="列表编号 21"/>
    <w:basedOn w:val="1081"/>
    <w:next w:val="1384"/>
    <w:qFormat/>
    <w:pPr>
      <w:ind w:left="0" w:firstLine="2560"/>
      <w:spacing w:before="0" w:after="0" w:line="360" w:lineRule="auto"/>
    </w:pPr>
    <w:rPr>
      <w:rFonts w:ascii="Times New Roman" w:hAnsi="Times New Roman" w:cs="Times New Roman"/>
    </w:rPr>
  </w:style>
  <w:style w:type="paragraph" w:styleId="1384" w:customStyle="1">
    <w:name w:val="正文文本 21"/>
    <w:basedOn w:val="1081"/>
    <w:next w:val="1265"/>
    <w:qFormat/>
    <w:pPr>
      <w:ind w:left="0" w:firstLine="2560"/>
      <w:jc w:val="center"/>
      <w:spacing w:before="0" w:after="120" w:line="480" w:lineRule="auto"/>
    </w:pPr>
    <w:rPr>
      <w:rFonts w:ascii="Times New Roman" w:hAnsi="Times New Roman" w:cs="Times New Roman"/>
    </w:rPr>
  </w:style>
  <w:style w:type="paragraph" w:styleId="1385" w:customStyle="1">
    <w:name w:val="a2"/>
    <w:basedOn w:val="1081"/>
    <w:next w:val="1120"/>
    <w:qFormat/>
    <w:pPr>
      <w:ind w:left="0" w:firstLine="1024"/>
      <w:spacing w:before="280" w:after="280" w:line="240" w:lineRule="auto"/>
    </w:pPr>
    <w:rPr>
      <w:rFonts w:ascii="Times New Roman" w:hAnsi="Times New Roman" w:cs="Times New Roman"/>
    </w:rPr>
  </w:style>
  <w:style w:type="paragraph" w:styleId="1386" w:customStyle="1">
    <w:name w:val="font8"/>
    <w:basedOn w:val="1081"/>
    <w:next w:val="1310"/>
    <w:qFormat/>
    <w:pPr>
      <w:ind w:left="0" w:firstLine="2048"/>
      <w:spacing w:before="280" w:after="280" w:line="240" w:lineRule="auto"/>
    </w:pPr>
    <w:rPr>
      <w:rFonts w:ascii="Times New Roman" w:hAnsi="Times New Roman" w:cs="Times New Roman"/>
    </w:rPr>
  </w:style>
  <w:style w:type="paragraph" w:styleId="1387" w:customStyle="1">
    <w:name w:val="Char Char Char Char Char Char1 Char Char Char Char Char Char1 Char Char Char Char Char Char Char"/>
    <w:basedOn w:val="1081"/>
    <w:next w:val="1388"/>
    <w:qFormat/>
    <w:pPr>
      <w:ind w:left="0" w:firstLine="2560"/>
      <w:spacing w:before="0" w:after="0" w:line="240" w:lineRule="auto"/>
    </w:pPr>
    <w:rPr>
      <w:rFonts w:ascii="Times New Roman" w:hAnsi="Times New Roman" w:cs="Times New Roman"/>
    </w:rPr>
  </w:style>
  <w:style w:type="paragraph" w:styleId="1388" w:customStyle="1">
    <w:name w:val="xl87"/>
    <w:basedOn w:val="1081"/>
    <w:next w:val="1344"/>
    <w:qFormat/>
    <w:pPr>
      <w:ind w:left="0" w:firstLine="5120"/>
      <w:spacing w:before="280" w:after="280" w:line="240" w:lineRule="auto"/>
    </w:pPr>
    <w:rPr>
      <w:rFonts w:ascii="Times New Roman" w:hAnsi="Times New Roman" w:cs="Times New Roman"/>
    </w:rPr>
  </w:style>
  <w:style w:type="paragraph" w:styleId="1389" w:customStyle="1">
    <w:name w:val="444"/>
    <w:basedOn w:val="1081"/>
    <w:next w:val="1102"/>
    <w:qFormat/>
    <w:pPr>
      <w:ind w:left="0" w:firstLine="4608"/>
      <w:jc w:val="center"/>
      <w:spacing w:before="0" w:after="0" w:line="312" w:lineRule="atLeast"/>
    </w:pPr>
    <w:rPr>
      <w:rFonts w:ascii="Times New Roman" w:hAnsi="Times New Roman" w:cs="Times New Roman"/>
    </w:rPr>
  </w:style>
  <w:style w:type="paragraph" w:styleId="1390" w:customStyle="1">
    <w:name w:val="表格文字图表文字"/>
    <w:basedOn w:val="1081"/>
    <w:next w:val="1391"/>
    <w:qFormat/>
    <w:pPr>
      <w:ind w:left="0" w:firstLine="3584"/>
      <w:jc w:val="center"/>
      <w:spacing w:before="0" w:after="0" w:line="240" w:lineRule="auto"/>
    </w:pPr>
    <w:rPr>
      <w:rFonts w:ascii="Times New Roman" w:hAnsi="Times New Roman" w:cs="Times New Roman"/>
    </w:rPr>
  </w:style>
  <w:style w:type="paragraph" w:styleId="1391" w:customStyle="1">
    <w:name w:val="样式 目录 3 + 左侧:  2 字符1"/>
    <w:next w:val="1392"/>
    <w:qFormat/>
    <w:pPr>
      <w:ind w:left="960" w:firstLine="5120"/>
      <w:spacing w:line="360" w:lineRule="auto"/>
      <w:widowControl w:val="off"/>
    </w:pPr>
    <w:rPr>
      <w:rFonts w:ascii="Calibri" w:hAnsi="Calibri"/>
    </w:rPr>
  </w:style>
  <w:style w:type="paragraph" w:styleId="1392" w:customStyle="1">
    <w:name w:val="文档正文"/>
    <w:basedOn w:val="1081"/>
    <w:next w:val="1393"/>
    <w:qFormat/>
    <w:pPr>
      <w:ind w:left="567" w:firstLine="3639"/>
      <w:spacing w:before="0" w:after="0" w:line="480" w:lineRule="atLeast"/>
    </w:pPr>
    <w:rPr>
      <w:rFonts w:ascii="Times New Roman" w:hAnsi="Times New Roman" w:cs="Times New Roman"/>
    </w:rPr>
  </w:style>
  <w:style w:type="paragraph" w:styleId="1393" w:customStyle="1">
    <w:name w:val="列表框2"/>
    <w:next w:val="1394"/>
    <w:qFormat/>
    <w:pPr>
      <w:ind w:firstLine="2048"/>
      <w:spacing w:line="460" w:lineRule="exact"/>
    </w:pPr>
    <w:rPr>
      <w:rFonts w:ascii="Calibri" w:hAnsi="Calibri"/>
    </w:rPr>
  </w:style>
  <w:style w:type="paragraph" w:styleId="1394" w:customStyle="1">
    <w:name w:val="font10"/>
    <w:basedOn w:val="1081"/>
    <w:next w:val="1113"/>
    <w:qFormat/>
    <w:pPr>
      <w:ind w:left="0" w:firstLine="3584"/>
      <w:spacing w:before="280" w:after="280" w:line="240" w:lineRule="auto"/>
    </w:pPr>
    <w:rPr>
      <w:rFonts w:ascii="Times New Roman" w:hAnsi="Times New Roman" w:cs="Times New Roman"/>
    </w:rPr>
  </w:style>
  <w:style w:type="paragraph" w:styleId="1395" w:customStyle="1">
    <w:name w:val="纯文本1"/>
    <w:basedOn w:val="1081"/>
    <w:next w:val="1125"/>
    <w:qFormat/>
    <w:pPr>
      <w:ind w:left="0" w:firstLine="3584"/>
      <w:spacing w:before="0" w:after="0" w:line="240" w:lineRule="auto"/>
    </w:pPr>
    <w:rPr>
      <w:rFonts w:ascii="Times New Roman" w:hAnsi="Times New Roman" w:cs="Times New Roman"/>
    </w:rPr>
  </w:style>
  <w:style w:type="paragraph" w:styleId="1396" w:customStyle="1">
    <w:name w:val="索引 91"/>
    <w:basedOn w:val="1081"/>
    <w:next w:val="1080"/>
    <w:qFormat/>
    <w:pPr>
      <w:ind w:left="1600" w:firstLine="2560"/>
      <w:jc w:val="center"/>
      <w:spacing w:before="0" w:after="0" w:line="360" w:lineRule="auto"/>
    </w:pPr>
    <w:rPr>
      <w:rFonts w:ascii="Times New Roman" w:hAnsi="Times New Roman" w:cs="Times New Roman"/>
    </w:rPr>
  </w:style>
  <w:style w:type="paragraph" w:styleId="1397" w:customStyle="1">
    <w:name w:val="xl79"/>
    <w:basedOn w:val="1081"/>
    <w:next w:val="1373"/>
    <w:qFormat/>
    <w:pPr>
      <w:ind w:left="0" w:firstLine="3584"/>
      <w:jc w:val="center"/>
      <w:spacing w:before="280" w:after="280" w:line="240" w:lineRule="auto"/>
    </w:pPr>
    <w:rPr>
      <w:rFonts w:ascii="Times New Roman" w:hAnsi="Times New Roman" w:cs="Times New Roman"/>
    </w:rPr>
  </w:style>
  <w:style w:type="paragraph" w:styleId="1398" w:customStyle="1">
    <w:name w:val="表格文字（4号居中）"/>
    <w:next w:val="1399"/>
    <w:qFormat/>
    <w:pPr>
      <w:ind w:firstLine="2560"/>
      <w:jc w:val="center"/>
    </w:pPr>
    <w:rPr>
      <w:rFonts w:ascii="Calibri" w:hAnsi="Calibri"/>
    </w:rPr>
  </w:style>
  <w:style w:type="paragraph" w:styleId="1399" w:customStyle="1">
    <w:name w:val="!方块加粗"/>
    <w:basedOn w:val="1081"/>
    <w:next w:val="1366"/>
    <w:qFormat/>
    <w:pPr>
      <w:ind w:left="600" w:firstLine="5212"/>
      <w:spacing w:before="0" w:after="0" w:line="360" w:lineRule="auto"/>
    </w:pPr>
    <w:rPr>
      <w:rFonts w:ascii="Times New Roman" w:hAnsi="Times New Roman" w:cs="Times New Roman"/>
    </w:rPr>
  </w:style>
  <w:style w:type="paragraph" w:styleId="1400" w:customStyle="1">
    <w:name w:val="xl75"/>
    <w:basedOn w:val="1081"/>
    <w:next w:val="1126"/>
    <w:qFormat/>
    <w:pPr>
      <w:ind w:left="0" w:firstLine="3584"/>
      <w:jc w:val="center"/>
      <w:spacing w:before="280" w:after="280" w:line="240" w:lineRule="auto"/>
    </w:pPr>
    <w:rPr>
      <w:rFonts w:ascii="Times New Roman" w:hAnsi="Times New Roman" w:cs="Times New Roman"/>
    </w:rPr>
  </w:style>
  <w:style w:type="paragraph" w:styleId="1401" w:customStyle="1">
    <w:name w:val="xl81"/>
    <w:basedOn w:val="1081"/>
    <w:next w:val="1402"/>
    <w:qFormat/>
    <w:pPr>
      <w:ind w:left="0" w:firstLine="5120"/>
      <w:spacing w:before="280" w:after="280" w:line="240" w:lineRule="auto"/>
    </w:pPr>
    <w:rPr>
      <w:rFonts w:ascii="Times New Roman" w:hAnsi="Times New Roman" w:cs="Times New Roman"/>
    </w:rPr>
  </w:style>
  <w:style w:type="paragraph" w:styleId="1402" w:customStyle="1">
    <w:name w:val="xl25"/>
    <w:basedOn w:val="1081"/>
    <w:next w:val="1403"/>
    <w:qFormat/>
    <w:pPr>
      <w:ind w:left="0" w:firstLine="14"/>
      <w:spacing w:before="280" w:after="280" w:line="240" w:lineRule="auto"/>
      <w:shd w:val="clear" w:color="000000" w:fill="ffffff"/>
    </w:pPr>
    <w:rPr>
      <w:rFonts w:ascii="Times New Roman" w:hAnsi="Times New Roman" w:cs="Times New Roman"/>
    </w:rPr>
  </w:style>
  <w:style w:type="paragraph" w:styleId="1403" w:customStyle="1">
    <w:name w:val="普通(网站)1"/>
    <w:basedOn w:val="1081"/>
    <w:next w:val="1404"/>
    <w:qFormat/>
    <w:pPr>
      <w:ind w:left="200" w:firstLine="1224"/>
      <w:spacing w:before="280" w:after="280" w:line="240" w:lineRule="auto"/>
    </w:pPr>
    <w:rPr>
      <w:rFonts w:ascii="Times New Roman" w:hAnsi="Times New Roman" w:cs="Times New Roman"/>
    </w:rPr>
  </w:style>
  <w:style w:type="paragraph" w:styleId="1404" w:customStyle="1">
    <w:name w:val="xl27"/>
    <w:basedOn w:val="1081"/>
    <w:next w:val="1390"/>
    <w:qFormat/>
    <w:pPr>
      <w:ind w:left="0" w:firstLine="20"/>
      <w:spacing w:before="280" w:after="280" w:line="240" w:lineRule="auto"/>
      <w:shd w:val="clear" w:color="000000" w:fill="ffffff"/>
    </w:pPr>
    <w:rPr>
      <w:rFonts w:ascii="Times New Roman" w:hAnsi="Times New Roman" w:cs="Times New Roman"/>
    </w:rPr>
  </w:style>
  <w:style w:type="paragraph" w:styleId="1405" w:customStyle="1">
    <w:name w:val="H 4"/>
    <w:basedOn w:val="1085"/>
    <w:next w:val="1406"/>
    <w:qFormat/>
    <w:pPr>
      <w:ind w:left="426" w:firstLine="24"/>
      <w:spacing w:before="0" w:after="0" w:line="360" w:lineRule="auto"/>
      <w:outlineLvl w:val="3"/>
    </w:pPr>
  </w:style>
  <w:style w:type="paragraph" w:styleId="1406" w:customStyle="1">
    <w:name w:val="xl82"/>
    <w:basedOn w:val="1081"/>
    <w:next w:val="1401"/>
    <w:qFormat/>
    <w:pPr>
      <w:ind w:left="0" w:firstLine="5120"/>
      <w:spacing w:before="280" w:after="280" w:line="240" w:lineRule="auto"/>
    </w:pPr>
    <w:rPr>
      <w:rFonts w:ascii="Times New Roman" w:hAnsi="Times New Roman" w:cs="Times New Roman"/>
    </w:rPr>
  </w:style>
  <w:style w:type="paragraph" w:styleId="1407" w:customStyle="1">
    <w:name w:val="Char Char Char Char Char Char Char Char"/>
    <w:next w:val="1408"/>
    <w:qFormat/>
    <w:pPr>
      <w:ind w:firstLine="14"/>
      <w:jc w:val="both"/>
      <w:shd w:val="clear" w:color="000000" w:fill="000080"/>
      <w:widowControl w:val="off"/>
    </w:pPr>
    <w:rPr>
      <w:rFonts w:ascii="Calibri" w:hAnsi="Calibri"/>
    </w:rPr>
  </w:style>
  <w:style w:type="paragraph" w:styleId="1408" w:customStyle="1">
    <w:name w:val="Char Char Char Char Char Char1 Char Char Char1 Char Char Char Char Char Char Char Char Char Char Char Char Char Char Char"/>
    <w:basedOn w:val="1081"/>
    <w:next w:val="1409"/>
    <w:qFormat/>
    <w:pPr>
      <w:ind w:left="0" w:firstLine="2560"/>
      <w:spacing w:before="0" w:after="0" w:line="240" w:lineRule="auto"/>
    </w:pPr>
    <w:rPr>
      <w:rFonts w:ascii="Times New Roman" w:hAnsi="Times New Roman" w:cs="Times New Roman"/>
    </w:rPr>
  </w:style>
  <w:style w:type="paragraph" w:styleId="1409" w:customStyle="1">
    <w:name w:val="样式1"/>
    <w:basedOn w:val="1081"/>
    <w:next w:val="1410"/>
    <w:qFormat/>
    <w:pPr>
      <w:ind w:left="0" w:firstLine="1536"/>
      <w:spacing w:before="120" w:after="120" w:line="300" w:lineRule="auto"/>
    </w:pPr>
    <w:rPr>
      <w:rFonts w:ascii="Times New Roman" w:hAnsi="Times New Roman" w:cs="Times New Roman"/>
    </w:rPr>
  </w:style>
  <w:style w:type="paragraph" w:styleId="1410" w:customStyle="1">
    <w:name w:val="索引 41"/>
    <w:basedOn w:val="1081"/>
    <w:next w:val="1080"/>
    <w:qFormat/>
    <w:pPr>
      <w:ind w:left="600" w:firstLine="2560"/>
      <w:jc w:val="center"/>
      <w:spacing w:before="0" w:after="0" w:line="360" w:lineRule="auto"/>
    </w:pPr>
    <w:rPr>
      <w:rFonts w:ascii="Times New Roman" w:hAnsi="Times New Roman" w:cs="Times New Roman"/>
    </w:rPr>
  </w:style>
  <w:style w:type="paragraph" w:styleId="1411" w:customStyle="1">
    <w:name w:val="自定义二"/>
    <w:basedOn w:val="1081"/>
    <w:next w:val="1080"/>
    <w:qFormat/>
    <w:pPr>
      <w:ind w:left="0" w:firstLine="14"/>
      <w:spacing w:before="0" w:after="0" w:line="360" w:lineRule="auto"/>
      <w:outlineLvl w:val="1"/>
    </w:pPr>
    <w:rPr>
      <w:rFonts w:ascii="Times New Roman" w:hAnsi="Times New Roman" w:cs="Times New Roman"/>
    </w:rPr>
  </w:style>
  <w:style w:type="paragraph" w:styleId="1412" w:customStyle="1">
    <w:name w:val="Bullet"/>
    <w:next w:val="1350"/>
    <w:qFormat/>
    <w:pPr>
      <w:ind w:left="567" w:right="2835" w:firstLine="3584"/>
      <w:spacing w:after="60"/>
    </w:pPr>
    <w:rPr>
      <w:rFonts w:ascii="Calibri" w:hAnsi="Calibri"/>
    </w:rPr>
  </w:style>
  <w:style w:type="paragraph" w:styleId="1413" w:customStyle="1">
    <w:name w:val="Char Char Char Char Char Char1"/>
    <w:basedOn w:val="1081"/>
    <w:next w:val="1414"/>
    <w:qFormat/>
    <w:pPr>
      <w:ind w:left="0" w:firstLine="2560"/>
      <w:spacing w:before="0" w:after="0" w:line="240" w:lineRule="auto"/>
    </w:pPr>
    <w:rPr>
      <w:rFonts w:ascii="Times New Roman" w:hAnsi="Times New Roman" w:cs="Times New Roman"/>
    </w:rPr>
  </w:style>
  <w:style w:type="paragraph" w:styleId="1414" w:customStyle="1">
    <w:name w:val="正文缩进2"/>
    <w:basedOn w:val="1081"/>
    <w:next w:val="1415"/>
    <w:qFormat/>
    <w:pPr>
      <w:ind w:left="420" w:firstLine="1188"/>
      <w:spacing w:before="0" w:after="0" w:line="240" w:lineRule="auto"/>
    </w:pPr>
    <w:rPr>
      <w:rFonts w:ascii="Times New Roman" w:hAnsi="Times New Roman" w:cs="Times New Roman"/>
    </w:rPr>
  </w:style>
  <w:style w:type="paragraph" w:styleId="1415" w:customStyle="1">
    <w:name w:val="列出段落2"/>
    <w:basedOn w:val="1081"/>
    <w:next w:val="1416"/>
    <w:qFormat/>
    <w:pPr>
      <w:ind w:left="420" w:firstLine="3748"/>
      <w:spacing w:before="0" w:after="0" w:line="240" w:lineRule="auto"/>
    </w:pPr>
    <w:rPr>
      <w:rFonts w:ascii="Times New Roman" w:hAnsi="Times New Roman" w:cs="Times New Roman"/>
    </w:rPr>
  </w:style>
  <w:style w:type="paragraph" w:styleId="1416" w:customStyle="1">
    <w:name w:val="正文文本缩进 31"/>
    <w:basedOn w:val="1081"/>
    <w:next w:val="1417"/>
    <w:qFormat/>
    <w:pPr>
      <w:ind w:left="1200" w:firstLine="1248"/>
      <w:spacing w:before="120" w:after="0" w:line="22" w:lineRule="atLeast"/>
    </w:pPr>
    <w:rPr>
      <w:rFonts w:ascii="Times New Roman" w:hAnsi="Times New Roman" w:cs="Times New Roman"/>
    </w:rPr>
  </w:style>
  <w:style w:type="paragraph" w:styleId="1417" w:customStyle="1">
    <w:name w:val="样式 正文首行缩进 + 首行缩进:  2 字符5"/>
    <w:next w:val="1418"/>
    <w:qFormat/>
    <w:pPr>
      <w:ind w:left="200" w:firstLine="3784"/>
      <w:spacing w:line="300" w:lineRule="auto"/>
    </w:pPr>
    <w:rPr>
      <w:rFonts w:ascii="Calibri" w:hAnsi="Calibri"/>
    </w:rPr>
  </w:style>
  <w:style w:type="paragraph" w:styleId="1418" w:customStyle="1">
    <w:name w:val="Char2"/>
    <w:basedOn w:val="1081"/>
    <w:next w:val="1412"/>
    <w:qFormat/>
    <w:pPr>
      <w:ind w:left="0" w:firstLine="3584"/>
      <w:spacing w:before="0" w:after="160" w:line="240" w:lineRule="exact"/>
    </w:pPr>
    <w:rPr>
      <w:rFonts w:ascii="Times New Roman" w:hAnsi="Times New Roman" w:cs="Times New Roman"/>
    </w:rPr>
  </w:style>
  <w:style w:type="paragraph" w:styleId="1419" w:customStyle="1">
    <w:name w:val="WPSOffice手动目录 1"/>
    <w:qFormat/>
  </w:style>
  <w:style w:type="paragraph" w:styleId="1420" w:customStyle="1">
    <w:name w:val="纯文本4"/>
    <w:basedOn w:val="1080"/>
    <w:qFormat/>
    <w:pPr>
      <w:ind w:left="0"/>
      <w:widowControl w:val="off"/>
    </w:pPr>
    <w:rPr>
      <w:rFonts w:ascii="宋体" w:hAnsi="Courier New" w:eastAsia="楷体_GB2312" w:cs="Times New Roman"/>
      <w:sz w:val="26"/>
    </w:rPr>
  </w:style>
  <w:style w:type="paragraph" w:styleId="1421" w:customStyle="1">
    <w:name w:val="Char Char Char Char Char Char Char Char Char Char Char Char Char Char Char Char"/>
    <w:basedOn w:val="1081"/>
    <w:next w:val="1422"/>
    <w:qFormat/>
    <w:pPr>
      <w:ind w:left="682" w:firstLine="1224"/>
      <w:spacing w:before="0" w:after="0" w:line="360" w:lineRule="auto"/>
    </w:pPr>
    <w:rPr>
      <w:rFonts w:ascii="Times New Roman" w:hAnsi="Times New Roman" w:cs="Times New Roman"/>
    </w:rPr>
  </w:style>
  <w:style w:type="paragraph" w:styleId="1422" w:customStyle="1">
    <w:name w:val="列表编号 51"/>
    <w:basedOn w:val="1081"/>
    <w:next w:val="1423"/>
    <w:qFormat/>
    <w:pPr>
      <w:ind w:left="900" w:firstLine="2652"/>
      <w:spacing w:before="0" w:after="0" w:line="360" w:lineRule="auto"/>
    </w:pPr>
    <w:rPr>
      <w:rFonts w:ascii="Times New Roman" w:hAnsi="Times New Roman" w:cs="Times New Roman"/>
    </w:rPr>
  </w:style>
  <w:style w:type="paragraph" w:styleId="1423" w:customStyle="1">
    <w:name w:val="样式 标题 1 + 黑体 (符号) 宋体 三号 段前: 7.8 磅 段后: 7.8 磅 行距: 1.5 倍行距"/>
    <w:basedOn w:val="1082"/>
    <w:next w:val="1424"/>
    <w:qFormat/>
    <w:pPr>
      <w:ind w:left="432" w:firstLine="18"/>
      <w:spacing w:before="40" w:after="40" w:line="360" w:lineRule="auto"/>
      <w:outlineLvl w:val="0"/>
    </w:pPr>
  </w:style>
  <w:style w:type="paragraph" w:styleId="1424" w:customStyle="1">
    <w:name w:val="表格用"/>
    <w:basedOn w:val="1081"/>
    <w:next w:val="1381"/>
    <w:qFormat/>
    <w:pPr>
      <w:ind w:left="0" w:firstLine="1024"/>
      <w:spacing w:before="0" w:after="0" w:line="360" w:lineRule="auto"/>
    </w:pPr>
    <w:rPr>
      <w:rFonts w:ascii="Times New Roman" w:hAnsi="Times New Roman" w:cs="Times New Roman"/>
    </w:rPr>
  </w:style>
  <w:style w:type="paragraph" w:styleId="1425" w:customStyle="1">
    <w:name w:val="xl71"/>
    <w:basedOn w:val="1081"/>
    <w:next w:val="1426"/>
    <w:qFormat/>
    <w:pPr>
      <w:ind w:left="0" w:firstLine="1536"/>
      <w:spacing w:before="280" w:after="280" w:line="240" w:lineRule="auto"/>
    </w:pPr>
    <w:rPr>
      <w:rFonts w:ascii="Times New Roman" w:hAnsi="Times New Roman" w:cs="Times New Roman"/>
    </w:rPr>
  </w:style>
  <w:style w:type="paragraph" w:styleId="1426" w:customStyle="1">
    <w:name w:val="正文文本 31"/>
    <w:basedOn w:val="1081"/>
    <w:next w:val="1427"/>
    <w:qFormat/>
    <w:pPr>
      <w:ind w:left="0" w:firstLine="3584"/>
      <w:jc w:val="center"/>
      <w:spacing w:before="0" w:after="120" w:line="360" w:lineRule="auto"/>
    </w:pPr>
    <w:rPr>
      <w:rFonts w:ascii="Times New Roman" w:hAnsi="Times New Roman" w:cs="Times New Roman"/>
    </w:rPr>
  </w:style>
  <w:style w:type="paragraph" w:styleId="1427" w:customStyle="1">
    <w:name w:val="列出段落111"/>
    <w:basedOn w:val="1081"/>
    <w:next w:val="1363"/>
    <w:qFormat/>
    <w:pPr>
      <w:ind w:left="420" w:firstLine="3748"/>
      <w:spacing w:before="0" w:after="0" w:line="240" w:lineRule="auto"/>
    </w:pPr>
    <w:rPr>
      <w:rFonts w:ascii="Times New Roman" w:hAnsi="Times New Roman" w:cs="Times New Roman"/>
    </w:rPr>
  </w:style>
  <w:style w:type="paragraph" w:styleId="1428" w:customStyle="1">
    <w:name w:val="修订1"/>
    <w:qFormat/>
    <w:rPr>
      <w:rFonts w:ascii="Calibri" w:hAnsi="Calibri"/>
    </w:rPr>
  </w:style>
  <w:style w:type="paragraph" w:styleId="1429" w:customStyle="1">
    <w:name w:val="正文文本缩进 21"/>
    <w:basedOn w:val="1081"/>
    <w:next w:val="1369"/>
    <w:qFormat/>
    <w:pPr>
      <w:ind w:left="480" w:firstLine="4832"/>
      <w:spacing w:before="0" w:after="0" w:line="240" w:lineRule="auto"/>
    </w:pPr>
    <w:rPr>
      <w:rFonts w:ascii="Times New Roman" w:hAnsi="Times New Roman" w:cs="Times New Roman"/>
    </w:rPr>
  </w:style>
  <w:style w:type="paragraph" w:styleId="1430" w:customStyle="1">
    <w:name w:val="Char Char4 Char Char"/>
    <w:basedOn w:val="1081"/>
    <w:next w:val="1379"/>
    <w:qFormat/>
    <w:pPr>
      <w:ind w:left="0" w:firstLine="2560"/>
      <w:spacing w:before="0" w:after="0" w:line="240" w:lineRule="auto"/>
    </w:pPr>
    <w:rPr>
      <w:rFonts w:ascii="Times New Roman" w:hAnsi="Times New Roman" w:cs="Times New Roman"/>
    </w:rPr>
  </w:style>
  <w:style w:type="paragraph" w:styleId="1431" w:customStyle="1">
    <w:name w:val="样式"/>
    <w:next w:val="1080"/>
    <w:qFormat/>
    <w:pPr>
      <w:ind w:firstLine="3584"/>
      <w:widowControl w:val="off"/>
    </w:pPr>
    <w:rPr>
      <w:rFonts w:ascii="Calibri" w:hAnsi="Calibri"/>
    </w:rPr>
  </w:style>
  <w:style w:type="paragraph" w:styleId="1432" w:customStyle="1">
    <w:name w:val="TOC 标题1"/>
    <w:basedOn w:val="1082"/>
    <w:next w:val="1080"/>
    <w:qFormat/>
    <w:pPr>
      <w:ind w:left="0" w:firstLine="6144"/>
      <w:spacing w:before="480" w:after="0" w:line="276" w:lineRule="auto"/>
    </w:pPr>
    <w:rPr>
      <w:b/>
      <w:sz w:val="30"/>
    </w:rPr>
  </w:style>
  <w:style w:type="paragraph" w:styleId="1433" w:customStyle="1">
    <w:name w:val="纯文本3"/>
    <w:basedOn w:val="1080"/>
    <w:qFormat/>
    <w:rPr>
      <w:rFonts w:ascii="宋体" w:hAnsi="Courier New" w:cs="Times New Roman"/>
    </w:rPr>
  </w:style>
  <w:style w:type="paragraph" w:styleId="1434" w:customStyle="1">
    <w:name w:val="afont"/>
    <w:basedOn w:val="1081"/>
    <w:next w:val="1106"/>
    <w:qFormat/>
    <w:pPr>
      <w:ind w:left="0" w:firstLine="2048"/>
      <w:spacing w:before="100" w:after="100" w:line="285" w:lineRule="atLeast"/>
    </w:pPr>
    <w:rPr>
      <w:rFonts w:ascii="Times New Roman" w:hAnsi="Times New Roman" w:cs="Times New Roman"/>
    </w:rPr>
  </w:style>
  <w:style w:type="paragraph" w:styleId="1435" w:customStyle="1">
    <w:name w:val="xl85"/>
    <w:basedOn w:val="1081"/>
    <w:next w:val="1436"/>
    <w:qFormat/>
    <w:pPr>
      <w:ind w:left="0" w:firstLine="2048"/>
      <w:jc w:val="center"/>
      <w:spacing w:before="280" w:after="280" w:line="240" w:lineRule="auto"/>
    </w:pPr>
    <w:rPr>
      <w:rFonts w:ascii="Times New Roman" w:hAnsi="Times New Roman" w:cs="Times New Roman"/>
    </w:rPr>
  </w:style>
  <w:style w:type="paragraph" w:styleId="1436" w:customStyle="1">
    <w:name w:val="文章总标题"/>
    <w:basedOn w:val="1081"/>
    <w:next w:val="1437"/>
    <w:qFormat/>
    <w:pPr>
      <w:ind w:left="0" w:firstLine="7168"/>
      <w:jc w:val="center"/>
      <w:spacing w:before="566" w:after="544" w:line="566" w:lineRule="atLeast"/>
    </w:pPr>
    <w:rPr>
      <w:rFonts w:ascii="Times New Roman" w:hAnsi="Times New Roman" w:cs="Times New Roman"/>
    </w:rPr>
  </w:style>
  <w:style w:type="paragraph" w:styleId="1437" w:customStyle="1">
    <w:name w:val="样式 首行缩进:  2 字符"/>
    <w:basedOn w:val="1081"/>
    <w:next w:val="1400"/>
    <w:qFormat/>
    <w:pPr>
      <w:ind w:left="200" w:firstLine="1224"/>
      <w:spacing w:before="0" w:after="0" w:line="400" w:lineRule="exact"/>
    </w:pPr>
    <w:rPr>
      <w:rFonts w:ascii="Times New Roman" w:hAnsi="Times New Roman" w:cs="Times New Roman"/>
    </w:rPr>
  </w:style>
  <w:style w:type="paragraph" w:styleId="1438" w:customStyle="1">
    <w:name w:val="二级条标题"/>
    <w:basedOn w:val="1081"/>
    <w:next w:val="1080"/>
    <w:qFormat/>
    <w:pPr>
      <w:ind w:left="0" w:firstLine="8"/>
      <w:spacing w:before="0" w:after="0" w:line="240" w:lineRule="auto"/>
      <w:outlineLvl w:val="3"/>
    </w:pPr>
    <w:rPr>
      <w:rFonts w:ascii="Times New Roman" w:hAnsi="Times New Roman" w:cs="Times New Roman"/>
    </w:rPr>
  </w:style>
  <w:style w:type="paragraph" w:styleId="1439" w:customStyle="1">
    <w:name w:val="Plain Text*"/>
    <w:basedOn w:val="1080"/>
    <w:qFormat/>
    <w:pPr>
      <w:ind w:left="0"/>
      <w:jc w:val="left"/>
    </w:pPr>
    <w:rPr>
      <w:rFonts w:ascii="宋体" w:hAnsi="宋体" w:eastAsia="楷体_GB2312" w:cs="Courier New"/>
      <w:sz w:val="26"/>
      <w:lang w:val="zh-CN"/>
    </w:rPr>
  </w:style>
  <w:style w:type="paragraph" w:styleId="1440" w:customStyle="1">
    <w:name w:val="样式 加粗 居中2"/>
    <w:basedOn w:val="1081"/>
    <w:next w:val="1292"/>
    <w:qFormat/>
    <w:pPr>
      <w:ind w:left="0" w:firstLine="2560"/>
      <w:jc w:val="center"/>
      <w:spacing w:before="0" w:after="0" w:line="360" w:lineRule="auto"/>
    </w:pPr>
    <w:rPr>
      <w:rFonts w:ascii="Times New Roman" w:hAnsi="Times New Roman" w:cs="Times New Roman"/>
    </w:rPr>
  </w:style>
  <w:style w:type="paragraph" w:styleId="1441" w:customStyle="1">
    <w:name w:val="标准文本"/>
    <w:basedOn w:val="1081"/>
    <w:next w:val="1395"/>
    <w:qFormat/>
    <w:pPr>
      <w:ind w:left="480" w:firstLine="2784"/>
      <w:spacing w:before="0" w:after="0" w:line="360" w:lineRule="auto"/>
    </w:pPr>
    <w:rPr>
      <w:rFonts w:ascii="Times New Roman" w:hAnsi="Times New Roman" w:cs="Times New Roman"/>
    </w:rPr>
  </w:style>
  <w:style w:type="paragraph" w:styleId="1442" w:customStyle="1">
    <w:name w:val="font5"/>
    <w:basedOn w:val="1081"/>
    <w:next w:val="1443"/>
    <w:qFormat/>
    <w:pPr>
      <w:ind w:left="0" w:firstLine="5120"/>
      <w:spacing w:before="280" w:after="280" w:line="240" w:lineRule="auto"/>
    </w:pPr>
    <w:rPr>
      <w:rFonts w:ascii="Times New Roman" w:hAnsi="Times New Roman" w:cs="Times New Roman"/>
    </w:rPr>
  </w:style>
  <w:style w:type="paragraph" w:styleId="1443" w:customStyle="1">
    <w:name w:val="索引标题1"/>
    <w:basedOn w:val="1081"/>
    <w:next w:val="1322"/>
    <w:qFormat/>
    <w:pPr>
      <w:ind w:left="0" w:firstLine="4608"/>
      <w:jc w:val="center"/>
      <w:spacing w:before="0" w:after="0" w:line="360" w:lineRule="auto"/>
    </w:pPr>
    <w:rPr>
      <w:rFonts w:ascii="Times New Roman" w:hAnsi="Times New Roman" w:cs="Times New Roman"/>
    </w:rPr>
  </w:style>
  <w:style w:type="paragraph" w:styleId="1444" w:customStyle="1">
    <w:name w:val="Char Char Char Char Char Char1 Char Char Char1 Char Char Char Char Char Char Char Char Char Char Char Char Char Char Char Char"/>
    <w:basedOn w:val="1081"/>
    <w:next w:val="1445"/>
    <w:qFormat/>
    <w:pPr>
      <w:ind w:left="0" w:firstLine="2560"/>
      <w:spacing w:before="0" w:after="0" w:line="240" w:lineRule="auto"/>
    </w:pPr>
    <w:rPr>
      <w:rFonts w:ascii="Times New Roman" w:hAnsi="Times New Roman" w:cs="Times New Roman"/>
    </w:rPr>
  </w:style>
  <w:style w:type="paragraph" w:styleId="1445" w:customStyle="1">
    <w:name w:val="1正文"/>
    <w:basedOn w:val="1081"/>
    <w:next w:val="1446"/>
    <w:qFormat/>
    <w:pPr>
      <w:ind w:left="480" w:firstLine="2784"/>
      <w:spacing w:before="0" w:after="0" w:line="300" w:lineRule="auto"/>
    </w:pPr>
    <w:rPr>
      <w:rFonts w:ascii="Times New Roman" w:hAnsi="Times New Roman" w:cs="Times New Roman"/>
    </w:rPr>
  </w:style>
  <w:style w:type="paragraph" w:styleId="1446" w:customStyle="1">
    <w:name w:val="目录2"/>
    <w:basedOn w:val="1081"/>
    <w:next w:val="1080"/>
    <w:qFormat/>
    <w:pPr>
      <w:ind w:left="209" w:firstLine="5329"/>
      <w:spacing w:before="0" w:after="0" w:line="317" w:lineRule="atLeast"/>
    </w:pPr>
    <w:rPr>
      <w:rFonts w:ascii="Times New Roman" w:hAnsi="Times New Roman" w:cs="Times New Roman"/>
    </w:rPr>
  </w:style>
  <w:style w:type="paragraph" w:styleId="1447" w:customStyle="1">
    <w:name w:val="图表目录1"/>
    <w:basedOn w:val="1081"/>
    <w:next w:val="1080"/>
    <w:qFormat/>
    <w:pPr>
      <w:ind w:left="200" w:firstLine="2616"/>
      <w:jc w:val="center"/>
      <w:spacing w:before="0" w:after="0" w:line="360" w:lineRule="auto"/>
    </w:pPr>
    <w:rPr>
      <w:rFonts w:ascii="Times New Roman" w:hAnsi="Times New Roman" w:cs="Times New Roman"/>
    </w:rPr>
  </w:style>
  <w:style w:type="paragraph" w:styleId="1448" w:customStyle="1">
    <w:name w:val="xl63"/>
    <w:basedOn w:val="1081"/>
    <w:next w:val="1398"/>
    <w:qFormat/>
    <w:pPr>
      <w:ind w:left="0" w:firstLine="5120"/>
      <w:spacing w:before="280" w:after="280" w:line="240" w:lineRule="auto"/>
    </w:pPr>
    <w:rPr>
      <w:rFonts w:ascii="Times New Roman" w:hAnsi="Times New Roman" w:cs="Times New Roman"/>
    </w:rPr>
  </w:style>
  <w:style w:type="paragraph" w:styleId="1449">
    <w:name w:val="List Paragraph"/>
    <w:basedOn w:val="1080"/>
    <w:next w:val="1356"/>
    <w:qFormat/>
    <w:pPr>
      <w:ind w:left="420" w:firstLine="3748"/>
    </w:pPr>
    <w:rPr>
      <w:rFonts w:ascii="Times New Roman" w:hAnsi="Times New Roman" w:cs="Times New Roman"/>
    </w:rPr>
  </w:style>
  <w:style w:type="paragraph" w:styleId="1450" w:customStyle="1">
    <w:name w:val="xl73"/>
    <w:basedOn w:val="1081"/>
    <w:next w:val="1451"/>
    <w:qFormat/>
    <w:pPr>
      <w:ind w:left="0" w:firstLine="3584"/>
      <w:spacing w:before="280" w:after="280" w:line="240" w:lineRule="auto"/>
    </w:pPr>
    <w:rPr>
      <w:rFonts w:ascii="Times New Roman" w:hAnsi="Times New Roman" w:cs="Times New Roman"/>
    </w:rPr>
  </w:style>
  <w:style w:type="paragraph" w:styleId="1451" w:customStyle="1">
    <w:name w:val="xl80"/>
    <w:basedOn w:val="1081"/>
    <w:next w:val="1452"/>
    <w:qFormat/>
    <w:pPr>
      <w:ind w:left="0" w:firstLine="3584"/>
      <w:jc w:val="center"/>
      <w:spacing w:before="280" w:after="280" w:line="240" w:lineRule="auto"/>
    </w:pPr>
    <w:rPr>
      <w:rFonts w:ascii="Times New Roman" w:hAnsi="Times New Roman" w:cs="Times New Roman"/>
    </w:rPr>
  </w:style>
  <w:style w:type="paragraph" w:styleId="1452" w:customStyle="1">
    <w:name w:val="样式2"/>
    <w:basedOn w:val="1086"/>
    <w:next w:val="1453"/>
    <w:qFormat/>
    <w:pPr>
      <w:ind w:left="1134" w:firstLine="18"/>
      <w:spacing w:before="0" w:after="0" w:line="360" w:lineRule="auto"/>
      <w:outlineLvl w:val="4"/>
    </w:pPr>
  </w:style>
  <w:style w:type="paragraph" w:styleId="1453" w:customStyle="1">
    <w:name w:val="日期1"/>
    <w:basedOn w:val="1081"/>
    <w:next w:val="1080"/>
    <w:qFormat/>
    <w:pPr>
      <w:ind w:left="100" w:firstLine="6144"/>
      <w:spacing w:before="0" w:after="0" w:line="240" w:lineRule="auto"/>
    </w:pPr>
    <w:rPr>
      <w:rFonts w:ascii="Times New Roman" w:hAnsi="Times New Roman" w:cs="Times New Roman"/>
    </w:rPr>
  </w:style>
  <w:style w:type="paragraph" w:styleId="1454" w:customStyle="1">
    <w:name w:val="图1"/>
    <w:basedOn w:val="1081"/>
    <w:next w:val="1080"/>
    <w:qFormat/>
    <w:pPr>
      <w:ind w:left="1105" w:firstLine="2580"/>
      <w:jc w:val="center"/>
      <w:spacing w:before="0" w:after="0" w:line="360" w:lineRule="auto"/>
    </w:pPr>
    <w:rPr>
      <w:rFonts w:ascii="Times New Roman" w:hAnsi="Times New Roman" w:cs="Times New Roman"/>
    </w:rPr>
  </w:style>
  <w:style w:type="paragraph" w:styleId="1455" w:customStyle="1">
    <w:name w:val="Char Char Char Char Char Char1 Char Char Char1 Char Char Char Char Char Char Char Char Char Char Char Char"/>
    <w:basedOn w:val="1081"/>
    <w:next w:val="1435"/>
    <w:qFormat/>
    <w:pPr>
      <w:ind w:left="0" w:firstLine="2560"/>
      <w:spacing w:before="0" w:after="0" w:line="240" w:lineRule="auto"/>
    </w:pPr>
    <w:rPr>
      <w:rFonts w:ascii="Times New Roman" w:hAnsi="Times New Roman" w:cs="Times New Roman"/>
    </w:rPr>
  </w:style>
  <w:style w:type="paragraph" w:styleId="1456" w:customStyle="1">
    <w:name w:val="Char Char Char Char Char Char Char"/>
    <w:basedOn w:val="1081"/>
    <w:next w:val="1341"/>
    <w:qFormat/>
    <w:pPr>
      <w:ind w:left="200" w:firstLine="4808"/>
      <w:spacing w:before="0" w:after="0" w:line="360" w:lineRule="auto"/>
    </w:pPr>
    <w:rPr>
      <w:rFonts w:ascii="Times New Roman" w:hAnsi="Times New Roman" w:cs="Times New Roman"/>
    </w:rPr>
  </w:style>
  <w:style w:type="paragraph" w:styleId="1457" w:customStyle="1">
    <w:name w:val="Char Char Char Char Char Char Char Char Char Char Char Char Char Char Char"/>
    <w:basedOn w:val="1081"/>
    <w:next w:val="1432"/>
    <w:qFormat/>
    <w:pPr>
      <w:ind w:left="0" w:firstLine="3584"/>
      <w:jc w:val="center"/>
      <w:spacing w:before="0" w:after="0" w:line="400" w:lineRule="exact"/>
    </w:pPr>
    <w:rPr>
      <w:rFonts w:ascii="Times New Roman" w:hAnsi="Times New Roman" w:cs="Times New Roman"/>
    </w:rPr>
  </w:style>
  <w:style w:type="paragraph" w:styleId="1458">
    <w:name w:val="Intense Quote"/>
    <w:next w:val="1080"/>
    <w:link w:val="1523"/>
    <w:qFormat/>
    <w:pPr>
      <w:ind w:left="3766" w:right="950"/>
      <w:jc w:val="center"/>
      <w:spacing w:before="360" w:after="360"/>
    </w:pPr>
    <w:rPr>
      <w:rFonts w:ascii="Calibri" w:hAnsi="Calibri"/>
      <w:i/>
    </w:rPr>
  </w:style>
  <w:style w:type="paragraph" w:styleId="1459" w:customStyle="1">
    <w:name w:val="索引 51"/>
    <w:basedOn w:val="1081"/>
    <w:next w:val="1080"/>
    <w:qFormat/>
    <w:pPr>
      <w:ind w:left="800" w:firstLine="2560"/>
      <w:jc w:val="center"/>
      <w:spacing w:before="0" w:after="0" w:line="360" w:lineRule="auto"/>
    </w:pPr>
    <w:rPr>
      <w:rFonts w:ascii="Times New Roman" w:hAnsi="Times New Roman" w:cs="Times New Roman"/>
    </w:rPr>
  </w:style>
  <w:style w:type="paragraph" w:styleId="1460" w:customStyle="1">
    <w:name w:val="图表"/>
    <w:basedOn w:val="1081"/>
    <w:next w:val="1461"/>
    <w:qFormat/>
    <w:pPr>
      <w:ind w:left="0" w:firstLine="2048"/>
      <w:jc w:val="center"/>
      <w:spacing w:before="0" w:after="0" w:line="240" w:lineRule="auto"/>
    </w:pPr>
    <w:rPr>
      <w:rFonts w:ascii="Times New Roman" w:hAnsi="Times New Roman" w:cs="Times New Roman"/>
    </w:rPr>
  </w:style>
  <w:style w:type="paragraph" w:styleId="1461" w:customStyle="1">
    <w:name w:val="reader-word-layer"/>
    <w:basedOn w:val="1081"/>
    <w:next w:val="1462"/>
    <w:qFormat/>
    <w:pPr>
      <w:ind w:left="0" w:firstLine="1024"/>
      <w:spacing w:before="280" w:after="280" w:line="240" w:lineRule="auto"/>
    </w:pPr>
    <w:rPr>
      <w:rFonts w:ascii="Times New Roman" w:hAnsi="Times New Roman" w:cs="Times New Roman"/>
    </w:rPr>
  </w:style>
  <w:style w:type="paragraph" w:styleId="1462" w:customStyle="1">
    <w:name w:val="样式 加粗 居中1"/>
    <w:next w:val="1301"/>
    <w:qFormat/>
    <w:pPr>
      <w:ind w:firstLine="2560"/>
      <w:jc w:val="center"/>
    </w:pPr>
    <w:rPr>
      <w:rFonts w:ascii="Calibri" w:hAnsi="Calibri"/>
    </w:rPr>
  </w:style>
  <w:style w:type="paragraph" w:styleId="1463" w:customStyle="1">
    <w:name w:val="修订2"/>
    <w:qFormat/>
    <w:rPr>
      <w:rFonts w:ascii="Calibri" w:hAnsi="Calibri"/>
    </w:rPr>
  </w:style>
  <w:style w:type="paragraph" w:styleId="1464" w:customStyle="1">
    <w:name w:val="Body"/>
    <w:next w:val="1396"/>
    <w:qFormat/>
    <w:pPr>
      <w:ind w:left="567" w:right="2835" w:firstLine="3584"/>
      <w:spacing w:after="60"/>
    </w:pPr>
    <w:rPr>
      <w:rFonts w:ascii="Calibri" w:hAnsi="Calibri"/>
    </w:rPr>
  </w:style>
  <w:style w:type="paragraph" w:styleId="1465" w:customStyle="1">
    <w:name w:val="font6"/>
    <w:basedOn w:val="1081"/>
    <w:next w:val="1466"/>
    <w:qFormat/>
    <w:pPr>
      <w:ind w:left="0" w:firstLine="5120"/>
      <w:spacing w:before="280" w:after="280" w:line="240" w:lineRule="auto"/>
    </w:pPr>
    <w:rPr>
      <w:rFonts w:ascii="Times New Roman" w:hAnsi="Times New Roman" w:cs="Times New Roman"/>
    </w:rPr>
  </w:style>
  <w:style w:type="paragraph" w:styleId="1466" w:customStyle="1">
    <w:name w:val="正文首行缩进 21"/>
    <w:basedOn w:val="1093"/>
    <w:next w:val="1464"/>
    <w:qFormat/>
    <w:pPr>
      <w:ind w:left="200" w:firstLine="3784"/>
      <w:jc w:val="center"/>
      <w:spacing w:after="120" w:line="360" w:lineRule="auto"/>
    </w:pPr>
    <w:rPr>
      <w:rFonts w:ascii="Calibri" w:hAnsi="Calibri"/>
    </w:rPr>
  </w:style>
  <w:style w:type="paragraph" w:styleId="1467" w:customStyle="1">
    <w:name w:val="Char Char"/>
    <w:next w:val="1460"/>
    <w:qFormat/>
    <w:pPr>
      <w:ind w:firstLine="14"/>
      <w:spacing w:line="360" w:lineRule="auto"/>
      <w:shd w:val="clear" w:color="000000" w:fill="000080"/>
    </w:pPr>
    <w:rPr>
      <w:rFonts w:ascii="Calibri" w:hAnsi="Calibri"/>
    </w:rPr>
  </w:style>
  <w:style w:type="paragraph" w:styleId="1468" w:customStyle="1">
    <w:name w:val="正文_0_0"/>
    <w:next w:val="1300"/>
    <w:qFormat/>
    <w:pPr>
      <w:ind w:firstLine="3584"/>
      <w:jc w:val="both"/>
      <w:widowControl w:val="off"/>
    </w:pPr>
    <w:rPr>
      <w:rFonts w:ascii="Calibri" w:hAnsi="Calibri"/>
    </w:rPr>
  </w:style>
  <w:style w:type="paragraph" w:styleId="1469" w:customStyle="1">
    <w:name w:val="font7"/>
    <w:basedOn w:val="1081"/>
    <w:next w:val="1470"/>
    <w:qFormat/>
    <w:pPr>
      <w:ind w:left="0" w:firstLine="3584"/>
      <w:spacing w:before="280" w:after="280" w:line="240" w:lineRule="auto"/>
    </w:pPr>
    <w:rPr>
      <w:rFonts w:ascii="Times New Roman" w:hAnsi="Times New Roman" w:cs="Times New Roman"/>
    </w:rPr>
  </w:style>
  <w:style w:type="paragraph" w:styleId="1470" w:customStyle="1">
    <w:name w:val="Char Char Char Char Char Char1 Char Char Char Char Char Char1 Char Char Char1"/>
    <w:basedOn w:val="1081"/>
    <w:next w:val="1471"/>
    <w:qFormat/>
    <w:pPr>
      <w:ind w:left="0" w:firstLine="2560"/>
      <w:spacing w:before="0" w:after="0" w:line="240" w:lineRule="auto"/>
    </w:pPr>
    <w:rPr>
      <w:rFonts w:ascii="Times New Roman" w:hAnsi="Times New Roman" w:cs="Times New Roman"/>
    </w:rPr>
  </w:style>
  <w:style w:type="paragraph" w:styleId="1471" w:customStyle="1">
    <w:name w:val="xl64"/>
    <w:basedOn w:val="1081"/>
    <w:next w:val="1438"/>
    <w:qFormat/>
    <w:pPr>
      <w:ind w:left="0" w:firstLine="3584"/>
      <w:spacing w:before="280" w:after="280" w:line="240" w:lineRule="auto"/>
    </w:pPr>
    <w:rPr>
      <w:rFonts w:ascii="Times New Roman" w:hAnsi="Times New Roman" w:cs="Times New Roman"/>
    </w:rPr>
  </w:style>
  <w:style w:type="paragraph" w:styleId="1472" w:customStyle="1">
    <w:name w:val="style16"/>
    <w:basedOn w:val="1081"/>
    <w:next w:val="1465"/>
    <w:qFormat/>
    <w:pPr>
      <w:ind w:left="0" w:firstLine="2048"/>
      <w:spacing w:before="280" w:after="280" w:line="240" w:lineRule="auto"/>
    </w:pPr>
    <w:rPr>
      <w:rFonts w:ascii="Times New Roman" w:hAnsi="Times New Roman" w:cs="Times New Roman"/>
    </w:rPr>
  </w:style>
  <w:style w:type="paragraph" w:styleId="1473" w:customStyle="1">
    <w:name w:val="索引 11"/>
    <w:basedOn w:val="1081"/>
    <w:next w:val="1080"/>
    <w:qFormat/>
    <w:pPr>
      <w:ind w:left="0" w:firstLine="3584"/>
      <w:spacing w:before="0" w:after="0" w:line="240" w:lineRule="auto"/>
    </w:pPr>
    <w:rPr>
      <w:rFonts w:ascii="Times New Roman" w:hAnsi="Times New Roman" w:cs="Times New Roman"/>
    </w:rPr>
  </w:style>
  <w:style w:type="paragraph" w:styleId="1474" w:customStyle="1">
    <w:name w:val="H 3"/>
    <w:basedOn w:val="1084"/>
    <w:next w:val="1475"/>
    <w:qFormat/>
    <w:pPr>
      <w:ind w:left="1429" w:firstLine="18"/>
      <w:spacing w:before="0" w:after="0" w:line="360" w:lineRule="auto"/>
      <w:outlineLvl w:val="2"/>
    </w:pPr>
  </w:style>
  <w:style w:type="paragraph" w:styleId="1475" w:customStyle="1">
    <w:name w:val="xl83"/>
    <w:basedOn w:val="1081"/>
    <w:next w:val="1456"/>
    <w:qFormat/>
    <w:pPr>
      <w:ind w:left="0" w:firstLine="5120"/>
      <w:spacing w:before="280" w:after="280" w:line="240" w:lineRule="auto"/>
    </w:pPr>
    <w:rPr>
      <w:rFonts w:ascii="Times New Roman" w:hAnsi="Times New Roman" w:cs="Times New Roman"/>
    </w:rPr>
  </w:style>
  <w:style w:type="paragraph" w:styleId="1476" w:customStyle="1">
    <w:name w:val="表格文字（居中）"/>
    <w:basedOn w:val="1081"/>
    <w:next w:val="1472"/>
    <w:qFormat/>
    <w:pPr>
      <w:ind w:left="0" w:firstLine="2560"/>
      <w:jc w:val="center"/>
      <w:spacing w:before="0" w:after="0" w:line="360" w:lineRule="auto"/>
    </w:pPr>
    <w:rPr>
      <w:rFonts w:ascii="Times New Roman" w:hAnsi="Times New Roman" w:cs="Times New Roman"/>
    </w:rPr>
  </w:style>
  <w:style w:type="paragraph" w:styleId="1477" w:customStyle="1">
    <w:name w:val="正文首行缩进两字符"/>
    <w:basedOn w:val="1081"/>
    <w:next w:val="1459"/>
    <w:qFormat/>
    <w:pPr>
      <w:ind w:left="200" w:firstLine="3784"/>
      <w:spacing w:before="0" w:after="0" w:line="360" w:lineRule="auto"/>
    </w:pPr>
    <w:rPr>
      <w:rFonts w:ascii="Times New Roman" w:hAnsi="Times New Roman" w:cs="Times New Roman"/>
    </w:rPr>
  </w:style>
  <w:style w:type="paragraph" w:styleId="1478" w:customStyle="1">
    <w:name w:val="1"/>
    <w:basedOn w:val="1081"/>
    <w:next w:val="1114"/>
    <w:qFormat/>
    <w:pPr>
      <w:ind w:left="0" w:firstLine="2048"/>
      <w:spacing w:before="0" w:after="0" w:line="240" w:lineRule="auto"/>
    </w:pPr>
    <w:rPr>
      <w:rFonts w:ascii="Times New Roman" w:hAnsi="Times New Roman" w:cs="Times New Roman"/>
    </w:rPr>
  </w:style>
  <w:style w:type="paragraph" w:styleId="1479" w:customStyle="1">
    <w:name w:val="_Style 398"/>
    <w:basedOn w:val="1081"/>
    <w:next w:val="108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80" w:customStyle="1">
    <w:name w:val="Table Paragraph"/>
    <w:basedOn w:val="1080"/>
    <w:uiPriority w:val="1"/>
    <w:qFormat/>
    <w:rPr>
      <w:rFonts w:ascii="宋体" w:hAnsi="宋体"/>
      <w:lang w:val="zh-CN" w:bidi="zh-CN"/>
    </w:rPr>
  </w:style>
  <w:style w:type="paragraph" w:styleId="1481" w:customStyle="1">
    <w:name w:val="_Style 400"/>
    <w:qFormat/>
    <w:rPr>
      <w:rFonts w:ascii="Calibri" w:hAnsi="Calibri"/>
    </w:rPr>
  </w:style>
  <w:style w:type="paragraph" w:styleId="1482" w:customStyle="1">
    <w:name w:val="Style1"/>
    <w:basedOn w:val="1080"/>
    <w:qFormat/>
    <w:pPr>
      <w:ind w:left="0"/>
      <w:tabs>
        <w:tab w:val="left" w:pos="-720" w:leader="none"/>
      </w:tabs>
    </w:pPr>
    <w:rPr>
      <w:rFonts w:ascii="Times New Roman" w:hAnsi="Times New Roman" w:cs="Times New Roman"/>
      <w:spacing w:val="-3"/>
      <w:sz w:val="24"/>
      <w:szCs w:val="24"/>
      <w:lang w:val="en-AU" w:eastAsia="en-US"/>
    </w:rPr>
  </w:style>
  <w:style w:type="paragraph" w:styleId="1483" w:customStyle="1">
    <w:name w:val="msolistparagraph"/>
    <w:basedOn w:val="1081"/>
    <w:next w:val="1348"/>
    <w:qFormat/>
    <w:pPr>
      <w:ind w:left="420" w:firstLine="3748"/>
      <w:spacing w:before="0" w:after="0" w:line="240" w:lineRule="auto"/>
    </w:pPr>
    <w:rPr>
      <w:rFonts w:ascii="Times New Roman" w:hAnsi="Times New Roman" w:cs="Times New Roman"/>
    </w:rPr>
  </w:style>
  <w:style w:type="paragraph" w:styleId="1484" w:customStyle="1">
    <w:name w:val="Char1 Char Char Char"/>
    <w:basedOn w:val="1081"/>
    <w:next w:val="1485"/>
    <w:qFormat/>
    <w:pPr>
      <w:ind w:left="0" w:firstLine="2560"/>
      <w:spacing w:before="0" w:after="0" w:line="240" w:lineRule="auto"/>
    </w:pPr>
    <w:rPr>
      <w:rFonts w:ascii="Times New Roman" w:hAnsi="Times New Roman" w:cs="Times New Roman"/>
    </w:rPr>
  </w:style>
  <w:style w:type="paragraph" w:styleId="1485" w:customStyle="1">
    <w:name w:val="xl24"/>
    <w:basedOn w:val="1081"/>
    <w:next w:val="1430"/>
    <w:qFormat/>
    <w:pPr>
      <w:ind w:left="0" w:firstLine="20"/>
      <w:jc w:val="center"/>
      <w:spacing w:before="280" w:after="280" w:line="240" w:lineRule="auto"/>
      <w:shd w:val="clear" w:color="000000" w:fill="ffffff"/>
    </w:pPr>
    <w:rPr>
      <w:rFonts w:ascii="Times New Roman" w:hAnsi="Times New Roman" w:cs="Times New Roman"/>
    </w:rPr>
  </w:style>
  <w:style w:type="paragraph" w:styleId="1486" w:customStyle="1">
    <w:name w:val="表格文字"/>
    <w:next w:val="1444"/>
    <w:qFormat/>
    <w:pPr>
      <w:ind w:firstLine="3584"/>
    </w:pPr>
    <w:rPr>
      <w:rFonts w:ascii="Calibri" w:hAnsi="Calibri"/>
    </w:rPr>
  </w:style>
  <w:style w:type="paragraph" w:styleId="1487" w:customStyle="1">
    <w:name w:val="xl72"/>
    <w:basedOn w:val="1081"/>
    <w:next w:val="1343"/>
    <w:qFormat/>
    <w:pPr>
      <w:ind w:left="0" w:firstLine="3584"/>
      <w:spacing w:before="280" w:after="280" w:line="240" w:lineRule="auto"/>
    </w:pPr>
    <w:rPr>
      <w:rFonts w:ascii="Times New Roman" w:hAnsi="Times New Roman" w:cs="Times New Roman"/>
    </w:rPr>
  </w:style>
  <w:style w:type="paragraph" w:styleId="1488" w:customStyle="1">
    <w:name w:val="插图"/>
    <w:next w:val="1080"/>
    <w:qFormat/>
    <w:pPr>
      <w:ind w:firstLine="4608"/>
      <w:jc w:val="center"/>
    </w:pPr>
    <w:rPr>
      <w:rFonts w:ascii="Calibri" w:hAnsi="Calibri"/>
    </w:rPr>
  </w:style>
  <w:style w:type="paragraph" w:styleId="1489" w:customStyle="1">
    <w:name w:val="列出段落3"/>
    <w:basedOn w:val="1081"/>
    <w:next w:val="1383"/>
    <w:qFormat/>
    <w:pPr>
      <w:ind w:left="420" w:firstLine="3748"/>
      <w:spacing w:before="0" w:after="0" w:line="240" w:lineRule="auto"/>
    </w:pPr>
    <w:rPr>
      <w:rFonts w:ascii="Times New Roman" w:hAnsi="Times New Roman" w:cs="Times New Roman"/>
    </w:rPr>
  </w:style>
  <w:style w:type="paragraph" w:styleId="1490" w:customStyle="1">
    <w:name w:val="目录标题"/>
    <w:basedOn w:val="1081"/>
    <w:next w:val="1080"/>
    <w:qFormat/>
    <w:pPr>
      <w:ind w:left="419" w:firstLine="7331"/>
      <w:jc w:val="center"/>
      <w:spacing w:before="566" w:after="544" w:line="566" w:lineRule="atLeast"/>
    </w:pPr>
    <w:rPr>
      <w:rFonts w:ascii="Times New Roman" w:hAnsi="Times New Roman" w:cs="Times New Roman"/>
    </w:rPr>
  </w:style>
  <w:style w:type="paragraph" w:styleId="1491" w:customStyle="1">
    <w:name w:val="默认段落字体 Para Char Char Char Char Char Char Char Char Char1 Char Char Char Char"/>
    <w:basedOn w:val="1081"/>
    <w:next w:val="1386"/>
    <w:qFormat/>
    <w:pPr>
      <w:ind w:left="0" w:firstLine="2560"/>
      <w:spacing w:before="0" w:after="0" w:line="240" w:lineRule="auto"/>
    </w:pPr>
    <w:rPr>
      <w:rFonts w:ascii="Times New Roman" w:hAnsi="Times New Roman" w:cs="Times New Roman"/>
    </w:rPr>
  </w:style>
  <w:style w:type="paragraph" w:styleId="1492" w:customStyle="1">
    <w:name w:val="WPSOffice手动目录 2"/>
    <w:qFormat/>
    <w:pPr>
      <w:ind w:left="200"/>
    </w:pPr>
  </w:style>
  <w:style w:type="paragraph" w:styleId="1493" w:customStyle="1">
    <w:name w:val="表内文字"/>
    <w:basedOn w:val="1081"/>
    <w:next w:val="1122"/>
    <w:qFormat/>
    <w:pPr>
      <w:ind w:left="0" w:firstLine="7680"/>
      <w:jc w:val="center"/>
      <w:spacing w:before="50" w:after="50" w:line="240" w:lineRule="auto"/>
    </w:pPr>
    <w:rPr>
      <w:rFonts w:ascii="Times New Roman" w:hAnsi="Times New Roman" w:cs="Times New Roman"/>
    </w:rPr>
  </w:style>
  <w:style w:type="paragraph" w:styleId="1494" w:customStyle="1">
    <w:name w:val="xl66"/>
    <w:basedOn w:val="1081"/>
    <w:next w:val="1476"/>
    <w:qFormat/>
    <w:pPr>
      <w:ind w:left="0" w:firstLine="3584"/>
      <w:spacing w:before="280" w:after="280" w:line="240" w:lineRule="auto"/>
    </w:pPr>
    <w:rPr>
      <w:rFonts w:ascii="Times New Roman" w:hAnsi="Times New Roman" w:cs="Times New Roman"/>
    </w:rPr>
  </w:style>
  <w:style w:type="paragraph" w:styleId="1495" w:customStyle="1">
    <w:name w:val="*正文"/>
    <w:basedOn w:val="1080"/>
    <w:qFormat/>
    <w:pPr>
      <w:ind w:left="0" w:firstLine="200"/>
      <w:spacing w:line="360" w:lineRule="auto"/>
    </w:pPr>
    <w:rPr>
      <w:rFonts w:ascii="仿宋_GB2312" w:hAnsi="Times New Roman" w:eastAsia="仿宋_GB2312" w:cs="Times New Roman"/>
      <w:sz w:val="24"/>
      <w:szCs w:val="28"/>
    </w:rPr>
  </w:style>
  <w:style w:type="paragraph" w:styleId="1496" w:customStyle="1">
    <w:name w:val="0"/>
    <w:basedOn w:val="1081"/>
    <w:next w:val="1389"/>
    <w:qFormat/>
    <w:pPr>
      <w:ind w:left="0" w:firstLine="2815"/>
      <w:spacing w:before="0" w:after="0" w:line="360" w:lineRule="auto"/>
    </w:pPr>
    <w:rPr>
      <w:rFonts w:ascii="Times New Roman" w:hAnsi="Times New Roman" w:cs="Times New Roman"/>
    </w:rPr>
  </w:style>
  <w:style w:type="table" w:styleId="1497" w:customStyle="1">
    <w:name w:val="网格型1"/>
    <w:basedOn w:val="109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98" w:customStyle="1">
    <w:name w:val="font61"/>
    <w:qFormat/>
    <w:rPr>
      <w:rFonts w:hint="default" w:ascii="Times New Roman" w:hAnsi="Times New Roman" w:cs="Times New Roman"/>
      <w:b/>
      <w:bCs/>
      <w:color w:val="000000"/>
      <w:sz w:val="24"/>
      <w:szCs w:val="24"/>
      <w:u w:val="none"/>
    </w:rPr>
  </w:style>
  <w:style w:type="table" w:styleId="1499" w:customStyle="1">
    <w:name w:val="网格型2"/>
    <w:next w:val="11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500" w:customStyle="1">
    <w:name w:val="正文文本缩进 字符"/>
    <w:basedOn w:val="1090"/>
    <w:link w:val="1093"/>
    <w:uiPriority w:val="99"/>
    <w:rPr>
      <w:rFonts w:ascii="Times New Roman" w:hAnsi="Times New Roman" w:cs="Times New Roman"/>
    </w:rPr>
  </w:style>
  <w:style w:type="paragraph" w:styleId="1501" w:customStyle="1">
    <w:name w:val="msonormal"/>
    <w:basedOn w:val="1080"/>
    <w:qFormat/>
    <w:pPr>
      <w:ind w:left="0"/>
      <w:jc w:val="left"/>
      <w:spacing w:before="100" w:beforeAutospacing="1" w:after="100" w:afterAutospacing="1"/>
    </w:pPr>
    <w:rPr>
      <w:rFonts w:ascii="宋体" w:hAnsi="宋体"/>
      <w:sz w:val="24"/>
      <w:szCs w:val="24"/>
    </w:rPr>
  </w:style>
  <w:style w:type="character" w:styleId="1502" w:customStyle="1">
    <w:name w:val="标题 1 字符"/>
    <w:basedOn w:val="1090"/>
    <w:link w:val="1081"/>
    <w:rPr>
      <w:rFonts w:ascii="Calibri" w:hAnsi="Calibri"/>
    </w:rPr>
  </w:style>
  <w:style w:type="character" w:styleId="1503" w:customStyle="1">
    <w:name w:val="标题 2 字符"/>
    <w:basedOn w:val="1090"/>
    <w:link w:val="1082"/>
    <w:rPr>
      <w:rFonts w:ascii="Times New Roman" w:hAnsi="Times New Roman" w:cs="Times New Roman"/>
    </w:rPr>
  </w:style>
  <w:style w:type="character" w:styleId="1504" w:customStyle="1">
    <w:name w:val="标题 3 字符"/>
    <w:basedOn w:val="1090"/>
    <w:link w:val="1083"/>
    <w:rPr>
      <w:rFonts w:ascii="Times New Roman" w:hAnsi="Times New Roman" w:cs="Times New Roman"/>
    </w:rPr>
  </w:style>
  <w:style w:type="character" w:styleId="1505" w:customStyle="1">
    <w:name w:val="标题 4 字符"/>
    <w:basedOn w:val="1090"/>
    <w:link w:val="1084"/>
    <w:rPr>
      <w:rFonts w:ascii="Times New Roman" w:hAnsi="Times New Roman" w:cs="Times New Roman"/>
    </w:rPr>
  </w:style>
  <w:style w:type="character" w:styleId="1506" w:customStyle="1">
    <w:name w:val="标题 5 字符"/>
    <w:basedOn w:val="1090"/>
    <w:link w:val="1085"/>
    <w:rPr>
      <w:rFonts w:ascii="Times New Roman" w:hAnsi="Times New Roman" w:cs="Times New Roman"/>
    </w:rPr>
  </w:style>
  <w:style w:type="character" w:styleId="1507" w:customStyle="1">
    <w:name w:val="标题 6 字符"/>
    <w:basedOn w:val="1090"/>
    <w:link w:val="1086"/>
    <w:rPr>
      <w:rFonts w:ascii="Times New Roman" w:hAnsi="Times New Roman" w:cs="Times New Roman"/>
    </w:rPr>
  </w:style>
  <w:style w:type="character" w:styleId="1508" w:customStyle="1">
    <w:name w:val="标题 7 字符"/>
    <w:basedOn w:val="1090"/>
    <w:link w:val="1087"/>
    <w:rPr>
      <w:rFonts w:ascii="Times New Roman" w:hAnsi="Times New Roman" w:cs="Times New Roman"/>
    </w:rPr>
  </w:style>
  <w:style w:type="character" w:styleId="1509" w:customStyle="1">
    <w:name w:val="标题 8 字符"/>
    <w:basedOn w:val="1090"/>
    <w:link w:val="1088"/>
    <w:rPr>
      <w:rFonts w:ascii="Times New Roman" w:hAnsi="Times New Roman" w:cs="Times New Roman"/>
    </w:rPr>
  </w:style>
  <w:style w:type="character" w:styleId="1510" w:customStyle="1">
    <w:name w:val="标题 9 字符"/>
    <w:basedOn w:val="1090"/>
    <w:link w:val="1089"/>
    <w:rPr>
      <w:rFonts w:ascii="Times New Roman" w:hAnsi="Times New Roman" w:cs="Times New Roman"/>
    </w:rPr>
  </w:style>
  <w:style w:type="character" w:styleId="1511" w:customStyle="1">
    <w:name w:val="HTML 预设格式 字符"/>
    <w:basedOn w:val="1090"/>
    <w:link w:val="1137"/>
    <w:rPr>
      <w:rFonts w:ascii="Times New Roman" w:hAnsi="Times New Roman" w:cs="Times New Roman"/>
    </w:rPr>
  </w:style>
  <w:style w:type="character" w:styleId="1512" w:customStyle="1">
    <w:name w:val="脚注文本 字符"/>
    <w:basedOn w:val="1090"/>
    <w:link w:val="1130"/>
    <w:rPr>
      <w:rFonts w:ascii="Times New Roman" w:hAnsi="Times New Roman" w:cs="Times New Roman"/>
    </w:rPr>
  </w:style>
  <w:style w:type="character" w:styleId="1513" w:customStyle="1">
    <w:name w:val="日期 字符"/>
    <w:basedOn w:val="1090"/>
    <w:link w:val="1118"/>
    <w:rPr>
      <w:rFonts w:ascii="Times New Roman" w:hAnsi="Times New Roman" w:cs="Times New Roman"/>
    </w:rPr>
  </w:style>
  <w:style w:type="character" w:styleId="1514" w:customStyle="1">
    <w:name w:val="尾注文本 字符"/>
    <w:basedOn w:val="1090"/>
    <w:link w:val="1120"/>
    <w:rPr>
      <w:rFonts w:ascii="Times New Roman" w:hAnsi="Times New Roman" w:cs="Times New Roman"/>
    </w:rPr>
  </w:style>
  <w:style w:type="character" w:styleId="1515" w:customStyle="1">
    <w:name w:val="正文首行缩进 字符"/>
    <w:basedOn w:val="1159"/>
    <w:link w:val="1129"/>
    <w:rPr>
      <w:rFonts w:ascii="Calibri" w:hAnsi="Calibri" w:eastAsia="宋体" w:cs="Times New Roman"/>
      <w:sz w:val="21"/>
    </w:rPr>
  </w:style>
  <w:style w:type="character" w:styleId="1516" w:customStyle="1">
    <w:name w:val="副标题 字符"/>
    <w:basedOn w:val="1090"/>
    <w:link w:val="1127"/>
    <w:rPr>
      <w:rFonts w:ascii="Calibri" w:hAnsi="Calibri"/>
    </w:rPr>
  </w:style>
  <w:style w:type="character" w:styleId="1517" w:customStyle="1">
    <w:name w:val="正文首行缩进 2 字符"/>
    <w:basedOn w:val="1500"/>
    <w:link w:val="1140"/>
    <w:rPr>
      <w:rFonts w:ascii="Times New Roman" w:hAnsi="Times New Roman" w:cs="Times New Roman"/>
    </w:rPr>
  </w:style>
  <w:style w:type="character" w:styleId="1518" w:customStyle="1">
    <w:name w:val="正文文本 2 字符"/>
    <w:basedOn w:val="1090"/>
    <w:link w:val="1136"/>
    <w:rPr>
      <w:rFonts w:ascii="Times New Roman" w:hAnsi="Times New Roman" w:cs="Times New Roman"/>
    </w:rPr>
  </w:style>
  <w:style w:type="character" w:styleId="1519" w:customStyle="1">
    <w:name w:val="正文文本 3 字符"/>
    <w:basedOn w:val="1090"/>
    <w:link w:val="1105"/>
    <w:rPr>
      <w:rFonts w:ascii="Times New Roman" w:hAnsi="Times New Roman" w:cs="Times New Roman"/>
    </w:rPr>
  </w:style>
  <w:style w:type="character" w:styleId="1520" w:customStyle="1">
    <w:name w:val="正文文本缩进 2 字符"/>
    <w:basedOn w:val="1090"/>
    <w:link w:val="1119"/>
    <w:rPr>
      <w:rFonts w:ascii="Times New Roman" w:hAnsi="Times New Roman" w:cs="Times New Roman"/>
    </w:rPr>
  </w:style>
  <w:style w:type="character" w:styleId="1521" w:customStyle="1">
    <w:name w:val="纯文本 字符"/>
    <w:basedOn w:val="1090"/>
    <w:link w:val="1113"/>
    <w:rPr>
      <w:rFonts w:ascii="Times New Roman" w:hAnsi="Times New Roman" w:cs="Times New Roman"/>
    </w:rPr>
  </w:style>
  <w:style w:type="character" w:styleId="1522" w:customStyle="1">
    <w:name w:val="引用 字符"/>
    <w:basedOn w:val="1090"/>
    <w:link w:val="1332"/>
    <w:rPr>
      <w:rFonts w:ascii="Calibri" w:hAnsi="Calibri"/>
      <w:i/>
    </w:rPr>
  </w:style>
  <w:style w:type="character" w:styleId="1523" w:customStyle="1">
    <w:name w:val="明显引用 字符"/>
    <w:basedOn w:val="1090"/>
    <w:link w:val="1458"/>
    <w:rPr>
      <w:rFonts w:ascii="Calibri" w:hAnsi="Calibri"/>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FB2D9F8-2D0E-4760-B962-80D8A1F6BF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1602</cp:revision>
  <dcterms:created xsi:type="dcterms:W3CDTF">2023-12-20T13:18:00Z</dcterms:created>
  <dcterms:modified xsi:type="dcterms:W3CDTF">2025-09-22T08:29:51Z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