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1009"/>
        <w:rPr>
          <w:rFonts w:hint="eastAsia"/>
          <w:color w:val="auto"/>
        </w:rPr>
      </w:pPr>
      <w:r>
        <w:rPr>
          <w:rFonts w:hint="eastAsia"/>
          <w:color w:val="auto"/>
        </w:rPr>
      </w:r>
      <w:r/>
    </w:p>
    <w:p>
      <w:pPr>
        <w:pStyle w:val="1021"/>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left="2997" w:hanging="1506"/>
        <w:rPr>
          <w:rFonts w:ascii="Times New Roman" w:hAnsi="Times New Roman" w:eastAsia="宋体" w:cs="Times New Roman"/>
          <w:b/>
          <w:color w:val="auto"/>
          <w:sz w:val="30"/>
          <w:szCs w:val="30"/>
          <w:lang w:val="en-US" w:eastAsia="zh-CN"/>
        </w:rPr>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color w:val="auto"/>
          <w:sz w:val="30"/>
          <w:szCs w:val="30"/>
          <w:lang w:eastAsia="zh-CN"/>
        </w:rPr>
        <w:t xml:space="preserve">南京市看守所、南京市第二看守所、南京市第三看守所医疗服务采购项目</w:t>
      </w:r>
      <w:r>
        <w:rPr>
          <w:rFonts w:hint="eastAsia" w:ascii="Times New Roman" w:hAnsi="Times New Roman" w:eastAsia="宋体" w:cs="Times New Roman"/>
          <w:b/>
          <w:color w:val="auto"/>
          <w:sz w:val="30"/>
          <w:szCs w:val="30"/>
          <w:lang w:val="en-US" w:eastAsia="zh-CN"/>
        </w:rPr>
        <w:t xml:space="preserve"> </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项目编号：JSZC-320100-JZCG-G2024-0461</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（服务</w:t>
      </w:r>
      <w:r>
        <w:rPr>
          <w:rFonts w:hint="eastAsia" w:eastAsia="宋体" w:cs="Times New Roman"/>
          <w:b/>
          <w:bCs w:val="0"/>
          <w:color w:val="auto"/>
          <w:sz w:val="30"/>
          <w:szCs w:val="30"/>
          <w:lang w:eastAsia="zh-CN"/>
        </w:rPr>
        <w:t xml:space="preserve">类项目，</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782"/>
        <w:rPr>
          <w:rFonts w:hint="eastAsia" w:ascii="宋体" w:hAnsi="宋体"/>
          <w:color w:val="auto"/>
          <w:sz w:val="24"/>
          <w:szCs w:val="24"/>
        </w:rPr>
      </w:pPr>
      <w:r>
        <w:rPr>
          <w:rFonts w:hint="eastAsia" w:ascii="宋体" w:hAnsi="宋体"/>
          <w:color w:val="auto"/>
          <w:sz w:val="24"/>
          <w:szCs w:val="24"/>
        </w:rPr>
      </w:r>
      <w:r/>
    </w:p>
    <w:p>
      <w:pPr>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1021"/>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Arial" w:hAnsi="Arial" w:eastAsia="宋体" w:cs="Times New Roman"/>
          <w:b/>
          <w:bCs/>
          <w:color w:val="auto"/>
          <w:sz w:val="32"/>
          <w:szCs w:val="24"/>
          <w:lang w:val="en-US" w:eastAsia="zh-CN" w:bidi="ar-SA"/>
        </w:rPr>
      </w:pPr>
      <w:r>
        <w:rPr>
          <w:rFonts w:hint="eastAsia" w:ascii="Arial" w:hAnsi="Arial" w:eastAsia="宋体" w:cs="Times New Roman"/>
          <w:b/>
          <w:bCs/>
          <w:color w:val="auto"/>
          <w:sz w:val="32"/>
          <w:szCs w:val="24"/>
          <w:lang w:val="en-US" w:eastAsia="zh-CN" w:bidi="ar-SA"/>
        </w:rPr>
        <w:t xml:space="preserve">2024年11月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rFonts w:ascii="Times New Roman" w:hAnsi="Times New Roman"/>
          <w:color w:val="auto"/>
          <w:szCs w:val="21"/>
        </w:rPr>
      </w:pPr>
      <w:r>
        <w:rPr>
          <w:rFonts w:hint="eastAsia" w:ascii="Arial" w:hAnsi="Arial"/>
          <w:color w:val="auto"/>
          <w:sz w:val="24"/>
          <w:szCs w:val="24"/>
        </w:rPr>
        <w:t xml:space="preserve"> </w:t>
      </w:r>
      <w:r/>
    </w:p>
    <w:p>
      <w:pPr>
        <w:pStyle w:val="783"/>
        <w:rPr>
          <w:rFonts w:hint="eastAsia"/>
          <w:color w:val="auto"/>
          <w:lang w:eastAsia="zh-CN"/>
        </w:rPr>
      </w:pPr>
      <w:r>
        <w:rPr>
          <w:rFonts w:hint="eastAsia"/>
          <w:color w:val="auto"/>
          <w:lang w:eastAsia="zh-CN"/>
        </w:rPr>
      </w:r>
      <w:r/>
    </w:p>
    <w:p>
      <w:pPr>
        <w:rPr>
          <w:rFonts w:hint="eastAsia" w:ascii="黑体" w:hAnsi="Arial" w:eastAsia="黑体" w:cs="Times New Roman"/>
          <w:b/>
          <w:color w:val="auto"/>
          <w:sz w:val="44"/>
          <w:szCs w:val="21"/>
        </w:rPr>
      </w:pPr>
      <w:r>
        <w:rPr>
          <w:rFonts w:hint="eastAsia" w:ascii="黑体" w:hAnsi="Arial" w:eastAsia="黑体" w:cs="Times New Roman"/>
          <w:b/>
          <w:color w:val="auto"/>
          <w:sz w:val="44"/>
          <w:szCs w:val="21"/>
        </w:rPr>
        <w:br w:type="page" w:clear="all"/>
      </w:r>
      <w:r/>
    </w:p>
    <w:p>
      <w:pPr>
        <w:jc w:val="center"/>
        <w:spacing w:line="480" w:lineRule="auto"/>
        <w:rPr>
          <w:rFonts w:hint="eastAsia" w:ascii="黑体" w:hAnsi="Arial" w:eastAsia="黑体"/>
          <w:b/>
          <w:color w:val="auto"/>
          <w:sz w:val="44"/>
          <w:szCs w:val="21"/>
        </w:rPr>
        <w:outlineLvl w:val="0"/>
      </w:pP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25</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宋体" w:hAnsi="宋体"/>
          <w:color w:val="auto"/>
          <w:sz w:val="24"/>
          <w:szCs w:val="24"/>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bookmarkStart w:id="6" w:name="_Toc38985263"/>
      <w:r/>
      <w:bookmarkStart w:id="7" w:name="_Toc35393790"/>
      <w:r/>
      <w:bookmarkStart w:id="8" w:name="_Toc28359079"/>
      <w:r/>
      <w:bookmarkStart w:id="9" w:name="_Toc28359002"/>
      <w:r/>
      <w:bookmarkStart w:id="10" w:name="_Toc35393621"/>
      <w:r/>
      <w:bookmarkStart w:id="11" w:name="_Hlk24379207"/>
      <w:r/>
      <w:r/>
    </w:p>
    <w:p>
      <w:pPr>
        <w:ind w:firstLine="480"/>
        <w:pageBreakBefore w:val="0"/>
        <w:spacing w:line="46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南京市公安局监所管理支队</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ascii="Segoe UI" w:hAnsi="Segoe UI" w:eastAsia="Segoe UI" w:cs="Segoe UI"/>
          <w:i w:val="0"/>
          <w:iCs w:val="0"/>
          <w:caps w:val="0"/>
          <w:color w:val="auto"/>
          <w:spacing w:val="0"/>
          <w:sz w:val="24"/>
          <w:szCs w:val="24"/>
          <w:u w:val="single"/>
          <w:shd w:val="clear" w:color="auto" w:fill="ffffff"/>
        </w:rPr>
        <w:t xml:space="preserve">南京市看守所、南京市第二看守所、南京市第三看守所医疗服务采购</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项目名称</w:t>
      </w:r>
      <w:r>
        <w:rPr>
          <w:rFonts w:hint="eastAsia" w:ascii="宋体" w:hAnsi="宋体"/>
          <w:color w:val="auto"/>
          <w:sz w:val="24"/>
          <w:szCs w:val="24"/>
          <w:u w:val="single"/>
          <w:lang w:val="en-US" w:eastAsia="zh-CN"/>
        </w:rPr>
        <w:t xml:space="preserve">）</w:t>
      </w:r>
      <w:r>
        <w:rPr>
          <w:rFonts w:hint="eastAsia" w:ascii="宋体" w:hAnsi="宋体"/>
          <w:color w:val="auto"/>
          <w:sz w:val="24"/>
          <w:szCs w:val="24"/>
        </w:rPr>
        <w:t xml:space="preserve">进行公开招标采购</w:t>
      </w:r>
      <w:r>
        <w:rPr>
          <w:rFonts w:hint="eastAsia" w:ascii="宋体" w:hAnsi="宋体"/>
          <w:color w:val="auto"/>
          <w:sz w:val="24"/>
          <w:szCs w:val="24"/>
          <w:lang w:eastAsia="zh-CN"/>
        </w:rPr>
        <w:t xml:space="preserve">，</w:t>
      </w:r>
      <w:r>
        <w:rPr>
          <w:rFonts w:hint="eastAsia" w:ascii="宋体" w:hAnsi="宋体"/>
          <w:color w:val="auto"/>
          <w:sz w:val="24"/>
          <w:szCs w:val="24"/>
        </w:rPr>
        <w:t xml:space="preserve">欢迎符合条件的供应商投标。</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1.项目编号：JSZC-320100-JZCG-G2024-0461 </w:t>
      </w:r>
      <w:r/>
    </w:p>
    <w:p>
      <w:pPr>
        <w:ind w:firstLine="48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2.项目名称：南京市看守所、南京市第二看守所、南京市第三看守所医疗服务采购项目</w:t>
      </w:r>
      <w:r/>
    </w:p>
    <w:p>
      <w:pPr>
        <w:ind w:firstLine="48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3.预算金额：三年共计2658.6万元（886.2万元/年）</w:t>
      </w:r>
      <w:r/>
    </w:p>
    <w:p>
      <w:pPr>
        <w:ind w:firstLine="48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4.最高限价：本项目不设定最高限价</w:t>
      </w:r>
      <w:r/>
    </w:p>
    <w:p>
      <w:pPr>
        <w:ind w:firstLine="48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5.采购需求（简介）：南京市看守所、南京市第二看守所、南京市第三看守所医疗服务采购。（详细内容见本招标文件第四章） </w:t>
      </w:r>
      <w:r/>
    </w:p>
    <w:p>
      <w:pPr>
        <w:ind w:firstLine="480"/>
        <w:pageBreakBefore w:val="0"/>
        <w:spacing w:line="460" w:lineRule="exact"/>
        <w:widowControl w:val="off"/>
        <w:rPr>
          <w:rFonts w:hint="eastAsia" w:ascii="宋体" w:hAnsi="宋体" w:eastAsia="宋体" w:cs="Times New Roman"/>
          <w:color w:val="auto"/>
          <w:sz w:val="24"/>
          <w:szCs w:val="24"/>
          <w:lang w:eastAsia="zh-CN"/>
        </w:rPr>
      </w:pPr>
      <w:r>
        <w:rPr>
          <w:rFonts w:hint="eastAsia" w:ascii="宋体" w:hAnsi="宋体" w:eastAsia="宋体" w:cs="宋体"/>
          <w:color w:val="auto"/>
          <w:sz w:val="24"/>
          <w:szCs w:val="24"/>
          <w:lang w:val="en-US" w:eastAsia="zh-CN"/>
        </w:rPr>
        <w:t xml:space="preserve">6.合同履行期限：合同生效之日起三年。每年服务期满，采购人有权根据考核情况决定继续履行合同或终止合同。</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7.本项目不接受联合体投标。</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bookmarkStart w:id="12" w:name="_Toc28359003"/>
      <w:r/>
      <w:bookmarkStart w:id="13" w:name="_Toc38985264"/>
      <w:r/>
      <w:bookmarkStart w:id="14" w:name="_Toc28359080"/>
      <w:r/>
      <w:bookmarkStart w:id="15" w:name="_Toc35393791"/>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460" w:lineRule="exact"/>
        <w:widowControl w:val="off"/>
        <w:rPr>
          <w:rFonts w:hint="eastAsia" w:ascii="宋体" w:hAnsi="宋体"/>
          <w:color w:val="auto"/>
          <w:sz w:val="24"/>
          <w:szCs w:val="24"/>
        </w:rPr>
      </w:pPr>
      <w:r/>
      <w:bookmarkStart w:id="17" w:name="_Toc28359081"/>
      <w:r/>
      <w:bookmarkStart w:id="18" w:name="_Toc35393792"/>
      <w:r/>
      <w:bookmarkStart w:id="19" w:name="_Toc38985265"/>
      <w:r/>
      <w:bookmarkStart w:id="20" w:name="_Toc35393623"/>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460" w:lineRule="exact"/>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460" w:lineRule="exact"/>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460" w:lineRule="exact"/>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b w:val="0"/>
          <w:bCs w:val="0"/>
          <w:color w:val="auto"/>
          <w:sz w:val="24"/>
          <w:szCs w:val="24"/>
          <w:highlight w:val="none"/>
          <w:lang w:val="en-US" w:eastAsia="zh-CN"/>
        </w:rPr>
        <w:t xml:space="preserve">无</w:t>
      </w:r>
      <w:r/>
    </w:p>
    <w:p>
      <w:pPr>
        <w:ind w:firstLine="480"/>
        <w:pageBreakBefore w:val="0"/>
        <w:spacing w:line="460" w:lineRule="exact"/>
        <w:widowControl w:val="off"/>
        <w:rPr>
          <w:rFonts w:hint="eastAsia" w:ascii="宋体" w:hAnsi="宋体" w:eastAsia="宋体" w:cs="Times New Roman"/>
          <w:i w:val="0"/>
          <w:iCs w:val="0"/>
          <w:caps w:val="0"/>
          <w:color w:val="auto"/>
          <w:spacing w:val="0"/>
          <w:sz w:val="24"/>
          <w:szCs w:val="24"/>
          <w:highlight w:val="none"/>
          <w:lang w:val="en-US" w:eastAsia="zh-CN" w:bidi="ar-SA"/>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cs="Times New Roman"/>
          <w:i w:val="0"/>
          <w:iCs w:val="0"/>
          <w:caps w:val="0"/>
          <w:color w:val="auto"/>
          <w:spacing w:val="0"/>
          <w:sz w:val="24"/>
          <w:szCs w:val="24"/>
          <w:highlight w:val="none"/>
          <w:lang w:val="en-US" w:eastAsia="zh-CN" w:bidi="ar-SA"/>
        </w:rPr>
        <w:t xml:space="preserve">其他</w:t>
      </w:r>
      <w:r>
        <w:rPr>
          <w:rFonts w:hint="eastAsia" w:ascii="宋体" w:hAnsi="宋体" w:eastAsia="宋体" w:cs="Times New Roman"/>
          <w:color w:val="auto"/>
          <w:sz w:val="24"/>
          <w:szCs w:val="24"/>
          <w:highlight w:val="none"/>
          <w:u w:val="none"/>
          <w:lang w:val="en-US" w:eastAsia="zh-CN"/>
        </w:rPr>
        <w:t xml:space="preserve">未列明行业</w:t>
      </w:r>
      <w:r>
        <w:rPr>
          <w:rFonts w:hint="eastAsia" w:ascii="宋体" w:hAnsi="宋体" w:eastAsia="宋体" w:cs="Times New Roman"/>
          <w:i w:val="0"/>
          <w:iCs w:val="0"/>
          <w:caps w:val="0"/>
          <w:color w:val="auto"/>
          <w:spacing w:val="0"/>
          <w:sz w:val="24"/>
          <w:szCs w:val="24"/>
          <w:highlight w:val="none"/>
          <w:u w:val="none"/>
          <w:lang w:val="en-US" w:eastAsia="zh-CN" w:bidi="ar-SA"/>
        </w:rPr>
        <w:t xml:space="preserve">。</w:t>
      </w:r>
      <w:r/>
    </w:p>
    <w:p>
      <w:pPr>
        <w:ind w:firstLine="480"/>
        <w:pageBreakBefore w:val="0"/>
        <w:spacing w:line="460" w:lineRule="exact"/>
        <w:widowControl w:val="off"/>
        <w:rPr>
          <w:rFonts w:hint="eastAsia" w:ascii="宋体" w:hAnsi="宋体" w:eastAsia="宋体" w:cs="Times New Roman"/>
          <w:i w:val="0"/>
          <w:iCs w:val="0"/>
          <w:caps w:val="0"/>
          <w:color w:val="auto"/>
          <w:spacing w:val="0"/>
          <w:sz w:val="24"/>
          <w:szCs w:val="24"/>
          <w:highlight w:val="none"/>
          <w:lang w:val="zh-CN" w:bidi="ar-SA"/>
        </w:rPr>
      </w:pPr>
      <w:r>
        <w:rPr>
          <w:rFonts w:hint="eastAsia" w:ascii="宋体" w:hAnsi="宋体" w:eastAsia="宋体" w:cs="Times New Roman"/>
          <w:i w:val="0"/>
          <w:iCs w:val="0"/>
          <w:caps w:val="0"/>
          <w:color w:val="auto"/>
          <w:spacing w:val="0"/>
          <w:sz w:val="24"/>
          <w:szCs w:val="24"/>
          <w:highlight w:val="none"/>
          <w:lang w:val="zh-CN" w:bidi="ar-SA"/>
        </w:rPr>
        <w:t xml:space="preserve">（二）本项目的特定资格要求</w:t>
      </w:r>
      <w:r>
        <w:rPr>
          <w:rFonts w:hint="eastAsia" w:ascii="宋体" w:hAnsi="宋体" w:eastAsia="宋体" w:cs="Times New Roman"/>
          <w:i w:val="0"/>
          <w:iCs w:val="0"/>
          <w:caps w:val="0"/>
          <w:color w:val="auto"/>
          <w:spacing w:val="0"/>
          <w:sz w:val="24"/>
          <w:szCs w:val="24"/>
          <w:highlight w:val="none"/>
          <w:lang w:val="zh-CN" w:eastAsia="zh-CN" w:bidi="ar-SA"/>
        </w:rPr>
        <w:t xml:space="preserve">：</w:t>
      </w:r>
      <w:r>
        <w:rPr>
          <w:rFonts w:hint="eastAsia" w:ascii="宋体" w:hAnsi="宋体" w:eastAsia="宋体" w:cs="Times New Roman"/>
          <w:b/>
          <w:bCs/>
          <w:i w:val="0"/>
          <w:iCs w:val="0"/>
          <w:caps w:val="0"/>
          <w:color w:val="auto"/>
          <w:spacing w:val="0"/>
          <w:sz w:val="24"/>
          <w:szCs w:val="24"/>
          <w:highlight w:val="none"/>
          <w:lang w:val="en-US" w:eastAsia="zh-CN" w:bidi="ar-SA"/>
        </w:rPr>
        <w:t xml:space="preserve">投标人提供有效期内医疗机构执业许可证。</w:t>
      </w:r>
      <w:r/>
    </w:p>
    <w:p>
      <w:pPr>
        <w:ind w:firstLine="480"/>
        <w:pageBreakBefore w:val="0"/>
        <w:spacing w:line="460" w:lineRule="exact"/>
        <w:widowControl w:val="off"/>
        <w:rPr>
          <w:rFonts w:hint="eastAsia" w:ascii="宋体" w:hAnsi="宋体" w:eastAsia="宋体" w:cs="Times New Roman"/>
          <w:i w:val="0"/>
          <w:iCs w:val="0"/>
          <w:caps w:val="0"/>
          <w:color w:val="auto"/>
          <w:spacing w:val="0"/>
          <w:sz w:val="24"/>
          <w:szCs w:val="24"/>
          <w:highlight w:val="none"/>
          <w:lang w:val="zh-CN" w:eastAsia="zh-CN" w:bidi="ar-SA"/>
        </w:rPr>
      </w:pPr>
      <w:r>
        <w:rPr>
          <w:rFonts w:hint="eastAsia" w:ascii="宋体" w:hAnsi="宋体" w:eastAsia="宋体" w:cs="Times New Roman"/>
          <w:i w:val="0"/>
          <w:iCs w:val="0"/>
          <w:caps w:val="0"/>
          <w:color w:val="auto"/>
          <w:spacing w:val="0"/>
          <w:sz w:val="24"/>
          <w:szCs w:val="24"/>
          <w:highlight w:val="none"/>
          <w:lang w:val="zh-CN" w:eastAsia="zh-CN" w:bidi="ar-SA"/>
        </w:rPr>
        <w:t xml:space="preserve">（</w:t>
      </w:r>
      <w:r>
        <w:rPr>
          <w:rFonts w:hint="eastAsia" w:ascii="宋体" w:hAnsi="宋体" w:eastAsia="宋体" w:cs="Times New Roman"/>
          <w:i w:val="0"/>
          <w:iCs w:val="0"/>
          <w:caps w:val="0"/>
          <w:color w:val="auto"/>
          <w:spacing w:val="0"/>
          <w:sz w:val="24"/>
          <w:szCs w:val="24"/>
          <w:highlight w:val="none"/>
          <w:lang w:val="en-US" w:eastAsia="zh-CN" w:bidi="ar-SA"/>
        </w:rPr>
        <w:t xml:space="preserve">三</w:t>
      </w:r>
      <w:r>
        <w:rPr>
          <w:rFonts w:hint="eastAsia" w:ascii="宋体" w:hAnsi="宋体" w:eastAsia="宋体" w:cs="Times New Roman"/>
          <w:i w:val="0"/>
          <w:iCs w:val="0"/>
          <w:caps w:val="0"/>
          <w:color w:val="auto"/>
          <w:spacing w:val="0"/>
          <w:sz w:val="24"/>
          <w:szCs w:val="24"/>
          <w:highlight w:val="none"/>
          <w:lang w:val="zh-CN" w:eastAsia="zh-CN" w:bidi="ar-SA"/>
        </w:rPr>
        <w:t xml:space="preserve">）</w:t>
      </w:r>
      <w:r>
        <w:rPr>
          <w:rFonts w:hint="eastAsia" w:ascii="宋体" w:hAnsi="宋体" w:eastAsia="宋体" w:cs="Times New Roman"/>
          <w:i w:val="0"/>
          <w:iCs w:val="0"/>
          <w:caps w:val="0"/>
          <w:color w:val="auto"/>
          <w:spacing w:val="0"/>
          <w:sz w:val="24"/>
          <w:szCs w:val="24"/>
          <w:highlight w:val="none"/>
          <w:lang w:val="zh-CN" w:bidi="ar-SA"/>
        </w:rPr>
        <w:t xml:space="preserve">拒绝下述供应商参加本次采购活动</w:t>
      </w:r>
      <w:r/>
    </w:p>
    <w:p>
      <w:pPr>
        <w:ind w:firstLine="480"/>
        <w:pageBreakBefore w:val="0"/>
        <w:spacing w:line="460" w:lineRule="exact"/>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460" w:lineRule="exact"/>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460" w:lineRule="exact"/>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460" w:lineRule="exact"/>
        <w:widowControl w:val="off"/>
        <w:rPr>
          <w:rFonts w:ascii="宋体" w:hAnsi="宋体" w:cs="宋体"/>
          <w:color w:val="auto"/>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rPr>
        <w:t xml:space="preserve">1.时间：自招标文件公告发布之日起。</w:t>
      </w:r>
      <w:r/>
    </w:p>
    <w:p>
      <w:pPr>
        <w:ind w:firstLine="480"/>
        <w:pageBreakBefore w:val="0"/>
        <w:spacing w:line="460" w:lineRule="exact"/>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460" w:lineRule="exact"/>
        <w:widowControl w:val="off"/>
        <w:rPr>
          <w:rFonts w:hint="eastAsia" w:ascii="宋体" w:hAnsi="宋体" w:eastAsia="宋体"/>
          <w:bCs/>
          <w:color w:val="auto"/>
          <w:sz w:val="24"/>
          <w:szCs w:val="24"/>
          <w:u w:val="single"/>
          <w:lang w:val="en-US" w:eastAsia="zh-CN"/>
        </w:rPr>
      </w:pPr>
      <w:r/>
      <w:bookmarkStart w:id="27" w:name="_Toc35393794"/>
      <w:r/>
      <w:bookmarkStart w:id="28" w:name="_Toc28359007"/>
      <w:r/>
      <w:bookmarkStart w:id="29" w:name="_Toc35393625"/>
      <w:r/>
      <w:bookmarkStart w:id="30" w:name="_Toc28359084"/>
      <w:r/>
      <w:bookmarkStart w:id="31" w:name="_Toc3898526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2024</w:t>
      </w:r>
      <w:r>
        <w:rPr>
          <w:rFonts w:hint="eastAsia" w:ascii="宋体" w:hAnsi="宋体" w:eastAsia="宋体" w:cs="宋体"/>
          <w:color w:val="auto"/>
          <w:sz w:val="24"/>
          <w:szCs w:val="24"/>
        </w:rPr>
        <w:t xml:space="preserve">年12</w:t>
      </w:r>
      <w:r>
        <w:rPr>
          <w:rFonts w:hint="eastAsia" w:ascii="宋体" w:hAnsi="宋体" w:eastAsia="宋体" w:cs="宋体"/>
          <w:color w:val="auto"/>
          <w:sz w:val="24"/>
          <w:szCs w:val="24"/>
        </w:rPr>
        <w:t xml:space="preserve">月13</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14时00</w:t>
      </w:r>
      <w:r>
        <w:rPr>
          <w:rFonts w:hint="eastAsia" w:ascii="宋体" w:hAnsi="宋体" w:eastAsia="宋体" w:cs="宋体"/>
          <w:color w:val="auto"/>
          <w:sz w:val="24"/>
          <w:szCs w:val="24"/>
        </w:rPr>
        <w:t xml:space="preserve">分（北京时间）</w:t>
      </w:r>
      <w:r>
        <w:rPr>
          <w:rFonts w:hint="eastAsia" w:ascii="宋体" w:hAnsi="宋体"/>
          <w:bCs/>
          <w:color w:val="auto"/>
          <w:sz w:val="24"/>
          <w:szCs w:val="24"/>
          <w:lang w:val="en-US" w:eastAsia="zh-CN"/>
        </w:rPr>
        <w:t xml:space="preserve">。</w:t>
      </w:r>
      <w:r/>
    </w:p>
    <w:p>
      <w:pPr>
        <w:ind w:firstLine="480"/>
        <w:pageBreakBefore w:val="0"/>
        <w:spacing w:line="460" w:lineRule="exact"/>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460" w:lineRule="exact"/>
        <w:widowControl w:val="off"/>
        <w:rPr>
          <w:rFonts w:hint="eastAsia" w:ascii="宋体" w:hAnsi="宋体" w:cs="宋体"/>
          <w:color w:val="auto"/>
          <w:sz w:val="24"/>
          <w:szCs w:val="24"/>
        </w:rPr>
      </w:pPr>
      <w:r/>
      <w:bookmarkStart w:id="32" w:name="_Toc35393626"/>
      <w:r/>
      <w:bookmarkStart w:id="33" w:name="_Toc38985268"/>
      <w:r/>
      <w:bookmarkStart w:id="34" w:name="_Toc35393795"/>
      <w:r>
        <w:rPr>
          <w:rFonts w:hint="eastAsia" w:ascii="宋体" w:hAnsi="宋体" w:cs="宋体"/>
          <w:color w:val="auto"/>
          <w:sz w:val="24"/>
          <w:szCs w:val="24"/>
        </w:rPr>
        <w:t xml:space="preserve">公告期限为自本公告发布之日起5个工作日。</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460" w:lineRule="exact"/>
        <w:widowControl w:val="off"/>
        <w:tabs>
          <w:tab w:val="left" w:pos="900" w:leader="none"/>
        </w:tabs>
        <w:rPr>
          <w:rFonts w:hint="eastAsia" w:ascii="宋体" w:hAnsi="宋体"/>
          <w:bCs/>
          <w:color w:val="auto"/>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460" w:lineRule="exact"/>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本项目不组织集中</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1003"/>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pStyle w:val="936"/>
        <w:ind w:firstLine="465"/>
        <w:pageBreakBefore w:val="0"/>
        <w:spacing w:before="0" w:after="0" w:line="460" w:lineRule="exact"/>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名  称：南京市公安局监所管理支队          </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地  址：南京市建邺区茶亭东街188号    </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联系人：王警官</w:t>
      </w:r>
      <w:r/>
    </w:p>
    <w:p>
      <w:pPr>
        <w:ind w:firstLine="480"/>
        <w:pageBreakBefore w:val="0"/>
        <w:spacing w:line="460" w:lineRule="exact"/>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lang w:val="en-US" w:eastAsia="zh-CN"/>
        </w:rPr>
        <w:t xml:space="preserve">联系电话：025-84420979</w:t>
      </w:r>
      <w:bookmarkStart w:id="40" w:name="_Toc28359086"/>
      <w:r/>
      <w:bookmarkStart w:id="41" w:name="_Toc28359009"/>
      <w:r/>
      <w:r/>
    </w:p>
    <w:p>
      <w:pPr>
        <w:ind w:firstLine="480"/>
        <w:pageBreakBefore w:val="0"/>
        <w:spacing w:line="460" w:lineRule="exact"/>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地　址：南京市建邺区江东中路265号  </w:t>
      </w:r>
      <w:r/>
    </w:p>
    <w:p>
      <w:pPr>
        <w:ind w:firstLine="480"/>
        <w:pageBreakBefore w:val="0"/>
        <w:spacing w:line="460" w:lineRule="exac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w:t>
      </w:r>
      <w:r>
        <w:rPr>
          <w:rFonts w:hint="eastAsia" w:ascii="宋体" w:hAnsi="宋体" w:cs="Times New Roman"/>
          <w:color w:val="auto"/>
          <w:sz w:val="24"/>
          <w:szCs w:val="24"/>
          <w:lang w:val="en-US" w:eastAsia="zh-CN"/>
        </w:rPr>
        <w:t xml:space="preserve">孙老师</w:t>
      </w:r>
      <w:r/>
    </w:p>
    <w:p>
      <w:pPr>
        <w:ind w:firstLine="480"/>
        <w:pageBreakBefore w:val="0"/>
        <w:spacing w:line="460" w:lineRule="exac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联系电话：</w:t>
      </w:r>
      <w:r>
        <w:rPr>
          <w:rFonts w:hint="eastAsia" w:ascii="宋体" w:hAnsi="宋体" w:cs="Times New Roman"/>
          <w:color w:val="auto"/>
          <w:sz w:val="24"/>
          <w:szCs w:val="24"/>
          <w:lang w:val="en-US" w:eastAsia="zh-CN"/>
        </w:rPr>
        <w:t xml:space="preserve">025-68505990</w:t>
      </w:r>
      <w:r/>
    </w:p>
    <w:p>
      <w:pPr>
        <w:jc w:val="both"/>
        <w:pageBreakBefore w:val="0"/>
        <w:spacing w:line="460" w:lineRule="exact"/>
        <w:widowControl w:val="off"/>
        <w:tabs>
          <w:tab w:val="left" w:pos="900" w:leader="none"/>
        </w:tabs>
        <w:rPr>
          <w:rFonts w:ascii="宋体" w:hAnsi="宋体"/>
          <w:color w:val="auto"/>
          <w:sz w:val="24"/>
          <w:szCs w:val="24"/>
        </w:rPr>
      </w:pPr>
      <w:r>
        <w:rPr>
          <w:rFonts w:ascii="宋体" w:hAnsi="宋体"/>
          <w:color w:val="auto"/>
          <w:sz w:val="24"/>
          <w:szCs w:val="24"/>
        </w:rPr>
      </w:r>
      <w:r/>
    </w:p>
    <w:p>
      <w:pPr>
        <w:jc w:val="both"/>
        <w:pageBreakBefore w:val="0"/>
        <w:spacing w:line="460" w:lineRule="exact"/>
        <w:widowControl w:val="off"/>
        <w:tabs>
          <w:tab w:val="left" w:pos="900" w:leader="none"/>
        </w:tabs>
        <w:rPr>
          <w:rFonts w:ascii="宋体" w:hAnsi="宋体"/>
          <w:color w:val="auto"/>
          <w:sz w:val="24"/>
          <w:szCs w:val="24"/>
        </w:rPr>
      </w:pPr>
      <w:r>
        <w:rPr>
          <w:rFonts w:ascii="宋体" w:hAnsi="宋体"/>
          <w:color w:val="auto"/>
          <w:sz w:val="24"/>
          <w:szCs w:val="24"/>
        </w:rPr>
      </w:r>
      <w:bookmarkEnd w:id="1"/>
      <w:r/>
      <w:bookmarkEnd w:id="2"/>
      <w:r/>
      <w:bookmarkEnd w:id="3"/>
      <w:r/>
      <w:bookmarkEnd w:id="4"/>
      <w:r/>
      <w:bookmarkEnd w:id="5"/>
      <w:r/>
      <w:r/>
    </w:p>
    <w:p>
      <w:pPr>
        <w:pStyle w:val="1009"/>
        <w:ind w:left="0" w:firstLine="0"/>
        <w:jc w:val="center"/>
        <w:tabs>
          <w:tab w:val="left" w:pos="463" w:leader="none"/>
        </w:tabs>
        <w:rPr>
          <w:rFonts w:hint="eastAsia" w:ascii="方正小标宋简体" w:hAnsi="方正小标宋简体" w:eastAsia="方正小标宋简体" w:cs="方正小标宋简体"/>
          <w:color w:val="auto"/>
          <w:sz w:val="36"/>
          <w:szCs w:val="36"/>
          <w:lang w:val="en-US" w:eastAsia="zh-CN" w:bidi="ar-SA"/>
        </w:rPr>
      </w:pPr>
      <w:r/>
      <w:bookmarkStart w:id="42" w:name="_Hlt16619350"/>
      <w:r/>
      <w:bookmarkStart w:id="43" w:name="_Toc120614244"/>
      <w:r/>
      <w:bookmarkStart w:id="44" w:name="_Toc20823346"/>
      <w:r/>
      <w:bookmarkStart w:id="45" w:name="_Toc16938590"/>
      <w:r/>
      <w:bookmarkStart w:id="46" w:name="_Toc479757211"/>
      <w:r/>
      <w:bookmarkStart w:id="47" w:name="_Toc462564139"/>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48"/>
      <w:r/>
      <w:bookmarkStart w:id="49" w:name="_Toc120614213"/>
      <w:r/>
      <w:bookmarkStart w:id="50" w:name="_Toc20823274"/>
      <w:r/>
      <w:bookmarkStart w:id="51" w:name="_Toc513029202"/>
      <w:r/>
      <w:bookmarkStart w:id="52" w:name="_Toc16938518"/>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9"/>
      <w:r/>
      <w:bookmarkEnd w:id="50"/>
      <w:r/>
      <w:bookmarkEnd w:id="51"/>
      <w:r/>
      <w:bookmarkEnd w:id="52"/>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16938519"/>
      <w:r/>
      <w:bookmarkStart w:id="54" w:name="_Toc20823275"/>
      <w:r/>
      <w:bookmarkStart w:id="55" w:name="_Toc513029203"/>
      <w:r/>
      <w:bookmarkStart w:id="56" w:name="_Toc120614214"/>
      <w:r/>
      <w:bookmarkStart w:id="57" w:name="_Toc16938558"/>
      <w:r/>
      <w:bookmarkStart w:id="58" w:name="_Toc120614221"/>
      <w:r/>
      <w:bookmarkStart w:id="59" w:name="_Toc513029242"/>
      <w:r/>
      <w:bookmarkStart w:id="60" w:name="_Toc479757207"/>
      <w:r/>
      <w:bookmarkStart w:id="61" w:name="_Toc20823314"/>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color w:val="auto"/>
          <w:sz w:val="28"/>
          <w:szCs w:val="28"/>
        </w:rPr>
        <w:t xml:space="preserve">1</w:t>
      </w:r>
      <w:bookmarkEnd w:id="63"/>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7" w:name="_Toc513029205"/>
      <w:r/>
      <w:bookmarkStart w:id="68" w:name="_Toc16938521"/>
      <w:r/>
      <w:bookmarkStart w:id="69" w:name="_Toc20823277"/>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0" w:name="_Toc513029206"/>
      <w:r/>
      <w:bookmarkStart w:id="71" w:name="_Toc16938522"/>
      <w:r/>
      <w:bookmarkStart w:id="72" w:name="_Toc20823278"/>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513029209"/>
      <w:r/>
      <w:bookmarkStart w:id="78" w:name="_Toc16938525"/>
      <w:r/>
      <w:bookmarkStart w:id="79" w:name="_Toc20823281"/>
      <w:r/>
      <w:bookmarkStart w:id="80" w:name="_Toc12061421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1" w:name="_Toc513029210"/>
      <w:r/>
      <w:bookmarkStart w:id="82" w:name="_Toc20823282"/>
      <w:r/>
      <w:bookmarkStart w:id="83" w:name="_Toc16938526"/>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4" w:name="_Toc513029211"/>
      <w:r/>
      <w:bookmarkStart w:id="85" w:name="_Toc20823283"/>
      <w:r/>
      <w:bookmarkStart w:id="86" w:name="_Toc462564070"/>
      <w:r/>
      <w:bookmarkStart w:id="87" w:name="_Toc16938527"/>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8" w:name="_Toc16938528"/>
      <w:r/>
      <w:bookmarkStart w:id="89" w:name="_Toc20823284"/>
      <w:r/>
      <w:bookmarkStart w:id="90" w:name="_Toc513029212"/>
      <w:r/>
      <w:bookmarkStart w:id="91" w:name="_Toc462564071"/>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462564072"/>
      <w:r/>
      <w:bookmarkStart w:id="93" w:name="_Toc16938529"/>
      <w:r/>
      <w:bookmarkStart w:id="94" w:name="_Toc513029213"/>
      <w:r/>
      <w:bookmarkStart w:id="95" w:name="_Toc120614216"/>
      <w:r/>
      <w:bookmarkStart w:id="96" w:name="_Toc20823285"/>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97" w:name="_Toc462564073"/>
      <w:r/>
      <w:bookmarkStart w:id="98" w:name="_Toc16938530"/>
      <w:r/>
      <w:bookmarkStart w:id="99" w:name="_Toc20823286"/>
      <w:r/>
      <w:bookmarkStart w:id="100" w:name="_Toc513029214"/>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w:t>
      </w:r>
      <w:r>
        <w:rPr>
          <w:rFonts w:hint="eastAsia" w:ascii="宋体" w:hAnsi="宋体" w:eastAsia="宋体" w:cs="Times New Roman"/>
          <w:color w:val="auto"/>
          <w:sz w:val="24"/>
          <w:szCs w:val="22"/>
          <w:lang w:eastAsia="zh-CN"/>
        </w:rPr>
        <w:t xml:space="preserve">，</w:t>
      </w:r>
      <w:r>
        <w:rPr>
          <w:rFonts w:hint="eastAsia" w:ascii="宋体" w:hAnsi="宋体" w:eastAsia="宋体" w:cs="Times New Roman"/>
          <w:color w:val="auto"/>
          <w:sz w:val="24"/>
          <w:szCs w:val="22"/>
        </w:rPr>
        <w:t xml:space="preserve">投标文件所使用的度量衡单位</w:t>
      </w:r>
      <w:r>
        <w:rPr>
          <w:rFonts w:hint="eastAsia" w:ascii="宋体" w:hAnsi="宋体" w:eastAsia="宋体" w:cs="Times New Roman"/>
          <w:color w:val="auto"/>
          <w:sz w:val="24"/>
          <w:szCs w:val="22"/>
          <w:lang w:eastAsia="zh-CN"/>
        </w:rPr>
        <w:t xml:space="preserve">，</w:t>
      </w:r>
      <w:r>
        <w:rPr>
          <w:rFonts w:hint="eastAsia" w:ascii="宋体" w:hAnsi="宋体" w:eastAsia="宋体" w:cs="Times New Roman"/>
          <w:color w:val="auto"/>
          <w:sz w:val="24"/>
          <w:szCs w:val="22"/>
        </w:rPr>
        <w:t xml:space="preserve">均须采用国家法定计量单位。</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1" w:name="_Toc462564074"/>
      <w:r/>
      <w:bookmarkStart w:id="102" w:name="_Toc16938531"/>
      <w:r/>
      <w:bookmarkStart w:id="103" w:name="_Toc513029215"/>
      <w:r/>
      <w:bookmarkStart w:id="104" w:name="_Toc20823287"/>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投标分项报价表</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以“江苏政府采购网”发布的招标文件为准。</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5" w:name="_Hlt26954838"/>
      <w:r/>
      <w:bookmarkEnd w:id="105"/>
      <w:r/>
      <w:bookmarkStart w:id="106" w:name="_Hlt26668975"/>
      <w:r/>
      <w:bookmarkEnd w:id="106"/>
      <w:r/>
      <w:bookmarkStart w:id="107" w:name="_Hlt26670360"/>
      <w:r/>
      <w:bookmarkEnd w:id="107"/>
      <w:r/>
      <w:bookmarkStart w:id="108" w:name="_Toc49090509"/>
      <w:r/>
      <w:bookmarkStart w:id="109" w:name="_Toc513029219"/>
      <w:r/>
      <w:bookmarkStart w:id="110" w:name="_Toc14577357"/>
      <w:r/>
      <w:bookmarkStart w:id="111" w:name="_Toc49090507"/>
      <w:r/>
      <w:bookmarkStart w:id="112" w:name="_Toc513029216"/>
      <w:r/>
      <w:bookmarkStart w:id="113" w:name="_Toc14577354"/>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49090508"/>
      <w:r/>
      <w:bookmarkStart w:id="115" w:name="_Toc14577355"/>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4"/>
      <w:r/>
      <w:bookmarkEnd w:id="115"/>
      <w:r>
        <w:rPr>
          <w:rFonts w:hint="eastAsia" w:ascii="方正楷体_GBK" w:hAnsi="方正楷体_GBK" w:eastAsia="方正楷体_GBK" w:cs="方正楷体_GBK"/>
          <w:b/>
          <w:bCs/>
          <w:color w:val="auto"/>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18" w:name="_Hlt26670403"/>
      <w:r/>
      <w:bookmarkEnd w:id="118"/>
      <w:r/>
      <w:bookmarkStart w:id="119" w:name="_Hlt26954842"/>
      <w:r/>
      <w:bookmarkEnd w:id="119"/>
      <w:r/>
      <w:bookmarkStart w:id="120" w:name="_Hlt26954731"/>
      <w:r/>
      <w:bookmarkEnd w:id="120"/>
      <w:r/>
      <w:bookmarkStart w:id="121" w:name="_Hlt26954844"/>
      <w:r/>
      <w:bookmarkEnd w:id="121"/>
      <w:r/>
      <w:bookmarkStart w:id="122" w:name="_Hlt26668983"/>
      <w:r/>
      <w:bookmarkEnd w:id="122"/>
      <w:r/>
      <w:bookmarkStart w:id="123" w:name="_Hlt26670486"/>
      <w:r/>
      <w:bookmarkEnd w:id="123"/>
      <w:r/>
      <w:bookmarkStart w:id="124" w:name="_Hlt26670425"/>
      <w:r/>
      <w:bookmarkEnd w:id="124"/>
      <w:r/>
      <w:bookmarkStart w:id="125" w:name="_Hlt26954846"/>
      <w:r/>
      <w:bookmarkEnd w:id="125"/>
      <w:r/>
      <w:bookmarkStart w:id="126" w:name="_Hlt26670482"/>
      <w:r/>
      <w:bookmarkEnd w:id="126"/>
      <w:r/>
      <w:bookmarkStart w:id="127" w:name="_Hlt26954848"/>
      <w:r/>
      <w:bookmarkEnd w:id="127"/>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28" w:name="_Toc49090510"/>
      <w:r/>
      <w:bookmarkStart w:id="129"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4"/>
          <w:lang w:val="zh-CN" w:eastAsia="zh-CN"/>
        </w:rPr>
        <w:t xml:space="preserve">满</w:t>
      </w:r>
      <w:r>
        <w:rPr>
          <w:rFonts w:hint="eastAsia" w:ascii="宋体" w:hAnsi="宋体" w:eastAsia="宋体" w:cs="Times New Roman"/>
          <w:color w:val="auto"/>
          <w:sz w:val="24"/>
          <w:lang w:val="zh-CN"/>
        </w:rPr>
        <w:t xml:space="preserve">。</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852"/>
      <w:r/>
      <w:bookmarkEnd w:id="135"/>
      <w:r/>
      <w:bookmarkStart w:id="136" w:name="_Hlt26954739"/>
      <w:r/>
      <w:bookmarkEnd w:id="136"/>
      <w:r/>
      <w:bookmarkStart w:id="137" w:name="_Toc16938540"/>
      <w:r/>
      <w:bookmarkStart w:id="138" w:name="_Toc20823296"/>
      <w:r/>
      <w:bookmarkStart w:id="139" w:name="_Toc120614217"/>
      <w:r/>
      <w:bookmarkStart w:id="140" w:name="_Toc513029224"/>
      <w:r/>
      <w:bookmarkStart w:id="141" w:name="_Toc20823309"/>
      <w:r/>
      <w:bookmarkStart w:id="142" w:name="_Toc513029237"/>
      <w:r/>
      <w:bookmarkStart w:id="143" w:name="_Toc16938553"/>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44" w:name="_Toc513029225"/>
      <w:r/>
      <w:bookmarkStart w:id="145" w:name="_Toc16938541"/>
      <w:r/>
      <w:bookmarkStart w:id="146" w:name="_Toc20823297"/>
      <w:r/>
      <w:bookmarkStart w:id="147" w:name="_Toc462564084"/>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4"/>
      <w:r/>
      <w:bookmarkEnd w:id="145"/>
      <w:r/>
      <w:bookmarkEnd w:id="146"/>
      <w:r/>
      <w:bookmarkEnd w:id="147"/>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51" w:name="_Toc16938543"/>
      <w:r/>
      <w:bookmarkStart w:id="152" w:name="_Toc20823299"/>
      <w:r/>
      <w:bookmarkStart w:id="153" w:name="_Toc513029227"/>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51"/>
      <w:r/>
      <w:bookmarkEnd w:id="152"/>
      <w:r/>
      <w:bookmarkEnd w:id="153"/>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54" w:name="_Toc513029228"/>
      <w:r/>
      <w:bookmarkStart w:id="155" w:name="_Toc20823300"/>
      <w:r/>
      <w:bookmarkStart w:id="156" w:name="_Toc16938544"/>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16938545"/>
      <w:r/>
      <w:bookmarkStart w:id="158" w:name="_Toc513029229"/>
      <w:r/>
      <w:bookmarkStart w:id="159" w:name="_Toc120614218"/>
      <w:r/>
      <w:bookmarkStart w:id="160" w:name="_Toc20823301"/>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64" w:name="_Toc513029231"/>
      <w:r/>
      <w:bookmarkStart w:id="165" w:name="_Toc20823303"/>
      <w:r/>
      <w:bookmarkStart w:id="166" w:name="_Toc1693854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67" w:name="_Toc16938548"/>
      <w:r/>
      <w:bookmarkStart w:id="168" w:name="_Toc20823304"/>
      <w:r/>
      <w:bookmarkStart w:id="169" w:name="_Toc513029232"/>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70" w:name="_Toc16938549"/>
      <w:r/>
      <w:bookmarkStart w:id="171" w:name="_Toc20823305"/>
      <w:r/>
      <w:bookmarkStart w:id="172" w:name="_Toc513029233"/>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70"/>
      <w:r/>
      <w:bookmarkEnd w:id="171"/>
      <w:r/>
      <w:bookmarkEnd w:id="172"/>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513029234"/>
      <w:r/>
      <w:bookmarkStart w:id="174" w:name="_Toc16938550"/>
      <w:r/>
      <w:bookmarkStart w:id="175"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3"/>
      <w:r/>
      <w:bookmarkEnd w:id="174"/>
      <w:r/>
      <w:bookmarkEnd w:id="175"/>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76" w:name="_Toc20823307"/>
      <w:r/>
      <w:bookmarkStart w:id="177" w:name="_Toc513029235"/>
      <w:r/>
      <w:bookmarkStart w:id="178"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评委会认为投标人的报价明显低于其他通过符合性审查投标人的报价，有可能影响</w:t>
      </w:r>
      <w:r>
        <w:rPr>
          <w:rFonts w:hint="eastAsia" w:ascii="宋体" w:hAnsi="宋体" w:cs="Times New Roman"/>
          <w:color w:val="auto"/>
          <w:sz w:val="24"/>
          <w:lang w:val="en-US" w:eastAsia="zh-CN"/>
        </w:rPr>
        <w:t xml:space="preserve">服务</w:t>
      </w:r>
      <w:r>
        <w:rPr>
          <w:rFonts w:hint="eastAsia" w:ascii="宋体" w:hAnsi="宋体" w:eastAsia="宋体" w:cs="Times New Roman"/>
          <w:color w:val="auto"/>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bookmarkEnd w:id="141"/>
      <w:r/>
      <w:bookmarkEnd w:id="142"/>
      <w:r/>
      <w:bookmarkEnd w:id="143"/>
      <w:r/>
      <w:bookmarkEnd w:id="176"/>
      <w:r/>
      <w:bookmarkEnd w:id="177"/>
      <w:r/>
      <w:bookmarkEnd w:id="178"/>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bookmarkStart w:id="180" w:name="_Toc513029238"/>
      <w:r/>
      <w:bookmarkStart w:id="181" w:name="_Toc16938554"/>
      <w:r/>
      <w:bookmarkStart w:id="182" w:name="_Toc20823310"/>
      <w:r>
        <w:rPr>
          <w:rFonts w:hint="eastAsia" w:ascii="方正楷体_GBK" w:hAnsi="方正楷体_GBK" w:eastAsia="方正楷体_GBK" w:cs="方正楷体_GBK"/>
          <w:b/>
          <w:bCs/>
          <w:color w:val="auto"/>
        </w:rPr>
        <w:t xml:space="preserve">2</w:t>
      </w:r>
      <w:bookmarkEnd w:id="180"/>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81"/>
      <w:r/>
      <w:bookmarkEnd w:id="182"/>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w:t>
      </w:r>
      <w:r>
        <w:rPr>
          <w:rFonts w:hint="eastAsia" w:ascii="宋体" w:hAnsi="宋体" w:eastAsia="宋体" w:cs="Times New Roman"/>
          <w:color w:val="auto"/>
          <w:sz w:val="24"/>
          <w:lang w:val="en-US" w:eastAsia="zh-CN"/>
        </w:rPr>
        <w:t xml:space="preserve">在</w:t>
      </w:r>
      <w:r>
        <w:rPr>
          <w:rFonts w:hint="eastAsia" w:ascii="宋体" w:hAnsi="宋体" w:eastAsia="宋体" w:cs="Times New Roman"/>
          <w:color w:val="auto"/>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937"/>
        <w:ind w:firstLine="42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auto"/>
          <w:sz w:val="24"/>
          <w:lang w:val="zh-CN"/>
        </w:rPr>
        <w:t xml:space="preserve">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采购人《质疑函》接收人及联系方式见</w:t>
      </w:r>
      <w:r>
        <w:rPr>
          <w:rFonts w:hint="eastAsia" w:ascii="宋体" w:hAnsi="宋体" w:eastAsia="宋体" w:cs="Times New Roman"/>
          <w:b/>
          <w:bCs/>
          <w:color w:val="auto"/>
          <w:sz w:val="24"/>
          <w:lang w:val="en-US" w:eastAsia="zh-CN"/>
        </w:rPr>
        <w:t xml:space="preserve">招标</w:t>
      </w:r>
      <w:r>
        <w:rPr>
          <w:rFonts w:hint="eastAsia" w:ascii="宋体" w:hAnsi="宋体" w:eastAsia="宋体" w:cs="Times New Roman"/>
          <w:b/>
          <w:bCs/>
          <w:color w:val="auto"/>
          <w:sz w:val="24"/>
          <w:lang w:val="zh-CN"/>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auto"/>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供应商组成联合体参加采购活动，联合体中任何一方或多方未按要求签字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36"/>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937"/>
        <w:ind w:firstLine="420"/>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1009"/>
        <w:ind w:left="0" w:firstLine="0"/>
        <w:jc w:val="center"/>
        <w:rPr>
          <w:rFonts w:hint="eastAsia" w:ascii="方正小标宋简体" w:hAnsi="方正小标宋简体" w:eastAsia="方正小标宋简体" w:cs="方正小标宋简体"/>
          <w:color w:val="auto"/>
          <w:sz w:val="36"/>
          <w:szCs w:val="36"/>
          <w:lang w:val="en-US"/>
        </w:rPr>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0"/>
      </w:pPr>
      <w:r/>
      <w:bookmarkStart w:id="188" w:name="_Toc16938559"/>
      <w:r/>
      <w:bookmarkStart w:id="189" w:name="_Toc513029243"/>
      <w:r/>
      <w:bookmarkStart w:id="190" w:name="_Toc20823315"/>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eastAsia="zh-CN"/>
        </w:rPr>
        <w:t xml:space="preserve">，</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1009"/>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0"/>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0"/>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0"/>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0"/>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hint="eastAsia" w:ascii="宋体" w:hAnsi="宋体" w:cs="Courier New"/>
          <w:color w:val="auto"/>
          <w:sz w:val="24"/>
          <w:szCs w:val="24"/>
          <w:lang w:eastAsia="zh-CN"/>
        </w:rPr>
        <w:t xml:space="preserve">甲、乙双方根据南京市公共资源交易中心</w:t>
      </w:r>
      <w:r>
        <w:rPr>
          <w:rFonts w:hint="eastAsia" w:ascii="宋体" w:hAnsi="宋体" w:cs="Courier New"/>
          <w:color w:val="auto"/>
          <w:sz w:val="24"/>
          <w:szCs w:val="24"/>
          <w:lang w:val="en-US" w:eastAsia="zh-CN"/>
        </w:rPr>
        <w:t xml:space="preserve">组织的</w:t>
      </w:r>
      <w:r>
        <w:rPr>
          <w:rFonts w:hint="eastAsia" w:ascii="宋体" w:hAnsi="宋体" w:cs="Courier New"/>
          <w:color w:val="auto"/>
          <w:sz w:val="24"/>
          <w:szCs w:val="24"/>
          <w:u w:val="single"/>
          <w:lang w:eastAsia="zh-CN"/>
        </w:rPr>
        <w:t xml:space="preserve">南京市看守所、南京市第二看守所、南京市第三看守所医疗服务采购项目</w:t>
      </w:r>
      <w:r>
        <w:rPr>
          <w:rFonts w:hint="eastAsia" w:ascii="宋体" w:hAnsi="宋体" w:cs="Courier New"/>
          <w:color w:val="auto"/>
          <w:sz w:val="24"/>
          <w:szCs w:val="24"/>
          <w:lang w:eastAsia="zh-CN"/>
        </w:rPr>
        <w:t xml:space="preserve">公</w:t>
      </w:r>
      <w:r>
        <w:rPr>
          <w:rFonts w:hint="eastAsia" w:ascii="宋体" w:hAnsi="宋体" w:eastAsia="宋体" w:cs="宋体"/>
          <w:color w:val="auto"/>
          <w:sz w:val="24"/>
          <w:szCs w:val="24"/>
        </w:rPr>
        <w:t xml:space="preserve">开招标结果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签</w:t>
      </w:r>
      <w:r>
        <w:rPr>
          <w:rFonts w:ascii="宋体" w:hAnsi="宋体" w:cs="Courier New"/>
          <w:color w:val="auto"/>
          <w:sz w:val="24"/>
          <w:szCs w:val="24"/>
        </w:rPr>
        <w:t xml:space="preserve">署本合</w:t>
      </w:r>
      <w:r>
        <w:rPr>
          <w:rFonts w:hint="eastAsia" w:ascii="宋体" w:hAnsi="宋体" w:eastAsia="宋体" w:cs="Courier New"/>
          <w:color w:val="auto"/>
          <w:sz w:val="24"/>
          <w:szCs w:val="24"/>
          <w:highlight w:val="none"/>
          <w:lang w:eastAsia="zh-CN"/>
        </w:rPr>
        <w:t xml:space="preserve">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eastAsia="zh-CN"/>
        </w:rPr>
        <w:t xml:space="preserve">1.1 标的名称：南京市看守所、南京市第二看守所、南京市第三看守所医疗服务采购项目</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eastAsia="zh-CN"/>
        </w:rPr>
        <w:t xml:space="preserve">1.2 标的质量：按招标文件及投标文件执行。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eastAsia="zh-CN"/>
        </w:rPr>
        <w:t xml:space="preserve">.3 标的数量（规模）：</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Times New Roman"/>
          <w:color w:val="auto"/>
          <w:sz w:val="24"/>
          <w:szCs w:val="24"/>
        </w:rPr>
        <w:t xml:space="preserve">：</w:t>
      </w:r>
      <w:r>
        <w:rPr>
          <w:rFonts w:hint="eastAsia" w:ascii="宋体" w:hAnsi="宋体" w:eastAsia="宋体" w:cs="宋体"/>
          <w:color w:val="auto"/>
          <w:sz w:val="24"/>
          <w:szCs w:val="24"/>
          <w:lang w:val="en-US" w:eastAsia="zh-CN"/>
        </w:rPr>
        <w:t xml:space="preserve">合同生效之日起三年。每年服务期满，采购人有权根据考核情况决定继续履行合同或终止合同。</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70"/>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本合同金额为（大写）：____________________圆（____________________元）人民币。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除招标文件接受分包并经甲方同意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8.1.1</w:t>
      </w:r>
      <w:r>
        <w:rPr>
          <w:rFonts w:hint="eastAsia" w:ascii="宋体" w:hAnsi="宋体" w:cs="Courier New"/>
          <w:color w:val="auto"/>
          <w:sz w:val="24"/>
          <w:szCs w:val="24"/>
          <w:highlight w:val="none"/>
          <w:lang w:val="en-US" w:eastAsia="zh-CN"/>
        </w:rPr>
        <w:t xml:space="preserve"> 每年服务期开始</w:t>
      </w:r>
      <w:r>
        <w:rPr>
          <w:rFonts w:hint="eastAsia" w:ascii="宋体" w:hAnsi="宋体" w:eastAsia="宋体" w:cs="Courier New"/>
          <w:color w:val="auto"/>
          <w:sz w:val="24"/>
          <w:szCs w:val="24"/>
          <w:highlight w:val="none"/>
          <w:lang w:val="en-US" w:eastAsia="zh-CN"/>
        </w:rPr>
        <w:t xml:space="preserve">，甲方支付</w:t>
      </w:r>
      <w:r>
        <w:rPr>
          <w:rFonts w:hint="eastAsia" w:ascii="宋体" w:hAnsi="宋体" w:cs="Courier New"/>
          <w:color w:val="auto"/>
          <w:sz w:val="24"/>
          <w:szCs w:val="24"/>
          <w:highlight w:val="none"/>
          <w:lang w:val="en-US" w:eastAsia="zh-CN"/>
        </w:rPr>
        <w:t xml:space="preserve">当年合同价款</w:t>
      </w:r>
      <w:r>
        <w:rPr>
          <w:rFonts w:hint="eastAsia" w:ascii="宋体" w:hAnsi="宋体" w:eastAsia="宋体" w:cs="Courier New"/>
          <w:color w:val="auto"/>
          <w:sz w:val="24"/>
          <w:szCs w:val="24"/>
          <w:highlight w:val="none"/>
          <w:lang w:val="en-US" w:eastAsia="zh-CN"/>
        </w:rPr>
        <w:t xml:space="preserve">的50%； </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8.1.2 </w:t>
      </w:r>
      <w:r>
        <w:rPr>
          <w:rFonts w:hint="eastAsia" w:ascii="宋体" w:hAnsi="宋体" w:cs="Courier New"/>
          <w:color w:val="auto"/>
          <w:sz w:val="24"/>
          <w:szCs w:val="24"/>
          <w:highlight w:val="none"/>
          <w:lang w:val="en-US" w:eastAsia="zh-CN"/>
        </w:rPr>
        <w:t xml:space="preserve">每年服务期满</w:t>
      </w:r>
      <w:r>
        <w:rPr>
          <w:rFonts w:hint="eastAsia" w:ascii="宋体" w:hAnsi="宋体" w:eastAsia="宋体" w:cs="Courier New"/>
          <w:color w:val="auto"/>
          <w:sz w:val="24"/>
          <w:szCs w:val="24"/>
          <w:highlight w:val="none"/>
          <w:lang w:val="en-US" w:eastAsia="zh-CN"/>
        </w:rPr>
        <w:t xml:space="preserve">6个月后</w:t>
      </w:r>
      <w:r>
        <w:rPr>
          <w:rFonts w:hint="eastAsia" w:ascii="宋体" w:hAnsi="宋体" w:cs="Courier New"/>
          <w:color w:val="auto"/>
          <w:sz w:val="24"/>
          <w:szCs w:val="24"/>
          <w:highlight w:val="none"/>
          <w:lang w:val="en-US"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cs="Courier New"/>
          <w:color w:val="auto"/>
          <w:sz w:val="24"/>
          <w:szCs w:val="24"/>
          <w:highlight w:val="none"/>
          <w:lang w:val="en-US" w:eastAsia="zh-CN"/>
        </w:rPr>
        <w:t xml:space="preserve">支付当年合同价款</w:t>
      </w:r>
      <w:r>
        <w:rPr>
          <w:rFonts w:hint="eastAsia" w:ascii="宋体" w:hAnsi="宋体" w:eastAsia="宋体" w:cs="Courier New"/>
          <w:color w:val="auto"/>
          <w:sz w:val="24"/>
          <w:szCs w:val="24"/>
          <w:highlight w:val="none"/>
          <w:lang w:val="en-US" w:eastAsia="zh-CN"/>
        </w:rPr>
        <w:t xml:space="preserve">的40%； </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8.1.3</w:t>
      </w:r>
      <w:r>
        <w:rPr>
          <w:rFonts w:hint="eastAsia" w:ascii="宋体" w:hAnsi="宋体" w:cs="Courier New"/>
          <w:color w:val="auto"/>
          <w:sz w:val="24"/>
          <w:szCs w:val="24"/>
          <w:highlight w:val="none"/>
          <w:lang w:val="en-US" w:eastAsia="zh-CN"/>
        </w:rPr>
        <w:t xml:space="preserve"> 每年服务期满</w:t>
      </w:r>
      <w:r>
        <w:rPr>
          <w:rFonts w:hint="eastAsia" w:ascii="宋体" w:hAnsi="宋体" w:eastAsia="宋体" w:cs="Courier New"/>
          <w:color w:val="auto"/>
          <w:sz w:val="24"/>
          <w:szCs w:val="24"/>
          <w:highlight w:val="none"/>
          <w:lang w:val="en-US" w:eastAsia="zh-CN"/>
        </w:rPr>
        <w:t xml:space="preserve">后甲方根据</w:t>
      </w:r>
      <w:r>
        <w:rPr>
          <w:rFonts w:hint="eastAsia" w:ascii="宋体" w:hAnsi="宋体" w:cs="Courier New"/>
          <w:color w:val="auto"/>
          <w:sz w:val="24"/>
          <w:szCs w:val="24"/>
          <w:highlight w:val="none"/>
          <w:lang w:val="en-US" w:eastAsia="zh-CN"/>
        </w:rPr>
        <w:t xml:space="preserve">当年乙方的</w:t>
      </w:r>
      <w:r>
        <w:rPr>
          <w:rFonts w:hint="eastAsia" w:ascii="宋体" w:hAnsi="宋体" w:eastAsia="宋体" w:cs="Courier New"/>
          <w:color w:val="auto"/>
          <w:sz w:val="24"/>
          <w:szCs w:val="24"/>
          <w:highlight w:val="none"/>
          <w:lang w:val="en-US" w:eastAsia="zh-CN"/>
        </w:rPr>
        <w:t xml:space="preserve">履约情况支付</w:t>
      </w:r>
      <w:r>
        <w:rPr>
          <w:rFonts w:hint="eastAsia" w:ascii="宋体" w:hAnsi="宋体" w:cs="Courier New"/>
          <w:color w:val="auto"/>
          <w:sz w:val="24"/>
          <w:szCs w:val="24"/>
          <w:highlight w:val="none"/>
          <w:lang w:val="en-US" w:eastAsia="zh-CN"/>
        </w:rPr>
        <w:t xml:space="preserve">当年合同价款</w:t>
      </w:r>
      <w:r>
        <w:rPr>
          <w:rFonts w:hint="eastAsia" w:ascii="宋体" w:hAnsi="宋体" w:eastAsia="宋体" w:cs="Courier New"/>
          <w:color w:val="auto"/>
          <w:sz w:val="24"/>
          <w:szCs w:val="24"/>
          <w:highlight w:val="none"/>
          <w:lang w:val="en-US" w:eastAsia="zh-CN"/>
        </w:rPr>
        <w:t xml:space="preserve">的剩余款项。 </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8.1.4满足合同约定支付条件的，甲方收到乙方发票后</w:t>
      </w:r>
      <w:r>
        <w:rPr>
          <w:rFonts w:hint="eastAsia" w:ascii="宋体" w:hAnsi="宋体" w:cs="Courier New"/>
          <w:color w:val="auto"/>
          <w:sz w:val="24"/>
          <w:szCs w:val="24"/>
          <w:highlight w:val="none"/>
          <w:lang w:val="en-US" w:eastAsia="zh-CN"/>
        </w:rPr>
        <w:t xml:space="preserve">10</w:t>
      </w:r>
      <w:r>
        <w:rPr>
          <w:rFonts w:hint="eastAsia" w:ascii="宋体" w:hAnsi="宋体" w:eastAsia="宋体" w:cs="Courier New"/>
          <w:color w:val="auto"/>
          <w:sz w:val="24"/>
          <w:szCs w:val="24"/>
          <w:highlight w:val="none"/>
          <w:lang w:val="en-US" w:eastAsia="zh-CN"/>
        </w:rPr>
        <w:t xml:space="preserve">个工作日内，将资金支付到合同约定的乙方账户。 </w:t>
      </w:r>
      <w:r/>
    </w:p>
    <w:p>
      <w:pPr>
        <w:pStyle w:val="970"/>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将根据项目特点制定验收方案</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明确验收的时间、方式、程序等内容</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并可根据项目特点对服务期内的服务实施情况进行分期考核</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auto"/>
          <w:sz w:val="24"/>
          <w:szCs w:val="24"/>
          <w:lang w:val="en-US" w:eastAsia="zh-CN"/>
        </w:rPr>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 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由甲方从待付合同款中扣除。逾期超过约定日期10个工作日不能提供服务的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甲方可解除本合同。乙方因逾期提供服务或因其他违约行为导致甲方解除合同的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乙方所提供服务的标准不符合合同规定及招标文件规定标准的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甲方有权拒绝接受服务</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任何一方因不可抗力事件导致不能履行合同</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则合同履行期可延长</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双方应通过友好协商</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具有同等法律效力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甲方、乙方各执一份。</w:t>
      </w:r>
      <w:r/>
    </w:p>
    <w:p>
      <w:pPr>
        <w:pStyle w:val="97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bookmarkEnd w:id="188"/>
      <w:r/>
      <w:bookmarkEnd w:id="189"/>
      <w:r/>
      <w:bookmarkEnd w:id="190"/>
      <w:r/>
      <w:r/>
    </w:p>
    <w:p>
      <w:pPr>
        <w:pStyle w:val="97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7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97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7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7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70"/>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p>
    <w:p>
      <w:pPr>
        <w:pStyle w:val="970"/>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t xml:space="preserve">《*******合同》补充协议（合同附件）</w:t>
      </w:r>
      <w:r/>
    </w:p>
    <w:p>
      <w:pPr>
        <w:pStyle w:val="970"/>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pStyle w:val="1050"/>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pPr>
      <w:r>
        <w:rPr>
          <w:rFonts w:hint="eastAsia" w:ascii="方正小标宋简体" w:hAnsi="方正小标宋简体" w:eastAsia="方正小标宋简体" w:cs="方正小标宋简体"/>
          <w:color w:val="auto"/>
          <w:sz w:val="36"/>
          <w:szCs w:val="36"/>
          <w:lang w:val="en-US" w:eastAsia="zh-CN" w:bidi="ar-SA"/>
        </w:rPr>
      </w:r>
      <w:r/>
    </w:p>
    <w:p>
      <w:pPr>
        <w:pStyle w:val="1050"/>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pPr>
      <w:r>
        <w:rPr>
          <w:rFonts w:hint="eastAsia" w:ascii="方正小标宋简体" w:hAnsi="方正小标宋简体" w:eastAsia="方正小标宋简体" w:cs="方正小标宋简体"/>
          <w:color w:val="auto"/>
          <w:sz w:val="36"/>
          <w:szCs w:val="36"/>
          <w:lang w:val="en-US" w:eastAsia="zh-CN" w:bidi="ar-SA"/>
        </w:rPr>
      </w:r>
      <w:r/>
    </w:p>
    <w:p>
      <w:pPr>
        <w:pStyle w:val="1050"/>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pPr>
      <w:r>
        <w:rPr>
          <w:rFonts w:hint="eastAsia" w:ascii="方正小标宋简体" w:hAnsi="方正小标宋简体" w:eastAsia="方正小标宋简体" w:cs="方正小标宋简体"/>
          <w:color w:val="auto"/>
          <w:sz w:val="36"/>
          <w:szCs w:val="36"/>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bookmarkStart w:id="191" w:name="_Toc26554093"/>
      <w:r/>
      <w:bookmarkStart w:id="192" w:name="_Toc49090575"/>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类项目。</w:t>
      </w:r>
      <w:r/>
    </w:p>
    <w:p>
      <w:pPr>
        <w:ind w:firstLine="480"/>
        <w:keepLines w:val="0"/>
        <w:keepNext w:val="0"/>
        <w:pageBreakBefore w:val="0"/>
        <w:spacing w:line="288"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1、本项目为2025</w:t>
      </w:r>
      <w:r>
        <w:rPr>
          <w:rFonts w:hint="eastAsia" w:ascii="宋体" w:hAnsi="宋体" w:cs="宋体"/>
          <w:color w:val="auto"/>
          <w:sz w:val="24"/>
          <w:szCs w:val="24"/>
          <w:lang w:val="en-US" w:eastAsia="zh-CN"/>
        </w:rPr>
        <w:t xml:space="preserve">-2027</w:t>
      </w:r>
      <w:r>
        <w:rPr>
          <w:rFonts w:hint="eastAsia" w:ascii="宋体" w:hAnsi="宋体" w:eastAsia="宋体" w:cs="宋体"/>
          <w:color w:val="auto"/>
          <w:sz w:val="24"/>
          <w:szCs w:val="24"/>
          <w:lang w:val="en-US" w:eastAsia="zh-CN"/>
        </w:rPr>
        <w:t xml:space="preserve">年度南京市公安局监管支队直属看守所医疗服务项目，包含三个看守所（南京市看守所、南京市第二看守所、南京市第三看守所）。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2、看守所基本情况及特点：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（1）南京市看守所：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南京市看守所位于南京市建邺区茶亭东街188号，迁建于1989年12月，1990年1月正式投入使用。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（2）南京市第二看守所：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南京市第二所位于南京市建邺区下圩村19号。1998年正式投入使用。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（3）南京市第三看守所： </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南京市第三看守所前身为玄武区看守所，位于南京市玄武区余粮村8号，2004年08月正式建成并投入使用。 </w:t>
      </w:r>
      <w:r/>
    </w:p>
    <w:p>
      <w:pPr>
        <w:ind w:firstLine="480"/>
        <w:keepLines w:val="0"/>
        <w:keepNext w:val="0"/>
        <w:pageBreakBefore w:val="0"/>
        <w:spacing w:line="288"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遵循国家、行业及地方现行的规范和标准。</w:t>
      </w:r>
      <w:r/>
    </w:p>
    <w:p>
      <w:pPr>
        <w:ind w:firstLine="480"/>
        <w:keepLines w:val="0"/>
        <w:keepNext w:val="0"/>
        <w:pageBreakBefore w:val="0"/>
        <w:spacing w:line="288"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1048"/>
        <w:tblW w:w="519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2904"/>
        <w:gridCol w:w="706"/>
        <w:gridCol w:w="748"/>
        <w:gridCol w:w="1353"/>
        <w:gridCol w:w="1859"/>
        <w:gridCol w:w="1007"/>
        <w:gridCol w:w="1018"/>
      </w:tblGrid>
      <w:tr>
        <w:trPr>
          <w:trHeight w:val="732"/>
        </w:trPr>
        <w:tc>
          <w:tcPr>
            <w:tcW w:w="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W w:w="289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W w:w="70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W w:w="7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W w:w="135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W w:w="185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W w:w="100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属性</w:t>
            </w:r>
            <w:r/>
          </w:p>
        </w:tc>
        <w:tc>
          <w:tcPr>
            <w:tcW w:w="101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备注</w:t>
            </w:r>
            <w:r/>
          </w:p>
        </w:tc>
      </w:tr>
      <w:tr>
        <w:trPr>
          <w:trHeight w:val="597"/>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89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南京市看守所医疗服务</w:t>
            </w:r>
            <w:r/>
          </w:p>
        </w:tc>
        <w:tc>
          <w:tcPr>
            <w:tcW w:w="7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7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w:t>
            </w:r>
            <w:r/>
          </w:p>
        </w:tc>
        <w:tc>
          <w:tcPr>
            <w:tcW w:w="135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主要产品</w:t>
            </w:r>
            <w:r/>
          </w:p>
        </w:tc>
        <w:tc>
          <w:tcPr>
            <w:tcW w:w="1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其他未列明行业</w:t>
            </w:r>
            <w:r/>
          </w:p>
        </w:tc>
        <w:tc>
          <w:tcPr>
            <w:tcW w:w="10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w:t>
            </w:r>
            <w:r/>
          </w:p>
        </w:tc>
        <w:tc>
          <w:tcPr>
            <w:tcW w:w="1016" w:type="dxa"/>
            <w:vAlign w:val="center"/>
            <w:textDirection w:val="lrTb"/>
            <w:noWrap w:val="false"/>
          </w:tcPr>
          <w:p>
            <w:pPr>
              <w:ind w:firstLine="480"/>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trHeight w:val="597"/>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289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南京市第二看守所医疗服务</w:t>
            </w:r>
            <w:r/>
          </w:p>
        </w:tc>
        <w:tc>
          <w:tcPr>
            <w:tcW w:w="7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7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w:t>
            </w:r>
            <w:r/>
          </w:p>
        </w:tc>
        <w:tc>
          <w:tcPr>
            <w:tcW w:w="135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主要产品</w:t>
            </w:r>
            <w:r/>
          </w:p>
        </w:tc>
        <w:tc>
          <w:tcPr>
            <w:tcW w:w="1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其他未列明行业</w:t>
            </w:r>
            <w:r/>
          </w:p>
        </w:tc>
        <w:tc>
          <w:tcPr>
            <w:tcW w:w="10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w:t>
            </w:r>
            <w:r/>
          </w:p>
        </w:tc>
        <w:tc>
          <w:tcPr>
            <w:tcW w:w="1016" w:type="dxa"/>
            <w:vAlign w:val="center"/>
            <w:textDirection w:val="lrTb"/>
            <w:noWrap w:val="false"/>
          </w:tcPr>
          <w:p>
            <w:pPr>
              <w:ind w:firstLine="480"/>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trHeight w:val="597"/>
        </w:trPr>
        <w:tc>
          <w:tcPr>
            <w:tcW w:w="5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289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南京市第三看守所医疗服务</w:t>
            </w:r>
            <w:r/>
          </w:p>
        </w:tc>
        <w:tc>
          <w:tcPr>
            <w:tcW w:w="7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7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w:t>
            </w:r>
            <w:r/>
          </w:p>
        </w:tc>
        <w:tc>
          <w:tcPr>
            <w:tcW w:w="135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主要产品</w:t>
            </w:r>
            <w:r/>
          </w:p>
        </w:tc>
        <w:tc>
          <w:tcPr>
            <w:tcW w:w="1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其他未列明行业</w:t>
            </w:r>
            <w:r/>
          </w:p>
        </w:tc>
        <w:tc>
          <w:tcPr>
            <w:tcW w:w="10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w:t>
            </w:r>
            <w:r/>
          </w:p>
        </w:tc>
        <w:tc>
          <w:tcPr>
            <w:tcW w:w="1016" w:type="dxa"/>
            <w:vAlign w:val="center"/>
            <w:textDirection w:val="lrTb"/>
            <w:noWrap w:val="false"/>
          </w:tcPr>
          <w:p>
            <w:pPr>
              <w:ind w:firstLine="480"/>
              <w:jc w:val="center"/>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bl>
    <w:p>
      <w:pPr>
        <w:ind w:firstLine="480"/>
        <w:keepLines w:val="0"/>
        <w:keepNext w:val="0"/>
        <w:pageBreakBefore w:val="0"/>
        <w:spacing w:line="288" w:lineRule="auto"/>
        <w:widowControl w:val="off"/>
        <w:rPr>
          <w:rFonts w:hint="eastAsia" w:ascii="宋体" w:hAnsi="宋体" w:eastAsia="宋体" w:cs="宋体"/>
          <w:b/>
          <w:bCs w:val="0"/>
          <w:color w:val="auto"/>
          <w:sz w:val="24"/>
          <w:szCs w:val="24"/>
          <w:highlight w:val="none"/>
        </w:rPr>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w:t>
      </w:r>
      <w:r>
        <w:rPr>
          <w:rFonts w:hint="eastAsia" w:ascii="宋体" w:hAnsi="宋体" w:eastAsia="宋体" w:cs="宋体"/>
          <w:color w:val="auto"/>
          <w:sz w:val="24"/>
          <w:szCs w:val="24"/>
          <w:lang w:val="en-US" w:eastAsia="zh-CN"/>
        </w:rPr>
        <w:t xml:space="preserve">求</w:t>
      </w:r>
      <w:r/>
    </w:p>
    <w:p>
      <w:pPr>
        <w:ind w:firstLine="480"/>
        <w:keepLines w:val="0"/>
        <w:keepNext w:val="0"/>
        <w:pageBreakBefore w:val="0"/>
        <w:spacing w:line="240" w:lineRule="auto"/>
        <w:widowControl w:val="off"/>
        <w:rPr>
          <w:rFonts w:hint="eastAsia" w:ascii="宋体" w:hAnsi="宋体" w:eastAsia="宋体" w:cs="宋体"/>
          <w:color w:val="auto"/>
          <w:sz w:val="20"/>
          <w:szCs w:val="20"/>
          <w:lang w:val="en-US" w:eastAsia="zh-CN" w:bidi="ar"/>
        </w:rPr>
      </w:pPr>
      <w:r>
        <w:rPr>
          <w:rFonts w:hint="eastAsia" w:ascii="宋体" w:hAnsi="宋体" w:eastAsia="宋体" w:cs="宋体"/>
          <w:color w:val="auto"/>
          <w:sz w:val="24"/>
          <w:szCs w:val="24"/>
          <w:lang w:val="en-US" w:eastAsia="zh-CN"/>
        </w:rPr>
        <w:t xml:space="preserve">1 南京市看守所医疗服务</w:t>
      </w:r>
      <w:r/>
    </w:p>
    <w:tbl>
      <w:tblPr>
        <w:tblStyle w:val="1000"/>
        <w:tblW w:w="100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30"/>
        <w:gridCol w:w="7560"/>
      </w:tblGrid>
      <w:tr>
        <w:trPr/>
        <w:tc>
          <w:tcPr>
            <w:tcW w:w="69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W w:w="1830"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 </w:t>
            </w:r>
            <w:r/>
          </w:p>
        </w:tc>
        <w:tc>
          <w:tcPr>
            <w:tcW w:w="7560"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功能、性能、配置要求</w:t>
            </w:r>
            <w:r/>
          </w:p>
        </w:tc>
      </w:tr>
      <w:tr>
        <w:trPr/>
        <w:tc>
          <w:tcPr>
            <w:tcW w:w="699" w:type="dxa"/>
            <w:vAlign w:val="top"/>
            <w:textDirection w:val="lrTb"/>
            <w:noWrap w:val="false"/>
          </w:tcPr>
          <w:p>
            <w:pPr>
              <w:pStyle w:val="1006"/>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830" w:type="dxa"/>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★实质性要求</w:t>
            </w:r>
            <w:r/>
          </w:p>
        </w:tc>
        <w:tc>
          <w:tcPr>
            <w:tcW w:w="7560" w:type="dxa"/>
            <w:vAlign w:val="top"/>
            <w:textDirection w:val="lrTb"/>
            <w:noWrap w:val="false"/>
          </w:tcPr>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不低于以下要求：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1、供应商须根据采购人需求在其所属医院本部住院、门诊或急诊区域内设置独立监管病房一间（符合医院病房标准并保证足够看押空间）。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2、监管病房应满足常规医疗收治条件、病房内的日常保洁及基础设施修缮由供应商负责并由采购人在病房内增设必要的看押防护设施及监控设备；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3、合同履约期内采购人向供应商提出使用需求，中标供应商2小时内必须将病房交付采购人使用并提供医疗救治服务。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4、具体工作内容：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供应商须在南京市看守所设置门诊部，通过“所院合作”的模式，实行全天候24小时医疗保障。主要开展以下项目：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（1）健康检查：依据公安部有关规定完成被监管人员入、出所及所内健康检查工作。 </w:t>
            </w:r>
            <w:r/>
          </w:p>
          <w:p>
            <w:pPr>
              <w:jc w:val="left"/>
              <w:keepLines w:val="0"/>
              <w:keepNext w:val="0"/>
              <w:pageBreakBefore w:val="0"/>
              <w:spacing w:line="300" w:lineRule="exact"/>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（2）所内医疗:主要负责日常巡诊（每日上、下午巡诊两次）、门（急）</w:t>
            </w:r>
            <w:r>
              <w:rPr>
                <w:rFonts w:hint="eastAsia" w:ascii="宋体" w:hAnsi="宋体" w:eastAsia="宋体" w:cs="宋体"/>
                <w:color w:val="auto"/>
                <w:sz w:val="24"/>
                <w:szCs w:val="24"/>
                <w:highlight w:val="none"/>
                <w:lang w:val="en-US" w:eastAsia="zh-CN" w:bidi="ar-SA"/>
              </w:rPr>
              <w:t xml:space="preserve">诊、药品管理、半年体检、全所防疫消杀、院感及档案管理等工作；每周安排B超医生和其他科室医生到所检查会诊；定期派遣院内专家对所内医疗质量及各项专业制度落实进行考核。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绿色通道”：对在押人员的门、急诊及住院实行先看病后缴费、协调医院相关业务科室，开辟各种辅助检查的优先检查通道，给予优先检查、优先诊疗、优先救治、优先住院等快速有效的出所就医保障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（4）建立远程医疗平台：提供远程医疗会诊服务。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（5）建立医疗专家库：协助成立各专科专家组成的监管医疗专家库，主要负责危重病人的会诊、门诊、疑难病例治疗、健康教育等医疗支持工作。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6）药品管理：在监所内开设门诊药房，提供市医保药品目录内药品（特殊药品采购采购人与中标供应商协商解决）并保证药品质量及进货渠道、运输途径的合法合规性，药品价格不高于中标供应商本部药房药品销售价。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（7）继续教育：中标供应商负责为派驻医务人员的日常人事管理、业务管理及常态化的做好医疗业务培训和相关职业道德教育培训。为监管医务民警的继续教育提供帮助和便利。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（8）遇有疫情特殊时期，围绕收押、监所管理、物品交接、应急处置等方面，按照上级要求指导并协助监所各岗位做好疫情防控工作。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（9）在押人员出所就医必须 1 名派驻所内的医务人员陪同前往与医院对接。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（10）监所防疫消杀工作由驻所医务人员负责，配备消毒专员，防疫消杀责任单位为驻所医疗单位。 </w:t>
            </w:r>
            <w:r/>
          </w:p>
          <w:p>
            <w:pPr>
              <w:jc w:val="left"/>
              <w:keepLines w:val="0"/>
              <w:keepNext w:val="0"/>
              <w:pageBreakBefore w:val="0"/>
              <w:spacing w:line="300" w:lineRule="exact"/>
              <w:widowControl/>
              <w:rPr>
                <w:rFonts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（11）出所健康检查由驻所医务人员负责。</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5、科室配备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按照公安部和卫健委联合下发的监所医疗机构建设标准，结合南京市看守所实际情况，要求门诊部设置内科、外科、妇科、治疗室、处置室、药房及B超、影像、检验、心电图等相关职能科室。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6、人员配备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根据上述配置标准，至少需配备14名医务人员</w:t>
            </w:r>
            <w:r>
              <w:rPr>
                <w:rFonts w:hint="eastAsia" w:ascii="宋体" w:hAnsi="宋体" w:cs="宋体"/>
                <w:color w:val="auto"/>
                <w:sz w:val="24"/>
                <w:szCs w:val="24"/>
                <w:highlight w:val="none"/>
                <w:lang w:val="en-US" w:eastAsia="zh-CN" w:bidi="ar-SA"/>
              </w:rPr>
              <w:t xml:space="preserve">，签订合同时</w:t>
            </w:r>
            <w:r>
              <w:rPr>
                <w:rFonts w:hint="eastAsia" w:ascii="宋体" w:hAnsi="宋体" w:eastAsia="宋体" w:cs="宋体"/>
                <w:color w:val="auto"/>
                <w:sz w:val="24"/>
                <w:szCs w:val="24"/>
                <w:highlight w:val="none"/>
                <w:lang w:val="en-US" w:eastAsia="zh-CN" w:bidi="ar-SA"/>
              </w:rPr>
              <w:t xml:space="preserve">须提供人员名单，其中医生9人（其中1人为管理人员，执业类别为全科或内科主治以上职称，其他医生执业类别包含但不仅限于妇科，内科，外科），护士5人，根据医疗发展及采购人发展的需要增减人员，经双方协商同意，另行签定相关协议。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（2）具体种类要求</w:t>
            </w:r>
            <w:r>
              <w:rPr>
                <w:rFonts w:hint="eastAsia" w:ascii="宋体" w:hAnsi="宋体" w:cs="宋体"/>
                <w:color w:val="auto"/>
                <w:sz w:val="24"/>
                <w:szCs w:val="24"/>
                <w:highlight w:val="none"/>
                <w:lang w:val="en-US" w:eastAsia="zh-CN" w:bidi="ar-SA"/>
              </w:rPr>
              <w:t xml:space="preserve">（人员名单不能重复）</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医生要求：</w:t>
            </w:r>
            <w:r>
              <w:rPr>
                <w:rFonts w:hint="eastAsia" w:ascii="宋体" w:hAnsi="宋体" w:eastAsia="宋体" w:cs="宋体"/>
                <w:color w:val="auto"/>
                <w:sz w:val="24"/>
                <w:szCs w:val="24"/>
                <w:highlight w:val="none"/>
                <w:lang w:val="en-US" w:eastAsia="zh-CN" w:bidi="ar-SA"/>
              </w:rPr>
              <w:t xml:space="preserve">副主任医师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以上职称医师</w:t>
            </w:r>
            <w:r>
              <w:rPr>
                <w:rFonts w:hint="eastAsia" w:ascii="宋体" w:hAnsi="宋体" w:cs="宋体"/>
                <w:color w:val="auto"/>
                <w:sz w:val="24"/>
                <w:szCs w:val="24"/>
                <w:highlight w:val="none"/>
                <w:lang w:val="en-US" w:eastAsia="zh-CN" w:bidi="ar-SA"/>
              </w:rPr>
              <w:t xml:space="preserve">至少1名</w:t>
            </w:r>
            <w:r>
              <w:rPr>
                <w:rFonts w:hint="eastAsia" w:ascii="宋体" w:hAnsi="宋体" w:eastAsia="宋体" w:cs="宋体"/>
                <w:color w:val="auto"/>
                <w:sz w:val="24"/>
                <w:szCs w:val="24"/>
                <w:highlight w:val="none"/>
                <w:lang w:val="en-US" w:eastAsia="zh-CN" w:bidi="ar-SA"/>
              </w:rPr>
              <w:t xml:space="preserve">（内科或外科）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主治医师及</w:t>
            </w:r>
            <w:r>
              <w:rPr>
                <w:rFonts w:hint="eastAsia" w:ascii="宋体" w:hAnsi="宋体" w:eastAsia="宋体" w:cs="宋体"/>
                <w:color w:val="auto"/>
                <w:sz w:val="24"/>
                <w:szCs w:val="24"/>
                <w:highlight w:val="none"/>
                <w:lang w:val="en-US" w:eastAsia="zh-CN" w:bidi="ar-SA"/>
              </w:rPr>
              <w:t xml:space="preserve">以上职称至少</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名</w:t>
            </w:r>
            <w:r>
              <w:rPr>
                <w:rFonts w:hint="eastAsia" w:ascii="宋体" w:hAnsi="宋体" w:cs="宋体"/>
                <w:color w:val="auto"/>
                <w:sz w:val="24"/>
                <w:szCs w:val="24"/>
                <w:highlight w:val="none"/>
                <w:lang w:val="en-US" w:eastAsia="zh-CN" w:bidi="ar-SA"/>
              </w:rPr>
              <w:t xml:space="preserve">，其余医生至少为住院医师</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护士要求：</w:t>
            </w:r>
            <w:r>
              <w:rPr>
                <w:rFonts w:hint="eastAsia" w:ascii="宋体" w:hAnsi="宋体" w:eastAsia="宋体" w:cs="宋体"/>
                <w:color w:val="auto"/>
                <w:sz w:val="24"/>
                <w:szCs w:val="24"/>
                <w:highlight w:val="none"/>
                <w:lang w:val="en-US" w:eastAsia="zh-CN" w:bidi="ar-SA"/>
              </w:rPr>
              <w:t xml:space="preserve">护师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以上职称护理人员</w:t>
            </w:r>
            <w:r>
              <w:rPr>
                <w:rFonts w:hint="eastAsia" w:ascii="宋体" w:hAnsi="宋体" w:cs="宋体"/>
                <w:color w:val="auto"/>
                <w:sz w:val="24"/>
                <w:szCs w:val="24"/>
                <w:highlight w:val="none"/>
                <w:lang w:val="en-US" w:eastAsia="zh-CN" w:bidi="ar-SA"/>
              </w:rPr>
              <w:t xml:space="preserve">至少1名，其余为护士</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中标供应商医务人员履行合同前需经过采购人审核，审核通过后方可上岗且上岗医务人员不得在监管支队其他直属监所就职，上岗人员不得随意更换，所有人员更换需提前通知采购人，经采购人同意后方可更换。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8、不同勤务模式下的医疗人员配备需求：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监所实行正常勤务模式：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（1）工作日：①医生白天4名，夜间2名；②护士白天2名，夜间1名，负责监区内护理工作；</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（2）非工作日：①医生白天3名，夜间2名；②护士白天、夜间均为1 名，负责监区内护理工作。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9、疫情期间监所按照上级要求实行封闭管理模式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每组参与封闭管理的医生不少于3人，护士不少于2人。 </w:t>
            </w:r>
            <w:r/>
          </w:p>
        </w:tc>
      </w:tr>
    </w:tbl>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auto"/>
          <w:sz w:val="20"/>
          <w:szCs w:val="20"/>
          <w:lang w:val="en-US" w:eastAsia="zh-CN" w:bidi="ar"/>
        </w:rPr>
      </w:pPr>
      <w:r>
        <w:rPr>
          <w:rFonts w:hint="eastAsia" w:ascii="宋体" w:hAnsi="宋体" w:eastAsia="宋体" w:cs="宋体"/>
          <w:color w:val="auto"/>
          <w:sz w:val="24"/>
          <w:szCs w:val="24"/>
          <w:lang w:val="en-US" w:eastAsia="zh-CN"/>
        </w:rPr>
        <w:t xml:space="preserve">2、南京市第二看守所医疗服务</w:t>
      </w:r>
      <w:r/>
    </w:p>
    <w:tbl>
      <w:tblPr>
        <w:tblStyle w:val="1000"/>
        <w:tblW w:w="100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30"/>
        <w:gridCol w:w="7560"/>
      </w:tblGrid>
      <w:tr>
        <w:trPr/>
        <w:tc>
          <w:tcPr>
            <w:tcW w:w="69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W w:w="1830"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 </w:t>
            </w:r>
            <w:r/>
          </w:p>
        </w:tc>
        <w:tc>
          <w:tcPr>
            <w:tcW w:w="7560"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功能、性能、配置要求</w:t>
            </w:r>
            <w:r/>
          </w:p>
        </w:tc>
      </w:tr>
      <w:tr>
        <w:trPr/>
        <w:tc>
          <w:tcPr>
            <w:tcW w:w="699" w:type="dxa"/>
            <w:vAlign w:val="top"/>
            <w:textDirection w:val="lrTb"/>
            <w:noWrap w:val="false"/>
          </w:tcPr>
          <w:p>
            <w:pPr>
              <w:pStyle w:val="1006"/>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830" w:type="dxa"/>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★实质性要求</w:t>
            </w:r>
            <w:r/>
          </w:p>
        </w:tc>
        <w:tc>
          <w:tcPr>
            <w:tcW w:w="7560" w:type="dxa"/>
            <w:vAlign w:val="top"/>
            <w:textDirection w:val="lrTb"/>
            <w:noWrap w:val="false"/>
          </w:tcPr>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不低于以下要求：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1、供应商须根据采购人需求在其所属医院本部住院、门诊或急诊区域内设置独立监管病房一间（符合医院病房标准并保证足够看押空间）。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2、监管病房应满足常规医疗收治条件、病房内的日常保洁及基础设施修缮由中标供应商负责并由采购人在病房内增设必要的看押防护设施及监控设备；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3、合同履约期内采购人向中标供应商提出使用需求，中标供应商2小时内必须将病房交付采购人使用并提供医疗救治服务。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4、具体工作内容：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供应商须在南京市看守所设置门诊部，通过“所院合作”的模式，实行全天候24小时医疗保障。主要开展以下项目：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（1）健康检查：依据公安部有关规定完成被监管人员入、出所及所内健康检查工作。 </w:t>
            </w:r>
            <w:r/>
          </w:p>
          <w:p>
            <w:pPr>
              <w:jc w:val="left"/>
              <w:keepLines w:val="0"/>
              <w:keepNext w:val="0"/>
              <w:pageBreakBefore w:val="0"/>
              <w:spacing w:line="300" w:lineRule="exact"/>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（2）所内医</w:t>
            </w:r>
            <w:r>
              <w:rPr>
                <w:rFonts w:hint="eastAsia" w:ascii="宋体" w:hAnsi="宋体" w:eastAsia="宋体" w:cs="宋体"/>
                <w:color w:val="auto"/>
                <w:sz w:val="24"/>
                <w:szCs w:val="24"/>
                <w:highlight w:val="none"/>
                <w:lang w:val="en-US" w:eastAsia="zh-CN" w:bidi="ar-SA"/>
              </w:rPr>
              <w:t xml:space="preserve">疗:主要负责日常巡诊（每日上、下午巡诊两次）、门（急）诊、药品管理、半年体检、全所防疫消杀、院感及档案管理等工作；每周安排B超医生和其他科室医生到所检查会诊；定期派遣院内专家对所内医疗质量及各项专业制度落实进行考核。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绿色通道”：对在押人员的门、急诊及住院实行先看病后缴费、协调医院相关业务科室，开辟各种辅助检查的优先检查通道，给予优先检查、优先诊疗、优先救治、优先住院等快速有效的出所就医保障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（4）建立远程医疗平台：提供远程医疗会诊服务。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（5）建立医疗专家库：协助成立各专科专家组成的监管医疗专家库，主要负责危重病人的会诊、门诊、疑难病例治疗、健康教育等医疗支持工作。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6）药品管理：在监所内开设门诊药房，提供市医保药品目录内药品（特殊药品采购采购人与中标供应商协商解决）并保证药品质量及进货渠道、运输途径的合法合规性，药品价格不高于中标供应商本部药房药品销售价。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（7）继续教育：供应商负责为派驻医务人员的日常人事管理、业务管理及常态化的做好医疗业务培训和相关职业道德教育培训。为监管医务民警的继续教育提供帮助和便利。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（8）遇有疫情特殊时期，围绕收押、监所管理、物品交接、应急处置等方面，按照上级要求指导并协助监所各岗位做好疫情防控工作。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（9）在押人员出所就医必须 1 名派驻所内的医务人员陪同前往与医院对接。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（10）监所防疫消杀工作由驻所医务人员负责，配备消毒专员，防疫消杀责任单位为驻所医疗单位。 </w:t>
            </w:r>
            <w:r/>
          </w:p>
          <w:p>
            <w:pPr>
              <w:jc w:val="left"/>
              <w:keepLines w:val="0"/>
              <w:keepNext w:val="0"/>
              <w:pageBreakBefore w:val="0"/>
              <w:spacing w:line="300" w:lineRule="exact"/>
              <w:widowControl/>
              <w:rPr>
                <w:rFonts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（11）出所健康检查由驻所医务人员负责。</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5、科室配备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bidi="ar-SA"/>
              </w:rPr>
              <w:t xml:space="preserve">按照公安部和卫健委联合下发的监所医疗机构建设标准，结合南京市看守所实际情况，要求门诊部设置内科、外科、妇科、治疗室、处置室、药房及B超、影像、</w:t>
            </w:r>
            <w:r>
              <w:rPr>
                <w:rFonts w:hint="eastAsia" w:ascii="宋体" w:hAnsi="宋体" w:eastAsia="宋体" w:cs="宋体"/>
                <w:color w:val="auto"/>
                <w:sz w:val="24"/>
                <w:szCs w:val="24"/>
                <w:highlight w:val="none"/>
                <w:lang w:val="en-US" w:eastAsia="zh-CN" w:bidi="ar-SA"/>
              </w:rPr>
              <w:t xml:space="preserve">检验、心电图等相关职能科室。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6、人员配备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（1）根据上述配置标准，至少需配备15名医务人员</w:t>
            </w:r>
            <w:r>
              <w:rPr>
                <w:rFonts w:hint="eastAsia" w:ascii="宋体" w:hAnsi="宋体" w:cs="宋体"/>
                <w:color w:val="auto"/>
                <w:sz w:val="24"/>
                <w:szCs w:val="24"/>
                <w:highlight w:val="none"/>
                <w:lang w:val="en-US" w:eastAsia="zh-CN" w:bidi="ar-SA"/>
              </w:rPr>
              <w:t xml:space="preserve">，签订合同时</w:t>
            </w:r>
            <w:r>
              <w:rPr>
                <w:rFonts w:hint="eastAsia" w:ascii="宋体" w:hAnsi="宋体" w:eastAsia="宋体" w:cs="宋体"/>
                <w:color w:val="auto"/>
                <w:sz w:val="24"/>
                <w:szCs w:val="24"/>
                <w:highlight w:val="none"/>
                <w:lang w:val="en-US" w:eastAsia="zh-CN" w:bidi="ar-SA"/>
              </w:rPr>
              <w:t xml:space="preserve">须提供人员名单，其中医生9人（其中1人为管理人员，执业类别为全科或内科主治以上职称，其他医生执业类别包含但不仅限于妇科，内科，外科），护士5人，影像1人（负责全市直属监所影像检查，供采购人统一调配），根据医疗发展及采购人发展的需要增减人员，经双方协商同意，另行签定相关协议。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（2）具体种类要求</w:t>
            </w:r>
            <w:r>
              <w:rPr>
                <w:rFonts w:hint="eastAsia" w:ascii="宋体" w:hAnsi="宋体" w:cs="宋体"/>
                <w:color w:val="auto"/>
                <w:sz w:val="24"/>
                <w:szCs w:val="24"/>
                <w:highlight w:val="none"/>
                <w:lang w:val="en-US" w:eastAsia="zh-CN" w:bidi="ar-SA"/>
              </w:rPr>
              <w:t xml:space="preserve">（人员名单不能重复）</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医生要求：</w:t>
            </w:r>
            <w:r>
              <w:rPr>
                <w:rFonts w:hint="eastAsia" w:ascii="宋体" w:hAnsi="宋体" w:eastAsia="宋体" w:cs="宋体"/>
                <w:color w:val="auto"/>
                <w:sz w:val="24"/>
                <w:szCs w:val="24"/>
                <w:highlight w:val="none"/>
                <w:lang w:val="en-US" w:eastAsia="zh-CN" w:bidi="ar-SA"/>
              </w:rPr>
              <w:t xml:space="preserve">副主任医师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以上职称医师</w:t>
            </w:r>
            <w:r>
              <w:rPr>
                <w:rFonts w:hint="eastAsia" w:ascii="宋体" w:hAnsi="宋体" w:cs="宋体"/>
                <w:color w:val="auto"/>
                <w:sz w:val="24"/>
                <w:szCs w:val="24"/>
                <w:highlight w:val="none"/>
                <w:lang w:val="en-US" w:eastAsia="zh-CN" w:bidi="ar-SA"/>
              </w:rPr>
              <w:t xml:space="preserve">至少1名</w:t>
            </w:r>
            <w:r>
              <w:rPr>
                <w:rFonts w:hint="eastAsia" w:ascii="宋体" w:hAnsi="宋体" w:eastAsia="宋体" w:cs="宋体"/>
                <w:color w:val="auto"/>
                <w:sz w:val="24"/>
                <w:szCs w:val="24"/>
                <w:highlight w:val="none"/>
                <w:lang w:val="en-US" w:eastAsia="zh-CN" w:bidi="ar-SA"/>
              </w:rPr>
              <w:t xml:space="preserve">（内科或外科）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主治医师及</w:t>
            </w:r>
            <w:r>
              <w:rPr>
                <w:rFonts w:hint="eastAsia" w:ascii="宋体" w:hAnsi="宋体" w:eastAsia="宋体" w:cs="宋体"/>
                <w:color w:val="auto"/>
                <w:sz w:val="24"/>
                <w:szCs w:val="24"/>
                <w:highlight w:val="none"/>
                <w:lang w:val="en-US" w:eastAsia="zh-CN" w:bidi="ar-SA"/>
              </w:rPr>
              <w:t xml:space="preserve">以上职称至少</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名</w:t>
            </w:r>
            <w:r>
              <w:rPr>
                <w:rFonts w:hint="eastAsia" w:ascii="宋体" w:hAnsi="宋体" w:cs="宋体"/>
                <w:color w:val="auto"/>
                <w:sz w:val="24"/>
                <w:szCs w:val="24"/>
                <w:highlight w:val="none"/>
                <w:lang w:val="en-US" w:eastAsia="zh-CN" w:bidi="ar-SA"/>
              </w:rPr>
              <w:t xml:space="preserve">，其余医生至少为住院医师</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护士要求：</w:t>
            </w:r>
            <w:r>
              <w:rPr>
                <w:rFonts w:hint="eastAsia" w:ascii="宋体" w:hAnsi="宋体" w:eastAsia="宋体" w:cs="宋体"/>
                <w:color w:val="auto"/>
                <w:sz w:val="24"/>
                <w:szCs w:val="24"/>
                <w:highlight w:val="none"/>
                <w:lang w:val="en-US" w:eastAsia="zh-CN" w:bidi="ar-SA"/>
              </w:rPr>
              <w:t xml:space="preserve">护师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以上职称护理人员</w:t>
            </w:r>
            <w:r>
              <w:rPr>
                <w:rFonts w:hint="eastAsia" w:ascii="宋体" w:hAnsi="宋体" w:cs="宋体"/>
                <w:color w:val="auto"/>
                <w:sz w:val="24"/>
                <w:szCs w:val="24"/>
                <w:highlight w:val="none"/>
                <w:lang w:val="en-US" w:eastAsia="zh-CN" w:bidi="ar-SA"/>
              </w:rPr>
              <w:t xml:space="preserve">至少1名，其余为护士</w:t>
            </w:r>
            <w:r>
              <w:rPr>
                <w:rFonts w:hint="eastAsia"/>
                <w:color w:val="auto"/>
                <w:highlight w:val="none"/>
                <w:lang w:eastAsia="zh-CN"/>
              </w:rPr>
              <w:t xml:space="preserve">；</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eastAsia="宋体" w:cs="Times New Roman"/>
                <w:color w:val="auto"/>
                <w:highlight w:val="none"/>
                <w:lang w:val="en-US" w:eastAsia="zh-CN"/>
              </w:rPr>
              <w:suppressLineNumbers w:val="0"/>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）影像医生应具备相应执业资格。</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中标供应商医务人员履行合同前需经过采购人审核，审核通过后方可上岗且上岗医务人员不得在监管支队其他直属监所就职，上岗人员不得随意更换，所有人员更换需提前通知采购人，经采购人同意后方可更换。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8、不同勤务模式下的医疗人员配备需求：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bidi="ar-SA"/>
              </w:rPr>
              <w:t xml:space="preserve">监所实</w:t>
            </w:r>
            <w:r>
              <w:rPr>
                <w:rFonts w:hint="eastAsia" w:ascii="宋体" w:hAnsi="宋体" w:eastAsia="宋体" w:cs="宋体"/>
                <w:color w:val="auto"/>
                <w:sz w:val="24"/>
                <w:szCs w:val="24"/>
                <w:highlight w:val="none"/>
                <w:lang w:val="en-US" w:eastAsia="zh-CN" w:bidi="ar-SA"/>
              </w:rPr>
              <w:t xml:space="preserve">行正常勤务模式：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（1）工作日：①医生白天4名，夜间2名；②护士白天2名，夜间1名，负责监区内护理工作；</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（2）非工作日：①医生白天3名，夜间2名；②护士白天、夜间均为1 名，负责监区内护理工作。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9、疫情期间监所按照上级要求实行封闭管理模式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每组参与封闭管理的医生不少于3人，护士</w:t>
            </w:r>
            <w:r>
              <w:rPr>
                <w:rFonts w:hint="eastAsia" w:ascii="宋体" w:hAnsi="宋体" w:eastAsia="宋体" w:cs="宋体"/>
                <w:color w:val="auto"/>
                <w:sz w:val="24"/>
                <w:szCs w:val="24"/>
                <w:lang w:val="en-US" w:eastAsia="zh-CN" w:bidi="ar-SA"/>
              </w:rPr>
              <w:t xml:space="preserve">不少于2人。 </w:t>
            </w:r>
            <w:r/>
          </w:p>
        </w:tc>
      </w:tr>
    </w:tbl>
    <w:p>
      <w:pPr>
        <w:pStyle w:val="1006"/>
        <w:rPr>
          <w:color w:val="auto"/>
        </w:rPr>
      </w:pPr>
      <w:r>
        <w:rPr>
          <w:color w:val="auto"/>
        </w:rPr>
      </w:r>
      <w:r/>
    </w:p>
    <w:p>
      <w:pPr>
        <w:ind w:firstLine="480"/>
        <w:keepLines w:val="0"/>
        <w:keepNext w:val="0"/>
        <w:pageBreakBefore w:val="0"/>
        <w:spacing w:line="240" w:lineRule="auto"/>
        <w:widowControl w:val="off"/>
        <w:rPr>
          <w:rFonts w:hint="eastAsia" w:ascii="宋体" w:hAnsi="宋体" w:eastAsia="宋体" w:cs="宋体"/>
          <w:color w:val="auto"/>
          <w:sz w:val="20"/>
          <w:szCs w:val="20"/>
          <w:lang w:val="en-US" w:eastAsia="zh-CN" w:bidi="ar"/>
        </w:rPr>
      </w:pPr>
      <w:r>
        <w:rPr>
          <w:rFonts w:hint="eastAsia" w:ascii="宋体" w:hAnsi="宋体" w:eastAsia="宋体" w:cs="宋体"/>
          <w:color w:val="auto"/>
          <w:sz w:val="24"/>
          <w:szCs w:val="24"/>
          <w:lang w:val="en-US" w:eastAsia="zh-CN"/>
        </w:rPr>
        <w:t xml:space="preserve">3、南京市第三看守所医疗服务</w:t>
      </w:r>
      <w:r/>
    </w:p>
    <w:tbl>
      <w:tblPr>
        <w:tblStyle w:val="1000"/>
        <w:tblW w:w="100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30"/>
        <w:gridCol w:w="7560"/>
      </w:tblGrid>
      <w:tr>
        <w:trPr/>
        <w:tc>
          <w:tcPr>
            <w:tcW w:w="69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W w:w="1830" w:type="dxa"/>
            <w:vAlign w:val="top"/>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 </w:t>
            </w:r>
            <w:r/>
          </w:p>
        </w:tc>
        <w:tc>
          <w:tcPr>
            <w:tcW w:w="7560"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功能、性能、配置要求</w:t>
            </w:r>
            <w:r/>
          </w:p>
        </w:tc>
      </w:tr>
      <w:tr>
        <w:trPr/>
        <w:tc>
          <w:tcPr>
            <w:tcW w:w="699" w:type="dxa"/>
            <w:vAlign w:val="top"/>
            <w:textDirection w:val="lrTb"/>
            <w:noWrap w:val="false"/>
          </w:tcPr>
          <w:p>
            <w:pPr>
              <w:pStyle w:val="1006"/>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830" w:type="dxa"/>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★实质性要求</w:t>
            </w:r>
            <w:r/>
          </w:p>
        </w:tc>
        <w:tc>
          <w:tcPr>
            <w:tcW w:w="7560" w:type="dxa"/>
            <w:vAlign w:val="top"/>
            <w:textDirection w:val="lrTb"/>
            <w:noWrap w:val="false"/>
          </w:tcPr>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不低于以下要求：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1、供应商须根据采购人需求在其所属医院本部住院、门诊或急诊区域内设置独立监管病房一间（符合医院病房标准并保证足够看押空间）。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2、监管病房应满足常规医疗收治条件、病房内的日常保洁及基础设施修缮由中标供应商负责并由采购人在病房内增设必要的看押防护设施及监控设备；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3、合同履约期内采购人向中标供应商提出使用需求，中标供应商2小时内必须将病房交付采购人使用并提供医疗救治服务。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4、具体工作内容：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中标供应商须在南京市看守所设置门诊部，通过“所院合作”的模式，实行全天候24小时医疗保障。主要开展以下项目：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（1）健康检查：依据公安部有关规定完成被监管人员入、出所及所内健康检查工作。 </w:t>
            </w:r>
            <w:r/>
          </w:p>
          <w:p>
            <w:pPr>
              <w:jc w:val="left"/>
              <w:keepLines w:val="0"/>
              <w:keepNext w:val="0"/>
              <w:pageBreakBefore w:val="0"/>
              <w:spacing w:line="300" w:lineRule="exact"/>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（2）所内医疗</w:t>
            </w:r>
            <w:r>
              <w:rPr>
                <w:rFonts w:hint="eastAsia" w:ascii="宋体" w:hAnsi="宋体" w:eastAsia="宋体" w:cs="宋体"/>
                <w:color w:val="auto"/>
                <w:sz w:val="24"/>
                <w:szCs w:val="24"/>
                <w:highlight w:val="none"/>
                <w:lang w:val="en-US" w:eastAsia="zh-CN" w:bidi="ar-SA"/>
              </w:rPr>
              <w:t xml:space="preserve">:主要负责日常巡诊（每日上、下午巡诊两次）、门（急）诊、药品管理、半年体检、全所防疫消杀、院感及档案管理等工作；每周安排B超医生和其他科室医生到所检查会诊；定期派遣院内专家对所内医疗质量及各项专业制度落实进行考核。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绿色通道”：对在押人员的门、急诊及住院实行先看病后缴费、协调医院相关业务科室，开辟各种辅助检查的优先检查通道，给予优先检查、优先诊疗、优先救治、优先住院等快速有效的出所就医保障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（4）建立远程医疗平台：提供远程医疗会诊服务。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（5）建立医疗专家库：协助成立各专科专家组成的监管医疗专家库，主要负责危重病人的会诊、门诊、疑难病例治疗、健康教育等医疗支持工作。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6）药品管理：在监所内开设门诊药房，提供市医保药品目录内药品（特殊药品采购采购人与中标供应商协商解决）并保证药品质量及进货渠道、运输途径的合法合规性，药品价格不高于中标供应商本部药房药品销售价。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（7）继续教育：中标供应商负责为派驻医务人员的日常人事管理、业务管理及常态化的做好医疗业务培训和相关职业道德教育培训。为监管医务民警的继续教育提供帮助和便利。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（8）遇有疫情特殊时期，围绕收押、监所管理、物品交接、应急处置等方面，按照上级要求指导并协助监所各岗位做好疫情防控工作。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（9）在押人员出所就医必须 1 名派驻所内的医务人员陪同前往与医院对接。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（10）监所防疫消杀工作由驻所医务人员负责，配备消毒专员，防疫消杀责任单位为驻所医疗单位。 </w:t>
            </w:r>
            <w:r/>
          </w:p>
          <w:p>
            <w:pPr>
              <w:jc w:val="left"/>
              <w:keepLines w:val="0"/>
              <w:keepNext w:val="0"/>
              <w:pageBreakBefore w:val="0"/>
              <w:spacing w:line="300" w:lineRule="exact"/>
              <w:widowControl/>
              <w:rPr>
                <w:rFonts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auto"/>
                <w:sz w:val="24"/>
                <w:szCs w:val="24"/>
                <w:lang w:val="en-US" w:eastAsia="zh-CN" w:bidi="ar-SA"/>
              </w:rPr>
              <w:t xml:space="preserve">（11）出所健康检查由驻所医务人员负责。</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5、科室配备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按照公安部和卫健委联合下发的监所医疗机构建设标准，结合南京市看守所实际情况，要求门诊部设置内科、外科、妇科、治疗室、处置室、药房及B超、影像、检验、心电图等相关职能科室。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bidi="ar-SA"/>
              </w:rPr>
              <w:t xml:space="preserve">6、人员配备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（1）根据上述配置标准，至少需配备14名医务人员</w:t>
            </w:r>
            <w:r>
              <w:rPr>
                <w:rFonts w:hint="eastAsia" w:ascii="宋体" w:hAnsi="宋体" w:cs="宋体"/>
                <w:color w:val="auto"/>
                <w:sz w:val="24"/>
                <w:szCs w:val="24"/>
                <w:highlight w:val="none"/>
                <w:lang w:val="en-US" w:eastAsia="zh-CN" w:bidi="ar-SA"/>
              </w:rPr>
              <w:t xml:space="preserve">，签订合同时</w:t>
            </w:r>
            <w:r>
              <w:rPr>
                <w:rFonts w:hint="eastAsia" w:ascii="宋体" w:hAnsi="宋体" w:eastAsia="宋体" w:cs="宋体"/>
                <w:color w:val="auto"/>
                <w:sz w:val="24"/>
                <w:szCs w:val="24"/>
                <w:highlight w:val="none"/>
                <w:lang w:val="en-US" w:eastAsia="zh-CN" w:bidi="ar-SA"/>
              </w:rPr>
              <w:t xml:space="preserve">须提供人员名单，其中医生9人（其中1人为管理人员，执业类别为全科或内科主治以上职称，其他医生执业类别包含但不仅限于妇科，内科，外科），护士5人，根据医疗发展及采购人发展的需要增减人员，经双方协商同意，另行签定相关协议。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（2）具体种类要求</w:t>
            </w:r>
            <w:r>
              <w:rPr>
                <w:rFonts w:hint="eastAsia" w:ascii="宋体" w:hAnsi="宋体" w:cs="宋体"/>
                <w:color w:val="auto"/>
                <w:sz w:val="24"/>
                <w:szCs w:val="24"/>
                <w:highlight w:val="none"/>
                <w:lang w:val="en-US" w:eastAsia="zh-CN" w:bidi="ar-SA"/>
              </w:rPr>
              <w:t xml:space="preserve">（人员名单不能重复）</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医生要求：</w:t>
            </w:r>
            <w:r>
              <w:rPr>
                <w:rFonts w:hint="eastAsia" w:ascii="宋体" w:hAnsi="宋体" w:eastAsia="宋体" w:cs="宋体"/>
                <w:color w:val="auto"/>
                <w:sz w:val="24"/>
                <w:szCs w:val="24"/>
                <w:highlight w:val="none"/>
                <w:lang w:val="en-US" w:eastAsia="zh-CN" w:bidi="ar-SA"/>
              </w:rPr>
              <w:t xml:space="preserve">副主任医师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以上职称医师</w:t>
            </w:r>
            <w:r>
              <w:rPr>
                <w:rFonts w:hint="eastAsia" w:ascii="宋体" w:hAnsi="宋体" w:cs="宋体"/>
                <w:color w:val="auto"/>
                <w:sz w:val="24"/>
                <w:szCs w:val="24"/>
                <w:highlight w:val="none"/>
                <w:lang w:val="en-US" w:eastAsia="zh-CN" w:bidi="ar-SA"/>
              </w:rPr>
              <w:t xml:space="preserve">至少1名</w:t>
            </w:r>
            <w:r>
              <w:rPr>
                <w:rFonts w:hint="eastAsia" w:ascii="宋体" w:hAnsi="宋体" w:eastAsia="宋体" w:cs="宋体"/>
                <w:color w:val="auto"/>
                <w:sz w:val="24"/>
                <w:szCs w:val="24"/>
                <w:highlight w:val="none"/>
                <w:lang w:val="en-US" w:eastAsia="zh-CN" w:bidi="ar-SA"/>
              </w:rPr>
              <w:t xml:space="preserve">（内科或外科）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主治医师及</w:t>
            </w:r>
            <w:r>
              <w:rPr>
                <w:rFonts w:hint="eastAsia" w:ascii="宋体" w:hAnsi="宋体" w:eastAsia="宋体" w:cs="宋体"/>
                <w:color w:val="auto"/>
                <w:sz w:val="24"/>
                <w:szCs w:val="24"/>
                <w:highlight w:val="none"/>
                <w:lang w:val="en-US" w:eastAsia="zh-CN" w:bidi="ar-SA"/>
              </w:rPr>
              <w:t xml:space="preserve">以上职称至少</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名</w:t>
            </w:r>
            <w:r>
              <w:rPr>
                <w:rFonts w:hint="eastAsia" w:ascii="宋体" w:hAnsi="宋体" w:cs="宋体"/>
                <w:color w:val="auto"/>
                <w:sz w:val="24"/>
                <w:szCs w:val="24"/>
                <w:highlight w:val="none"/>
                <w:lang w:val="en-US" w:eastAsia="zh-CN" w:bidi="ar-SA"/>
              </w:rPr>
              <w:t xml:space="preserve">，其余医生至少为住院医师</w:t>
            </w:r>
            <w:r>
              <w:rPr>
                <w:rFonts w:hint="eastAsia" w:ascii="宋体" w:hAnsi="宋体" w:eastAsia="宋体" w:cs="宋体"/>
                <w:color w:val="auto"/>
                <w:sz w:val="24"/>
                <w:szCs w:val="24"/>
                <w:highlight w:val="none"/>
                <w:lang w:val="en-US" w:eastAsia="zh-CN" w:bidi="ar-SA"/>
              </w:rPr>
              <w:t xml:space="preserve">；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护士要求：</w:t>
            </w:r>
            <w:r>
              <w:rPr>
                <w:rFonts w:hint="eastAsia" w:ascii="宋体" w:hAnsi="宋体" w:eastAsia="宋体" w:cs="宋体"/>
                <w:color w:val="auto"/>
                <w:sz w:val="24"/>
                <w:szCs w:val="24"/>
                <w:highlight w:val="none"/>
                <w:lang w:val="en-US" w:eastAsia="zh-CN" w:bidi="ar-SA"/>
              </w:rPr>
              <w:t xml:space="preserve">护师</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以上职称护理人员</w:t>
            </w:r>
            <w:r>
              <w:rPr>
                <w:rFonts w:hint="eastAsia" w:ascii="宋体" w:hAnsi="宋体" w:cs="宋体"/>
                <w:color w:val="auto"/>
                <w:sz w:val="24"/>
                <w:szCs w:val="24"/>
                <w:highlight w:val="none"/>
                <w:lang w:val="en-US" w:eastAsia="zh-CN" w:bidi="ar-SA"/>
              </w:rPr>
              <w:t xml:space="preserve">至少1名，其余为护士</w:t>
            </w:r>
            <w:r>
              <w:rPr>
                <w:rFonts w:hint="eastAsia" w:ascii="宋体" w:hAnsi="宋体" w:eastAsia="宋体" w:cs="宋体"/>
                <w:color w:val="auto"/>
                <w:sz w:val="24"/>
                <w:szCs w:val="24"/>
                <w:highlight w:val="none"/>
                <w:lang w:val="en-US" w:eastAsia="zh-CN" w:bidi="ar-SA"/>
              </w:rPr>
              <w:t xml:space="preserve">；</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bidi="ar-SA"/>
              </w:rPr>
              <w:t xml:space="preserve">7、中标供应商医务人员履行合同前需经过采购人审核，审核通过后方可上岗且上岗医务人员不得在监管支队其他直属监所就职，上岗人员不得随意更换，所有人员更换需提前通知采购人，经采购人同意后方可更换。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8、不同勤务模式下的医疗人员配备需求：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监所实行正常勤务模式： </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（1）工作日：①医生白天4名，夜间2名；②护士白天2名，夜间1名，负责监区内护理工作；</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（2）非工作日：①医生白天3名，夜间2名；②护士白天、夜间均为1 名，负责监区内护理工作。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9、疫情期间监所按照上级要求实行封</w:t>
            </w:r>
            <w:r>
              <w:rPr>
                <w:rFonts w:hint="eastAsia" w:ascii="宋体" w:hAnsi="宋体" w:eastAsia="宋体" w:cs="宋体"/>
                <w:color w:val="auto"/>
                <w:sz w:val="24"/>
                <w:szCs w:val="24"/>
                <w:lang w:val="en-US" w:eastAsia="zh-CN" w:bidi="ar-SA"/>
              </w:rPr>
              <w:t xml:space="preserve">闭管理模式 </w:t>
            </w:r>
            <w:r/>
          </w:p>
          <w:p>
            <w:pPr>
              <w:jc w:val="left"/>
              <w:keepLines w:val="0"/>
              <w:keepNext w:val="0"/>
              <w:pageBreakBefore w:val="0"/>
              <w:spacing w:line="3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每组参与封闭管理的医生不少于3人，护士不少于2人。 </w:t>
            </w:r>
            <w:r/>
          </w:p>
        </w:tc>
      </w:tr>
    </w:tbl>
    <w:p>
      <w:pPr>
        <w:pStyle w:val="1006"/>
        <w:rPr>
          <w:color w:val="auto"/>
        </w:rPr>
      </w:pPr>
      <w:r>
        <w:rPr>
          <w:color w:val="auto"/>
        </w:rPr>
      </w:r>
      <w:r/>
    </w:p>
    <w:p>
      <w:pPr>
        <w:rPr>
          <w:rFonts w:hint="eastAsia" w:eastAsia="宋体"/>
          <w:color w:val="auto"/>
          <w:lang w:eastAsia="zh-CN"/>
        </w:rPr>
      </w:pPr>
      <w:r>
        <w:rPr>
          <w:rFonts w:hint="eastAsia" w:eastAsia="宋体"/>
          <w:color w:val="auto"/>
          <w:lang w:eastAsia="zh-CN"/>
        </w:rPr>
      </w:r>
      <w:r/>
    </w:p>
    <w:p>
      <w:pPr>
        <w:ind w:firstLine="480"/>
        <w:keepLines w:val="0"/>
        <w:keepNext w:val="0"/>
        <w:pageBreakBefore w:val="0"/>
        <w:spacing w:line="288" w:lineRule="auto"/>
        <w:widowControl w:val="off"/>
        <w:rPr>
          <w:rFonts w:hint="eastAsia" w:ascii="宋体" w:hAnsi="宋体" w:eastAsia="宋体" w:cs="宋体"/>
          <w:bCs/>
          <w:color w:val="auto"/>
          <w:sz w:val="24"/>
          <w:szCs w:val="24"/>
        </w:rPr>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88" w:lineRule="auto"/>
        <w:widowControl w:val="off"/>
        <w:rPr>
          <w:rFonts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ascii="宋体" w:hAnsi="宋体" w:eastAsia="宋体" w:cs="Times New Roman"/>
          <w:color w:val="auto"/>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验收、配套服务</w:t>
      </w:r>
      <w:r>
        <w:rPr>
          <w:rFonts w:hint="eastAsia" w:ascii="宋体" w:hAnsi="宋体" w:eastAsia="宋体" w:cs="宋体"/>
          <w:color w:val="auto"/>
          <w:sz w:val="24"/>
          <w:szCs w:val="24"/>
        </w:rPr>
        <w:t xml:space="preserve">等所有含税费用。同时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还应包含支付给员工的工资和国家强制缴纳的各种社会保障资金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文件中列明的项目外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还应包括保障服务正常运行应当具有的物资和服务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88"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供应商作为采购人的</w:t>
      </w:r>
      <w:r>
        <w:rPr>
          <w:rFonts w:hint="eastAsia" w:ascii="宋体" w:hAnsi="宋体" w:eastAsia="宋体" w:cs="宋体"/>
          <w:color w:val="auto"/>
          <w:sz w:val="24"/>
          <w:szCs w:val="24"/>
        </w:rPr>
        <w:t xml:space="preserve">医疗服务合作单位，由</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派遣相关医疗人员为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羁押人员提供医疗、护理、医技等方面服务。</w:t>
      </w:r>
      <w:r/>
    </w:p>
    <w:p>
      <w:pPr>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考核要求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1）医务人员的人数、资质、职称需满足招标文件要求。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2）医务人员的岗位安排需按合同规定执行。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3）医务人员需按照监所医疗要求进行医疗行为。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4）调换所内医务人员必须经采购人同意并提前一个月告知，做好调换人员的工作交接。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5）对于采购人提出的不能胜任的医务人员需及时调整，在7个工作日内调整到位。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6）确保医务人员的报酬发放到位（符合医院与其签订的劳动合同）。</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lang w:val="en-US" w:eastAsia="zh-CN"/>
        </w:rPr>
        <w:t xml:space="preserve">人员要求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人员需符合以下条件：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1）派驻人员为中标供应商在编或者聘用人员，年龄应在65岁</w:t>
      </w:r>
      <w:r>
        <w:rPr>
          <w:rFonts w:hint="eastAsia" w:ascii="宋体" w:hAnsi="宋体" w:cs="宋体"/>
          <w:color w:val="auto"/>
          <w:sz w:val="24"/>
          <w:szCs w:val="24"/>
          <w:lang w:val="en-US" w:eastAsia="zh-CN"/>
        </w:rPr>
        <w:t xml:space="preserve">（含）</w:t>
      </w:r>
      <w:r>
        <w:rPr>
          <w:rFonts w:hint="eastAsia" w:ascii="宋体" w:hAnsi="宋体" w:eastAsia="宋体" w:cs="宋体"/>
          <w:color w:val="auto"/>
          <w:sz w:val="24"/>
          <w:szCs w:val="24"/>
          <w:lang w:val="en-US" w:eastAsia="zh-CN"/>
        </w:rPr>
        <w:t xml:space="preserve">以下（高资历人员且身体健康状况能够适应监所工作强度的可适当放宽），身体健康，无违法犯罪记录，无近亲属在所服务的监所羁押（如在岗期间出现该情形的，中标供应商应立即更换人员），能熟练使用电脑，综合能力较强。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2）具有相应执业资质，并把所服务的监所作为其执业地点之一。 </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3）有独立开展临床工作及相关操作的能力；适应并按照采购人医疗工作特点和要求开展工作。</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4）全职DR 技师1名，负责直属监所的DR检查工作(常驻第二看守所)。全职药剂师1人，负责直属监所的药品管理工作(常驻</w:t>
      </w:r>
      <w:r>
        <w:rPr>
          <w:rFonts w:hint="eastAsia" w:ascii="宋体" w:hAnsi="宋体" w:cs="宋体"/>
          <w:color w:val="auto"/>
          <w:sz w:val="24"/>
          <w:szCs w:val="24"/>
          <w:lang w:val="en-US" w:eastAsia="zh-CN"/>
        </w:rPr>
        <w:t xml:space="preserve">采购</w:t>
      </w:r>
      <w:bookmarkStart w:id="212" w:name="_GoBack"/>
      <w:r/>
      <w:bookmarkEnd w:id="212"/>
      <w:r>
        <w:rPr>
          <w:rFonts w:hint="eastAsia" w:ascii="宋体" w:hAnsi="宋体" w:cs="宋体"/>
          <w:color w:val="auto"/>
          <w:sz w:val="24"/>
          <w:szCs w:val="24"/>
          <w:lang w:val="en-US" w:eastAsia="zh-CN"/>
        </w:rPr>
        <w:t xml:space="preserve">人指定地点</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5）兼职来所工作辅助科室1人(B超，为本院在职医师)，B超至少保证每半月一次，一次半天，有紧急情况随叫随到且能确保半年体检时需要。</w:t>
      </w:r>
      <w:r/>
    </w:p>
    <w:p>
      <w:pPr>
        <w:ind w:firstLine="480"/>
        <w:keepLines w:val="0"/>
        <w:keepNext w:val="0"/>
        <w:pageBreakBefore w:val="0"/>
        <w:spacing w:line="288"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ascii="宋体" w:hAnsi="宋体" w:eastAsia="宋体" w:cs="宋体"/>
          <w:bCs/>
          <w:color w:val="auto"/>
          <w:sz w:val="24"/>
          <w:szCs w:val="24"/>
          <w:highlight w:val="none"/>
          <w:lang w:val="en-US" w:eastAsia="zh-CN"/>
        </w:rPr>
        <w:t xml:space="preserve">付款条件</w:t>
      </w:r>
      <w:r/>
    </w:p>
    <w:p>
      <w:pPr>
        <w:numPr>
          <w:ilvl w:val="0"/>
          <w:numId w:val="0"/>
        </w:num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以“第三章合同文本”为准。</w:t>
      </w:r>
      <w:r/>
    </w:p>
    <w:p>
      <w:pPr>
        <w:numPr>
          <w:ilvl w:val="0"/>
          <w:numId w:val="0"/>
        </w:numPr>
        <w:ind w:firstLine="480"/>
        <w:keepLines w:val="0"/>
        <w:keepNext w:val="0"/>
        <w:pageBreakBefore w:val="0"/>
        <w:spacing w:line="240"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服务</w:t>
      </w:r>
      <w:r>
        <w:rPr>
          <w:rFonts w:ascii="宋体" w:hAnsi="宋体" w:eastAsia="宋体" w:cs="宋体"/>
          <w:color w:val="auto"/>
          <w:sz w:val="24"/>
          <w:szCs w:val="24"/>
          <w:lang w:val="en-US" w:eastAsia="zh-CN"/>
        </w:rPr>
        <w:t xml:space="preserve">时间及地点</w:t>
      </w:r>
      <w:r/>
    </w:p>
    <w:p>
      <w:pPr>
        <w:numPr>
          <w:ilvl w:val="0"/>
          <w:numId w:val="0"/>
        </w:num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以“第三章合同文本”为准。</w:t>
      </w:r>
      <w:r/>
    </w:p>
    <w:p>
      <w:pPr>
        <w:pStyle w:val="100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pPr>
      <w:r/>
      <w:bookmarkStart w:id="193" w:name="_Toc120614281"/>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评标结果按评审后得分由高到低顺序排列。得分相同的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三、评标标准中</w:t>
      </w:r>
      <w:r>
        <w:rPr>
          <w:rFonts w:hint="eastAsia" w:ascii="宋体" w:hAnsi="宋体" w:eastAsia="宋体" w:cs="宋体"/>
          <w:color w:val="auto"/>
          <w:sz w:val="24"/>
          <w:szCs w:val="24"/>
          <w:highlight w:val="none"/>
          <w:lang w:val="en-US" w:eastAsia="zh-CN"/>
        </w:rPr>
        <w:t xml:space="preserve">4.1-4.3项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2"/>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u w:val="none"/>
          <w:lang w:val="en-US" w:eastAsia="zh-CN"/>
        </w:rPr>
        <w:t xml:space="preserve">3.</w:t>
      </w:r>
      <w:r>
        <w:rPr>
          <w:rFonts w:hint="eastAsia" w:ascii="宋体" w:hAnsi="宋体" w:eastAsia="宋体" w:cs="宋体"/>
          <w:b/>
          <w:bCs/>
          <w:color w:val="auto"/>
          <w:sz w:val="24"/>
          <w:szCs w:val="24"/>
          <w:u w:val="none"/>
          <w:lang w:eastAsia="zh-CN"/>
        </w:rPr>
        <w:t xml:space="preserve">上述价格扣除政策仅适用</w:t>
      </w:r>
      <w:r>
        <w:rPr>
          <w:rFonts w:hint="eastAsia" w:ascii="宋体" w:hAnsi="宋体" w:eastAsia="宋体" w:cs="宋体"/>
          <w:b/>
          <w:bCs/>
          <w:color w:val="auto"/>
          <w:sz w:val="24"/>
          <w:szCs w:val="24"/>
          <w:u w:val="none"/>
          <w:lang w:val="en-US" w:eastAsia="zh-CN"/>
        </w:rPr>
        <w:t xml:space="preserve">于</w:t>
      </w:r>
      <w:r>
        <w:rPr>
          <w:rFonts w:hint="eastAsia" w:ascii="宋体" w:hAnsi="宋体" w:eastAsia="宋体" w:cs="宋体"/>
          <w:b/>
          <w:bCs/>
          <w:color w:val="auto"/>
          <w:sz w:val="24"/>
          <w:szCs w:val="24"/>
          <w:u w:val="none"/>
          <w:lang w:eastAsia="zh-CN"/>
        </w:rPr>
        <w:t xml:space="preserve">“</w:t>
      </w:r>
      <w:r>
        <w:rPr>
          <w:rFonts w:hint="eastAsia" w:ascii="宋体" w:hAnsi="宋体" w:eastAsia="宋体" w:cs="宋体"/>
          <w:b/>
          <w:bCs/>
          <w:color w:val="auto"/>
          <w:sz w:val="24"/>
          <w:szCs w:val="24"/>
          <w:u w:val="none"/>
          <w:lang w:val="en-US" w:eastAsia="zh-CN"/>
        </w:rPr>
        <w:t xml:space="preserve">非</w:t>
      </w:r>
      <w:r>
        <w:rPr>
          <w:rFonts w:hint="eastAsia" w:ascii="宋体" w:hAnsi="宋体" w:eastAsia="宋体" w:cs="宋体"/>
          <w:b/>
          <w:bCs/>
          <w:color w:val="auto"/>
          <w:sz w:val="24"/>
          <w:szCs w:val="24"/>
          <w:u w:val="none"/>
          <w:lang w:eastAsia="zh-CN"/>
        </w:rPr>
        <w:t xml:space="preserve">专门面向中小企业采购项目”</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三、评标标准</w:t>
      </w:r>
      <w:r/>
    </w:p>
    <w:tbl>
      <w:tblPr>
        <w:tblStyle w:val="1048"/>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auto"/>
                <w:spacing w:val="-2"/>
              </w:rPr>
            </w:pPr>
            <w:r>
              <w:rPr>
                <w:rFonts w:ascii="宋体" w:hAnsi="宋体" w:eastAsia="宋体" w:cs="宋体"/>
                <w:b/>
                <w:bCs/>
                <w:color w:val="auto"/>
                <w:spacing w:val="-2"/>
              </w:rPr>
              <w:t xml:space="preserve">序号</w:t>
            </w:r>
            <w:r/>
          </w:p>
        </w:tc>
        <w:tc>
          <w:tcPr>
            <w:tcW w:w="117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auto"/>
                <w:spacing w:val="-2"/>
              </w:rPr>
            </w:pPr>
            <w:r>
              <w:rPr>
                <w:rFonts w:ascii="宋体" w:hAnsi="宋体" w:eastAsia="宋体" w:cs="宋体"/>
                <w:b/>
                <w:bCs/>
                <w:color w:val="auto"/>
                <w:spacing w:val="-2"/>
              </w:rPr>
              <w:t xml:space="preserve">评审因素</w:t>
            </w:r>
            <w:r/>
          </w:p>
        </w:tc>
        <w:tc>
          <w:tcPr>
            <w:tcW w:w="6616"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auto"/>
                <w:spacing w:val="-2"/>
              </w:rPr>
            </w:pPr>
            <w:r>
              <w:rPr>
                <w:rFonts w:ascii="宋体" w:hAnsi="宋体" w:eastAsia="宋体" w:cs="宋体"/>
                <w:b/>
                <w:bCs/>
                <w:color w:val="auto"/>
                <w:spacing w:val="-2"/>
              </w:rPr>
              <w:t xml:space="preserve">评审细则</w:t>
            </w:r>
            <w:r/>
          </w:p>
        </w:tc>
        <w:tc>
          <w:tcPr>
            <w:tcW w:w="573"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auto"/>
                <w:spacing w:val="-2"/>
              </w:rPr>
            </w:pPr>
            <w:r>
              <w:rPr>
                <w:rFonts w:ascii="宋体" w:hAnsi="宋体" w:eastAsia="宋体" w:cs="宋体"/>
                <w:b/>
                <w:bCs/>
                <w:color w:val="auto"/>
                <w:spacing w:val="-2"/>
              </w:rPr>
              <w:t xml:space="preserve">分值</w:t>
            </w:r>
            <w:r/>
          </w:p>
        </w:tc>
        <w:tc>
          <w:tcPr>
            <w:tcW w:w="860"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auto"/>
                <w:spacing w:val="-2"/>
              </w:rPr>
            </w:pPr>
            <w:r>
              <w:rPr>
                <w:rFonts w:ascii="宋体" w:hAnsi="宋体" w:eastAsia="宋体" w:cs="宋体"/>
                <w:b/>
                <w:bCs/>
                <w:color w:val="auto"/>
                <w:spacing w:val="-2"/>
              </w:rPr>
              <w:t xml:space="preserve">类型</w:t>
            </w:r>
            <w:r/>
          </w:p>
        </w:tc>
      </w:tr>
      <w:tr>
        <w:trPr>
          <w:jc w:val="center"/>
          <w:trHeight w:val="460"/>
        </w:trPr>
        <w:tc>
          <w:tcPr>
            <w:gridSpan w:val="5"/>
            <w:tcW w:w="9747"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1.</w:t>
            </w:r>
            <w:r>
              <w:rPr>
                <w:rFonts w:ascii="宋体" w:hAnsi="宋体" w:eastAsia="宋体" w:cs="宋体"/>
                <w:b/>
                <w:bCs/>
                <w:color w:val="auto"/>
                <w:spacing w:val="-3"/>
              </w:rPr>
              <w:t xml:space="preserve">价</w:t>
            </w:r>
            <w:r>
              <w:rPr>
                <w:rFonts w:ascii="宋体" w:hAnsi="宋体" w:eastAsia="宋体" w:cs="宋体"/>
                <w:b/>
                <w:bCs/>
                <w:color w:val="auto"/>
                <w:spacing w:val="-2"/>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1</w:t>
            </w:r>
            <w:r>
              <w:rPr>
                <w:rFonts w:ascii="宋体" w:hAnsi="宋体" w:eastAsia="宋体" w:cs="宋体"/>
                <w:color w:val="auto"/>
                <w:spacing w:val="-5"/>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2"/>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auto"/>
                <w:lang w:val="en-US" w:eastAsia="zh-CN"/>
              </w:rPr>
            </w:pPr>
            <w:r>
              <w:rPr>
                <w:rFonts w:hint="eastAsia" w:ascii="宋体" w:hAnsi="宋体" w:eastAsia="宋体" w:cs="宋体"/>
                <w:color w:val="auto"/>
                <w:spacing w:val="1"/>
              </w:rPr>
              <w:t xml:space="preserve">采用低价优先</w:t>
            </w:r>
            <w:r>
              <w:rPr>
                <w:rFonts w:hint="eastAsia" w:ascii="宋体" w:hAnsi="宋体" w:eastAsia="宋体" w:cs="宋体"/>
                <w:color w:val="auto"/>
              </w:rPr>
              <w:t xml:space="preserve">法计算</w:t>
            </w:r>
            <w:r>
              <w:rPr>
                <w:rFonts w:hint="eastAsia" w:ascii="宋体" w:hAnsi="宋体" w:eastAsia="宋体" w:cs="宋体"/>
                <w:color w:val="auto"/>
                <w:lang w:eastAsia="zh-CN"/>
              </w:rPr>
              <w:t xml:space="preserve">，</w:t>
            </w:r>
            <w:r>
              <w:rPr>
                <w:rFonts w:hint="eastAsia" w:ascii="宋体" w:hAnsi="宋体" w:eastAsia="宋体" w:cs="宋体"/>
                <w:color w:val="auto"/>
              </w:rPr>
              <w:t xml:space="preserve">即满足招标文件要求且投标价格最低的投标</w:t>
            </w:r>
            <w:r>
              <w:rPr>
                <w:rFonts w:hint="eastAsia" w:ascii="宋体" w:hAnsi="宋体" w:eastAsia="宋体" w:cs="宋体"/>
                <w:color w:val="auto"/>
                <w:spacing w:val="1"/>
              </w:rPr>
              <w:t xml:space="preserve">报价为评标基准</w:t>
            </w:r>
            <w:r>
              <w:rPr>
                <w:rFonts w:hint="eastAsia" w:ascii="宋体" w:hAnsi="宋体" w:eastAsia="宋体" w:cs="宋体"/>
                <w:color w:val="auto"/>
              </w:rPr>
              <w:t xml:space="preserve">价</w:t>
            </w:r>
            <w:r>
              <w:rPr>
                <w:rFonts w:hint="eastAsia" w:ascii="宋体" w:hAnsi="宋体" w:eastAsia="宋体" w:cs="宋体"/>
                <w:color w:val="auto"/>
                <w:lang w:eastAsia="zh-CN"/>
              </w:rPr>
              <w:t xml:space="preserve">，</w:t>
            </w:r>
            <w:r>
              <w:rPr>
                <w:rFonts w:hint="eastAsia" w:ascii="宋体" w:hAnsi="宋体" w:eastAsia="宋体" w:cs="宋体"/>
                <w:color w:val="auto"/>
              </w:rPr>
              <w:t xml:space="preserve">其价格分为满分。其他投标人的价格分统一按</w:t>
            </w:r>
            <w:r>
              <w:rPr>
                <w:rFonts w:hint="eastAsia" w:ascii="宋体" w:hAnsi="宋体" w:eastAsia="宋体" w:cs="宋体"/>
                <w:color w:val="auto"/>
                <w:spacing w:val="-1"/>
              </w:rPr>
              <w:t xml:space="preserve">照下列公</w:t>
            </w:r>
            <w:r>
              <w:rPr>
                <w:rFonts w:hint="eastAsia" w:ascii="宋体" w:hAnsi="宋体" w:eastAsia="宋体" w:cs="宋体"/>
                <w:color w:val="auto"/>
              </w:rPr>
              <w:t xml:space="preserve">式计算：投标报价得分=(评标基准价/投标报价)×</w:t>
            </w:r>
            <w:r>
              <w:rPr>
                <w:rFonts w:hint="eastAsia" w:ascii="宋体" w:hAnsi="宋体" w:eastAsia="宋体" w:cs="宋体"/>
                <w:color w:val="auto"/>
                <w:lang w:val="en-US" w:eastAsia="zh-CN"/>
              </w:rPr>
              <w:t xml:space="preserve">价格分值（小数点保留两位）</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4"/>
              </w:rPr>
            </w:pPr>
            <w:r>
              <w:rPr>
                <w:rFonts w:hint="eastAsia" w:ascii="宋体" w:hAnsi="宋体" w:eastAsia="宋体" w:cs="宋体"/>
                <w:color w:val="auto"/>
                <w:spacing w:val="-4"/>
                <w:lang w:val="en-US" w:eastAsia="zh-CN"/>
              </w:rPr>
              <w:t xml:space="preserve">10</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4"/>
                <w:lang w:eastAsia="zh-CN"/>
              </w:rPr>
            </w:pPr>
            <w:r>
              <w:rPr>
                <w:rFonts w:hint="eastAsia" w:ascii="宋体" w:hAnsi="宋体" w:eastAsia="宋体" w:cs="宋体"/>
                <w:color w:val="auto"/>
                <w:spacing w:val="-4"/>
                <w:lang w:eastAsia="zh-CN"/>
              </w:rPr>
              <w:t xml:space="preserve">价格分</w:t>
            </w:r>
            <w:r/>
          </w:p>
        </w:tc>
      </w:tr>
      <w:tr>
        <w:trPr>
          <w:jc w:val="center"/>
          <w:trHeight w:val="460"/>
        </w:trPr>
        <w:tc>
          <w:tcPr>
            <w:gridSpan w:val="5"/>
            <w:tcW w:w="9747"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2.服务</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2.1</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服务方案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评委根据采购人提供的本项目服</w:t>
            </w:r>
            <w:r>
              <w:rPr>
                <w:rFonts w:hint="eastAsia" w:ascii="宋体" w:hAnsi="宋体" w:eastAsia="宋体" w:cs="宋体"/>
                <w:color w:val="auto"/>
                <w:highlight w:val="none"/>
                <w:lang w:val="en-US" w:eastAsia="zh-CN"/>
              </w:rPr>
              <w:t xml:space="preserve">务方案（包含但不限于如何提升整体医疗服务的方案、如何响应采购人的要求等</w:t>
            </w:r>
            <w:r>
              <w:rPr>
                <w:rFonts w:hint="eastAsia"/>
                <w:color w:val="auto"/>
                <w:highlight w:val="none"/>
                <w:lang w:eastAsia="zh-CN"/>
              </w:rPr>
              <w:t xml:space="preserve">，包括但不限于</w:t>
            </w:r>
            <w:r>
              <w:rPr>
                <w:rFonts w:hint="eastAsia"/>
                <w:color w:val="auto"/>
                <w:highlight w:val="none"/>
                <w:lang w:val="en-US" w:eastAsia="zh-CN"/>
              </w:rPr>
              <w:t xml:space="preserve">办理驻所医疗资质及相关手续，所内医疗、所外绿色通道、监管病房</w:t>
            </w:r>
            <w:r>
              <w:rPr>
                <w:rFonts w:hint="eastAsia"/>
                <w:color w:val="auto"/>
                <w:highlight w:val="none"/>
                <w:lang w:eastAsia="zh-CN"/>
              </w:rPr>
              <w:t xml:space="preserve">等方面</w:t>
            </w:r>
            <w:r>
              <w:rPr>
                <w:rFonts w:hint="eastAsia" w:ascii="宋体" w:hAnsi="宋体" w:eastAsia="宋体" w:cs="宋体"/>
                <w:color w:val="auto"/>
                <w:highlight w:val="none"/>
                <w:lang w:val="en-US" w:eastAsia="zh-CN"/>
              </w:rPr>
              <w:t xml:space="preserve">）综合评分：（1）方案全面、科学、合理，得9分；（2）方案较全面、较科学、较合</w:t>
            </w:r>
            <w:r>
              <w:rPr>
                <w:rFonts w:hint="eastAsia" w:ascii="宋体" w:hAnsi="宋体" w:eastAsia="宋体" w:cs="宋体"/>
                <w:color w:val="auto"/>
                <w:lang w:val="en-US" w:eastAsia="zh-CN"/>
              </w:rPr>
              <w:t xml:space="preserve">理，得6分；（3）方案基本全面、基本科学、基本合理，得3分；</w:t>
            </w:r>
            <w:r>
              <w:rPr>
                <w:rFonts w:hint="eastAsia" w:ascii="宋体" w:hAnsi="宋体" w:cs="宋体"/>
                <w:color w:val="auto"/>
                <w:lang w:val="en-US" w:eastAsia="zh-CN"/>
              </w:rPr>
              <w:t xml:space="preserve">（4）方案不合理或</w:t>
            </w:r>
            <w:r>
              <w:rPr>
                <w:rFonts w:hint="eastAsia" w:ascii="宋体" w:hAnsi="宋体" w:eastAsia="宋体" w:cs="宋体"/>
                <w:color w:val="auto"/>
                <w:lang w:val="en-US" w:eastAsia="zh-CN"/>
              </w:rPr>
              <w:t xml:space="preserve">未提供</w:t>
            </w:r>
            <w:r>
              <w:rPr>
                <w:rFonts w:hint="eastAsia" w:ascii="宋体" w:hAnsi="宋体" w:cs="宋体"/>
                <w:color w:val="auto"/>
                <w:lang w:val="en-US" w:eastAsia="zh-CN"/>
              </w:rPr>
              <w:t xml:space="preserve">的，</w:t>
            </w:r>
            <w:r>
              <w:rPr>
                <w:rFonts w:hint="eastAsia" w:ascii="宋体" w:hAnsi="宋体" w:eastAsia="宋体" w:cs="宋体"/>
                <w:color w:val="auto"/>
                <w:lang w:val="en-US" w:eastAsia="zh-CN"/>
              </w:rPr>
              <w:t xml:space="preserve">不得分。</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ascii="宋体" w:hAnsi="宋体" w:eastAsia="宋体" w:cs="宋体"/>
                <w:color w:val="auto"/>
                <w:spacing w:val="-6"/>
              </w:rPr>
              <w:t xml:space="preserve">主</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59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.2</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实施方案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评委根据投标人提供的本项目实施方案（包含但不限于人员安排、驻所人员管理、驻所人员工作安排、救治措施等）综合评分：（1）方案从实用性及可发展和可实现性方面考量思路完全符合采购需求且科学合理，得9分；（2）方案从实用性及可发展和可实现性方面考量思路比较符合采购需求且较科学合理，得6分；（3）方案从实用性及可发展和可实现性方面考量思路基本符合采购需求且基本科学合理，得3分；</w:t>
            </w:r>
            <w:r>
              <w:rPr>
                <w:rFonts w:hint="eastAsia" w:ascii="宋体" w:hAnsi="宋体" w:cs="宋体"/>
                <w:color w:val="auto"/>
                <w:lang w:val="en-US" w:eastAsia="zh-CN"/>
              </w:rPr>
              <w:t xml:space="preserve">（4）方案不合理或</w:t>
            </w:r>
            <w:r>
              <w:rPr>
                <w:rFonts w:hint="eastAsia" w:ascii="宋体" w:hAnsi="宋体" w:eastAsia="宋体" w:cs="宋体"/>
                <w:color w:val="auto"/>
                <w:lang w:val="en-US" w:eastAsia="zh-CN"/>
              </w:rPr>
              <w:t xml:space="preserve">未提供</w:t>
            </w:r>
            <w:r>
              <w:rPr>
                <w:rFonts w:hint="eastAsia" w:ascii="宋体" w:hAnsi="宋体" w:cs="宋体"/>
                <w:color w:val="auto"/>
                <w:lang w:val="en-US" w:eastAsia="zh-CN"/>
              </w:rPr>
              <w:t xml:space="preserve">的，</w:t>
            </w:r>
            <w:r>
              <w:rPr>
                <w:rFonts w:hint="eastAsia" w:ascii="宋体" w:hAnsi="宋体" w:eastAsia="宋体" w:cs="宋体"/>
                <w:color w:val="auto"/>
                <w:lang w:val="en-US" w:eastAsia="zh-CN"/>
              </w:rPr>
              <w:t xml:space="preserve">不得分。 </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yellow"/>
                <w:lang w:val="en-US" w:eastAsia="zh-CN"/>
              </w:rPr>
            </w:pPr>
            <w:r>
              <w:rPr>
                <w:rFonts w:hint="eastAsia" w:ascii="宋体" w:hAnsi="宋体" w:eastAsia="宋体" w:cs="宋体"/>
                <w:color w:val="auto"/>
                <w:highlight w:val="none"/>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主</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78"/>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.3</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应急方案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评委根据投标人提供的本项目应急方案（包含但不限于在押人员突发急症需立即救治、疫情等突发性大规模感染等）综合评分：（1）方案全面、切实有效可行，得9分；（2）方案较全面、较可行，得6分；（3）方案基本全面、基本可行，得3分；</w:t>
            </w:r>
            <w:r>
              <w:rPr>
                <w:rFonts w:hint="eastAsia" w:ascii="宋体" w:hAnsi="宋体" w:cs="宋体"/>
                <w:color w:val="auto"/>
                <w:lang w:val="en-US" w:eastAsia="zh-CN"/>
              </w:rPr>
              <w:t xml:space="preserve">（4）方案不合理或</w:t>
            </w:r>
            <w:r>
              <w:rPr>
                <w:rFonts w:hint="eastAsia" w:ascii="宋体" w:hAnsi="宋体" w:eastAsia="宋体" w:cs="宋体"/>
                <w:color w:val="auto"/>
                <w:lang w:val="en-US" w:eastAsia="zh-CN"/>
              </w:rPr>
              <w:t xml:space="preserve">未提供</w:t>
            </w:r>
            <w:r>
              <w:rPr>
                <w:rFonts w:hint="eastAsia" w:ascii="宋体" w:hAnsi="宋体" w:cs="宋体"/>
                <w:color w:val="auto"/>
                <w:lang w:val="en-US" w:eastAsia="zh-CN"/>
              </w:rPr>
              <w:t xml:space="preserve">的，</w:t>
            </w:r>
            <w:r>
              <w:rPr>
                <w:rFonts w:hint="eastAsia" w:ascii="宋体" w:hAnsi="宋体" w:eastAsia="宋体" w:cs="宋体"/>
                <w:color w:val="auto"/>
                <w:lang w:val="en-US" w:eastAsia="zh-CN"/>
              </w:rPr>
              <w:t xml:space="preserve">不得分。</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主</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868"/>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.4</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需求理解</w:t>
            </w:r>
            <w:r/>
          </w:p>
        </w:tc>
        <w:tc>
          <w:tcPr>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lang w:val="en-US"/>
              </w:rPr>
            </w:pPr>
            <w:r>
              <w:rPr>
                <w:rFonts w:hint="eastAsia" w:ascii="宋体" w:hAnsi="宋体" w:eastAsia="宋体" w:cs="宋体"/>
                <w:color w:val="auto"/>
                <w:lang w:val="en-US" w:eastAsia="zh-CN"/>
              </w:rPr>
              <w:t xml:space="preserve">评委根据投标人提供的本项目需求理解（包括针对市看守所、市第二看守所、市第三看守所基本情况及特点提出对本项目的理解</w:t>
            </w:r>
            <w:r>
              <w:rPr>
                <w:rFonts w:hint="eastAsia" w:ascii="宋体" w:hAnsi="宋体" w:eastAsia="宋体" w:cs="宋体"/>
                <w:color w:val="auto"/>
                <w:highlight w:val="none"/>
                <w:lang w:val="en-US" w:eastAsia="zh-CN"/>
              </w:rPr>
              <w:t xml:space="preserve">等</w:t>
            </w:r>
            <w:r>
              <w:rPr>
                <w:rFonts w:hint="eastAsia" w:ascii="宋体" w:hAnsi="宋体" w:cs="宋体"/>
                <w:color w:val="auto"/>
                <w:highlight w:val="none"/>
                <w:lang w:val="en-US" w:eastAsia="zh-CN"/>
              </w:rPr>
              <w:t xml:space="preserve">，包括但不限于与看守所的时间配合、保密要求、收治对象的特殊性等方面</w:t>
            </w:r>
            <w:r>
              <w:rPr>
                <w:rFonts w:hint="eastAsia" w:ascii="宋体" w:hAnsi="宋体" w:eastAsia="宋体" w:cs="宋体"/>
                <w:color w:val="auto"/>
                <w:highlight w:val="none"/>
                <w:lang w:val="en-US" w:eastAsia="zh-CN"/>
              </w:rPr>
              <w:t xml:space="preserve">）综合评分：（1）能贴合采购需求，对此项目理解深刻，得9分；（</w:t>
            </w:r>
            <w:r>
              <w:rPr>
                <w:rFonts w:hint="eastAsia" w:ascii="宋体" w:hAnsi="宋体" w:eastAsia="宋体" w:cs="宋体"/>
                <w:color w:val="auto"/>
                <w:lang w:val="en-US" w:eastAsia="zh-CN"/>
              </w:rPr>
              <w:t xml:space="preserve">2）</w:t>
            </w:r>
            <w:r>
              <w:rPr>
                <w:rFonts w:hint="eastAsia" w:ascii="宋体" w:hAnsi="宋体" w:cs="宋体"/>
                <w:color w:val="auto"/>
                <w:lang w:val="en-US" w:eastAsia="zh-CN"/>
              </w:rPr>
              <w:t xml:space="preserve">较符合</w:t>
            </w:r>
            <w:r>
              <w:rPr>
                <w:rFonts w:hint="eastAsia" w:ascii="宋体" w:hAnsi="宋体" w:eastAsia="宋体" w:cs="宋体"/>
                <w:color w:val="auto"/>
                <w:lang w:val="en-US" w:eastAsia="zh-CN"/>
              </w:rPr>
              <w:t xml:space="preserve">采购需求，对此项目理解较深刻，得6分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（3）基本</w:t>
            </w:r>
            <w:r>
              <w:rPr>
                <w:rFonts w:hint="eastAsia" w:ascii="宋体" w:hAnsi="宋体" w:cs="宋体"/>
                <w:color w:val="auto"/>
                <w:lang w:val="en-US" w:eastAsia="zh-CN"/>
              </w:rPr>
              <w:t xml:space="preserve">符合</w:t>
            </w:r>
            <w:r>
              <w:rPr>
                <w:rFonts w:hint="eastAsia" w:ascii="宋体" w:hAnsi="宋体" w:eastAsia="宋体" w:cs="宋体"/>
                <w:color w:val="auto"/>
                <w:lang w:val="en-US" w:eastAsia="zh-CN"/>
              </w:rPr>
              <w:t xml:space="preserve">采购需求，对此项目基本理解，得3分</w:t>
            </w:r>
            <w:r>
              <w:rPr>
                <w:rFonts w:hint="eastAsia" w:ascii="宋体" w:hAnsi="宋体" w:cs="宋体"/>
                <w:color w:val="auto"/>
                <w:lang w:val="en-US" w:eastAsia="zh-CN"/>
              </w:rPr>
              <w:t xml:space="preserve">；（4）脱离采购需求实际，缺乏对项目基本理解或者未提供的，不得分。</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主</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868"/>
        </w:trPr>
        <w:tc>
          <w:tcPr>
            <w:tcW w:w="51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auto"/>
                <w:lang w:val="en-US" w:eastAsia="zh-CN"/>
              </w:rPr>
            </w:pPr>
            <w:r>
              <w:rPr>
                <w:rFonts w:hint="eastAsia" w:ascii="宋体" w:hAnsi="宋体" w:eastAsia="宋体" w:cs="宋体"/>
                <w:color w:val="auto"/>
                <w:lang w:val="en-US" w:eastAsia="zh-CN"/>
              </w:rPr>
              <w:t xml:space="preserve">2.5</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人员要求</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lang w:val="en-US" w:eastAsia="zh-CN"/>
              </w:rPr>
            </w:pPr>
            <w:r>
              <w:rPr>
                <w:rFonts w:hint="eastAsia" w:ascii="宋体" w:hAnsi="宋体" w:eastAsia="宋体" w:cs="宋体"/>
                <w:color w:val="auto"/>
                <w:lang w:val="en-US" w:eastAsia="zh-CN"/>
              </w:rPr>
              <w:t xml:space="preserve">评委根据投标人提供的拟投入本项目的人员配置评分：符合采购需求的人员配置的基础上，</w:t>
            </w:r>
            <w:r>
              <w:rPr>
                <w:rFonts w:hint="eastAsia"/>
                <w:color w:val="auto"/>
                <w:highlight w:val="none"/>
                <w:lang w:val="en-US" w:eastAsia="zh-CN"/>
              </w:rPr>
              <w:t xml:space="preserve">整个项目</w:t>
            </w:r>
            <w:r>
              <w:rPr>
                <w:rFonts w:hint="eastAsia" w:ascii="宋体" w:hAnsi="宋体" w:eastAsia="宋体" w:cs="宋体"/>
                <w:color w:val="auto"/>
                <w:lang w:val="en-US" w:eastAsia="zh-CN"/>
              </w:rPr>
              <w:t xml:space="preserve">每增加一名主任或副主任医师得3分， 每增加一名护师得2分，最多得10分，未提供不得分</w:t>
            </w:r>
            <w:r>
              <w:rPr>
                <w:rFonts w:hint="eastAsia" w:ascii="宋体" w:hAnsi="宋体" w:cs="宋体"/>
                <w:color w:val="auto"/>
                <w:lang w:val="en-US" w:eastAsia="zh-CN"/>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lang w:val="en-US" w:eastAsia="zh-CN"/>
              </w:rPr>
              <w:t xml:space="preserve">（以上提供人员证书及投标人为其缴纳的2024年6</w:t>
            </w:r>
            <w:r>
              <w:rPr>
                <w:rFonts w:hint="eastAsia" w:ascii="宋体" w:hAnsi="宋体" w:cs="宋体"/>
                <w:color w:val="auto"/>
                <w:lang w:val="en-US" w:eastAsia="zh-CN"/>
              </w:rPr>
              <w:t xml:space="preserve">月以来</w:t>
            </w:r>
            <w:r>
              <w:rPr>
                <w:rFonts w:hint="eastAsia" w:ascii="宋体" w:hAnsi="宋体" w:eastAsia="宋体" w:cs="宋体"/>
                <w:color w:val="auto"/>
                <w:lang w:val="en-US" w:eastAsia="zh-CN"/>
              </w:rPr>
              <w:t xml:space="preserve">任意</w:t>
            </w:r>
            <w:r>
              <w:rPr>
                <w:rFonts w:hint="eastAsia" w:ascii="宋体" w:hAnsi="宋体" w:cs="宋体"/>
                <w:color w:val="auto"/>
                <w:lang w:val="en-US" w:eastAsia="zh-CN"/>
              </w:rPr>
              <w:t xml:space="preserve">一</w:t>
            </w:r>
            <w:r>
              <w:rPr>
                <w:rFonts w:hint="eastAsia" w:ascii="宋体" w:hAnsi="宋体" w:eastAsia="宋体" w:cs="宋体"/>
                <w:color w:val="auto"/>
                <w:lang w:val="en-US" w:eastAsia="zh-CN"/>
              </w:rPr>
              <w:t xml:space="preserve">个月的社保证明材料</w:t>
            </w:r>
            <w:r>
              <w:rPr>
                <w:rFonts w:hint="eastAsia" w:ascii="宋体" w:hAnsi="宋体" w:cs="宋体"/>
                <w:color w:val="auto"/>
                <w:lang w:val="en-US" w:eastAsia="zh-CN"/>
              </w:rPr>
              <w:t xml:space="preserve">（退休返聘人员提供返聘合同）</w:t>
            </w:r>
            <w:r>
              <w:rPr>
                <w:rFonts w:hint="eastAsia" w:ascii="宋体" w:hAnsi="宋体" w:eastAsia="宋体" w:cs="宋体"/>
                <w:color w:val="auto"/>
                <w:lang w:val="en-US" w:eastAsia="zh-CN"/>
              </w:rPr>
              <w:t xml:space="preserve">，缺项不得分）。</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lang w:val="en-US" w:eastAsia="zh-CN"/>
              </w:rPr>
            </w:pPr>
            <w:r>
              <w:rPr>
                <w:rFonts w:hint="eastAsia" w:ascii="宋体" w:hAnsi="宋体" w:eastAsia="宋体" w:cs="宋体"/>
                <w:color w:val="auto"/>
                <w:lang w:val="en-US" w:eastAsia="zh-CN"/>
              </w:rPr>
              <w:t xml:space="preserve">10</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rPr>
            </w:pPr>
            <w:r>
              <w:rPr>
                <w:rFonts w:hint="eastAsia" w:ascii="宋体" w:hAnsi="宋体" w:eastAsia="宋体" w:cs="宋体"/>
                <w:color w:val="auto"/>
                <w:spacing w:val="-6"/>
              </w:rPr>
              <w:t xml:space="preserve">客</w:t>
            </w:r>
            <w:r>
              <w:rPr>
                <w:rFonts w:hint="eastAsia"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868"/>
        </w:trPr>
        <w:tc>
          <w:tcPr>
            <w:tcW w:w="51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auto"/>
                <w:lang w:val="en-US" w:eastAsia="zh-CN"/>
              </w:rPr>
            </w:pPr>
            <w:r>
              <w:rPr>
                <w:rFonts w:hint="eastAsia" w:ascii="宋体" w:hAnsi="宋体" w:eastAsia="宋体" w:cs="宋体"/>
                <w:color w:val="auto"/>
                <w:lang w:val="en-US" w:eastAsia="zh-CN"/>
              </w:rPr>
              <w:t xml:space="preserve">2.6</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服务承诺</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lang w:val="en-US" w:eastAsia="zh-CN"/>
              </w:rPr>
              <w:t xml:space="preserve">投标人承诺：</w:t>
            </w:r>
            <w:r>
              <w:rPr>
                <w:rFonts w:hint="eastAsia" w:ascii="宋体" w:hAnsi="宋体" w:eastAsia="宋体" w:cs="宋体"/>
                <w:color w:val="auto"/>
                <w:lang w:val="en-US" w:eastAsia="zh-CN"/>
              </w:rPr>
              <w:t xml:space="preserve">采购人若出现疫情等重大情况</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第一时间增派人手协助采购人</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得4分，未提供不得分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（提供承诺书，</w:t>
            </w:r>
            <w:r>
              <w:rPr>
                <w:rFonts w:hint="eastAsia" w:ascii="宋体" w:hAnsi="宋体" w:cs="宋体"/>
                <w:color w:val="auto"/>
                <w:lang w:val="en-US" w:eastAsia="zh-CN"/>
              </w:rPr>
              <w:t xml:space="preserve">格式自拟</w:t>
            </w:r>
            <w:r>
              <w:rPr>
                <w:rFonts w:hint="eastAsia" w:ascii="宋体" w:hAnsi="宋体" w:eastAsia="宋体" w:cs="宋体"/>
                <w:color w:val="auto"/>
                <w:lang w:val="en-US" w:eastAsia="zh-CN"/>
              </w:rPr>
              <w:t xml:space="preserve">）</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lang w:val="en-US" w:eastAsia="zh-CN"/>
              </w:rPr>
            </w:pPr>
            <w:r>
              <w:rPr>
                <w:rFonts w:hint="eastAsia" w:ascii="宋体" w:hAnsi="宋体" w:eastAsia="宋体" w:cs="宋体"/>
                <w:color w:val="auto"/>
                <w:lang w:val="en-US" w:eastAsia="zh-CN"/>
              </w:rPr>
              <w:t xml:space="preserve">4</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rPr>
            </w:pPr>
            <w:r>
              <w:rPr>
                <w:rFonts w:hint="eastAsia" w:ascii="宋体" w:hAnsi="宋体" w:eastAsia="宋体" w:cs="宋体"/>
                <w:color w:val="auto"/>
                <w:spacing w:val="-6"/>
              </w:rPr>
              <w:t xml:space="preserve">客</w:t>
            </w:r>
            <w:r>
              <w:rPr>
                <w:rFonts w:hint="eastAsia"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455"/>
        </w:trPr>
        <w:tc>
          <w:tcPr>
            <w:gridSpan w:val="5"/>
            <w:tcW w:w="974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3.1</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eastAsia="zh-CN"/>
              </w:rPr>
              <w:t xml:space="preserve">投标人</w:t>
            </w:r>
            <w:r>
              <w:rPr>
                <w:rFonts w:hint="eastAsia" w:ascii="宋体" w:hAnsi="宋体" w:eastAsia="宋体" w:cs="宋体"/>
                <w:color w:val="auto"/>
              </w:rPr>
              <w:t xml:space="preserve">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投标人提供自202</w:t>
            </w:r>
            <w:r>
              <w:rPr>
                <w:rFonts w:hint="eastAsia" w:ascii="宋体" w:hAnsi="宋体" w:cs="宋体"/>
                <w:color w:val="auto"/>
                <w:lang w:val="en-US" w:eastAsia="zh-CN"/>
              </w:rPr>
              <w:t xml:space="preserve">1</w:t>
            </w:r>
            <w:r>
              <w:rPr>
                <w:rFonts w:hint="eastAsia" w:ascii="宋体" w:hAnsi="宋体" w:eastAsia="宋体" w:cs="宋体"/>
                <w:color w:val="auto"/>
                <w:lang w:val="en-US" w:eastAsia="zh-CN"/>
              </w:rPr>
              <w:t xml:space="preserve">年1月1日</w:t>
            </w:r>
            <w:r>
              <w:rPr>
                <w:rFonts w:hint="eastAsia" w:ascii="宋体" w:hAnsi="宋体" w:cs="宋体"/>
                <w:color w:val="auto"/>
                <w:lang w:val="en-US" w:eastAsia="zh-CN"/>
              </w:rPr>
              <w:t xml:space="preserve">（含）</w:t>
            </w:r>
            <w:r>
              <w:rPr>
                <w:rFonts w:hint="eastAsia" w:ascii="宋体" w:hAnsi="宋体" w:eastAsia="宋体" w:cs="宋体"/>
                <w:color w:val="auto"/>
                <w:lang w:val="en-US" w:eastAsia="zh-CN"/>
              </w:rPr>
              <w:t xml:space="preserve">以来</w:t>
            </w:r>
            <w:r>
              <w:rPr>
                <w:rFonts w:hint="eastAsia" w:ascii="宋体" w:hAnsi="宋体" w:cs="宋体"/>
                <w:color w:val="auto"/>
                <w:lang w:val="en-US" w:eastAsia="zh-CN"/>
              </w:rPr>
              <w:t xml:space="preserve">（以合同签订时间为准）</w:t>
            </w:r>
            <w:r>
              <w:rPr>
                <w:rFonts w:hint="eastAsia" w:ascii="宋体" w:hAnsi="宋体" w:eastAsia="宋体" w:cs="宋体"/>
                <w:color w:val="auto"/>
                <w:lang w:val="en-US" w:eastAsia="zh-CN"/>
              </w:rPr>
              <w:t xml:space="preserve">的类似医疗服务项目的成功案例，每提供1个得3分，最多得9分，未提供不得分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w:t>
            </w:r>
            <w:r>
              <w:rPr>
                <w:rFonts w:hint="eastAsia" w:ascii="宋体" w:hAnsi="宋体" w:cs="宋体"/>
                <w:color w:val="auto"/>
                <w:lang w:val="en-US" w:eastAsia="zh-CN"/>
              </w:rPr>
              <w:t xml:space="preserve">提供服务合同，</w:t>
            </w:r>
            <w:r>
              <w:rPr>
                <w:rFonts w:hint="eastAsia" w:ascii="宋体" w:hAnsi="宋体" w:eastAsia="宋体" w:cs="宋体"/>
                <w:color w:val="auto"/>
                <w:lang w:val="en-US" w:eastAsia="zh-CN"/>
              </w:rPr>
              <w:t xml:space="preserve">合同应能反应相关内容）。</w:t>
            </w:r>
            <w:r/>
          </w:p>
        </w:tc>
        <w:tc>
          <w:tcPr>
            <w:tcW w:w="573" w:type="dxa"/>
            <w:vAlign w:val="center"/>
            <w:textDirection w:val="lrTb"/>
            <w:noWrap w:val="false"/>
          </w:tcPr>
          <w:p>
            <w:pPr>
              <w:jc w:val="center"/>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rPr>
              <w:t xml:space="preserve">客</w:t>
            </w:r>
            <w:r>
              <w:rPr>
                <w:rFonts w:hint="eastAsia"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W w:w="9747"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4.履约能力</w:t>
            </w:r>
            <w:r/>
          </w:p>
        </w:tc>
      </w:tr>
      <w:tr>
        <w:trPr>
          <w:jc w:val="center"/>
          <w:trHeight w:val="792"/>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4.1</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eastAsia="zh-CN"/>
              </w:rPr>
              <w:t xml:space="preserve">履约能力</w:t>
            </w:r>
            <w:r>
              <w:rPr>
                <w:rFonts w:hint="eastAsia" w:ascii="宋体" w:hAnsi="宋体" w:eastAsia="宋体" w:cs="宋体"/>
                <w:color w:val="auto"/>
                <w:lang w:val="en-US" w:eastAsia="zh-CN"/>
              </w:rPr>
              <w:t xml:space="preserve">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投标人具有CT、核磁共振设备</w:t>
            </w:r>
            <w:r>
              <w:rPr>
                <w:rFonts w:hint="eastAsia"/>
                <w:color w:val="auto"/>
                <w:highlight w:val="none"/>
                <w:lang w:eastAsia="zh-CN"/>
              </w:rPr>
              <w:t xml:space="preserve">、</w:t>
            </w:r>
            <w:r>
              <w:rPr>
                <w:rFonts w:hint="eastAsia"/>
                <w:color w:val="auto"/>
                <w:highlight w:val="none"/>
                <w:lang w:val="en-US" w:eastAsia="zh-CN"/>
              </w:rPr>
              <w:t xml:space="preserve">胃肠镜、心脏彩超</w:t>
            </w:r>
            <w:r>
              <w:rPr>
                <w:rFonts w:hint="eastAsia" w:ascii="宋体" w:hAnsi="宋体" w:eastAsia="宋体" w:cs="宋体"/>
                <w:color w:val="auto"/>
                <w:highlight w:val="none"/>
                <w:lang w:val="en-US" w:eastAsia="zh-CN"/>
              </w:rPr>
              <w:t xml:space="preserve">等</w:t>
            </w:r>
            <w:r>
              <w:rPr>
                <w:rFonts w:hint="eastAsia" w:ascii="宋体" w:hAnsi="宋体" w:eastAsia="宋体" w:cs="宋体"/>
                <w:color w:val="auto"/>
                <w:lang w:val="en-US" w:eastAsia="zh-CN"/>
              </w:rPr>
              <w:t xml:space="preserve">大型医疗设备，每提供1项设备得2分，最多8分，未提供不得分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（提供采购合同（或发票）及设备现场照片，合同或发票的抬头须与投标人名称一致）</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注：允许提供的设备名称与评分标准给定名称有差别，但不能改变设备实质性功能，否则不得分。如提供的设备名称不一致，须提供设备的主要功能介绍并附证明材料。</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lang w:val="en-US" w:eastAsia="zh-CN"/>
              </w:rPr>
              <w:t xml:space="preserve">8</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896"/>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4</w:t>
            </w:r>
            <w:r>
              <w:rPr>
                <w:rFonts w:ascii="宋体" w:hAnsi="宋体" w:eastAsia="宋体" w:cs="宋体"/>
                <w:color w:val="auto"/>
                <w:spacing w:val="-2"/>
              </w:rPr>
              <w:t xml:space="preserve">.2</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eastAsia="zh-CN"/>
              </w:rPr>
              <w:t xml:space="preserve">履约能力</w:t>
            </w:r>
            <w:r>
              <w:rPr>
                <w:rFonts w:hint="eastAsia" w:ascii="宋体" w:hAnsi="宋体" w:eastAsia="宋体" w:cs="宋体"/>
                <w:color w:val="auto"/>
                <w:lang w:val="en-US" w:eastAsia="zh-CN"/>
              </w:rPr>
              <w:t xml:space="preserve">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投标人具有急诊救治服务的能力</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具有急诊病房得3分；具有重症监护室得5分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 </w:t>
            </w:r>
            <w:r>
              <w:rPr>
                <w:rFonts w:hint="eastAsia" w:ascii="宋体" w:hAnsi="宋体" w:cs="宋体"/>
                <w:color w:val="auto"/>
                <w:lang w:val="en-US" w:eastAsia="zh-CN"/>
              </w:rPr>
              <w:t xml:space="preserve">同一类型不重复得分，</w:t>
            </w:r>
            <w:r>
              <w:rPr>
                <w:rFonts w:hint="eastAsia" w:ascii="宋体" w:hAnsi="宋体" w:eastAsia="宋体" w:cs="宋体"/>
                <w:color w:val="auto"/>
                <w:lang w:val="en-US" w:eastAsia="zh-CN"/>
              </w:rPr>
              <w:t xml:space="preserve">本项最多8分，未提供不得分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（提供医疗机构执业许可证等</w:t>
            </w:r>
            <w:r>
              <w:rPr>
                <w:rFonts w:hint="eastAsia" w:ascii="宋体" w:hAnsi="宋体" w:cs="宋体"/>
                <w:color w:val="auto"/>
                <w:lang w:val="en-US" w:eastAsia="zh-CN"/>
              </w:rPr>
              <w:t xml:space="preserve">相关有效</w:t>
            </w:r>
            <w:r>
              <w:rPr>
                <w:rFonts w:hint="eastAsia" w:ascii="宋体" w:hAnsi="宋体" w:eastAsia="宋体" w:cs="宋体"/>
                <w:color w:val="auto"/>
                <w:lang w:val="en-US" w:eastAsia="zh-CN"/>
              </w:rPr>
              <w:t xml:space="preserve">证明材料）</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lang w:val="en-US" w:eastAsia="zh-CN"/>
              </w:rPr>
              <w:t xml:space="preserve">8</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760"/>
        </w:trPr>
        <w:tc>
          <w:tcPr>
            <w:tcW w:w="51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auto"/>
                <w:spacing w:val="-3"/>
              </w:rPr>
            </w:pPr>
            <w:r>
              <w:rPr>
                <w:rFonts w:hint="eastAsia" w:ascii="宋体" w:hAnsi="宋体" w:eastAsia="宋体" w:cs="宋体"/>
                <w:color w:val="auto"/>
                <w:spacing w:val="-3"/>
              </w:rPr>
              <w:t xml:space="preserve">4.3</w:t>
            </w:r>
            <w:r/>
          </w:p>
        </w:tc>
        <w:tc>
          <w:tcPr>
            <w:tcW w:w="117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eastAsia="zh-CN"/>
              </w:rPr>
              <w:t xml:space="preserve">履约能力</w:t>
            </w:r>
            <w:r>
              <w:rPr>
                <w:rFonts w:hint="eastAsia" w:ascii="宋体" w:hAnsi="宋体" w:eastAsia="宋体" w:cs="宋体"/>
                <w:color w:val="auto"/>
                <w:lang w:val="en-US" w:eastAsia="zh-CN"/>
              </w:rPr>
              <w:t xml:space="preserve">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cs="宋体"/>
                <w:color w:val="auto"/>
                <w:lang w:val="en-US" w:eastAsia="zh-CN"/>
              </w:rPr>
              <w:t xml:space="preserve">投标人</w:t>
            </w:r>
            <w:r>
              <w:rPr>
                <w:rFonts w:hint="eastAsia" w:ascii="宋体" w:hAnsi="宋体" w:eastAsia="宋体" w:cs="宋体"/>
                <w:color w:val="auto"/>
                <w:lang w:val="en-US" w:eastAsia="zh-CN"/>
              </w:rPr>
              <w:t xml:space="preserve">具有市级医学重点专科</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每提供一个得2分，省级</w:t>
            </w:r>
            <w:r>
              <w:rPr>
                <w:rFonts w:hint="eastAsia" w:ascii="宋体" w:hAnsi="宋体" w:cs="宋体"/>
                <w:color w:val="auto"/>
                <w:lang w:val="en-US" w:eastAsia="zh-CN"/>
              </w:rPr>
              <w:t xml:space="preserve">或</w:t>
            </w:r>
            <w:r>
              <w:rPr>
                <w:rFonts w:hint="eastAsia" w:ascii="宋体" w:hAnsi="宋体" w:eastAsia="宋体" w:cs="宋体"/>
                <w:color w:val="auto"/>
                <w:lang w:val="en-US" w:eastAsia="zh-CN"/>
              </w:rPr>
              <w:t xml:space="preserve">以上医学重点专科</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每提供一个得3分，最</w:t>
            </w:r>
            <w:r>
              <w:rPr>
                <w:rFonts w:hint="eastAsia" w:ascii="宋体" w:hAnsi="宋体" w:cs="宋体"/>
                <w:color w:val="auto"/>
                <w:lang w:val="en-US" w:eastAsia="zh-CN"/>
              </w:rPr>
              <w:t xml:space="preserve">多</w:t>
            </w:r>
            <w:r>
              <w:rPr>
                <w:rFonts w:hint="eastAsia" w:ascii="宋体" w:hAnsi="宋体" w:eastAsia="宋体" w:cs="宋体"/>
                <w:color w:val="auto"/>
                <w:lang w:val="en-US" w:eastAsia="zh-CN"/>
              </w:rPr>
              <w:t xml:space="preserve">15分，未提供不得分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（供应商需提供政府主管部门颁发的相应的证明材料，所提供的重点专科需与采购</w:t>
            </w:r>
            <w:r>
              <w:rPr>
                <w:rFonts w:hint="eastAsia" w:ascii="宋体" w:hAnsi="宋体" w:cs="宋体"/>
                <w:color w:val="auto"/>
                <w:lang w:val="en-US" w:eastAsia="zh-CN"/>
              </w:rPr>
              <w:t xml:space="preserve">需求</w:t>
            </w:r>
            <w:r>
              <w:rPr>
                <w:rFonts w:hint="eastAsia" w:ascii="宋体" w:hAnsi="宋体" w:eastAsia="宋体" w:cs="宋体"/>
                <w:color w:val="auto"/>
                <w:lang w:val="en-US" w:eastAsia="zh-CN"/>
              </w:rPr>
              <w:t xml:space="preserve">内容相关，否则不予认可）</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lang w:val="en-US"/>
              </w:rPr>
            </w:pPr>
            <w:r>
              <w:rPr>
                <w:rFonts w:hint="eastAsia" w:ascii="宋体" w:hAnsi="宋体" w:eastAsia="宋体" w:cs="宋体"/>
                <w:color w:val="auto"/>
                <w:lang w:val="en-US" w:eastAsia="zh-CN"/>
              </w:rPr>
              <w:t xml:space="preserve">15</w:t>
            </w:r>
            <w:r/>
          </w:p>
        </w:tc>
        <w:tc>
          <w:tcPr>
            <w:tcW w:w="860" w:type="dxa"/>
            <w:vAlign w:val="center"/>
            <w:textDirection w:val="lrTb"/>
            <w:noWrap w:val="false"/>
          </w:tcPr>
          <w:p>
            <w:pPr>
              <w:ind w:right="89"/>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rPr>
                <w:rFonts w:ascii="宋体" w:hAnsi="宋体" w:eastAsia="宋体" w:cs="宋体"/>
                <w:color w:val="auto"/>
              </w:rPr>
              <w:t xml:space="preserve"> </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ascii="宋体" w:hAnsi="宋体" w:eastAsia="宋体" w:cs="宋体"/>
                <w:color w:val="auto"/>
                <w:spacing w:val="-3"/>
              </w:rPr>
              <w:t xml:space="preserve">合</w:t>
            </w:r>
            <w:r>
              <w:rPr>
                <w:rFonts w:ascii="宋体" w:hAnsi="宋体" w:eastAsia="宋体" w:cs="宋体"/>
                <w:color w:val="auto"/>
                <w:spacing w:val="-2"/>
              </w:rPr>
              <w:t xml:space="preserve">计</w:t>
            </w:r>
            <w:r/>
          </w:p>
        </w:tc>
        <w:tc>
          <w:tcPr>
            <w:gridSpan w:val="2"/>
            <w:tcW w:w="779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lang w:eastAsia="zh-CN"/>
              </w:rPr>
            </w:pPr>
            <w:r>
              <w:rPr>
                <w:rFonts w:hint="eastAsia" w:ascii="宋体" w:hAnsi="宋体" w:eastAsia="宋体" w:cs="宋体"/>
                <w:color w:val="auto"/>
                <w:lang w:eastAsia="zh-CN"/>
              </w:rPr>
            </w:r>
            <w:r/>
          </w:p>
        </w:tc>
        <w:tc>
          <w:tcPr>
            <w:gridSpan w:val="2"/>
            <w:tcW w:w="143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r>
      <w:r/>
    </w:p>
    <w:p>
      <w:pPr>
        <w:keepLines w:val="0"/>
        <w:keepNext w:val="0"/>
        <w:pageBreakBefore w:val="0"/>
        <w:spacing w:line="288" w:lineRule="auto"/>
        <w:widowControl w:val="off"/>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r>
      <w:r/>
    </w:p>
    <w:p>
      <w:pPr>
        <w:pStyle w:val="1009"/>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r>
      <w:r/>
    </w:p>
    <w:p>
      <w:pPr>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pPr>
      <w:r>
        <w:rPr>
          <w:rFonts w:hint="eastAsia" w:ascii="方正小标宋简体" w:hAnsi="方正小标宋简体" w:eastAsia="方正小标宋简体" w:cs="方正小标宋简体"/>
          <w:color w:val="auto"/>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pPr>
      <w:r>
        <w:rPr>
          <w:rFonts w:hint="eastAsia" w:ascii="方正小标宋简体" w:hAnsi="方正小标宋简体" w:eastAsia="方正小标宋简体" w:cs="方正小标宋简体"/>
          <w:color w:val="auto"/>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auto"/>
          <w:sz w:val="36"/>
          <w:szCs w:val="36"/>
          <w:lang w:val="en-US" w:eastAsia="zh-CN"/>
        </w:rPr>
        <w:t xml:space="preserve">文件格式 </w:t>
      </w:r>
      <w:r/>
    </w:p>
    <w:p>
      <w:pPr>
        <w:jc w:val="center"/>
        <w:rPr>
          <w:rFonts w:hint="eastAsia" w:ascii="宋体" w:hAnsi="宋体"/>
          <w:b/>
          <w:color w:val="auto"/>
          <w:sz w:val="72"/>
        </w:rPr>
      </w:pPr>
      <w:r/>
      <w:bookmarkStart w:id="194" w:name="_Hlt26671244"/>
      <w:r/>
      <w:bookmarkEnd w:id="194"/>
      <w:r/>
      <w:bookmarkStart w:id="195" w:name="_Hlt26955039"/>
      <w:r/>
      <w:bookmarkEnd w:id="195"/>
      <w:r/>
      <w:bookmarkStart w:id="196" w:name="_Toc49090576"/>
      <w:r/>
      <w:bookmarkStart w:id="197" w:name="_Toc26554094"/>
      <w:r/>
      <w:bookmarkStart w:id="198" w:name="_Toc120614282"/>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ascii="宋体" w:hAnsi="宋体"/>
          <w:color w:val="auto"/>
          <w:sz w:val="24"/>
        </w:rPr>
      </w:pPr>
      <w:r>
        <w:rPr>
          <w:rFonts w:hint="eastAsia" w:ascii="宋体" w:hAnsi="宋体" w:eastAsia="宋体" w:cs="宋体"/>
          <w:b w:val="0"/>
          <w:bCs w:val="0"/>
          <w:i w:val="0"/>
          <w:color w:val="auto"/>
          <w:sz w:val="28"/>
          <w:szCs w:val="28"/>
          <w:u w:val="none"/>
          <w:lang w:val="en-US" w:eastAsia="zh-CN"/>
        </w:rPr>
        <w:t xml:space="preserve">十、残疾人福利性单位声明函（如有）</w:t>
      </w:r>
      <w:r/>
    </w:p>
    <w:p>
      <w:pPr>
        <w:ind w:firstLine="480"/>
        <w:spacing w:line="440" w:lineRule="exact"/>
        <w:rPr>
          <w:rFonts w:ascii="宋体" w:hAnsi="宋体"/>
          <w:color w:val="auto"/>
          <w:sz w:val="24"/>
        </w:rPr>
      </w:pPr>
      <w:r>
        <w:rPr>
          <w:rFonts w:ascii="宋体" w:hAnsi="宋体"/>
          <w:color w:val="auto"/>
          <w:sz w:val="24"/>
        </w:rPr>
      </w:r>
      <w:r/>
    </w:p>
    <w:p>
      <w:pPr>
        <w:pStyle w:val="1010"/>
        <w:rPr>
          <w:rFonts w:ascii="宋体" w:hAnsi="宋体"/>
          <w:color w:val="auto"/>
          <w:sz w:val="24"/>
        </w:rPr>
      </w:pPr>
      <w:r>
        <w:rPr>
          <w:rFonts w:ascii="宋体" w:hAnsi="宋体"/>
          <w:color w:val="auto"/>
          <w:sz w:val="24"/>
        </w:rPr>
      </w:r>
      <w:r/>
    </w:p>
    <w:p>
      <w:pPr>
        <w:pStyle w:val="1010"/>
        <w:rPr>
          <w:rFonts w:ascii="宋体" w:hAnsi="宋体"/>
          <w:color w:val="auto"/>
          <w:sz w:val="24"/>
        </w:rPr>
      </w:pPr>
      <w:r>
        <w:rPr>
          <w:rFonts w:ascii="宋体" w:hAnsi="宋体"/>
          <w:color w:val="auto"/>
          <w:sz w:val="24"/>
        </w:rPr>
      </w:r>
      <w:r/>
    </w:p>
    <w:p>
      <w:pPr>
        <w:pStyle w:val="1010"/>
        <w:rPr>
          <w:rFonts w:ascii="宋体" w:hAnsi="宋体"/>
          <w:color w:val="auto"/>
          <w:sz w:val="24"/>
        </w:rPr>
      </w:pPr>
      <w:r>
        <w:rPr>
          <w:rFonts w:ascii="宋体" w:hAnsi="宋体"/>
          <w:color w:val="auto"/>
          <w:sz w:val="24"/>
        </w:rPr>
      </w:r>
      <w:r/>
    </w:p>
    <w:p>
      <w:pPr>
        <w:pStyle w:val="1010"/>
        <w:rPr>
          <w:rFonts w:ascii="宋体" w:hAnsi="宋体"/>
          <w:color w:val="auto"/>
          <w:sz w:val="24"/>
        </w:rPr>
      </w:pPr>
      <w:r>
        <w:rPr>
          <w:rFonts w:ascii="宋体" w:hAnsi="宋体"/>
          <w:color w:val="auto"/>
          <w:sz w:val="24"/>
        </w:rPr>
      </w:r>
      <w:r/>
    </w:p>
    <w:p>
      <w:pPr>
        <w:pStyle w:val="1010"/>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196"/>
      <w:r/>
      <w:bookmarkEnd w:id="197"/>
      <w:r/>
      <w:bookmarkEnd w:id="198"/>
      <w:r/>
      <w:r/>
    </w:p>
    <w:p>
      <w:pPr>
        <w:rPr>
          <w:rFonts w:hint="eastAsia" w:ascii="黑体" w:hAnsi="黑体" w:eastAsia="黑体" w:cs="Times New Roman"/>
          <w:i/>
          <w:color w:val="auto"/>
          <w:sz w:val="32"/>
          <w:szCs w:val="32"/>
          <w:u w:val="single"/>
          <w:lang w:val="en-US" w:eastAsia="zh-CN"/>
        </w:rPr>
      </w:pPr>
      <w:r/>
      <w:bookmarkStart w:id="199" w:name="_Toc120614284"/>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0"/>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在经营活动中没有重大违法记录</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如果我公司中标</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w:t>
      </w:r>
      <w:r>
        <w:rPr>
          <w:rFonts w:hint="eastAsia"/>
          <w:color w:val="auto"/>
          <w:sz w:val="24"/>
          <w:szCs w:val="24"/>
          <w:lang w:eastAsia="zh-CN"/>
        </w:rPr>
        <w:t xml:space="preserve">，</w:t>
      </w:r>
      <w:r>
        <w:rPr>
          <w:rFonts w:hint="eastAsia"/>
          <w:color w:val="auto"/>
          <w:sz w:val="24"/>
          <w:szCs w:val="24"/>
        </w:rPr>
        <w:t xml:space="preserve">如有虚假</w:t>
      </w:r>
      <w:r>
        <w:rPr>
          <w:rFonts w:hint="eastAsia"/>
          <w:color w:val="auto"/>
          <w:sz w:val="24"/>
          <w:szCs w:val="24"/>
          <w:lang w:eastAsia="zh-CN"/>
        </w:rPr>
        <w:t xml:space="preserve">，</w:t>
      </w:r>
      <w:r>
        <w:rPr>
          <w:rFonts w:hint="eastAsia"/>
          <w:color w:val="auto"/>
          <w:sz w:val="24"/>
          <w:szCs w:val="24"/>
        </w:rPr>
        <w:t xml:space="preserve">将依法承担相应责任。</w:t>
      </w:r>
      <w:r/>
    </w:p>
    <w:p>
      <w:pPr>
        <w:ind w:firstLine="492"/>
        <w:spacing w:line="460" w:lineRule="exact"/>
        <w:rPr>
          <w:color w:val="auto"/>
          <w:sz w:val="24"/>
          <w:szCs w:val="24"/>
        </w:rPr>
      </w:pPr>
      <w:r>
        <w:rPr>
          <w:color w:val="auto"/>
          <w:sz w:val="24"/>
          <w:szCs w:val="24"/>
        </w:rPr>
      </w:r>
      <w:r/>
    </w:p>
    <w:p>
      <w:pPr>
        <w:pStyle w:val="1047"/>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rPr>
          <w:rFonts w:hint="eastAsia"/>
          <w:color w:val="auto"/>
          <w:lang w:eastAsia="zh-CN"/>
        </w:rPr>
      </w:pPr>
      <w:r>
        <w:rPr>
          <w:rFonts w:hint="eastAsia"/>
          <w:color w:val="auto"/>
          <w:lang w:eastAsia="zh-CN"/>
        </w:rPr>
      </w:r>
      <w:r/>
    </w:p>
    <w:p>
      <w:pPr>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019"/>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1049"/>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0"/>
      </w:pPr>
      <w:r>
        <w:rPr>
          <w:rFonts w:hint="eastAsia" w:ascii="方正小标宋简体" w:hAnsi="方正小标宋简体" w:eastAsia="方正小标宋简体" w:cs="方正小标宋简体"/>
          <w:color w:val="auto"/>
          <w:sz w:val="32"/>
          <w:szCs w:val="32"/>
          <w:lang w:val="en-US"/>
        </w:rPr>
        <w:t xml:space="preserve">法人授权书</w:t>
      </w:r>
      <w:r/>
    </w:p>
    <w:p>
      <w:pPr>
        <w:pStyle w:val="1019"/>
        <w:ind w:firstLine="480"/>
        <w:spacing w:line="420" w:lineRule="exact"/>
        <w:rPr>
          <w:rFonts w:hint="eastAsia"/>
          <w:color w:val="auto"/>
          <w:sz w:val="24"/>
          <w:szCs w:val="24"/>
        </w:rPr>
      </w:pPr>
      <w:r>
        <w:rPr>
          <w:rFonts w:hint="eastAsia"/>
          <w:color w:val="auto"/>
          <w:sz w:val="24"/>
          <w:szCs w:val="24"/>
        </w:rPr>
      </w:r>
      <w:r/>
    </w:p>
    <w:p>
      <w:pPr>
        <w:pStyle w:val="1019"/>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w:t>
      </w:r>
      <w:r>
        <w:rPr>
          <w:rFonts w:hint="eastAsia"/>
          <w:color w:val="auto"/>
          <w:sz w:val="24"/>
          <w:szCs w:val="24"/>
          <w:lang w:eastAsia="zh-CN"/>
        </w:rPr>
        <w:t xml:space="preserve">，</w:t>
      </w:r>
      <w:r>
        <w:rPr>
          <w:rFonts w:hint="eastAsia"/>
          <w:color w:val="auto"/>
          <w:sz w:val="24"/>
          <w:szCs w:val="24"/>
        </w:rPr>
        <w:t xml:space="preserve">以本单位名义全权处理一切与该项目采购有关的事务。</w:t>
      </w:r>
      <w:r/>
    </w:p>
    <w:p>
      <w:pPr>
        <w:pStyle w:val="1019"/>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w:t>
      </w:r>
      <w:r>
        <w:rPr>
          <w:rFonts w:hint="eastAsia"/>
          <w:color w:val="auto"/>
          <w:sz w:val="24"/>
          <w:szCs w:val="24"/>
          <w:lang w:eastAsia="zh-CN"/>
        </w:rPr>
        <w:t xml:space="preserve">，</w:t>
      </w:r>
      <w:r>
        <w:rPr>
          <w:rFonts w:hint="eastAsia"/>
          <w:color w:val="auto"/>
          <w:sz w:val="24"/>
          <w:szCs w:val="24"/>
        </w:rPr>
        <w:t xml:space="preserve">特此声明。</w:t>
      </w:r>
      <w:r/>
    </w:p>
    <w:p>
      <w:pPr>
        <w:pStyle w:val="1019"/>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1019"/>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1019"/>
        <w:ind w:firstLine="468"/>
        <w:spacing w:line="480" w:lineRule="exact"/>
        <w:rPr>
          <w:rFonts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1019"/>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1019"/>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0" w:name="_Hlt26671380"/>
      <w:r/>
      <w:bookmarkEnd w:id="200"/>
      <w:r/>
      <w:bookmarkStart w:id="201" w:name="_格式3__银行出具的资信证明"/>
      <w:r/>
      <w:bookmarkEnd w:id="201"/>
      <w:r/>
      <w:bookmarkStart w:id="202" w:name="_Hlt26955070"/>
      <w:r/>
      <w:bookmarkEnd w:id="202"/>
      <w:r/>
      <w:r/>
    </w:p>
    <w:p>
      <w:pPr>
        <w:pStyle w:val="935"/>
        <w:rPr>
          <w:rFonts w:hint="eastAsia"/>
          <w:i/>
          <w:color w:val="auto"/>
          <w:sz w:val="24"/>
          <w:szCs w:val="24"/>
          <w:u w:val="single"/>
        </w:rPr>
      </w:pPr>
      <w:r>
        <w:rPr>
          <w:rFonts w:hint="eastAsia"/>
          <w:i/>
          <w:color w:val="auto"/>
          <w:sz w:val="24"/>
          <w:szCs w:val="24"/>
          <w:u w:val="single"/>
        </w:rPr>
      </w:r>
      <w:r/>
    </w:p>
    <w:p>
      <w:pPr>
        <w:pStyle w:val="935"/>
        <w:rPr>
          <w:rFonts w:hint="eastAsia"/>
          <w:i/>
          <w:color w:val="auto"/>
          <w:sz w:val="24"/>
          <w:szCs w:val="24"/>
          <w:u w:val="single"/>
        </w:rPr>
      </w:pPr>
      <w:r>
        <w:rPr>
          <w:rFonts w:hint="eastAsia"/>
          <w:i/>
          <w:color w:val="auto"/>
          <w:sz w:val="24"/>
          <w:szCs w:val="24"/>
          <w:u w:val="single"/>
        </w:rPr>
      </w:r>
      <w:r/>
    </w:p>
    <w:p>
      <w:pPr>
        <w:pStyle w:val="935"/>
        <w:rPr>
          <w:rFonts w:hint="eastAsia"/>
          <w:i/>
          <w:color w:val="auto"/>
          <w:sz w:val="24"/>
          <w:szCs w:val="24"/>
          <w:u w:val="single"/>
        </w:rPr>
      </w:pPr>
      <w:r>
        <w:rPr>
          <w:rFonts w:hint="eastAsia"/>
          <w:i/>
          <w:color w:val="auto"/>
          <w:sz w:val="24"/>
          <w:szCs w:val="24"/>
          <w:u w:val="single"/>
        </w:rPr>
      </w:r>
      <w:r/>
    </w:p>
    <w:p>
      <w:pPr>
        <w:pStyle w:val="935"/>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1010"/>
        <w:rPr>
          <w:rFonts w:hint="eastAsia" w:ascii="宋体" w:hAnsi="宋体"/>
          <w:bCs/>
          <w:color w:val="auto"/>
          <w:sz w:val="24"/>
        </w:rPr>
      </w:pPr>
      <w:r>
        <w:rPr>
          <w:rFonts w:hint="eastAsia" w:ascii="宋体" w:hAnsi="宋体"/>
          <w:bCs/>
          <w:color w:val="auto"/>
          <w:sz w:val="24"/>
        </w:rPr>
      </w:r>
      <w:r/>
    </w:p>
    <w:p>
      <w:pPr>
        <w:pStyle w:val="1010"/>
        <w:rPr>
          <w:rFonts w:hint="eastAsia" w:ascii="宋体" w:hAnsi="宋体"/>
          <w:bCs/>
          <w:color w:val="auto"/>
          <w:sz w:val="24"/>
        </w:rPr>
      </w:pPr>
      <w:r>
        <w:rPr>
          <w:rFonts w:hint="eastAsia" w:ascii="宋体" w:hAnsi="宋体"/>
          <w:bCs/>
          <w:color w:val="auto"/>
          <w:sz w:val="24"/>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0"/>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1021"/>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p>
    <w:p>
      <w:pPr>
        <w:pStyle w:val="1021"/>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1021"/>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w:t>
      </w:r>
      <w:r>
        <w:rPr>
          <w:rFonts w:hint="eastAsia" w:ascii="宋体" w:hAnsi="宋体"/>
          <w:color w:val="auto"/>
          <w:szCs w:val="21"/>
          <w:lang w:eastAsia="zh-CN"/>
        </w:rPr>
        <w:t xml:space="preserve">，</w:t>
      </w:r>
      <w:r>
        <w:rPr>
          <w:rFonts w:hint="eastAsia" w:ascii="宋体" w:hAnsi="宋体"/>
          <w:color w:val="auto"/>
          <w:szCs w:val="21"/>
        </w:rPr>
        <w:t xml:space="preserve">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p>
    <w:p>
      <w:pPr>
        <w:pStyle w:val="1021"/>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1021"/>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w:t>
      </w:r>
      <w:r>
        <w:rPr>
          <w:rFonts w:hint="eastAsia" w:ascii="宋体" w:hAnsi="宋体"/>
          <w:color w:val="auto"/>
          <w:szCs w:val="21"/>
          <w:lang w:eastAsia="zh-CN"/>
        </w:rPr>
        <w:t xml:space="preserve">，</w:t>
      </w:r>
      <w:r>
        <w:rPr>
          <w:rFonts w:hint="eastAsia" w:ascii="宋体" w:hAnsi="宋体"/>
          <w:color w:val="auto"/>
          <w:szCs w:val="21"/>
        </w:rPr>
        <w:t xml:space="preserve">我们知道必须放弃提出含糊不清或误解问题的权利。</w:t>
      </w:r>
      <w:r/>
    </w:p>
    <w:p>
      <w:pPr>
        <w:pStyle w:val="1021"/>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w:t>
      </w:r>
      <w:r>
        <w:rPr>
          <w:rFonts w:hint="eastAsia" w:ascii="宋体" w:hAnsi="宋体"/>
          <w:color w:val="auto"/>
          <w:szCs w:val="21"/>
          <w:lang w:eastAsia="zh-CN"/>
        </w:rPr>
        <w:t xml:space="preserve">，</w:t>
      </w:r>
      <w:r>
        <w:rPr>
          <w:rFonts w:hint="eastAsia" w:ascii="宋体" w:hAnsi="宋体"/>
          <w:color w:val="auto"/>
          <w:szCs w:val="21"/>
        </w:rPr>
        <w:t xml:space="preserve">并在规定的投标有效期期满之前均具有约束力。</w:t>
      </w:r>
      <w:r/>
    </w:p>
    <w:p>
      <w:pPr>
        <w:pStyle w:val="1021"/>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w:t>
      </w:r>
      <w:r>
        <w:rPr>
          <w:rFonts w:hint="eastAsia" w:ascii="宋体" w:hAnsi="宋体"/>
          <w:color w:val="auto"/>
          <w:szCs w:val="21"/>
          <w:lang w:eastAsia="zh-CN"/>
        </w:rPr>
        <w:t xml:space="preserve">，</w:t>
      </w:r>
      <w:r>
        <w:rPr>
          <w:rFonts w:hint="eastAsia" w:ascii="宋体" w:hAnsi="宋体"/>
          <w:color w:val="auto"/>
          <w:szCs w:val="21"/>
        </w:rPr>
        <w:t xml:space="preserve">并保证我方已提供和将要提供的文件是真实的、准确的。</w:t>
      </w:r>
      <w:r/>
    </w:p>
    <w:p>
      <w:pPr>
        <w:pStyle w:val="1021"/>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w:t>
      </w:r>
      <w:r>
        <w:rPr>
          <w:rFonts w:hint="eastAsia" w:ascii="宋体" w:hAnsi="宋体"/>
          <w:color w:val="auto"/>
          <w:szCs w:val="21"/>
          <w:lang w:eastAsia="zh-CN"/>
        </w:rPr>
        <w:t xml:space="preserve">，</w:t>
      </w:r>
      <w:r>
        <w:rPr>
          <w:rFonts w:hint="eastAsia" w:ascii="宋体" w:hAnsi="宋体"/>
          <w:color w:val="auto"/>
          <w:szCs w:val="21"/>
        </w:rPr>
        <w:t xml:space="preserve">严格履行合同的责任和义务</w:t>
      </w:r>
      <w:r>
        <w:rPr>
          <w:rFonts w:hint="eastAsia" w:ascii="宋体" w:hAnsi="宋体"/>
          <w:color w:val="auto"/>
          <w:szCs w:val="21"/>
          <w:lang w:eastAsia="zh-CN"/>
        </w:rPr>
        <w:t xml:space="preserve">，</w:t>
      </w:r>
      <w:r>
        <w:rPr>
          <w:rFonts w:hint="eastAsia" w:ascii="宋体" w:hAnsi="宋体"/>
          <w:color w:val="auto"/>
          <w:szCs w:val="21"/>
        </w:rPr>
        <w:t xml:space="preserve">并保证在招标文件规定的时间完成项目</w:t>
      </w:r>
      <w:r>
        <w:rPr>
          <w:rFonts w:hint="eastAsia" w:ascii="宋体" w:hAnsi="宋体"/>
          <w:color w:val="auto"/>
          <w:szCs w:val="21"/>
          <w:lang w:eastAsia="zh-CN"/>
        </w:rPr>
        <w:t xml:space="preserve">，</w:t>
      </w:r>
      <w:r>
        <w:rPr>
          <w:rFonts w:hint="eastAsia" w:ascii="宋体" w:hAnsi="宋体"/>
          <w:color w:val="auto"/>
          <w:szCs w:val="21"/>
        </w:rPr>
        <w:t xml:space="preserve">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1021"/>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8</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1021"/>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1021"/>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102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102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102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102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1021"/>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1021"/>
        <w:ind w:left="420"/>
        <w:spacing w:before="0" w:after="0" w:line="420" w:lineRule="exact"/>
        <w:rPr>
          <w:rFonts w:hint="eastAsia" w:ascii="宋体" w:hAnsi="宋体"/>
          <w:color w:val="auto"/>
          <w:szCs w:val="21"/>
        </w:rPr>
      </w:pPr>
      <w:r>
        <w:rPr>
          <w:rFonts w:hint="eastAsia" w:ascii="宋体" w:hAnsi="宋体"/>
          <w:color w:val="auto"/>
          <w:szCs w:val="21"/>
        </w:rPr>
      </w:r>
      <w:r/>
    </w:p>
    <w:p>
      <w:pPr>
        <w:pStyle w:val="1021"/>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0"/>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p>
    <w:p>
      <w:pPr>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分包号：</w:t>
      </w:r>
      <w:r/>
    </w:p>
    <w:tbl>
      <w:tblPr>
        <w:tblStyle w:val="756"/>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1021"/>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jc w:val="center"/>
        <w:spacing w:line="360" w:lineRule="auto"/>
        <w:rPr>
          <w:rFonts w:hint="eastAsia" w:ascii="黑体" w:eastAsia="黑体" w:cs="Times New Roman"/>
          <w:color w:val="auto"/>
          <w:sz w:val="32"/>
          <w:szCs w:val="32"/>
          <w:lang w:val="en-US" w:eastAsia="zh-CN"/>
        </w:rPr>
        <w:outlineLvl w:val="0"/>
      </w:pPr>
      <w:r>
        <w:rPr>
          <w:rFonts w:hint="eastAsia" w:ascii="黑体" w:eastAsia="黑体" w:cs="Times New Roman"/>
          <w:color w:val="auto"/>
          <w:sz w:val="32"/>
          <w:szCs w:val="32"/>
          <w:lang w:val="en-US" w:eastAsia="zh-CN"/>
        </w:rPr>
        <w:br w:type="page" w:clear="all"/>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0"/>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756"/>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123"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6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6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404"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2568" w:type="dxa"/>
            <w:vAlign w:val="center"/>
            <w:textDirection w:val="lrTb"/>
            <w:noWrap w:val="false"/>
          </w:tcPr>
          <w:p>
            <w:pPr>
              <w:jc w:val="center"/>
              <w:spacing w:line="0" w:lineRule="atLeast"/>
              <w:rPr>
                <w:rFonts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分项</w:t>
            </w:r>
            <w:r>
              <w:rPr>
                <w:rFonts w:hint="eastAsia" w:ascii="宋体" w:hAnsi="宋体" w:eastAsia="宋体" w:cs="Times New Roman"/>
                <w:color w:val="auto"/>
                <w:sz w:val="24"/>
                <w:szCs w:val="24"/>
              </w:rPr>
              <w:t xml:space="preserve">名称</w:t>
            </w:r>
            <w:r/>
          </w:p>
        </w:tc>
        <w:tc>
          <w:tcPr>
            <w:tcW w:w="2123" w:type="dxa"/>
            <w:vAlign w:val="center"/>
            <w:textDirection w:val="lrTb"/>
            <w:noWrap w:val="false"/>
          </w:tcPr>
          <w:p>
            <w:pPr>
              <w:jc w:val="center"/>
              <w:spacing w:line="0" w:lineRule="atLeas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交付期</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天</w:t>
            </w:r>
            <w:r>
              <w:rPr>
                <w:rFonts w:hint="eastAsia" w:ascii="宋体" w:hAnsi="宋体" w:eastAsia="宋体" w:cs="Times New Roman"/>
                <w:color w:val="auto"/>
                <w:sz w:val="24"/>
                <w:szCs w:val="24"/>
                <w:lang w:eastAsia="zh-CN"/>
              </w:rPr>
              <w:t xml:space="preserve">）</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数量</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单位</w:t>
            </w:r>
            <w:r/>
          </w:p>
        </w:tc>
        <w:tc>
          <w:tcPr>
            <w:tcW w:w="1404" w:type="dxa"/>
            <w:vAlign w:val="center"/>
            <w:textDirection w:val="lrTb"/>
            <w:noWrap w:val="false"/>
          </w:tcPr>
          <w:p>
            <w:pPr>
              <w:jc w:val="center"/>
              <w:spacing w:line="0" w:lineRule="atLeas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单价</w:t>
            </w:r>
            <w:r/>
          </w:p>
        </w:tc>
        <w:tc>
          <w:tcPr>
            <w:tcW w:w="2568" w:type="dxa"/>
            <w:vAlign w:val="center"/>
            <w:textDirection w:val="lrTb"/>
            <w:noWrap w:val="false"/>
          </w:tcPr>
          <w:p>
            <w:pPr>
              <w:jc w:val="center"/>
              <w:spacing w:line="0" w:lineRule="atLeas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6"/>
            <w:tcW w:w="9255" w:type="dxa"/>
            <w:vAlign w:val="center"/>
            <w:textDirection w:val="lrTb"/>
            <w:noWrap w:val="false"/>
          </w:tcPr>
          <w:p>
            <w:pPr>
              <w:jc w:val="both"/>
              <w:spacing w:line="0" w:lineRule="atLeast"/>
              <w:rPr>
                <w:rFonts w:hint="eastAsia" w:ascii="宋体" w:hAnsi="宋体"/>
                <w:color w:val="auto"/>
                <w:sz w:val="24"/>
                <w:szCs w:val="24"/>
              </w:rPr>
            </w:pPr>
            <w:r>
              <w:rPr>
                <w:rFonts w:hint="eastAsia" w:ascii="宋体" w:hAnsi="宋体"/>
                <w:color w:val="auto"/>
                <w:sz w:val="24"/>
                <w:szCs w:val="24"/>
              </w:rPr>
              <w:t xml:space="preserve">投标总价（元）</w:t>
            </w:r>
            <w:r>
              <w:rPr>
                <w:rFonts w:hint="eastAsia" w:ascii="宋体" w:hAnsi="宋体"/>
                <w:color w:val="auto"/>
                <w:sz w:val="24"/>
                <w:szCs w:val="24"/>
                <w:lang w:eastAsia="zh-CN"/>
              </w:rPr>
              <w:t xml:space="preserve">：</w:t>
            </w:r>
            <w:r/>
          </w:p>
        </w:tc>
      </w:tr>
    </w:tbl>
    <w:p>
      <w:pPr>
        <w:pStyle w:val="994"/>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ascii="宋体" w:hAnsi="宋体" w:eastAsia="宋体" w:cs="Times New Roman"/>
          <w:color w:val="auto"/>
          <w:sz w:val="24"/>
          <w:lang w:val="en-US" w:eastAsia="zh-CN"/>
        </w:rPr>
      </w:pPr>
      <w:r>
        <w:rPr>
          <w:rFonts w:ascii="宋体" w:hAnsi="宋体" w:eastAsia="宋体" w:cs="Times New Roman"/>
          <w:color w:val="auto"/>
          <w:sz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rPr>
        <w:t xml:space="preserve">备注： </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lang w:val="en-US" w:eastAsia="zh-CN"/>
        </w:rPr>
        <w:t xml:space="preserve">2.《投标分项报价表》中“投标总价”应当与《开标一览表》中“投标总报价”一致。</w:t>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lang w:val="en-US" w:eastAsia="zh-CN"/>
        </w:rPr>
        <w:t xml:space="preserve">3.《投标分项报价表》中的分项名称须与“第四章-项目清单”中的名称一一对应，如有缺项、漏项，视为无效投标。“项目清单”中分项仅为一项的，此表无需提供。</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4.行数不够，可自行添加。</w:t>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“第四章-项目清单”</w:t>
      </w:r>
      <w:r/>
    </w:p>
    <w:p>
      <w:pPr>
        <w:jc w:val="center"/>
        <w:spacing w:line="360" w:lineRule="auto"/>
        <w:rPr>
          <w:rFonts w:hint="eastAsia" w:ascii="黑体" w:eastAsia="黑体" w:cs="Times New Roman"/>
          <w:color w:val="auto"/>
          <w:sz w:val="32"/>
          <w:szCs w:val="32"/>
          <w:lang w:val="en-US" w:eastAsia="zh-CN"/>
        </w:rPr>
        <w:outlineLvl w:val="0"/>
      </w:pPr>
      <w:r>
        <w:rPr>
          <w:rFonts w:hint="eastAsia" w:ascii="黑体" w:eastAsia="黑体" w:cs="Times New Roman"/>
          <w:color w:val="auto"/>
          <w:sz w:val="32"/>
          <w:szCs w:val="32"/>
          <w:lang w:val="en-US" w:eastAsia="zh-CN"/>
        </w:rPr>
      </w:r>
      <w:r/>
    </w:p>
    <w:p>
      <w:pPr>
        <w:pStyle w:val="782"/>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1009"/>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七、</w:t>
      </w:r>
      <w:bookmarkEnd w:id="46"/>
      <w:r/>
      <w:bookmarkEnd w:id="47"/>
      <w:r/>
      <w:bookmarkEnd w:id="199"/>
      <w:r>
        <w:rPr>
          <w:rFonts w:hint="eastAsia" w:ascii="黑体" w:hAnsi="黑体" w:eastAsia="黑体" w:cs="Times New Roman"/>
          <w:i w:val="0"/>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color w:val="auto"/>
              </w:rPr>
            </w:pPr>
            <w:r>
              <w:rPr>
                <w:color w:val="auto"/>
              </w:rPr>
            </w:r>
            <w:r/>
          </w:p>
          <w:p>
            <w:pPr>
              <w:pStyle w:val="782"/>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94"/>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94"/>
        <w:ind w:firstLine="480"/>
        <w:jc w:val="both"/>
        <w:spacing w:before="0" w:beforeAutospacing="0" w:after="0" w:afterAutospacing="0" w:line="360" w:lineRule="auto"/>
        <w:rPr>
          <w:rFonts w:ascii="宋体" w:hAnsi="宋体" w:eastAsia="宋体" w:cs="宋体"/>
          <w:color w:val="auto"/>
          <w:lang w:val="en-US" w:eastAsia="zh-CN"/>
        </w:rPr>
      </w:pPr>
      <w:r>
        <w:rPr>
          <w:rFonts w:ascii="宋体" w:hAnsi="宋体" w:eastAsia="宋体" w:cs="宋体"/>
          <w:color w:val="auto"/>
          <w:lang w:val="en-US" w:eastAsia="zh-CN"/>
        </w:rPr>
        <w:t xml:space="preserve">备注： </w:t>
      </w:r>
      <w:r/>
    </w:p>
    <w:p>
      <w:pPr>
        <w:pStyle w:val="99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99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3" w:name="_Hlt26955054"/>
      <w:r/>
      <w:bookmarkEnd w:id="203"/>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br w:type="page" w:clear="all"/>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4" w:name="_Hlt26671372"/>
            <w:r/>
            <w:bookmarkEnd w:id="204"/>
            <w:r/>
            <w:bookmarkStart w:id="205" w:name="_Hlt26782999"/>
            <w:r/>
            <w:bookmarkEnd w:id="205"/>
            <w:r/>
            <w:bookmarkStart w:id="206" w:name="_Hlt26609391"/>
            <w:r/>
            <w:bookmarkEnd w:id="206"/>
            <w:r/>
            <w:bookmarkStart w:id="207" w:name="_Hlt26955056"/>
            <w:r/>
            <w:bookmarkEnd w:id="207"/>
            <w:r/>
            <w:bookmarkStart w:id="208" w:name="_Hlt26580838"/>
            <w:r/>
            <w:bookmarkEnd w:id="208"/>
            <w:r/>
            <w:bookmarkStart w:id="209" w:name="_Hlt26955064"/>
            <w:r/>
            <w:bookmarkEnd w:id="209"/>
            <w:r/>
            <w:bookmarkStart w:id="210" w:name="_Hlt24879081"/>
            <w:r/>
            <w:bookmarkEnd w:id="210"/>
            <w:r/>
            <w:bookmarkStart w:id="211" w:name="_Hlt26671343"/>
            <w:r/>
            <w:bookmarkEnd w:id="21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color w:val="auto"/>
              </w:rPr>
            </w:pPr>
            <w:r>
              <w:rPr>
                <w:color w:val="auto"/>
              </w:rPr>
            </w:r>
            <w:r/>
          </w:p>
          <w:p>
            <w:pPr>
              <w:pStyle w:val="782"/>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94"/>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9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94"/>
        <w:ind w:firstLine="480"/>
        <w:jc w:val="both"/>
        <w:spacing w:before="0" w:beforeAutospacing="0" w:after="0" w:afterAutospacing="0" w:line="360" w:lineRule="auto"/>
        <w:rPr>
          <w:rFonts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99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1009"/>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br w:type="page" w:clear="all"/>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根据《政府采购促进中小企业发展管理办法》(财库〔2020〕46号)的规定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（分包号：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lang w:eastAsia="zh-CN"/>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w:t>
      </w:r>
      <w:r>
        <w:rPr>
          <w:rFonts w:hint="eastAsia" w:ascii="宋体" w:hAnsi="宋体"/>
          <w:color w:val="auto"/>
          <w:sz w:val="24"/>
          <w:szCs w:val="24"/>
          <w:lang w:eastAsia="zh-CN"/>
        </w:rPr>
        <w:t xml:space="preserve">，</w:t>
      </w:r>
      <w:r>
        <w:rPr>
          <w:rFonts w:hint="eastAsia" w:ascii="宋体" w:hAnsi="宋体"/>
          <w:color w:val="auto"/>
          <w:sz w:val="24"/>
          <w:szCs w:val="24"/>
        </w:rPr>
        <w:t xml:space="preserve">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w:t>
      </w:r>
      <w:r>
        <w:rPr>
          <w:rFonts w:hint="eastAsia" w:ascii="宋体" w:hAnsi="宋体"/>
          <w:color w:val="auto"/>
          <w:sz w:val="24"/>
          <w:szCs w:val="24"/>
          <w:lang w:eastAsia="zh-CN"/>
        </w:rPr>
        <w:t xml:space="preserve">，</w:t>
      </w:r>
      <w:r>
        <w:rPr>
          <w:rFonts w:hint="eastAsia" w:ascii="宋体" w:hAnsi="宋体"/>
          <w:color w:val="auto"/>
          <w:sz w:val="24"/>
          <w:szCs w:val="24"/>
        </w:rPr>
        <w:t xml:space="preserve">不属于大企业的分支机构</w:t>
      </w:r>
      <w:r>
        <w:rPr>
          <w:rFonts w:hint="eastAsia" w:ascii="宋体" w:hAnsi="宋体"/>
          <w:color w:val="auto"/>
          <w:sz w:val="24"/>
          <w:szCs w:val="24"/>
          <w:lang w:eastAsia="zh-CN"/>
        </w:rPr>
        <w:t xml:space="preserve">，</w:t>
      </w:r>
      <w:r>
        <w:rPr>
          <w:rFonts w:hint="eastAsia" w:ascii="宋体" w:hAnsi="宋体"/>
          <w:color w:val="auto"/>
          <w:sz w:val="24"/>
          <w:szCs w:val="24"/>
        </w:rPr>
        <w:t xml:space="preserve">不存在控股股东为大企业的情形</w:t>
      </w:r>
      <w:r>
        <w:rPr>
          <w:rFonts w:hint="eastAsia" w:ascii="宋体" w:hAnsi="宋体"/>
          <w:color w:val="auto"/>
          <w:sz w:val="24"/>
          <w:szCs w:val="24"/>
          <w:lang w:eastAsia="zh-CN"/>
        </w:rPr>
        <w:t xml:space="preserve">，</w:t>
      </w:r>
      <w:r>
        <w:rPr>
          <w:rFonts w:hint="eastAsia" w:ascii="宋体" w:hAnsi="宋体"/>
          <w:color w:val="auto"/>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w:t>
      </w:r>
      <w:r>
        <w:rPr>
          <w:rFonts w:hint="eastAsia" w:ascii="宋体" w:hAnsi="宋体"/>
          <w:color w:val="auto"/>
          <w:sz w:val="24"/>
          <w:szCs w:val="24"/>
          <w:lang w:eastAsia="zh-CN"/>
        </w:rPr>
        <w:t xml:space="preserve">，</w:t>
      </w:r>
      <w:r>
        <w:rPr>
          <w:rFonts w:hint="eastAsia" w:ascii="宋体" w:hAnsi="宋体"/>
          <w:color w:val="auto"/>
          <w:sz w:val="24"/>
          <w:szCs w:val="24"/>
        </w:rPr>
        <w:t xml:space="preserve">将依法承担相应责任</w:t>
      </w:r>
      <w:r>
        <w:rPr>
          <w:rFonts w:hint="eastAsia" w:ascii="宋体" w:hAnsi="宋体"/>
          <w:color w:val="auto"/>
          <w:sz w:val="24"/>
          <w:szCs w:val="24"/>
          <w:lang w:eastAsia="zh-CN"/>
        </w:rPr>
        <w:t xml:space="preserve">。</w:t>
      </w:r>
      <w:r/>
    </w:p>
    <w:p>
      <w:pPr>
        <w:pStyle w:val="1009"/>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u w:val="none"/>
          <w:lang w:val="en-US" w:eastAsia="zh-CN"/>
        </w:rPr>
        <w:t xml:space="preserve">内打“√”。</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w:t>
      </w:r>
      <w:r>
        <w:rPr>
          <w:rFonts w:ascii="宋体" w:hAnsi="宋体" w:eastAsia="宋体" w:cs="Times New Roman"/>
          <w:color w:val="auto"/>
          <w:sz w:val="24"/>
          <w:szCs w:val="24"/>
          <w:lang w:val="en-US" w:eastAsia="zh-CN"/>
        </w:rPr>
        <w:t xml:space="preserve">服务</w:t>
      </w:r>
      <w:r>
        <w:rPr>
          <w:rFonts w:hint="eastAsia" w:ascii="宋体" w:hAnsi="宋体" w:eastAsia="宋体" w:cs="Times New Roman"/>
          <w:color w:val="auto"/>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（分包号：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1009"/>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此声明函将随中标结果同时公告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rPr>
          <w:rFonts w:hint="eastAsia" w:ascii="宋体" w:hAnsi="宋体"/>
          <w:color w:val="auto"/>
          <w:sz w:val="24"/>
        </w:rPr>
      </w:pPr>
      <w:r>
        <w:rPr>
          <w:rFonts w:hint="eastAsia" w:ascii="宋体" w:hAnsi="宋体"/>
          <w:color w:val="auto"/>
          <w:sz w:val="24"/>
        </w:rPr>
      </w:r>
      <w:r/>
    </w:p>
    <w:p>
      <w:pPr>
        <w:pStyle w:val="1009"/>
        <w:rPr>
          <w:rFonts w:hint="eastAsia"/>
          <w:color w:val="auto"/>
        </w:rPr>
      </w:pPr>
      <w:r>
        <w:rPr>
          <w:rFonts w:hint="eastAsia"/>
          <w:color w:val="auto"/>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对项目的某一分包进行质疑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rPr>
        <w:t xml:space="preserve">分包号。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7516" cy="30157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37516" cy="30157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p>
                        <w:p>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6pt;height:23.7pt;mso-wrap-distance-left:9.0pt;mso-wrap-distance-top:0.0pt;mso-wrap-distance-right:9.0pt;mso-wrap-distance-bottom:0.0pt;v-text-anchor:top;visibility:visible;" filled="f" stroked="f" strokeweight="0.50pt">
              <v:textbox inset="0,0,0,0">
                <w:txbxContent>
                  <w:p>
                    <w:pPr>
                      <w:pStyle w:val="979"/>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3">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10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785"/>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6"/>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7"/>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88"/>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89"/>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0"/>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2"/>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3"/>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name w:val="Body Text First Indent 2"/>
    <w:basedOn w:val="758"/>
    <w:next w:val="745"/>
    <w:uiPriority w:val="0"/>
    <w:qFormat/>
    <w:pPr>
      <w:ind w:firstLine="420"/>
      <w:spacing w:line="360" w:lineRule="auto"/>
    </w:pPr>
    <w:rPr>
      <w:rFonts w:ascii="宋体" w:hAnsi="宋体" w:eastAsia="宋体"/>
      <w:sz w:val="21"/>
      <w:szCs w:val="20"/>
    </w:rPr>
  </w:style>
  <w:style w:type="paragraph" w:styleId="758">
    <w:name w:val="Body Text Indent"/>
    <w:basedOn w:val="745"/>
    <w:next w:val="759"/>
    <w:uiPriority w:val="0"/>
    <w:qFormat/>
    <w:pPr>
      <w:ind w:firstLine="645"/>
    </w:pPr>
    <w:rPr>
      <w:rFonts w:ascii="楷体_GB2312" w:eastAsia="楷体_GB2312"/>
      <w:sz w:val="32"/>
      <w:szCs w:val="32"/>
    </w:rPr>
  </w:style>
  <w:style w:type="paragraph" w:styleId="759">
    <w:name w:val="envelope return"/>
    <w:basedOn w:val="745"/>
    <w:uiPriority w:val="0"/>
    <w:qFormat/>
    <w:rPr>
      <w:rFonts w:ascii="Arial" w:hAnsi="Arial" w:eastAsia="宋体" w:cs="宋体"/>
    </w:rPr>
  </w:style>
  <w:style w:type="paragraph" w:styleId="760">
    <w:name w:val="toc 7"/>
    <w:basedOn w:val="745"/>
    <w:next w:val="745"/>
    <w:uiPriority w:val="39"/>
    <w:unhideWhenUsed/>
    <w:qFormat/>
    <w:pPr>
      <w:ind w:left="1701" w:right="0" w:firstLine="0"/>
      <w:spacing w:after="57"/>
    </w:pPr>
  </w:style>
  <w:style w:type="paragraph" w:styleId="76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5"/>
    <w:uiPriority w:val="99"/>
    <w:semiHidden/>
    <w:unhideWhenUsed/>
    <w:qFormat/>
    <w:pPr>
      <w:jc w:val="left"/>
    </w:pPr>
  </w:style>
  <w:style w:type="paragraph" w:styleId="763">
    <w:name w:val="toc 5"/>
    <w:basedOn w:val="745"/>
    <w:next w:val="745"/>
    <w:uiPriority w:val="39"/>
    <w:unhideWhenUsed/>
    <w:qFormat/>
    <w:pPr>
      <w:ind w:left="1134" w:right="0" w:firstLine="0"/>
      <w:spacing w:after="57"/>
    </w:pPr>
  </w:style>
  <w:style w:type="paragraph" w:styleId="764">
    <w:name w:val="toc 3"/>
    <w:basedOn w:val="745"/>
    <w:next w:val="745"/>
    <w:uiPriority w:val="39"/>
    <w:unhideWhenUsed/>
    <w:qFormat/>
    <w:pPr>
      <w:ind w:left="567" w:right="0" w:firstLine="0"/>
      <w:spacing w:after="57"/>
    </w:pPr>
  </w:style>
  <w:style w:type="paragraph" w:styleId="765">
    <w:name w:val="toc 8"/>
    <w:basedOn w:val="745"/>
    <w:next w:val="745"/>
    <w:uiPriority w:val="39"/>
    <w:unhideWhenUsed/>
    <w:qFormat/>
    <w:pPr>
      <w:ind w:left="1984" w:right="0" w:firstLine="0"/>
      <w:spacing w:after="57"/>
    </w:pPr>
  </w:style>
  <w:style w:type="paragraph" w:styleId="766">
    <w:name w:val="endnote text"/>
    <w:basedOn w:val="745"/>
    <w:link w:val="931"/>
    <w:uiPriority w:val="99"/>
    <w:semiHidden/>
    <w:unhideWhenUsed/>
    <w:qFormat/>
    <w:pPr>
      <w:spacing w:after="0" w:line="240" w:lineRule="auto"/>
    </w:pPr>
    <w:rPr>
      <w:sz w:val="20"/>
    </w:rPr>
  </w:style>
  <w:style w:type="paragraph" w:styleId="767">
    <w:name w:val="Footer"/>
    <w:basedOn w:val="745"/>
    <w:link w:val="804"/>
    <w:uiPriority w:val="99"/>
    <w:unhideWhenUsed/>
    <w:qFormat/>
    <w:pPr>
      <w:spacing w:after="0" w:line="240" w:lineRule="auto"/>
      <w:tabs>
        <w:tab w:val="center" w:pos="7143" w:leader="none"/>
        <w:tab w:val="right" w:pos="14287" w:leader="none"/>
      </w:tabs>
    </w:pPr>
  </w:style>
  <w:style w:type="paragraph" w:styleId="768">
    <w:name w:val="Header"/>
    <w:basedOn w:val="745"/>
    <w:link w:val="802"/>
    <w:uiPriority w:val="99"/>
    <w:unhideWhenUsed/>
    <w:qFormat/>
    <w:pPr>
      <w:spacing w:after="0" w:line="240" w:lineRule="auto"/>
      <w:tabs>
        <w:tab w:val="center" w:pos="7143" w:leader="none"/>
        <w:tab w:val="right" w:pos="14287" w:leader="none"/>
      </w:tabs>
    </w:pPr>
  </w:style>
  <w:style w:type="paragraph" w:styleId="769">
    <w:name w:val="toc 1"/>
    <w:basedOn w:val="745"/>
    <w:next w:val="745"/>
    <w:uiPriority w:val="39"/>
    <w:unhideWhenUsed/>
    <w:qFormat/>
    <w:pPr>
      <w:ind w:left="0" w:right="0" w:firstLine="0"/>
      <w:spacing w:after="57"/>
    </w:pPr>
  </w:style>
  <w:style w:type="paragraph" w:styleId="770">
    <w:name w:val="toc 4"/>
    <w:basedOn w:val="745"/>
    <w:next w:val="745"/>
    <w:uiPriority w:val="39"/>
    <w:unhideWhenUsed/>
    <w:qFormat/>
    <w:pPr>
      <w:ind w:left="850" w:right="0" w:firstLine="0"/>
      <w:spacing w:after="57"/>
    </w:pPr>
  </w:style>
  <w:style w:type="paragraph" w:styleId="771">
    <w:name w:val="Subtitle"/>
    <w:basedOn w:val="745"/>
    <w:next w:val="745"/>
    <w:link w:val="797"/>
    <w:uiPriority w:val="11"/>
    <w:qFormat/>
    <w:pPr>
      <w:spacing w:before="200" w:after="200"/>
    </w:pPr>
    <w:rPr>
      <w:sz w:val="24"/>
      <w:szCs w:val="24"/>
    </w:rPr>
  </w:style>
  <w:style w:type="paragraph" w:styleId="772">
    <w:name w:val="footnote text"/>
    <w:basedOn w:val="745"/>
    <w:link w:val="930"/>
    <w:uiPriority w:val="99"/>
    <w:semiHidden/>
    <w:unhideWhenUsed/>
    <w:qFormat/>
    <w:pPr>
      <w:spacing w:after="40" w:line="240" w:lineRule="auto"/>
    </w:pPr>
    <w:rPr>
      <w:sz w:val="18"/>
    </w:rPr>
  </w:style>
  <w:style w:type="paragraph" w:styleId="773">
    <w:name w:val="toc 6"/>
    <w:basedOn w:val="745"/>
    <w:next w:val="745"/>
    <w:uiPriority w:val="39"/>
    <w:unhideWhenUsed/>
    <w:qFormat/>
    <w:pPr>
      <w:ind w:left="1417" w:right="0" w:firstLine="0"/>
      <w:spacing w:after="57"/>
    </w:pPr>
  </w:style>
  <w:style w:type="paragraph" w:styleId="774">
    <w:name w:val="table of figures"/>
    <w:basedOn w:val="745"/>
    <w:next w:val="745"/>
    <w:uiPriority w:val="99"/>
    <w:unhideWhenUsed/>
    <w:qFormat/>
    <w:pPr>
      <w:spacing w:after="0" w:afterAutospacing="0"/>
    </w:pPr>
  </w:style>
  <w:style w:type="paragraph" w:styleId="775">
    <w:name w:val="toc 2"/>
    <w:basedOn w:val="745"/>
    <w:next w:val="745"/>
    <w:uiPriority w:val="39"/>
    <w:unhideWhenUsed/>
    <w:qFormat/>
    <w:pPr>
      <w:ind w:left="283" w:right="0" w:firstLine="0"/>
      <w:spacing w:after="57"/>
    </w:pPr>
  </w:style>
  <w:style w:type="paragraph" w:styleId="776">
    <w:name w:val="toc 9"/>
    <w:basedOn w:val="745"/>
    <w:next w:val="745"/>
    <w:uiPriority w:val="39"/>
    <w:unhideWhenUsed/>
    <w:qFormat/>
    <w:pPr>
      <w:ind w:left="2268" w:right="0" w:firstLine="0"/>
      <w:spacing w:after="57"/>
    </w:pPr>
  </w:style>
  <w:style w:type="paragraph" w:styleId="777">
    <w:name w:val="Title"/>
    <w:basedOn w:val="745"/>
    <w:next w:val="745"/>
    <w:link w:val="796"/>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正文首行缩进 21"/>
    <w:basedOn w:val="783"/>
    <w:next w:val="745"/>
    <w:link w:val="946"/>
    <w:uiPriority w:val="0"/>
    <w:qFormat/>
    <w:pPr>
      <w:ind w:firstLine="420"/>
      <w:spacing w:line="360" w:lineRule="auto"/>
    </w:pPr>
    <w:rPr>
      <w:rFonts w:ascii="宋体" w:hAnsi="宋体" w:eastAsia="宋体"/>
      <w:sz w:val="21"/>
      <w:szCs w:val="20"/>
    </w:rPr>
  </w:style>
  <w:style w:type="paragraph" w:styleId="783" w:customStyle="1">
    <w:name w:val="正文文本缩进11"/>
    <w:basedOn w:val="745"/>
    <w:next w:val="784"/>
    <w:link w:val="945"/>
    <w:uiPriority w:val="0"/>
    <w:qFormat/>
    <w:pPr>
      <w:ind w:firstLine="645"/>
    </w:pPr>
    <w:rPr>
      <w:rFonts w:ascii="楷体_GB2312" w:eastAsia="楷体_GB2312"/>
      <w:sz w:val="32"/>
      <w:szCs w:val="32"/>
    </w:rPr>
  </w:style>
  <w:style w:type="paragraph" w:styleId="784" w:customStyle="1">
    <w:name w:val="寄信人地址1"/>
    <w:basedOn w:val="745"/>
    <w:uiPriority w:val="0"/>
    <w:qFormat/>
    <w:rPr>
      <w:rFonts w:ascii="Arial" w:hAnsi="Arial" w:eastAsia="宋体" w:cs="宋体"/>
    </w:rPr>
  </w:style>
  <w:style w:type="character" w:styleId="785" w:customStyle="1">
    <w:name w:val="Heading 1 Char"/>
    <w:link w:val="746"/>
    <w:uiPriority w:val="9"/>
    <w:qFormat/>
    <w:rPr>
      <w:rFonts w:ascii="Arial" w:hAnsi="Arial" w:eastAsia="Arial" w:cs="Arial"/>
      <w:sz w:val="40"/>
      <w:szCs w:val="40"/>
    </w:rPr>
  </w:style>
  <w:style w:type="character" w:styleId="786" w:customStyle="1">
    <w:name w:val="Heading 2 Char"/>
    <w:link w:val="747"/>
    <w:uiPriority w:val="9"/>
    <w:qFormat/>
    <w:rPr>
      <w:rFonts w:ascii="Arial" w:hAnsi="Arial" w:eastAsia="Arial" w:cs="Arial"/>
      <w:sz w:val="34"/>
    </w:rPr>
  </w:style>
  <w:style w:type="character" w:styleId="787" w:customStyle="1">
    <w:name w:val="Heading 3 Char"/>
    <w:link w:val="748"/>
    <w:uiPriority w:val="9"/>
    <w:qFormat/>
    <w:rPr>
      <w:rFonts w:ascii="Arial" w:hAnsi="Arial" w:eastAsia="Arial" w:cs="Arial"/>
      <w:sz w:val="30"/>
      <w:szCs w:val="30"/>
    </w:rPr>
  </w:style>
  <w:style w:type="character" w:styleId="788" w:customStyle="1">
    <w:name w:val="Heading 4 Char"/>
    <w:link w:val="749"/>
    <w:uiPriority w:val="9"/>
    <w:qFormat/>
    <w:rPr>
      <w:rFonts w:ascii="Arial" w:hAnsi="Arial" w:eastAsia="Arial" w:cs="Arial"/>
      <w:b/>
      <w:bCs/>
      <w:sz w:val="26"/>
      <w:szCs w:val="26"/>
    </w:rPr>
  </w:style>
  <w:style w:type="character" w:styleId="789" w:customStyle="1">
    <w:name w:val="Heading 5 Char"/>
    <w:link w:val="750"/>
    <w:uiPriority w:val="9"/>
    <w:qFormat/>
    <w:rPr>
      <w:rFonts w:ascii="Arial" w:hAnsi="Arial" w:eastAsia="Arial" w:cs="Arial"/>
      <w:b/>
      <w:bCs/>
      <w:sz w:val="24"/>
      <w:szCs w:val="24"/>
    </w:rPr>
  </w:style>
  <w:style w:type="character" w:styleId="790" w:customStyle="1">
    <w:name w:val="Heading 6 Char"/>
    <w:link w:val="751"/>
    <w:uiPriority w:val="9"/>
    <w:qFormat/>
    <w:rPr>
      <w:rFonts w:ascii="Arial" w:hAnsi="Arial" w:eastAsia="Arial" w:cs="Arial"/>
      <w:b/>
      <w:bCs/>
      <w:sz w:val="22"/>
      <w:szCs w:val="22"/>
    </w:rPr>
  </w:style>
  <w:style w:type="character" w:styleId="791" w:customStyle="1">
    <w:name w:val="Heading 7 Char"/>
    <w:link w:val="752"/>
    <w:uiPriority w:val="9"/>
    <w:qFormat/>
    <w:rPr>
      <w:rFonts w:ascii="Arial" w:hAnsi="Arial" w:eastAsia="Arial" w:cs="Arial"/>
      <w:b/>
      <w:bCs/>
      <w:i/>
      <w:iCs/>
      <w:sz w:val="22"/>
      <w:szCs w:val="22"/>
    </w:rPr>
  </w:style>
  <w:style w:type="character" w:styleId="792" w:customStyle="1">
    <w:name w:val="Heading 8 Char"/>
    <w:link w:val="753"/>
    <w:uiPriority w:val="9"/>
    <w:qFormat/>
    <w:rPr>
      <w:rFonts w:ascii="Arial" w:hAnsi="Arial" w:eastAsia="Arial" w:cs="Arial"/>
      <w:i/>
      <w:iCs/>
      <w:sz w:val="22"/>
      <w:szCs w:val="22"/>
    </w:rPr>
  </w:style>
  <w:style w:type="character" w:styleId="793" w:customStyle="1">
    <w:name w:val="Heading 9 Char"/>
    <w:link w:val="754"/>
    <w:uiPriority w:val="9"/>
    <w:qFormat/>
    <w:rPr>
      <w:rFonts w:ascii="Arial" w:hAnsi="Arial" w:eastAsia="Arial" w:cs="Arial"/>
      <w:i/>
      <w:iCs/>
      <w:sz w:val="21"/>
      <w:szCs w:val="21"/>
    </w:rPr>
  </w:style>
  <w:style w:type="paragraph" w:styleId="794">
    <w:name w:val="List Paragraph"/>
    <w:basedOn w:val="745"/>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link w:val="777"/>
    <w:uiPriority w:val="10"/>
    <w:qFormat/>
    <w:rPr>
      <w:sz w:val="48"/>
      <w:szCs w:val="48"/>
    </w:rPr>
  </w:style>
  <w:style w:type="character" w:styleId="797" w:customStyle="1">
    <w:name w:val="Subtitle Char"/>
    <w:link w:val="771"/>
    <w:uiPriority w:val="11"/>
    <w:qFormat/>
    <w:rPr>
      <w:sz w:val="24"/>
      <w:szCs w:val="24"/>
    </w:rPr>
  </w:style>
  <w:style w:type="paragraph" w:styleId="798">
    <w:name w:val="Quote"/>
    <w:basedOn w:val="745"/>
    <w:next w:val="745"/>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5"/>
    <w:next w:val="745"/>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link w:val="768"/>
    <w:uiPriority w:val="99"/>
    <w:qFormat/>
  </w:style>
  <w:style w:type="character" w:styleId="803" w:customStyle="1">
    <w:name w:val="Footer Char"/>
    <w:link w:val="767"/>
    <w:uiPriority w:val="99"/>
    <w:qFormat/>
  </w:style>
  <w:style w:type="character" w:styleId="804" w:customStyle="1">
    <w:name w:val="Caption Char"/>
    <w:link w:val="767"/>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2"/>
    <w:uiPriority w:val="99"/>
    <w:qFormat/>
    <w:rPr>
      <w:sz w:val="18"/>
    </w:rPr>
  </w:style>
  <w:style w:type="character" w:styleId="931" w:customStyle="1">
    <w:name w:val="Endnote Text Char"/>
    <w:link w:val="766"/>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basedOn w:val="745"/>
    <w:next w:val="745"/>
    <w:link w:val="947"/>
    <w:uiPriority w:val="0"/>
    <w:qFormat/>
    <w:pPr>
      <w:jc w:val="center"/>
      <w:keepNext/>
      <w:outlineLvl w:val="0"/>
    </w:pPr>
    <w:rPr>
      <w:rFonts w:ascii="楷体_GB2312" w:eastAsia="楷体_GB2312"/>
      <w:sz w:val="28"/>
      <w:szCs w:val="28"/>
    </w:rPr>
  </w:style>
  <w:style w:type="paragraph" w:styleId="934" w:customStyle="1">
    <w:name w:val="标题 21"/>
    <w:basedOn w:val="745"/>
    <w:next w:val="935"/>
    <w:link w:val="9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
    <w:basedOn w:val="745"/>
    <w:link w:val="949"/>
    <w:uiPriority w:val="0"/>
    <w:qFormat/>
    <w:pPr>
      <w:ind w:firstLine="420"/>
    </w:pPr>
  </w:style>
  <w:style w:type="paragraph" w:styleId="936" w:customStyle="1">
    <w:name w:val="标题 31"/>
    <w:basedOn w:val="745"/>
    <w:next w:val="935"/>
    <w:link w:val="950"/>
    <w:uiPriority w:val="0"/>
    <w:qFormat/>
    <w:pPr>
      <w:keepLines/>
      <w:keepNext/>
      <w:spacing w:before="260" w:after="260" w:line="416" w:lineRule="auto"/>
      <w:outlineLvl w:val="2"/>
    </w:pPr>
    <w:rPr>
      <w:b/>
      <w:bCs/>
      <w:sz w:val="32"/>
      <w:szCs w:val="32"/>
    </w:rPr>
  </w:style>
  <w:style w:type="paragraph" w:styleId="937" w:customStyle="1">
    <w:name w:val="标题 41"/>
    <w:basedOn w:val="745"/>
    <w:next w:val="935"/>
    <w:link w:val="951"/>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45"/>
    <w:next w:val="935"/>
    <w:link w:val="952"/>
    <w:uiPriority w:val="0"/>
    <w:qFormat/>
    <w:pPr>
      <w:keepNext/>
      <w:outlineLvl w:val="4"/>
    </w:pPr>
    <w:rPr>
      <w:rFonts w:ascii="宋体"/>
      <w:color w:val="000000"/>
      <w:sz w:val="28"/>
      <w:szCs w:val="28"/>
    </w:rPr>
  </w:style>
  <w:style w:type="paragraph" w:styleId="939" w:customStyle="1">
    <w:name w:val="标题 61"/>
    <w:basedOn w:val="745"/>
    <w:next w:val="745"/>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0" w:customStyle="1">
    <w:name w:val="标题 71"/>
    <w:basedOn w:val="745"/>
    <w:next w:val="745"/>
    <w:link w:val="954"/>
    <w:uiPriority w:val="0"/>
    <w:qFormat/>
    <w:pPr>
      <w:numPr>
        <w:ilvl w:val="6"/>
        <w:numId w:val="1"/>
      </w:numPr>
      <w:keepLines/>
      <w:keepNext/>
      <w:spacing w:before="240" w:after="64" w:line="320" w:lineRule="auto"/>
      <w:outlineLvl w:val="6"/>
    </w:pPr>
    <w:rPr>
      <w:b/>
      <w:bCs/>
      <w:sz w:val="24"/>
      <w:szCs w:val="24"/>
    </w:rPr>
  </w:style>
  <w:style w:type="paragraph" w:styleId="941" w:customStyle="1">
    <w:name w:val="标题 81"/>
    <w:basedOn w:val="745"/>
    <w:next w:val="745"/>
    <w:link w:val="9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2" w:customStyle="1">
    <w:name w:val="标题 91"/>
    <w:basedOn w:val="745"/>
    <w:next w:val="745"/>
    <w:link w:val="956"/>
    <w:uiPriority w:val="0"/>
    <w:qFormat/>
    <w:pPr>
      <w:numPr>
        <w:ilvl w:val="8"/>
        <w:numId w:val="1"/>
      </w:numPr>
      <w:keepLines/>
      <w:keepNext/>
      <w:spacing w:before="240" w:after="64" w:line="320" w:lineRule="auto"/>
      <w:outlineLvl w:val="8"/>
    </w:pPr>
    <w:rPr>
      <w:rFonts w:ascii="Arial" w:hAnsi="Arial" w:eastAsia="黑体"/>
    </w:rPr>
  </w:style>
  <w:style w:type="character" w:styleId="943" w:customStyle="1">
    <w:name w:val="默认段落字体1"/>
    <w:link w:val="745"/>
    <w:uiPriority w:val="1"/>
    <w:unhideWhenUsed/>
    <w:qFormat/>
  </w:style>
  <w:style w:type="table" w:styleId="944" w:customStyle="1">
    <w:name w:val="普通表格11"/>
    <w:uiPriority w:val="99"/>
    <w:unhideWhenUsed/>
    <w:qFormat/>
    <w:tblPr/>
  </w:style>
  <w:style w:type="character" w:styleId="945" w:customStyle="1">
    <w:name w:val="正文文本缩进 Char"/>
    <w:link w:val="783"/>
    <w:uiPriority w:val="0"/>
    <w:qFormat/>
    <w:rPr>
      <w:rFonts w:ascii="楷体_GB2312" w:hAnsi="Times New Roman" w:eastAsia="楷体_GB2312" w:cs="Times New Roman"/>
      <w:sz w:val="32"/>
      <w:szCs w:val="32"/>
    </w:rPr>
  </w:style>
  <w:style w:type="character" w:styleId="946" w:customStyle="1">
    <w:name w:val="正文首行缩进 2 Char"/>
    <w:link w:val="782"/>
    <w:uiPriority w:val="0"/>
    <w:qFormat/>
    <w:rPr>
      <w:rFonts w:ascii="宋体" w:hAnsi="宋体" w:eastAsia="宋体" w:cs="Times New Roman"/>
      <w:sz w:val="32"/>
      <w:szCs w:val="20"/>
    </w:rPr>
  </w:style>
  <w:style w:type="character" w:styleId="947" w:customStyle="1">
    <w:name w:val="标题 1 Char"/>
    <w:link w:val="933"/>
    <w:uiPriority w:val="0"/>
    <w:qFormat/>
    <w:rPr>
      <w:rFonts w:ascii="楷体_GB2312" w:hAnsi="Times New Roman" w:eastAsia="楷体_GB2312" w:cs="Times New Roman"/>
      <w:sz w:val="28"/>
      <w:szCs w:val="28"/>
    </w:rPr>
  </w:style>
  <w:style w:type="character" w:styleId="948" w:customStyle="1">
    <w:name w:val="标题 2 Char"/>
    <w:link w:val="934"/>
    <w:uiPriority w:val="0"/>
    <w:qFormat/>
    <w:rPr>
      <w:rFonts w:ascii="Arial" w:hAnsi="Arial" w:eastAsia="幼圆" w:cs="Arial"/>
      <w:b/>
      <w:bCs/>
      <w:sz w:val="44"/>
      <w:szCs w:val="44"/>
    </w:rPr>
  </w:style>
  <w:style w:type="character" w:styleId="949" w:customStyle="1">
    <w:name w:val="正文缩进 Char"/>
    <w:link w:val="935"/>
    <w:uiPriority w:val="0"/>
    <w:qFormat/>
    <w:rPr>
      <w:rFonts w:ascii="Times New Roman" w:hAnsi="Times New Roman" w:eastAsia="宋体" w:cs="Times New Roman"/>
      <w:szCs w:val="21"/>
    </w:rPr>
  </w:style>
  <w:style w:type="character" w:styleId="950" w:customStyle="1">
    <w:name w:val="标题 3 Char"/>
    <w:link w:val="936"/>
    <w:uiPriority w:val="0"/>
    <w:qFormat/>
    <w:rPr>
      <w:rFonts w:ascii="Times New Roman" w:hAnsi="Times New Roman" w:eastAsia="宋体" w:cs="Times New Roman"/>
      <w:b/>
      <w:bCs/>
      <w:sz w:val="32"/>
      <w:szCs w:val="32"/>
    </w:rPr>
  </w:style>
  <w:style w:type="character" w:styleId="951" w:customStyle="1">
    <w:name w:val="标题 4 Char"/>
    <w:link w:val="937"/>
    <w:uiPriority w:val="0"/>
    <w:qFormat/>
    <w:rPr>
      <w:rFonts w:ascii="Arial" w:hAnsi="Arial" w:eastAsia="黑体" w:cs="Arial"/>
      <w:b/>
      <w:bCs/>
      <w:sz w:val="28"/>
      <w:szCs w:val="28"/>
    </w:rPr>
  </w:style>
  <w:style w:type="character" w:styleId="952" w:customStyle="1">
    <w:name w:val="标题 5 Char"/>
    <w:link w:val="938"/>
    <w:uiPriority w:val="0"/>
    <w:qFormat/>
    <w:rPr>
      <w:rFonts w:ascii="宋体" w:hAnsi="Times New Roman" w:eastAsia="宋体" w:cs="Times New Roman"/>
      <w:color w:val="000000"/>
      <w:sz w:val="28"/>
      <w:szCs w:val="28"/>
    </w:rPr>
  </w:style>
  <w:style w:type="character" w:styleId="953" w:customStyle="1">
    <w:name w:val="标题 6 Char"/>
    <w:link w:val="939"/>
    <w:uiPriority w:val="0"/>
    <w:qFormat/>
    <w:rPr>
      <w:rFonts w:ascii="Arial" w:hAnsi="Arial" w:eastAsia="黑体" w:cs="Times New Roman"/>
      <w:b/>
      <w:bCs/>
      <w:sz w:val="24"/>
      <w:szCs w:val="24"/>
    </w:rPr>
  </w:style>
  <w:style w:type="character" w:styleId="954" w:customStyle="1">
    <w:name w:val="标题 7 Char"/>
    <w:link w:val="940"/>
    <w:uiPriority w:val="0"/>
    <w:qFormat/>
    <w:rPr>
      <w:rFonts w:ascii="Times New Roman" w:hAnsi="Times New Roman" w:eastAsia="宋体" w:cs="Times New Roman"/>
      <w:b/>
      <w:bCs/>
      <w:sz w:val="24"/>
      <w:szCs w:val="24"/>
    </w:rPr>
  </w:style>
  <w:style w:type="character" w:styleId="955" w:customStyle="1">
    <w:name w:val="标题 8 Char"/>
    <w:link w:val="941"/>
    <w:uiPriority w:val="0"/>
    <w:qFormat/>
    <w:rPr>
      <w:rFonts w:ascii="Arial" w:hAnsi="Arial" w:eastAsia="黑体" w:cs="Times New Roman"/>
      <w:sz w:val="24"/>
      <w:szCs w:val="24"/>
    </w:rPr>
  </w:style>
  <w:style w:type="character" w:styleId="956" w:customStyle="1">
    <w:name w:val="标题 9 Char"/>
    <w:link w:val="942"/>
    <w:uiPriority w:val="0"/>
    <w:qFormat/>
    <w:rPr>
      <w:rFonts w:ascii="Arial" w:hAnsi="Arial" w:eastAsia="黑体" w:cs="Times New Roman"/>
      <w:szCs w:val="21"/>
    </w:rPr>
  </w:style>
  <w:style w:type="paragraph" w:styleId="957" w:customStyle="1">
    <w:name w:val="列表 31"/>
    <w:basedOn w:val="745"/>
    <w:uiPriority w:val="0"/>
    <w:qFormat/>
    <w:pPr>
      <w:ind w:left="100" w:hanging="200"/>
    </w:pPr>
  </w:style>
  <w:style w:type="paragraph" w:styleId="958" w:customStyle="1">
    <w:name w:val="目录 71"/>
    <w:basedOn w:val="745"/>
    <w:next w:val="745"/>
    <w:uiPriority w:val="0"/>
    <w:semiHidden/>
    <w:qFormat/>
    <w:pPr>
      <w:ind w:left="1260"/>
      <w:jc w:val="left"/>
    </w:pPr>
  </w:style>
  <w:style w:type="paragraph" w:styleId="959" w:customStyle="1">
    <w:name w:val="文档结构图1"/>
    <w:basedOn w:val="745"/>
    <w:link w:val="960"/>
    <w:uiPriority w:val="0"/>
    <w:semiHidden/>
    <w:qFormat/>
    <w:pPr>
      <w:shd w:val="clear" w:color="auto" w:fill="000080"/>
    </w:pPr>
  </w:style>
  <w:style w:type="character" w:styleId="960" w:customStyle="1">
    <w:name w:val="文档结构图 Char"/>
    <w:link w:val="959"/>
    <w:uiPriority w:val="0"/>
    <w:semiHidden/>
    <w:qFormat/>
    <w:rPr>
      <w:rFonts w:ascii="Times New Roman" w:hAnsi="Times New Roman" w:eastAsia="宋体" w:cs="Times New Roman"/>
      <w:szCs w:val="21"/>
      <w:shd w:val="clear" w:color="auto" w:fill="000080"/>
    </w:rPr>
  </w:style>
  <w:style w:type="paragraph" w:styleId="961" w:customStyle="1">
    <w:name w:val="批注文字1"/>
    <w:basedOn w:val="745"/>
    <w:link w:val="962"/>
    <w:uiPriority w:val="0"/>
    <w:semiHidden/>
    <w:qFormat/>
    <w:pPr>
      <w:jc w:val="left"/>
    </w:pPr>
  </w:style>
  <w:style w:type="character" w:styleId="962" w:customStyle="1">
    <w:name w:val="批注文字 Char"/>
    <w:link w:val="961"/>
    <w:uiPriority w:val="0"/>
    <w:semiHidden/>
    <w:qFormat/>
    <w:rPr>
      <w:rFonts w:ascii="Times New Roman" w:hAnsi="Times New Roman" w:eastAsia="宋体" w:cs="Times New Roman"/>
      <w:szCs w:val="21"/>
    </w:rPr>
  </w:style>
  <w:style w:type="paragraph" w:styleId="963" w:customStyle="1">
    <w:name w:val="正文文本 31"/>
    <w:basedOn w:val="745"/>
    <w:link w:val="964"/>
    <w:uiPriority w:val="0"/>
    <w:qFormat/>
    <w:rPr>
      <w:rFonts w:ascii="仿宋_GB2312" w:hAnsi="Arial" w:eastAsia="仿宋_GB2312"/>
      <w:sz w:val="32"/>
      <w:szCs w:val="32"/>
    </w:rPr>
  </w:style>
  <w:style w:type="character" w:styleId="964" w:customStyle="1">
    <w:name w:val="正文文本 3 Char"/>
    <w:link w:val="963"/>
    <w:uiPriority w:val="0"/>
    <w:qFormat/>
    <w:rPr>
      <w:rFonts w:ascii="仿宋_GB2312" w:hAnsi="Arial" w:eastAsia="仿宋_GB2312" w:cs="Times New Roman"/>
      <w:sz w:val="32"/>
      <w:szCs w:val="32"/>
    </w:rPr>
  </w:style>
  <w:style w:type="paragraph" w:styleId="965" w:customStyle="1">
    <w:name w:val="正文文本11"/>
    <w:basedOn w:val="745"/>
    <w:link w:val="966"/>
    <w:uiPriority w:val="0"/>
    <w:qFormat/>
    <w:rPr>
      <w:rFonts w:ascii="楷体_GB2312" w:hAnsi="Arial" w:eastAsia="楷体_GB2312"/>
      <w:sz w:val="28"/>
      <w:szCs w:val="28"/>
    </w:rPr>
  </w:style>
  <w:style w:type="character" w:styleId="966" w:customStyle="1">
    <w:name w:val="正文文本 Char"/>
    <w:link w:val="965"/>
    <w:uiPriority w:val="0"/>
    <w:qFormat/>
    <w:rPr>
      <w:rFonts w:ascii="楷体_GB2312" w:hAnsi="Arial" w:eastAsia="楷体_GB2312" w:cs="Times New Roman"/>
      <w:sz w:val="28"/>
      <w:szCs w:val="28"/>
    </w:rPr>
  </w:style>
  <w:style w:type="paragraph" w:styleId="967" w:customStyle="1">
    <w:name w:val="列表 21"/>
    <w:basedOn w:val="745"/>
    <w:uiPriority w:val="0"/>
    <w:qFormat/>
    <w:pPr>
      <w:ind w:left="100" w:hanging="200"/>
    </w:pPr>
  </w:style>
  <w:style w:type="paragraph" w:styleId="968" w:customStyle="1">
    <w:name w:val="目录 51"/>
    <w:basedOn w:val="745"/>
    <w:next w:val="745"/>
    <w:uiPriority w:val="0"/>
    <w:semiHidden/>
    <w:qFormat/>
    <w:pPr>
      <w:ind w:left="840"/>
      <w:jc w:val="left"/>
    </w:pPr>
  </w:style>
  <w:style w:type="paragraph" w:styleId="969" w:customStyle="1">
    <w:name w:val="目录 31"/>
    <w:basedOn w:val="745"/>
    <w:next w:val="745"/>
    <w:uiPriority w:val="0"/>
    <w:semiHidden/>
    <w:qFormat/>
    <w:pPr>
      <w:ind w:left="420"/>
      <w:jc w:val="left"/>
    </w:pPr>
    <w:rPr>
      <w:i/>
      <w:iCs/>
      <w:szCs w:val="24"/>
    </w:rPr>
  </w:style>
  <w:style w:type="paragraph" w:styleId="970" w:customStyle="1">
    <w:name w:val="纯文本11"/>
    <w:basedOn w:val="745"/>
    <w:link w:val="971"/>
    <w:uiPriority w:val="0"/>
    <w:qFormat/>
    <w:rPr>
      <w:rFonts w:ascii="宋体" w:hAnsi="Courier New" w:cs="Courier New"/>
    </w:rPr>
  </w:style>
  <w:style w:type="character" w:styleId="971" w:customStyle="1">
    <w:name w:val="纯文本 Char"/>
    <w:link w:val="970"/>
    <w:uiPriority w:val="0"/>
    <w:qFormat/>
    <w:rPr>
      <w:rFonts w:ascii="宋体" w:hAnsi="Courier New" w:eastAsia="宋体" w:cs="Courier New"/>
      <w:szCs w:val="21"/>
    </w:rPr>
  </w:style>
  <w:style w:type="paragraph" w:styleId="972" w:customStyle="1">
    <w:name w:val="目录 81"/>
    <w:basedOn w:val="745"/>
    <w:next w:val="745"/>
    <w:uiPriority w:val="0"/>
    <w:semiHidden/>
    <w:qFormat/>
    <w:pPr>
      <w:ind w:left="1470"/>
      <w:jc w:val="left"/>
    </w:pPr>
  </w:style>
  <w:style w:type="paragraph" w:styleId="973" w:customStyle="1">
    <w:name w:val="日期1"/>
    <w:basedOn w:val="745"/>
    <w:next w:val="745"/>
    <w:link w:val="974"/>
    <w:uiPriority w:val="0"/>
    <w:qFormat/>
    <w:rPr>
      <w:sz w:val="24"/>
      <w:szCs w:val="24"/>
    </w:rPr>
  </w:style>
  <w:style w:type="character" w:styleId="974" w:customStyle="1">
    <w:name w:val="日期 Char"/>
    <w:link w:val="973"/>
    <w:uiPriority w:val="0"/>
    <w:rPr>
      <w:rFonts w:ascii="Times New Roman" w:hAnsi="Times New Roman" w:eastAsia="宋体" w:cs="Times New Roman"/>
      <w:sz w:val="24"/>
      <w:szCs w:val="24"/>
    </w:rPr>
  </w:style>
  <w:style w:type="paragraph" w:styleId="975" w:customStyle="1">
    <w:name w:val="正文文本缩进 21"/>
    <w:basedOn w:val="745"/>
    <w:link w:val="976"/>
    <w:uiPriority w:val="0"/>
    <w:qFormat/>
    <w:pPr>
      <w:ind w:left="630" w:firstLine="645"/>
    </w:pPr>
    <w:rPr>
      <w:rFonts w:ascii="Arial" w:hAnsi="Arial" w:eastAsia="仿宋_GB2312" w:cs="Arial"/>
      <w:sz w:val="32"/>
      <w:szCs w:val="32"/>
    </w:rPr>
  </w:style>
  <w:style w:type="character" w:styleId="976" w:customStyle="1">
    <w:name w:val="正文文本缩进 2 Char"/>
    <w:link w:val="975"/>
    <w:uiPriority w:val="0"/>
    <w:qFormat/>
    <w:rPr>
      <w:rFonts w:ascii="Arial" w:hAnsi="Arial" w:eastAsia="仿宋_GB2312" w:cs="Arial"/>
      <w:sz w:val="32"/>
      <w:szCs w:val="32"/>
    </w:rPr>
  </w:style>
  <w:style w:type="paragraph" w:styleId="977" w:customStyle="1">
    <w:name w:val="批注框文本1"/>
    <w:basedOn w:val="745"/>
    <w:link w:val="978"/>
    <w:uiPriority w:val="0"/>
    <w:semiHidden/>
    <w:qFormat/>
    <w:rPr>
      <w:sz w:val="18"/>
      <w:szCs w:val="18"/>
    </w:rPr>
  </w:style>
  <w:style w:type="character" w:styleId="978" w:customStyle="1">
    <w:name w:val="批注框文本 Char"/>
    <w:link w:val="977"/>
    <w:uiPriority w:val="0"/>
    <w:semiHidden/>
    <w:qFormat/>
    <w:rPr>
      <w:rFonts w:ascii="Times New Roman" w:hAnsi="Times New Roman" w:eastAsia="宋体" w:cs="Times New Roman"/>
      <w:sz w:val="18"/>
      <w:szCs w:val="18"/>
    </w:rPr>
  </w:style>
  <w:style w:type="paragraph" w:styleId="979" w:customStyle="1">
    <w:name w:val="页脚1"/>
    <w:basedOn w:val="745"/>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页眉1"/>
    <w:basedOn w:val="745"/>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984" w:customStyle="1">
    <w:name w:val="目录 41"/>
    <w:basedOn w:val="745"/>
    <w:next w:val="745"/>
    <w:uiPriority w:val="0"/>
    <w:semiHidden/>
    <w:qFormat/>
    <w:pPr>
      <w:ind w:left="630"/>
      <w:jc w:val="left"/>
    </w:pPr>
  </w:style>
  <w:style w:type="paragraph" w:styleId="985" w:customStyle="1">
    <w:name w:val="列表1"/>
    <w:basedOn w:val="745"/>
    <w:uiPriority w:val="0"/>
    <w:qFormat/>
    <w:pPr>
      <w:ind w:left="200" w:hanging="200"/>
    </w:pPr>
  </w:style>
  <w:style w:type="paragraph" w:styleId="986" w:customStyle="1">
    <w:name w:val="目录 61"/>
    <w:basedOn w:val="745"/>
    <w:next w:val="745"/>
    <w:uiPriority w:val="0"/>
    <w:semiHidden/>
    <w:pPr>
      <w:ind w:left="1050"/>
      <w:jc w:val="left"/>
    </w:pPr>
  </w:style>
  <w:style w:type="paragraph" w:styleId="987" w:customStyle="1">
    <w:name w:val="正文文本缩进 31"/>
    <w:basedOn w:val="745"/>
    <w:link w:val="988"/>
    <w:uiPriority w:val="0"/>
    <w:qFormat/>
    <w:pPr>
      <w:ind w:left="645" w:firstLine="645"/>
    </w:pPr>
    <w:rPr>
      <w:rFonts w:ascii="Arial" w:hAnsi="Arial" w:eastAsia="仿宋_GB2312" w:cs="Arial"/>
      <w:color w:val="ffff00"/>
      <w:sz w:val="32"/>
      <w:szCs w:val="32"/>
    </w:rPr>
  </w:style>
  <w:style w:type="character" w:styleId="988" w:customStyle="1">
    <w:name w:val="正文文本缩进 3 Char"/>
    <w:link w:val="987"/>
    <w:uiPriority w:val="0"/>
    <w:qFormat/>
    <w:rPr>
      <w:rFonts w:ascii="Arial" w:hAnsi="Arial" w:eastAsia="仿宋_GB2312" w:cs="Arial"/>
      <w:color w:val="ffff00"/>
      <w:sz w:val="32"/>
      <w:szCs w:val="32"/>
    </w:rPr>
  </w:style>
  <w:style w:type="paragraph" w:styleId="989" w:customStyle="1">
    <w:name w:val="图表目录1"/>
    <w:basedOn w:val="745"/>
    <w:next w:val="745"/>
    <w:uiPriority w:val="0"/>
    <w:semiHidden/>
    <w:qFormat/>
    <w:pPr>
      <w:ind w:left="840" w:hanging="420"/>
    </w:pPr>
  </w:style>
  <w:style w:type="paragraph" w:styleId="990" w:customStyle="1">
    <w:name w:val="目录 21"/>
    <w:basedOn w:val="745"/>
    <w:next w:val="745"/>
    <w:uiPriority w:val="0"/>
    <w:semiHidden/>
    <w:qFormat/>
    <w:pPr>
      <w:ind w:left="210"/>
      <w:jc w:val="left"/>
    </w:pPr>
    <w:rPr>
      <w:smallCaps/>
      <w:szCs w:val="24"/>
    </w:rPr>
  </w:style>
  <w:style w:type="paragraph" w:styleId="991" w:customStyle="1">
    <w:name w:val="目录 91"/>
    <w:basedOn w:val="745"/>
    <w:next w:val="745"/>
    <w:uiPriority w:val="0"/>
    <w:semiHidden/>
    <w:qFormat/>
    <w:pPr>
      <w:ind w:left="1680"/>
      <w:jc w:val="left"/>
    </w:pPr>
  </w:style>
  <w:style w:type="paragraph" w:styleId="992" w:customStyle="1">
    <w:name w:val="正文文本 21"/>
    <w:basedOn w:val="745"/>
    <w:link w:val="993"/>
    <w:uiPriority w:val="0"/>
    <w:qFormat/>
    <w:pPr>
      <w:jc w:val="center"/>
      <w:widowControl/>
    </w:pPr>
    <w:rPr>
      <w:rFonts w:ascii="楷体_GB2312" w:eastAsia="楷体_GB2312"/>
      <w:sz w:val="28"/>
      <w:szCs w:val="28"/>
    </w:rPr>
  </w:style>
  <w:style w:type="character" w:styleId="993" w:customStyle="1">
    <w:name w:val="正文文本 2 Char"/>
    <w:link w:val="992"/>
    <w:uiPriority w:val="0"/>
    <w:qFormat/>
    <w:rPr>
      <w:rFonts w:ascii="楷体_GB2312" w:hAnsi="Times New Roman" w:eastAsia="楷体_GB2312" w:cs="Times New Roman"/>
      <w:sz w:val="28"/>
      <w:szCs w:val="28"/>
    </w:rPr>
  </w:style>
  <w:style w:type="paragraph" w:styleId="994"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995" w:customStyle="1">
    <w:name w:val="索引 11"/>
    <w:basedOn w:val="745"/>
    <w:next w:val="745"/>
    <w:uiPriority w:val="0"/>
    <w:semiHidden/>
    <w:qFormat/>
    <w:pPr>
      <w:spacing w:line="240" w:lineRule="atLeast"/>
    </w:pPr>
    <w:rPr>
      <w:b/>
      <w:bCs/>
    </w:rPr>
  </w:style>
  <w:style w:type="paragraph" w:styleId="996" w:customStyle="1">
    <w:name w:val="批注主题1"/>
    <w:basedOn w:val="961"/>
    <w:next w:val="961"/>
    <w:link w:val="997"/>
    <w:uiPriority w:val="0"/>
    <w:semiHidden/>
    <w:qFormat/>
    <w:rPr>
      <w:b/>
      <w:bCs/>
    </w:rPr>
  </w:style>
  <w:style w:type="character" w:styleId="997" w:customStyle="1">
    <w:name w:val="批注主题 Char"/>
    <w:link w:val="996"/>
    <w:uiPriority w:val="0"/>
    <w:semiHidden/>
    <w:qFormat/>
    <w:rPr>
      <w:rFonts w:ascii="Times New Roman" w:hAnsi="Times New Roman" w:eastAsia="宋体" w:cs="Times New Roman"/>
      <w:b/>
      <w:bCs/>
      <w:szCs w:val="21"/>
    </w:rPr>
  </w:style>
  <w:style w:type="paragraph" w:styleId="998" w:customStyle="1">
    <w:name w:val="正文首行缩进1"/>
    <w:basedOn w:val="745"/>
    <w:link w:val="999"/>
    <w:uiPriority w:val="0"/>
    <w:qFormat/>
    <w:pPr>
      <w:ind w:firstLine="200"/>
      <w:spacing w:line="360" w:lineRule="auto"/>
    </w:pPr>
    <w:rPr>
      <w:rFonts w:ascii="仿宋_GB2312" w:eastAsia="仿宋_GB2312"/>
      <w:sz w:val="30"/>
      <w:szCs w:val="30"/>
    </w:rPr>
  </w:style>
  <w:style w:type="character" w:styleId="999" w:customStyle="1">
    <w:name w:val="正文首行缩进 Char"/>
    <w:link w:val="998"/>
    <w:uiPriority w:val="0"/>
    <w:qFormat/>
    <w:rPr>
      <w:rFonts w:ascii="仿宋_GB2312" w:hAnsi="Times New Roman" w:eastAsia="仿宋_GB2312" w:cs="Times New Roman"/>
      <w:sz w:val="30"/>
      <w:szCs w:val="30"/>
    </w:rPr>
  </w:style>
  <w:style w:type="table" w:styleId="1000" w:customStyle="1">
    <w:name w:val="网格型11"/>
    <w:basedOn w:val="944"/>
    <w:uiPriority w:val="0"/>
    <w:qFormat/>
    <w:pPr>
      <w:jc w:val="both"/>
      <w:widowControl w:val="off"/>
    </w:pPr>
    <w:rPr>
      <w:rFonts w:ascii="Times New Roman" w:hAnsi="Times New Roman" w:eastAsia="宋体" w:cs="Times New Roman"/>
      <w:sz w:val="20"/>
      <w:szCs w:val="20"/>
    </w:rPr>
    <w:tblPr/>
  </w:style>
  <w:style w:type="character" w:styleId="1001" w:customStyle="1">
    <w:name w:val="要点1"/>
    <w:link w:val="745"/>
    <w:uiPriority w:val="0"/>
    <w:qFormat/>
    <w:rPr>
      <w:b/>
      <w:bCs/>
    </w:rPr>
  </w:style>
  <w:style w:type="character" w:styleId="1002" w:customStyle="1">
    <w:name w:val="页码1"/>
    <w:link w:val="745"/>
    <w:uiPriority w:val="0"/>
    <w:qFormat/>
  </w:style>
  <w:style w:type="character" w:styleId="1003" w:customStyle="1">
    <w:name w:val="已访问的超链接1"/>
    <w:link w:val="745"/>
    <w:uiPriority w:val="0"/>
    <w:qFormat/>
    <w:rPr>
      <w:color w:val="800080"/>
      <w:u w:val="single"/>
    </w:rPr>
  </w:style>
  <w:style w:type="character" w:styleId="1004" w:customStyle="1">
    <w:name w:val="超链接1"/>
    <w:link w:val="745"/>
    <w:uiPriority w:val="0"/>
    <w:qFormat/>
    <w:rPr>
      <w:color w:val="0000ff"/>
      <w:u w:val="single"/>
    </w:rPr>
  </w:style>
  <w:style w:type="character" w:styleId="1005" w:customStyle="1">
    <w:name w:val="批注引用1"/>
    <w:link w:val="745"/>
    <w:uiPriority w:val="0"/>
    <w:semiHidden/>
    <w:qFormat/>
    <w:rPr>
      <w:sz w:val="21"/>
      <w:szCs w:val="21"/>
    </w:rPr>
  </w:style>
  <w:style w:type="paragraph" w:styleId="1006" w:customStyle="1">
    <w:name w:val="索引 411"/>
    <w:basedOn w:val="745"/>
    <w:next w:val="745"/>
    <w:uiPriority w:val="0"/>
    <w:semiHidden/>
    <w:qFormat/>
    <w:pPr>
      <w:ind w:left="1260"/>
    </w:pPr>
    <w:rPr>
      <w:rFonts w:ascii="Calibri" w:hAnsi="Calibri" w:eastAsia="Calibri" w:cs="宋体"/>
      <w:sz w:val="20"/>
      <w:lang w:val="zh-CN"/>
    </w:rPr>
  </w:style>
  <w:style w:type="paragraph" w:styleId="1007" w:customStyle="1">
    <w:name w:val="正文文本缩进1"/>
    <w:basedOn w:val="745"/>
    <w:next w:val="1008"/>
    <w:uiPriority w:val="0"/>
    <w:unhideWhenUsed/>
    <w:qFormat/>
    <w:pPr>
      <w:ind w:left="420"/>
      <w:spacing w:after="120"/>
    </w:pPr>
  </w:style>
  <w:style w:type="paragraph" w:styleId="1008" w:customStyle="1">
    <w:name w:val="正文文本首行缩进 2"/>
    <w:basedOn w:val="1007"/>
    <w:uiPriority w:val="0"/>
    <w:qFormat/>
    <w:pPr>
      <w:ind w:left="0" w:firstLine="420"/>
      <w:spacing w:after="0" w:line="360" w:lineRule="auto"/>
    </w:pPr>
    <w:rPr>
      <w:rFonts w:ascii="宋体" w:hAnsi="宋体"/>
      <w:sz w:val="20"/>
      <w:szCs w:val="20"/>
      <w:lang w:val="en-US" w:eastAsia="en-US"/>
    </w:rPr>
  </w:style>
  <w:style w:type="paragraph" w:styleId="1009" w:customStyle="1">
    <w:name w:val="索引 41"/>
    <w:basedOn w:val="745"/>
    <w:next w:val="745"/>
    <w:uiPriority w:val="0"/>
    <w:semiHidden/>
    <w:qFormat/>
    <w:pPr>
      <w:ind w:left="1260"/>
    </w:pPr>
    <w:rPr>
      <w:rFonts w:ascii="Calibri" w:hAnsi="Calibri" w:eastAsia="Calibri" w:cs="宋体"/>
      <w:sz w:val="20"/>
      <w:lang w:val="zh-CN"/>
    </w:rPr>
  </w:style>
  <w:style w:type="paragraph" w:styleId="1010" w:customStyle="1">
    <w:name w:val="正文文本12"/>
    <w:basedOn w:val="745"/>
    <w:uiPriority w:val="1"/>
    <w:qFormat/>
    <w:pPr>
      <w:ind w:left="120"/>
    </w:pPr>
    <w:rPr>
      <w:rFonts w:ascii="宋体" w:hAnsi="宋体" w:eastAsia="宋体" w:cs="宋体"/>
      <w:sz w:val="21"/>
      <w:szCs w:val="21"/>
      <w:lang w:val="zh-CN" w:eastAsia="zh-CN" w:bidi="zh-CN"/>
    </w:rPr>
  </w:style>
  <w:style w:type="character" w:styleId="1011" w:customStyle="1">
    <w:name w:val="font5 Char"/>
    <w:link w:val="745"/>
    <w:uiPriority w:val="0"/>
    <w:qFormat/>
    <w:rPr>
      <w:rFonts w:ascii="宋体" w:hAnsi="宋体" w:eastAsia="宋体"/>
      <w:sz w:val="28"/>
      <w:szCs w:val="28"/>
      <w:lang w:val="en-US" w:eastAsia="zh-CN" w:bidi="ar-SA"/>
    </w:rPr>
  </w:style>
  <w:style w:type="character" w:styleId="1012" w:customStyle="1">
    <w:name w:val="二级目录 Char"/>
    <w:link w:val="1013"/>
    <w:uiPriority w:val="0"/>
    <w:qFormat/>
    <w:rPr>
      <w:b/>
      <w:sz w:val="30"/>
      <w:szCs w:val="28"/>
    </w:rPr>
  </w:style>
  <w:style w:type="paragraph" w:styleId="1013" w:customStyle="1">
    <w:name w:val="二级目录"/>
    <w:next w:val="745"/>
    <w:link w:val="101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745"/>
    <w:link w:val="1014"/>
    <w:uiPriority w:val="0"/>
    <w:qFormat/>
    <w:pPr>
      <w:contextualSpacing/>
      <w:ind w:left="720"/>
      <w:jc w:val="left"/>
      <w:widowControl/>
    </w:pPr>
    <w:rPr>
      <w:rFonts w:ascii="Calibri" w:hAnsi="Calibri" w:eastAsia="宋体" w:cs="Times New Roman"/>
      <w:sz w:val="24"/>
      <w:szCs w:val="24"/>
      <w:lang w:eastAsia="en-US" w:bidi="en-US"/>
    </w:rPr>
  </w:style>
  <w:style w:type="paragraph" w:styleId="1016" w:customStyle="1">
    <w:name w:val="Body Text(ch)"/>
    <w:basedOn w:val="745"/>
    <w:next w:val="965"/>
    <w:uiPriority w:val="0"/>
    <w:qFormat/>
    <w:pPr>
      <w:spacing w:after="120"/>
    </w:pPr>
    <w:rPr>
      <w:rFonts w:ascii="宋体" w:hAnsi="Arial"/>
      <w:bCs/>
      <w:iCs/>
      <w:szCs w:val="24"/>
    </w:rPr>
  </w:style>
  <w:style w:type="paragraph" w:styleId="1017"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w:basedOn w:val="745"/>
    <w:uiPriority w:val="0"/>
    <w:qFormat/>
    <w:pPr>
      <w:ind w:firstLine="200"/>
      <w:tabs>
        <w:tab w:val="left" w:pos="360" w:leader="none"/>
      </w:tabs>
    </w:pPr>
    <w:rPr>
      <w:sz w:val="28"/>
      <w:szCs w:val="30"/>
    </w:rPr>
  </w:style>
  <w:style w:type="paragraph" w:styleId="1020" w:customStyle="1">
    <w:name w:val=" Char"/>
    <w:basedOn w:val="959"/>
    <w:uiPriority w:val="0"/>
    <w:qFormat/>
    <w:rPr>
      <w:rFonts w:ascii="Tahoma" w:hAnsi="Tahoma"/>
      <w:sz w:val="24"/>
      <w:szCs w:val="24"/>
    </w:rPr>
  </w:style>
  <w:style w:type="paragraph" w:styleId="1021"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2" w:customStyle="1">
    <w:name w:val="table_lines"/>
    <w:basedOn w:val="745"/>
    <w:uiPriority w:val="0"/>
    <w:qFormat/>
    <w:pPr>
      <w:jc w:val="left"/>
      <w:widowControl/>
    </w:pPr>
    <w:rPr>
      <w:sz w:val="20"/>
      <w:szCs w:val="20"/>
      <w:lang w:val="de-DE" w:eastAsia="de-DE"/>
    </w:rPr>
  </w:style>
  <w:style w:type="paragraph" w:styleId="10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 Char Char Char Char"/>
    <w:basedOn w:val="959"/>
    <w:uiPriority w:val="0"/>
    <w:qFormat/>
    <w:pPr>
      <w:spacing w:line="360" w:lineRule="auto"/>
    </w:pPr>
    <w:rPr>
      <w:rFonts w:ascii="Tahoma" w:hAnsi="Tahoma"/>
      <w:sz w:val="24"/>
      <w:szCs w:val="24"/>
    </w:rPr>
  </w:style>
  <w:style w:type="paragraph" w:styleId="1026"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27" w:customStyle="1">
    <w:name w:val="4"/>
    <w:basedOn w:val="745"/>
    <w:next w:val="987"/>
    <w:uiPriority w:val="0"/>
    <w:qFormat/>
    <w:pPr>
      <w:ind w:firstLine="420"/>
      <w:spacing w:line="360" w:lineRule="auto"/>
    </w:pPr>
    <w:rPr>
      <w:color w:val="ff0000"/>
      <w:sz w:val="24"/>
      <w:szCs w:val="24"/>
    </w:rPr>
  </w:style>
  <w:style w:type="paragraph" w:styleId="1028"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29" w:customStyle="1">
    <w:name w:val=" Char Char Char Char Char Char Char Char Char Char"/>
    <w:basedOn w:val="745"/>
    <w:uiPriority w:val="0"/>
    <w:qFormat/>
    <w:pPr>
      <w:spacing w:line="360" w:lineRule="auto"/>
    </w:pPr>
    <w:rPr>
      <w:sz w:val="24"/>
      <w:szCs w:val="20"/>
    </w:rPr>
  </w:style>
  <w:style w:type="paragraph" w:styleId="1030" w:customStyle="1">
    <w:name w:val="样式1"/>
    <w:basedOn w:val="745"/>
    <w:uiPriority w:val="0"/>
    <w:qFormat/>
    <w:pPr>
      <w:numPr>
        <w:ilvl w:val="0"/>
        <w:numId w:val="3"/>
      </w:numPr>
    </w:pPr>
    <w:rPr>
      <w:rFonts w:ascii="宋体" w:hAnsi="宋体"/>
    </w:rPr>
  </w:style>
  <w:style w:type="paragraph" w:styleId="1031"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32"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35"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38"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0"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41" w:customStyle="1">
    <w:name w:val="Char Char Char Char"/>
    <w:basedOn w:val="959"/>
    <w:uiPriority w:val="0"/>
    <w:qFormat/>
    <w:pPr>
      <w:spacing w:line="360" w:lineRule="auto"/>
    </w:pPr>
    <w:rPr>
      <w:rFonts w:ascii="Tahoma" w:hAnsi="Tahoma"/>
      <w:sz w:val="24"/>
      <w:szCs w:val="24"/>
    </w:rPr>
  </w:style>
  <w:style w:type="paragraph" w:styleId="1042" w:customStyle="1">
    <w:name w:val="table_1stline"/>
    <w:basedOn w:val="745"/>
    <w:uiPriority w:val="0"/>
    <w:qFormat/>
    <w:pPr>
      <w:jc w:val="left"/>
      <w:spacing w:before="120"/>
      <w:widowControl/>
    </w:pPr>
    <w:rPr>
      <w:bCs/>
      <w:sz w:val="20"/>
      <w:szCs w:val="20"/>
      <w:lang w:val="de-DE" w:eastAsia="de-DE"/>
    </w:rPr>
  </w:style>
  <w:style w:type="paragraph" w:styleId="1043"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7" w:customStyle="1">
    <w:name w:val="正文文本 211"/>
    <w:basedOn w:val="745"/>
    <w:uiPriority w:val="99"/>
    <w:qFormat/>
    <w:pPr>
      <w:jc w:val="center"/>
    </w:pPr>
    <w:rPr>
      <w:b/>
      <w:bCs/>
      <w:sz w:val="20"/>
      <w:szCs w:val="20"/>
    </w:rPr>
  </w:style>
  <w:style w:type="table" w:styleId="1048" w:customStyle="1">
    <w:name w:val="Table Normal"/>
    <w:uiPriority w:val="0"/>
    <w:qFormat/>
    <w:tblPr/>
  </w:style>
  <w:style w:type="paragraph" w:styleId="1049" w:customStyle="1">
    <w:name w:val="正文文本1"/>
    <w:basedOn w:val="745"/>
    <w:next w:val="745"/>
    <w:uiPriority w:val="0"/>
    <w:semiHidden/>
    <w:qFormat/>
    <w:rPr>
      <w:rFonts w:ascii="Arial" w:hAnsi="Arial" w:eastAsia="Arial" w:cs="Arial"/>
      <w:sz w:val="21"/>
      <w:szCs w:val="21"/>
      <w:lang w:val="en-US" w:eastAsia="en-US" w:bidi="ar-SA"/>
    </w:rPr>
  </w:style>
  <w:style w:type="paragraph" w:styleId="1050" w:customStyle="1">
    <w:name w:val="纯文本1"/>
    <w:basedOn w:val="745"/>
    <w:uiPriority w:val="0"/>
    <w:qFormat/>
    <w:rPr>
      <w:rFonts w:ascii="宋体" w:hAnsi="Courier New" w:cs="Courier New"/>
    </w:rPr>
  </w:style>
  <w:style w:type="table" w:styleId="1051" w:customStyle="1">
    <w:name w:val="网格型1"/>
    <w:basedOn w:val="1052"/>
    <w:uiPriority w:val="0"/>
    <w:qFormat/>
    <w:pPr>
      <w:jc w:val="both"/>
      <w:widowControl w:val="off"/>
    </w:pPr>
    <w:tblPr/>
  </w:style>
  <w:style w:type="table" w:styleId="1052" w:customStyle="1">
    <w:name w:val="普通表格1"/>
    <w:uiPriority w:val="99"/>
    <w:unhideWhenUsed/>
    <w:qFormat/>
    <w:tbl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2023-03-16T02:16:00Z</dcterms:created>
  <dcterms:modified xsi:type="dcterms:W3CDTF">2024-11-21T08:31:37Z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43D356A078F04F30BB76CF575CE83437</vt:lpwstr>
  </property>
</Properties>
</file>