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CCB1CF">
      <w:pPr>
        <w:pStyle w:val="4"/>
        <w:numPr>
          <w:numId w:val="0"/>
        </w:numPr>
        <w:snapToGrid w:val="0"/>
        <w:spacing w:before="120" w:after="120" w:line="500" w:lineRule="exact"/>
        <w:jc w:val="center"/>
        <w:rPr>
          <w:rFonts w:hint="eastAsia" w:ascii="宋体" w:hAnsi="宋体" w:eastAsia="宋体" w:cs="Times New Roman"/>
          <w:b/>
          <w:color w:val="auto"/>
          <w:kern w:val="2"/>
          <w:sz w:val="44"/>
          <w:szCs w:val="44"/>
          <w:highlight w:val="none"/>
          <w:lang w:val="en-US" w:eastAsia="zh-CN" w:bidi="ar-SA"/>
        </w:rPr>
      </w:pPr>
      <w:bookmarkStart w:id="0" w:name="_GoBack"/>
      <w:r>
        <w:rPr>
          <w:rFonts w:hint="eastAsia" w:ascii="宋体" w:hAnsi="宋体" w:eastAsia="宋体" w:cs="Times New Roman"/>
          <w:b/>
          <w:color w:val="auto"/>
          <w:kern w:val="2"/>
          <w:sz w:val="44"/>
          <w:szCs w:val="44"/>
          <w:highlight w:val="none"/>
          <w:lang w:val="en-US" w:eastAsia="zh-CN" w:bidi="ar-SA"/>
        </w:rPr>
        <w:t>采购需求</w:t>
      </w:r>
    </w:p>
    <w:bookmarkEnd w:id="0"/>
    <w:p w14:paraId="69324795">
      <w:pPr>
        <w:pStyle w:val="3"/>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line="500" w:lineRule="exact"/>
        <w:ind w:left="0" w:leftChars="0"/>
        <w:jc w:val="left"/>
        <w:textAlignment w:val="auto"/>
        <w:rPr>
          <w:rFonts w:hint="eastAsia" w:ascii="宋体" w:hAnsi="宋体" w:eastAsia="宋体" w:cs="Courier New"/>
          <w:b/>
          <w:color w:val="auto"/>
          <w:kern w:val="2"/>
          <w:sz w:val="24"/>
          <w:szCs w:val="24"/>
          <w:highlight w:val="none"/>
          <w:lang w:val="en-US" w:eastAsia="zh-CN" w:bidi="ar-SA"/>
        </w:rPr>
      </w:pPr>
      <w:r>
        <w:rPr>
          <w:rFonts w:hint="eastAsia" w:ascii="宋体" w:hAnsi="宋体" w:eastAsia="宋体" w:cs="Courier New"/>
          <w:b/>
          <w:color w:val="auto"/>
          <w:kern w:val="2"/>
          <w:sz w:val="24"/>
          <w:szCs w:val="24"/>
          <w:highlight w:val="none"/>
          <w:lang w:val="en-US" w:eastAsia="zh-CN" w:bidi="ar-SA"/>
        </w:rPr>
        <w:t>一、项目概况</w:t>
      </w:r>
    </w:p>
    <w:p w14:paraId="1F4FB291">
      <w:pPr>
        <w:keepLines w:val="0"/>
        <w:pageBreakBefore w:val="0"/>
        <w:widowControl w:val="0"/>
        <w:kinsoku/>
        <w:wordWrap/>
        <w:overflowPunct/>
        <w:topLinePunct w:val="0"/>
        <w:bidi w:val="0"/>
        <w:snapToGrid/>
        <w:spacing w:line="500" w:lineRule="exact"/>
        <w:ind w:left="0" w:leftChars="0" w:firstLine="480" w:firstLineChars="200"/>
        <w:textAlignment w:val="auto"/>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1、项目名称：盐都区农村地区智慧安防村居光纤租赁服务采购项目</w:t>
      </w:r>
    </w:p>
    <w:p w14:paraId="782170A2">
      <w:pPr>
        <w:keepLines w:val="0"/>
        <w:pageBreakBefore w:val="0"/>
        <w:widowControl w:val="0"/>
        <w:kinsoku/>
        <w:wordWrap/>
        <w:overflowPunct/>
        <w:topLinePunct w:val="0"/>
        <w:bidi w:val="0"/>
        <w:snapToGrid/>
        <w:spacing w:line="500" w:lineRule="exact"/>
        <w:ind w:left="0" w:leftChars="0" w:firstLine="480" w:firstLineChars="200"/>
        <w:textAlignment w:val="auto"/>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2、预算金额：280万元</w:t>
      </w:r>
    </w:p>
    <w:p w14:paraId="55AF9358">
      <w:pPr>
        <w:keepLines w:val="0"/>
        <w:pageBreakBefore w:val="0"/>
        <w:widowControl w:val="0"/>
        <w:kinsoku/>
        <w:wordWrap/>
        <w:overflowPunct/>
        <w:topLinePunct w:val="0"/>
        <w:bidi w:val="0"/>
        <w:snapToGrid/>
        <w:spacing w:line="500" w:lineRule="exact"/>
        <w:ind w:left="0" w:leftChars="0" w:firstLine="480" w:firstLineChars="200"/>
        <w:textAlignment w:val="auto"/>
        <w:rPr>
          <w:rFonts w:hint="default"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3、最高限价：280</w:t>
      </w:r>
      <w:r>
        <w:rPr>
          <w:rFonts w:hint="eastAsia" w:ascii="宋体" w:hAnsi="宋体"/>
          <w:color w:val="auto"/>
          <w:sz w:val="24"/>
          <w:szCs w:val="24"/>
          <w:highlight w:val="none"/>
          <w:lang w:val="en-US" w:eastAsia="zh-CN"/>
        </w:rPr>
        <w:t>万</w:t>
      </w:r>
      <w:r>
        <w:rPr>
          <w:rFonts w:hint="eastAsia" w:ascii="宋体" w:hAnsi="宋体"/>
          <w:color w:val="auto"/>
          <w:sz w:val="24"/>
          <w:szCs w:val="24"/>
          <w:highlight w:val="none"/>
        </w:rPr>
        <w:t>元</w:t>
      </w:r>
    </w:p>
    <w:p w14:paraId="12A64C72">
      <w:pPr>
        <w:keepLines w:val="0"/>
        <w:pageBreakBefore w:val="0"/>
        <w:widowControl w:val="0"/>
        <w:kinsoku/>
        <w:wordWrap/>
        <w:overflowPunct/>
        <w:topLinePunct w:val="0"/>
        <w:bidi w:val="0"/>
        <w:snapToGrid/>
        <w:spacing w:line="500" w:lineRule="exact"/>
        <w:ind w:left="0" w:leftChars="0" w:firstLine="480" w:firstLineChars="200"/>
        <w:textAlignment w:val="auto"/>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3、</w:t>
      </w:r>
      <w:r>
        <w:rPr>
          <w:rFonts w:hint="eastAsia" w:ascii="宋体" w:hAnsi="宋体" w:cs="宋体"/>
          <w:color w:val="auto"/>
          <w:sz w:val="24"/>
          <w:szCs w:val="24"/>
          <w:highlight w:val="none"/>
        </w:rPr>
        <w:t>合同履行期限（</w:t>
      </w:r>
      <w:r>
        <w:rPr>
          <w:rFonts w:hint="eastAsia" w:ascii="宋体" w:hAnsi="宋体" w:cs="宋体"/>
          <w:color w:val="auto"/>
          <w:sz w:val="24"/>
          <w:szCs w:val="24"/>
          <w:highlight w:val="none"/>
          <w:lang w:val="en-US" w:eastAsia="zh-CN"/>
        </w:rPr>
        <w:t>服务期</w:t>
      </w:r>
      <w:r>
        <w:rPr>
          <w:rFonts w:hint="eastAsia" w:ascii="宋体" w:hAnsi="宋体" w:cs="宋体"/>
          <w:color w:val="auto"/>
          <w:sz w:val="24"/>
          <w:szCs w:val="24"/>
          <w:highlight w:val="none"/>
        </w:rPr>
        <w:t>）</w:t>
      </w:r>
      <w:r>
        <w:rPr>
          <w:rFonts w:hint="eastAsia" w:ascii="宋体" w:hAnsi="宋体"/>
          <w:bCs/>
          <w:color w:val="auto"/>
          <w:sz w:val="24"/>
          <w:szCs w:val="24"/>
          <w:highlight w:val="none"/>
          <w:lang w:val="en-US" w:eastAsia="zh-CN"/>
        </w:rPr>
        <w:t>：1年。</w:t>
      </w:r>
    </w:p>
    <w:p w14:paraId="2639A99F">
      <w:pPr>
        <w:keepLines w:val="0"/>
        <w:pageBreakBefore w:val="0"/>
        <w:widowControl w:val="0"/>
        <w:kinsoku/>
        <w:wordWrap/>
        <w:overflowPunct/>
        <w:topLinePunct w:val="0"/>
        <w:bidi w:val="0"/>
        <w:snapToGrid/>
        <w:spacing w:line="500" w:lineRule="exact"/>
        <w:ind w:left="0" w:leftChars="0" w:firstLine="480" w:firstLineChars="200"/>
        <w:textAlignment w:val="auto"/>
        <w:rPr>
          <w:rFonts w:hint="default"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4、工期：中标供应商需在合同签订生效后15日历天内完成相关链路的建设调试工作。</w:t>
      </w:r>
    </w:p>
    <w:p w14:paraId="1DD5CD2F">
      <w:pPr>
        <w:keepLines w:val="0"/>
        <w:pageBreakBefore w:val="0"/>
        <w:widowControl w:val="0"/>
        <w:kinsoku/>
        <w:wordWrap/>
        <w:overflowPunct/>
        <w:topLinePunct w:val="0"/>
        <w:bidi w:val="0"/>
        <w:snapToGrid/>
        <w:spacing w:line="500" w:lineRule="exact"/>
        <w:ind w:left="0" w:leftChars="0" w:firstLine="480" w:firstLineChars="200"/>
        <w:textAlignment w:val="auto"/>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5、质量标准：符合国家合格标准，并通过招标人验收。</w:t>
      </w:r>
    </w:p>
    <w:p w14:paraId="72CF4E0F">
      <w:pPr>
        <w:keepLines w:val="0"/>
        <w:pageBreakBefore w:val="0"/>
        <w:widowControl w:val="0"/>
        <w:kinsoku/>
        <w:wordWrap/>
        <w:overflowPunct/>
        <w:topLinePunct w:val="0"/>
        <w:bidi w:val="0"/>
        <w:snapToGrid/>
        <w:spacing w:line="500" w:lineRule="exact"/>
        <w:ind w:left="0" w:leftChars="0" w:firstLine="480" w:firstLineChars="200"/>
        <w:textAlignment w:val="auto"/>
        <w:rPr>
          <w:rFonts w:hint="eastAsia" w:ascii="宋体" w:hAnsi="宋体"/>
          <w:bCs/>
          <w:color w:val="auto"/>
          <w:sz w:val="24"/>
          <w:szCs w:val="24"/>
          <w:highlight w:val="none"/>
          <w:vertAlign w:val="baseline"/>
          <w:lang w:val="en-US" w:eastAsia="zh-CN"/>
        </w:rPr>
      </w:pPr>
      <w:r>
        <w:rPr>
          <w:rFonts w:hint="eastAsia" w:ascii="宋体" w:hAnsi="宋体"/>
          <w:bCs/>
          <w:color w:val="auto"/>
          <w:sz w:val="24"/>
          <w:szCs w:val="24"/>
          <w:highlight w:val="none"/>
          <w:lang w:val="en-US" w:eastAsia="zh-CN"/>
        </w:rPr>
        <w:t>6、采购标的对应的中小企业划分标准所属行业一览表</w:t>
      </w:r>
    </w:p>
    <w:tbl>
      <w:tblPr>
        <w:tblStyle w:val="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3623"/>
        <w:gridCol w:w="3888"/>
      </w:tblGrid>
      <w:tr w14:paraId="04DB1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462" w:type="dxa"/>
            <w:noWrap w:val="0"/>
            <w:vAlign w:val="center"/>
          </w:tcPr>
          <w:p w14:paraId="6CBBC0CB">
            <w:pPr>
              <w:pStyle w:val="6"/>
              <w:spacing w:beforeAutospacing="0" w:afterAutospacing="0" w:line="0" w:lineRule="atLeast"/>
              <w:jc w:val="center"/>
              <w:rPr>
                <w:rFonts w:hint="eastAsia" w:ascii="宋体" w:hAnsi="宋体" w:eastAsia="宋体" w:cs="Times New Roman"/>
                <w:bCs/>
                <w:color w:val="auto"/>
                <w:kern w:val="2"/>
                <w:sz w:val="24"/>
                <w:szCs w:val="24"/>
                <w:highlight w:val="none"/>
                <w:lang w:val="en-US" w:eastAsia="zh-CN" w:bidi="ar-SA"/>
              </w:rPr>
            </w:pPr>
            <w:r>
              <w:rPr>
                <w:rFonts w:hint="eastAsia" w:ascii="宋体" w:hAnsi="宋体" w:eastAsia="宋体" w:cs="Times New Roman"/>
                <w:bCs/>
                <w:color w:val="auto"/>
                <w:kern w:val="2"/>
                <w:sz w:val="24"/>
                <w:szCs w:val="24"/>
                <w:highlight w:val="none"/>
                <w:lang w:val="en-US" w:eastAsia="zh-CN" w:bidi="ar-SA"/>
              </w:rPr>
              <w:t>序号</w:t>
            </w:r>
          </w:p>
        </w:tc>
        <w:tc>
          <w:tcPr>
            <w:tcW w:w="3395" w:type="dxa"/>
            <w:noWrap w:val="0"/>
            <w:vAlign w:val="center"/>
          </w:tcPr>
          <w:p w14:paraId="08375D29">
            <w:pPr>
              <w:keepLines w:val="0"/>
              <w:pageBreakBefore w:val="0"/>
              <w:widowControl w:val="0"/>
              <w:kinsoku/>
              <w:wordWrap/>
              <w:overflowPunct/>
              <w:topLinePunct w:val="0"/>
              <w:bidi w:val="0"/>
              <w:snapToGrid/>
              <w:spacing w:line="500" w:lineRule="exact"/>
              <w:jc w:val="center"/>
              <w:textAlignment w:val="auto"/>
              <w:rPr>
                <w:rFonts w:hint="default" w:ascii="宋体" w:hAnsi="宋体" w:eastAsia="宋体" w:cs="Times New Roman"/>
                <w:bCs/>
                <w:color w:val="auto"/>
                <w:kern w:val="2"/>
                <w:sz w:val="24"/>
                <w:szCs w:val="24"/>
                <w:highlight w:val="none"/>
                <w:lang w:val="en-US" w:eastAsia="zh-CN" w:bidi="ar-SA"/>
              </w:rPr>
            </w:pPr>
            <w:r>
              <w:rPr>
                <w:rFonts w:hint="eastAsia" w:ascii="宋体" w:hAnsi="宋体" w:eastAsia="宋体" w:cs="Times New Roman"/>
                <w:bCs/>
                <w:color w:val="auto"/>
                <w:kern w:val="2"/>
                <w:sz w:val="24"/>
                <w:szCs w:val="24"/>
                <w:highlight w:val="none"/>
                <w:lang w:val="en-US" w:eastAsia="zh-CN" w:bidi="ar-SA"/>
              </w:rPr>
              <w:t>采购标的</w:t>
            </w:r>
          </w:p>
        </w:tc>
        <w:tc>
          <w:tcPr>
            <w:tcW w:w="3642" w:type="dxa"/>
            <w:noWrap w:val="0"/>
            <w:vAlign w:val="center"/>
          </w:tcPr>
          <w:p w14:paraId="00182BFD">
            <w:pPr>
              <w:keepLines w:val="0"/>
              <w:pageBreakBefore w:val="0"/>
              <w:widowControl w:val="0"/>
              <w:kinsoku/>
              <w:wordWrap/>
              <w:overflowPunct/>
              <w:topLinePunct w:val="0"/>
              <w:bidi w:val="0"/>
              <w:snapToGrid/>
              <w:spacing w:line="500" w:lineRule="exact"/>
              <w:jc w:val="center"/>
              <w:textAlignment w:val="auto"/>
              <w:rPr>
                <w:rFonts w:hint="eastAsia" w:ascii="宋体" w:hAnsi="宋体" w:eastAsia="宋体" w:cs="Times New Roman"/>
                <w:bCs/>
                <w:color w:val="auto"/>
                <w:kern w:val="2"/>
                <w:sz w:val="24"/>
                <w:szCs w:val="24"/>
                <w:highlight w:val="none"/>
                <w:lang w:val="en-US" w:eastAsia="zh-CN" w:bidi="ar-SA"/>
              </w:rPr>
            </w:pPr>
            <w:r>
              <w:rPr>
                <w:rFonts w:hint="eastAsia" w:ascii="宋体" w:hAnsi="宋体" w:eastAsia="宋体" w:cs="Times New Roman"/>
                <w:bCs/>
                <w:color w:val="auto"/>
                <w:kern w:val="2"/>
                <w:sz w:val="24"/>
                <w:szCs w:val="24"/>
                <w:highlight w:val="none"/>
                <w:lang w:val="en-US" w:eastAsia="zh-CN" w:bidi="ar-SA"/>
              </w:rPr>
              <w:t>对应中小企业划分标准所属行业</w:t>
            </w:r>
          </w:p>
        </w:tc>
      </w:tr>
      <w:tr w14:paraId="1EFBD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462" w:type="dxa"/>
            <w:noWrap w:val="0"/>
            <w:vAlign w:val="center"/>
          </w:tcPr>
          <w:p w14:paraId="54E09D1E">
            <w:pPr>
              <w:pStyle w:val="6"/>
              <w:spacing w:beforeAutospacing="0" w:afterAutospacing="0" w:line="0" w:lineRule="atLeast"/>
              <w:jc w:val="center"/>
              <w:rPr>
                <w:rFonts w:hint="eastAsia" w:ascii="宋体" w:hAnsi="宋体" w:eastAsia="宋体" w:cs="Times New Roman"/>
                <w:bCs/>
                <w:color w:val="auto"/>
                <w:kern w:val="2"/>
                <w:sz w:val="24"/>
                <w:szCs w:val="24"/>
                <w:highlight w:val="none"/>
                <w:lang w:val="en-US" w:eastAsia="zh-CN" w:bidi="ar-SA"/>
              </w:rPr>
            </w:pPr>
            <w:r>
              <w:rPr>
                <w:rFonts w:hint="eastAsia" w:ascii="宋体" w:hAnsi="宋体" w:eastAsia="宋体" w:cs="Times New Roman"/>
                <w:bCs/>
                <w:color w:val="auto"/>
                <w:kern w:val="2"/>
                <w:sz w:val="24"/>
                <w:szCs w:val="24"/>
                <w:highlight w:val="none"/>
                <w:lang w:val="en-US" w:eastAsia="zh-CN" w:bidi="ar-SA"/>
              </w:rPr>
              <w:t>1</w:t>
            </w:r>
          </w:p>
        </w:tc>
        <w:tc>
          <w:tcPr>
            <w:tcW w:w="3395" w:type="dxa"/>
            <w:noWrap w:val="0"/>
            <w:vAlign w:val="center"/>
          </w:tcPr>
          <w:p w14:paraId="58C516DC">
            <w:pPr>
              <w:keepLines w:val="0"/>
              <w:pageBreakBefore w:val="0"/>
              <w:widowControl w:val="0"/>
              <w:kinsoku/>
              <w:wordWrap/>
              <w:overflowPunct/>
              <w:topLinePunct w:val="0"/>
              <w:bidi w:val="0"/>
              <w:snapToGrid/>
              <w:spacing w:line="500" w:lineRule="exact"/>
              <w:jc w:val="center"/>
              <w:textAlignment w:val="auto"/>
              <w:rPr>
                <w:rFonts w:hint="eastAsia" w:ascii="宋体" w:hAnsi="宋体" w:eastAsia="宋体" w:cs="Times New Roman"/>
                <w:bCs/>
                <w:color w:val="auto"/>
                <w:kern w:val="2"/>
                <w:sz w:val="24"/>
                <w:szCs w:val="24"/>
                <w:highlight w:val="none"/>
                <w:lang w:val="en-US" w:eastAsia="zh-CN" w:bidi="ar-SA"/>
              </w:rPr>
            </w:pPr>
            <w:r>
              <w:rPr>
                <w:rFonts w:hint="eastAsia" w:ascii="宋体" w:hAnsi="宋体" w:eastAsia="宋体" w:cs="Times New Roman"/>
                <w:bCs/>
                <w:color w:val="auto"/>
                <w:kern w:val="2"/>
                <w:sz w:val="24"/>
                <w:szCs w:val="24"/>
                <w:highlight w:val="none"/>
                <w:lang w:val="en-US" w:eastAsia="zh-CN" w:bidi="ar-SA"/>
              </w:rPr>
              <w:t>盐都区农村地区智慧安防村居光纤租赁服务采购项目</w:t>
            </w:r>
          </w:p>
        </w:tc>
        <w:tc>
          <w:tcPr>
            <w:tcW w:w="3642" w:type="dxa"/>
            <w:noWrap w:val="0"/>
            <w:vAlign w:val="center"/>
          </w:tcPr>
          <w:p w14:paraId="14E6DB42">
            <w:pPr>
              <w:keepLines w:val="0"/>
              <w:pageBreakBefore w:val="0"/>
              <w:widowControl w:val="0"/>
              <w:kinsoku/>
              <w:wordWrap/>
              <w:overflowPunct/>
              <w:topLinePunct w:val="0"/>
              <w:bidi w:val="0"/>
              <w:snapToGrid/>
              <w:spacing w:line="500" w:lineRule="exact"/>
              <w:jc w:val="center"/>
              <w:textAlignment w:val="auto"/>
              <w:rPr>
                <w:rFonts w:hint="default" w:ascii="宋体" w:hAnsi="宋体" w:eastAsia="宋体" w:cs="Times New Roman"/>
                <w:bCs/>
                <w:color w:val="auto"/>
                <w:kern w:val="2"/>
                <w:sz w:val="24"/>
                <w:szCs w:val="24"/>
                <w:highlight w:val="none"/>
                <w:lang w:val="en-US" w:eastAsia="zh-CN" w:bidi="ar-SA"/>
              </w:rPr>
            </w:pPr>
            <w:r>
              <w:rPr>
                <w:rFonts w:hint="eastAsia" w:ascii="宋体" w:hAnsi="宋体" w:eastAsia="宋体" w:cs="Times New Roman"/>
                <w:bCs/>
                <w:color w:val="auto"/>
                <w:kern w:val="2"/>
                <w:sz w:val="24"/>
                <w:szCs w:val="24"/>
                <w:highlight w:val="none"/>
                <w:lang w:val="en-US" w:eastAsia="zh-CN" w:bidi="ar-SA"/>
              </w:rPr>
              <w:t>信息传输业</w:t>
            </w:r>
          </w:p>
        </w:tc>
      </w:tr>
    </w:tbl>
    <w:p w14:paraId="73CDFC49">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w:t>
      </w:r>
      <w:r>
        <w:rPr>
          <w:rFonts w:hint="eastAsia" w:ascii="宋体" w:hAnsi="宋体" w:eastAsia="宋体" w:cs="宋体"/>
          <w:b/>
          <w:bCs/>
          <w:color w:val="auto"/>
          <w:sz w:val="24"/>
          <w:szCs w:val="24"/>
          <w:highlight w:val="none"/>
        </w:rPr>
        <w:t>投标报价</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现场踏勘等</w:t>
      </w:r>
    </w:p>
    <w:p w14:paraId="49F6BCDE">
      <w:pPr>
        <w:pStyle w:val="11"/>
        <w:keepNext w:val="0"/>
        <w:keepLines w:val="0"/>
        <w:pageBreakBefore w:val="0"/>
        <w:widowControl w:val="0"/>
        <w:kinsoku/>
        <w:wordWrap/>
        <w:overflowPunct/>
        <w:topLinePunct w:val="0"/>
        <w:autoSpaceDE/>
        <w:autoSpaceDN/>
        <w:bidi w:val="0"/>
        <w:adjustRightInd/>
        <w:snapToGrid/>
        <w:spacing w:afterAutospacing="0" w:line="50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rPr>
        <w:t>拒绝高于</w:t>
      </w:r>
      <w:r>
        <w:rPr>
          <w:rFonts w:hint="eastAsia" w:ascii="宋体" w:hAnsi="宋体" w:eastAsia="宋体" w:cs="宋体"/>
          <w:color w:val="auto"/>
          <w:sz w:val="24"/>
          <w:szCs w:val="24"/>
          <w:highlight w:val="none"/>
          <w:lang w:val="en-US" w:eastAsia="zh-CN"/>
        </w:rPr>
        <w:t>最高限价</w:t>
      </w:r>
      <w:r>
        <w:rPr>
          <w:rFonts w:hint="eastAsia" w:ascii="宋体" w:hAnsi="宋体" w:eastAsia="宋体" w:cs="宋体"/>
          <w:color w:val="auto"/>
          <w:sz w:val="24"/>
          <w:szCs w:val="24"/>
          <w:highlight w:val="none"/>
        </w:rPr>
        <w:t>的投标报价。</w:t>
      </w:r>
    </w:p>
    <w:p w14:paraId="549509A9">
      <w:pPr>
        <w:pStyle w:val="11"/>
        <w:keepNext w:val="0"/>
        <w:keepLines w:val="0"/>
        <w:pageBreakBefore w:val="0"/>
        <w:widowControl w:val="0"/>
        <w:kinsoku/>
        <w:wordWrap/>
        <w:overflowPunct/>
        <w:topLinePunct w:val="0"/>
        <w:autoSpaceDE/>
        <w:autoSpaceDN/>
        <w:bidi w:val="0"/>
        <w:adjustRightInd/>
        <w:snapToGrid/>
        <w:spacing w:afterAutospacing="0" w:line="500" w:lineRule="exact"/>
        <w:ind w:left="0" w:leftChars="0"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w:t>
      </w:r>
      <w:r>
        <w:rPr>
          <w:rFonts w:hint="eastAsia" w:eastAsia="宋体" w:cs="宋体"/>
          <w:color w:val="auto"/>
          <w:sz w:val="24"/>
          <w:szCs w:val="24"/>
          <w:highlight w:val="none"/>
          <w:lang w:val="en-US" w:eastAsia="zh-CN"/>
        </w:rPr>
        <w:t>本项目采用全费用综合单价报价，投标人</w:t>
      </w:r>
      <w:r>
        <w:rPr>
          <w:rFonts w:hint="eastAsia" w:ascii="宋体" w:hAnsi="宋体" w:eastAsia="宋体" w:cs="宋体"/>
          <w:color w:val="auto"/>
          <w:sz w:val="24"/>
          <w:szCs w:val="24"/>
          <w:highlight w:val="none"/>
          <w:lang w:val="zh-CN"/>
        </w:rPr>
        <w:t>应按规定格式报价，该报价应</w:t>
      </w:r>
      <w:r>
        <w:rPr>
          <w:rFonts w:hint="eastAsia" w:ascii="宋体" w:hAnsi="宋体" w:eastAsia="宋体" w:cs="宋体"/>
          <w:color w:val="auto"/>
          <w:sz w:val="24"/>
          <w:szCs w:val="24"/>
          <w:highlight w:val="none"/>
          <w:lang w:val="en-US" w:eastAsia="zh-CN"/>
        </w:rPr>
        <w:t>包括但不限于</w:t>
      </w:r>
      <w:r>
        <w:rPr>
          <w:rFonts w:hint="eastAsia" w:ascii="宋体" w:hAnsi="宋体" w:eastAsia="宋体"/>
          <w:color w:val="auto"/>
          <w:sz w:val="24"/>
          <w:highlight w:val="none"/>
          <w:lang w:eastAsia="zh-CN"/>
        </w:rPr>
        <w:t>链路租赁费</w:t>
      </w:r>
      <w:r>
        <w:rPr>
          <w:rFonts w:hint="eastAsia" w:ascii="宋体" w:hAnsi="宋体"/>
          <w:color w:val="auto"/>
          <w:sz w:val="24"/>
          <w:highlight w:val="none"/>
        </w:rPr>
        <w:t>、直接和间接成本费、材料损耗费</w:t>
      </w:r>
      <w:r>
        <w:rPr>
          <w:rFonts w:hint="eastAsia" w:ascii="宋体" w:hAnsi="宋体"/>
          <w:color w:val="auto"/>
          <w:sz w:val="24"/>
          <w:highlight w:val="none"/>
          <w:lang w:eastAsia="zh-CN"/>
        </w:rPr>
        <w:t>、</w:t>
      </w:r>
      <w:r>
        <w:rPr>
          <w:rFonts w:hint="eastAsia" w:ascii="宋体" w:hAnsi="宋体"/>
          <w:color w:val="auto"/>
          <w:sz w:val="24"/>
          <w:highlight w:val="none"/>
        </w:rPr>
        <w:t>劳务费、调试（含试运行）费、配合费、安装费、检测费、技术（含操作、维护等）培训、维护、升级、保密及售后服务费、管理费、税金（增值税专票）、利润、风险费、成品保护费、不可预见费及其他一切相关费用等所需的全部费用，各类风险和政策性调整等风险已包括在投标报价中，最终结算时除合同约定调整外一律不予调整</w:t>
      </w:r>
      <w:r>
        <w:rPr>
          <w:rFonts w:hint="eastAsia" w:ascii="宋体" w:hAnsi="宋体" w:eastAsia="宋体" w:cs="宋体"/>
          <w:color w:val="auto"/>
          <w:sz w:val="24"/>
          <w:szCs w:val="24"/>
          <w:highlight w:val="none"/>
          <w:lang w:val="zh-CN"/>
        </w:rPr>
        <w:t>。</w:t>
      </w:r>
    </w:p>
    <w:p w14:paraId="10B934A9">
      <w:pPr>
        <w:keepLines w:val="0"/>
        <w:pageBreakBefore w:val="0"/>
        <w:widowControl w:val="0"/>
        <w:kinsoku/>
        <w:wordWrap/>
        <w:overflowPunct/>
        <w:topLinePunct w:val="0"/>
        <w:bidi w:val="0"/>
        <w:snapToGrid/>
        <w:spacing w:line="500" w:lineRule="exact"/>
        <w:ind w:firstLine="480" w:firstLineChars="200"/>
        <w:textAlignment w:val="auto"/>
        <w:rPr>
          <w:rFonts w:hint="eastAsia" w:ascii="宋体" w:hAnsi="宋体" w:eastAsia="宋体" w:cs="宋体"/>
          <w:b/>
          <w:bCs/>
          <w:color w:val="auto"/>
          <w:kern w:val="2"/>
          <w:sz w:val="24"/>
          <w:szCs w:val="24"/>
          <w:highlight w:val="none"/>
          <w:lang w:val="en-US" w:eastAsia="zh-CN" w:bidi="ar-SA"/>
        </w:rPr>
        <w:sectPr>
          <w:footerReference r:id="rId3" w:type="default"/>
          <w:pgSz w:w="11906" w:h="16838"/>
          <w:pgMar w:top="1270" w:right="1080" w:bottom="1270" w:left="1080"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ascii="宋体" w:hAnsi="宋体"/>
          <w:bCs/>
          <w:color w:val="auto"/>
          <w:sz w:val="24"/>
          <w:szCs w:val="24"/>
          <w:highlight w:val="none"/>
          <w:lang w:val="en-US" w:eastAsia="zh-CN"/>
        </w:rPr>
        <w:t>3、因本项目报价须联系现场实际情况，所以各投标人投标前应踏勘现场以了解项目实际情况，现场踏勘时须确保完全了解项目现状及招标人须达到的效果，并充分考虑各项足以影响承包价格的情况，中标后不得以未踏勘现场或踏勘现场不细致而消极怠工或要求增加费用。投标人的现场踏勘行为有任何责任须自行承担，不得因此使招标人承担有关的责任和蒙受损失。</w:t>
      </w:r>
    </w:p>
    <w:p w14:paraId="3FD10491">
      <w:pPr>
        <w:pStyle w:val="7"/>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三、招标清单及技术参数要求</w:t>
      </w:r>
    </w:p>
    <w:tbl>
      <w:tblPr>
        <w:tblStyle w:val="8"/>
        <w:tblW w:w="143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99"/>
        <w:gridCol w:w="1688"/>
        <w:gridCol w:w="9875"/>
        <w:gridCol w:w="1051"/>
        <w:gridCol w:w="786"/>
      </w:tblGrid>
      <w:tr w14:paraId="07D4B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999" w:type="dxa"/>
            <w:tcBorders>
              <w:top w:val="single" w:color="000000" w:sz="4" w:space="0"/>
              <w:left w:val="single" w:color="000000" w:sz="4" w:space="0"/>
              <w:bottom w:val="single" w:color="000000" w:sz="4" w:space="0"/>
              <w:right w:val="single" w:color="000000" w:sz="4" w:space="0"/>
            </w:tcBorders>
            <w:noWrap w:val="0"/>
            <w:vAlign w:val="center"/>
          </w:tcPr>
          <w:p w14:paraId="76670F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1E8013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9875" w:type="dxa"/>
            <w:tcBorders>
              <w:top w:val="single" w:color="000000" w:sz="4" w:space="0"/>
              <w:left w:val="single" w:color="000000" w:sz="4" w:space="0"/>
              <w:bottom w:val="single" w:color="000000" w:sz="4" w:space="0"/>
              <w:right w:val="single" w:color="000000" w:sz="4" w:space="0"/>
            </w:tcBorders>
            <w:noWrap w:val="0"/>
            <w:vAlign w:val="center"/>
          </w:tcPr>
          <w:p w14:paraId="72F26C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技术参数</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011AF3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6EE00E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r>
      <w:tr w14:paraId="10E74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6"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35CA9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5B60EF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新建链路租赁</w:t>
            </w:r>
          </w:p>
        </w:tc>
        <w:tc>
          <w:tcPr>
            <w:tcW w:w="9875" w:type="dxa"/>
            <w:tcBorders>
              <w:top w:val="single" w:color="000000" w:sz="4" w:space="0"/>
              <w:left w:val="single" w:color="000000" w:sz="4" w:space="0"/>
              <w:bottom w:val="single" w:color="000000" w:sz="4" w:space="0"/>
              <w:right w:val="single" w:color="000000" w:sz="4" w:space="0"/>
            </w:tcBorders>
            <w:noWrap w:val="0"/>
            <w:vAlign w:val="center"/>
          </w:tcPr>
          <w:p w14:paraId="4489DCC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1、在全区范围内根据前端建设需求租赁光纤链路，链路性质为公安专网专用，同时链路应根据招标人需要，适当调整链路用途（互联网除外）。</w:t>
            </w:r>
          </w:p>
          <w:p w14:paraId="0AA05C0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2、租赁链路需保证原点位设备使用，且能满足招标人后期升级改造增加设备的需求，每个点位链路带宽不低于100兆。</w:t>
            </w:r>
          </w:p>
          <w:p w14:paraId="2467CB0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3、链路汇聚直接至盐都公安数据中心，不得经过其他部位汇聚后，再汇聚至数据中心。</w:t>
            </w:r>
          </w:p>
          <w:p w14:paraId="5248BCF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4、相邻前端建设时多个点位（30米内或同一路口），光纤需汇聚为一个点位，多个点位之间的传输链路由前端施工单位负责。</w:t>
            </w:r>
          </w:p>
          <w:p w14:paraId="4A394AF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5、新建点位原则上不采用裸纤的方式直连至盐都公安数据中心。</w:t>
            </w:r>
          </w:p>
          <w:p w14:paraId="3FDDAF0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6、链路租赁验收前以及服务期内，如招标人调整前端建设方案，投标人应同步迁移链路，招标人无需支付迁移费用。</w:t>
            </w:r>
          </w:p>
          <w:p w14:paraId="5238C8C5">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7、租赁费用中含链路接入穿管、预埋、顶管等施工费用，以及所需使用的光纤收发器、线材等必要配件，且在租赁期限内保证设备运行正常，投标人应当准备评估前期建设费用。</w:t>
            </w:r>
          </w:p>
          <w:p w14:paraId="00051B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8、本次租赁时长为一年，以本项目验收合格之日起算。</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6E7295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w:t>
            </w: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573E44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r>
      <w:tr w14:paraId="1A0EA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4483A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31FB8D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维护链路租赁</w:t>
            </w:r>
          </w:p>
        </w:tc>
        <w:tc>
          <w:tcPr>
            <w:tcW w:w="9875" w:type="dxa"/>
            <w:tcBorders>
              <w:top w:val="single" w:color="000000" w:sz="4" w:space="0"/>
              <w:left w:val="single" w:color="000000" w:sz="4" w:space="0"/>
              <w:bottom w:val="single" w:color="000000" w:sz="4" w:space="0"/>
              <w:right w:val="single" w:color="000000" w:sz="4" w:space="0"/>
            </w:tcBorders>
            <w:noWrap w:val="0"/>
            <w:vAlign w:val="center"/>
          </w:tcPr>
          <w:p w14:paraId="52BF47A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1、对全区16个村村通视频监控项目在用链路进行租赁，原使用链路均为电信、移动、联通、广电四家网络运营商布设，链路性质为公安专网专用。</w:t>
            </w:r>
          </w:p>
          <w:p w14:paraId="7E4E885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2、链路租赁在同等条件下应延用原网络运营商链路，但原链路无法保证传输的除外。</w:t>
            </w:r>
          </w:p>
          <w:p w14:paraId="5E97E69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3、租赁链路需保证原点位设备使用，且能满足招标人升级改造增加设备的需求，每个点位链路带宽不低于100兆。</w:t>
            </w:r>
          </w:p>
          <w:p w14:paraId="748B747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链路原则上直接汇聚至盐都公安数据中心，原汇聚至派出所的链路因技术限制难以直接汇聚至数据中心的，可采用在派出所机房临时汇聚，再单独汇聚至数据中心，但派出所至数据中心的汇总链路由投标人自行负责，招标人不支付任何费用，且投标人应加强中途链路的巡检工作。</w:t>
            </w:r>
          </w:p>
          <w:p w14:paraId="62855CB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5、链路租赁验收前以及服务期内，如招标人调整前端建设方案，投标人应同步迁移链路，招标人无需支付迁移费用，迁移范围为盐都区境内。</w:t>
            </w:r>
          </w:p>
          <w:p w14:paraId="03BDA0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6、本次租赁时长为一年，以本项目验收合格之日起算。</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4EBBD1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2678</w:t>
            </w: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6F1713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r>
      <w:tr w14:paraId="20270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8DC76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4EB3DE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互联网专线</w:t>
            </w:r>
          </w:p>
        </w:tc>
        <w:tc>
          <w:tcPr>
            <w:tcW w:w="9875" w:type="dxa"/>
            <w:tcBorders>
              <w:top w:val="single" w:color="000000" w:sz="4" w:space="0"/>
              <w:left w:val="single" w:color="000000" w:sz="4" w:space="0"/>
              <w:bottom w:val="single" w:color="000000" w:sz="4" w:space="0"/>
              <w:right w:val="single" w:color="000000" w:sz="4" w:space="0"/>
            </w:tcBorders>
            <w:noWrap w:val="0"/>
            <w:vAlign w:val="center"/>
          </w:tcPr>
          <w:p w14:paraId="6DC57C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互联网专线，提供固定IP地址，专线下载和上行速度对称，均不低于300兆。</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33FE48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5900DC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r>
    </w:tbl>
    <w:p w14:paraId="14D5BF69">
      <w:pPr>
        <w:rPr>
          <w:rFonts w:hint="default"/>
          <w:color w:val="auto"/>
          <w:highlight w:val="none"/>
          <w:lang w:val="en-US" w:eastAsia="zh-CN"/>
        </w:rPr>
        <w:sectPr>
          <w:pgSz w:w="16838" w:h="11906" w:orient="landscape"/>
          <w:pgMar w:top="1080" w:right="1270" w:bottom="1080" w:left="127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1216C6B6">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四、服务要求</w:t>
      </w:r>
    </w:p>
    <w:p w14:paraId="55CCDB65">
      <w:pPr>
        <w:spacing w:line="360" w:lineRule="auto"/>
        <w:ind w:firstLine="480" w:firstLineChars="200"/>
        <w:contextualSpacing/>
        <w:rPr>
          <w:rFonts w:hint="eastAsia" w:ascii="宋体" w:hAnsi="宋体" w:eastAsia="宋体" w:cs="宋体"/>
          <w:color w:val="auto"/>
          <w:kern w:val="0"/>
          <w:sz w:val="24"/>
          <w:szCs w:val="21"/>
          <w:highlight w:val="none"/>
          <w:lang w:val="en-US" w:eastAsia="zh-CN" w:bidi="ar-SA"/>
        </w:rPr>
      </w:pPr>
      <w:r>
        <w:rPr>
          <w:rFonts w:hint="eastAsia" w:ascii="宋体" w:hAnsi="宋体" w:eastAsia="宋体" w:cs="宋体"/>
          <w:color w:val="auto"/>
          <w:kern w:val="0"/>
          <w:sz w:val="24"/>
          <w:szCs w:val="21"/>
          <w:highlight w:val="none"/>
          <w:lang w:val="en-US" w:eastAsia="zh-CN" w:bidi="ar-SA"/>
        </w:rPr>
        <w:t>1、中标人需提供客户端设备及局端设备7×24小时监控服务，短信、电话确认客户端设备及局端设备告警。</w:t>
      </w:r>
    </w:p>
    <w:p w14:paraId="5017E3D1">
      <w:pPr>
        <w:spacing w:line="360" w:lineRule="auto"/>
        <w:ind w:firstLine="480" w:firstLineChars="200"/>
        <w:contextualSpacing/>
        <w:rPr>
          <w:rFonts w:hint="eastAsia" w:ascii="宋体" w:hAnsi="宋体" w:eastAsia="宋体" w:cs="宋体"/>
          <w:color w:val="auto"/>
          <w:kern w:val="0"/>
          <w:sz w:val="24"/>
          <w:szCs w:val="21"/>
          <w:highlight w:val="none"/>
          <w:lang w:val="en-US" w:eastAsia="zh-CN" w:bidi="ar-SA"/>
        </w:rPr>
      </w:pPr>
      <w:r>
        <w:rPr>
          <w:rFonts w:hint="eastAsia" w:ascii="宋体" w:hAnsi="宋体" w:eastAsia="宋体" w:cs="宋体"/>
          <w:color w:val="auto"/>
          <w:kern w:val="0"/>
          <w:sz w:val="24"/>
          <w:szCs w:val="21"/>
          <w:highlight w:val="none"/>
          <w:lang w:val="en-US" w:eastAsia="zh-CN" w:bidi="ar-SA"/>
        </w:rPr>
        <w:t>2、中标人每季度提供一次的全程网络巡检，并按需提供网络运行监控分析报告，含每条链路的运行使用情况。</w:t>
      </w:r>
    </w:p>
    <w:p w14:paraId="131863AE">
      <w:pPr>
        <w:spacing w:line="360" w:lineRule="auto"/>
        <w:ind w:firstLine="480" w:firstLineChars="200"/>
        <w:contextualSpacing/>
        <w:rPr>
          <w:rFonts w:hint="eastAsia" w:ascii="宋体" w:hAnsi="宋体" w:eastAsia="宋体" w:cs="宋体"/>
          <w:color w:val="auto"/>
          <w:kern w:val="0"/>
          <w:sz w:val="24"/>
          <w:szCs w:val="21"/>
          <w:highlight w:val="none"/>
          <w:lang w:val="en-US" w:eastAsia="zh-CN" w:bidi="ar-SA"/>
        </w:rPr>
      </w:pPr>
      <w:r>
        <w:rPr>
          <w:rFonts w:hint="eastAsia" w:ascii="宋体" w:hAnsi="宋体" w:eastAsia="宋体" w:cs="宋体"/>
          <w:color w:val="auto"/>
          <w:kern w:val="0"/>
          <w:sz w:val="24"/>
          <w:szCs w:val="21"/>
          <w:highlight w:val="none"/>
          <w:lang w:val="en-US" w:eastAsia="zh-CN" w:bidi="ar-SA"/>
        </w:rPr>
        <w:t>3、中标人须定制应急预案，中标人每年按需提供一次网络应急演练。</w:t>
      </w:r>
    </w:p>
    <w:p w14:paraId="686375DC">
      <w:pPr>
        <w:spacing w:line="360" w:lineRule="auto"/>
        <w:ind w:firstLine="480" w:firstLineChars="200"/>
        <w:contextualSpacing/>
        <w:rPr>
          <w:rFonts w:hint="eastAsia" w:ascii="宋体" w:hAnsi="宋体" w:eastAsia="宋体" w:cs="宋体"/>
          <w:color w:val="auto"/>
          <w:kern w:val="0"/>
          <w:sz w:val="24"/>
          <w:szCs w:val="21"/>
          <w:highlight w:val="none"/>
          <w:lang w:val="en-US" w:eastAsia="zh-CN" w:bidi="ar-SA"/>
        </w:rPr>
      </w:pPr>
      <w:r>
        <w:rPr>
          <w:rFonts w:hint="eastAsia" w:ascii="宋体" w:hAnsi="宋体" w:eastAsia="宋体" w:cs="宋体"/>
          <w:color w:val="auto"/>
          <w:kern w:val="0"/>
          <w:sz w:val="24"/>
          <w:szCs w:val="21"/>
          <w:highlight w:val="none"/>
          <w:lang w:val="en-US" w:eastAsia="zh-CN" w:bidi="ar-SA"/>
        </w:rPr>
        <w:t>4、中标人须在接到采购人故障报修要求后，45分钟内到达现场；60分钟内排除设备引起的故障；120分钟内排除因线路引起的故障。故障排除后中标人应出具书面故障诊断报告备案。</w:t>
      </w:r>
    </w:p>
    <w:p w14:paraId="6CCD3EE9">
      <w:pPr>
        <w:spacing w:line="360" w:lineRule="auto"/>
        <w:ind w:firstLine="480" w:firstLineChars="200"/>
        <w:contextualSpacing/>
        <w:rPr>
          <w:rFonts w:hint="eastAsia" w:ascii="宋体" w:hAnsi="宋体" w:eastAsia="宋体" w:cs="宋体"/>
          <w:color w:val="auto"/>
          <w:kern w:val="0"/>
          <w:sz w:val="24"/>
          <w:szCs w:val="21"/>
          <w:highlight w:val="none"/>
          <w:lang w:val="en-US" w:eastAsia="zh-CN" w:bidi="ar-SA"/>
        </w:rPr>
      </w:pPr>
      <w:r>
        <w:rPr>
          <w:rFonts w:hint="eastAsia" w:ascii="宋体" w:hAnsi="宋体" w:eastAsia="宋体" w:cs="宋体"/>
          <w:color w:val="auto"/>
          <w:kern w:val="0"/>
          <w:sz w:val="24"/>
          <w:szCs w:val="21"/>
          <w:highlight w:val="none"/>
          <w:lang w:val="en-US" w:eastAsia="zh-CN" w:bidi="ar-SA"/>
        </w:rPr>
        <w:t>5、中标人所提供的光缆线路遇有需调整时，确保在2个工作日前通知采购人，并提供备用线路使用；施工维护过程中，不得影响采购人原有设备、线路的正常运行。</w:t>
      </w:r>
    </w:p>
    <w:p w14:paraId="0DB29419">
      <w:pPr>
        <w:spacing w:line="360" w:lineRule="auto"/>
        <w:ind w:firstLine="480" w:firstLineChars="200"/>
        <w:contextualSpacing/>
        <w:rPr>
          <w:rFonts w:hint="eastAsia" w:ascii="宋体" w:hAnsi="宋体" w:eastAsia="宋体" w:cs="宋体"/>
          <w:color w:val="auto"/>
          <w:kern w:val="0"/>
          <w:sz w:val="24"/>
          <w:szCs w:val="21"/>
          <w:highlight w:val="none"/>
          <w:lang w:val="en-US" w:eastAsia="zh-CN" w:bidi="ar-SA"/>
        </w:rPr>
      </w:pPr>
      <w:r>
        <w:rPr>
          <w:rFonts w:hint="eastAsia" w:ascii="宋体" w:hAnsi="宋体" w:eastAsia="宋体" w:cs="宋体"/>
          <w:color w:val="auto"/>
          <w:kern w:val="0"/>
          <w:sz w:val="24"/>
          <w:szCs w:val="21"/>
          <w:highlight w:val="none"/>
          <w:lang w:val="en-US" w:eastAsia="zh-CN" w:bidi="ar-SA"/>
        </w:rPr>
        <w:t>6、项目实施时和租赁期限内，因市政建设或采购人调整前端建设方案，中标人应同步迁移链路，迁移费用由中标人负责。</w:t>
      </w:r>
    </w:p>
    <w:p w14:paraId="77650F09">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w:t>
      </w:r>
      <w:r>
        <w:rPr>
          <w:rFonts w:hint="default" w:ascii="宋体" w:hAnsi="宋体" w:eastAsia="宋体" w:cs="宋体"/>
          <w:b/>
          <w:bCs/>
          <w:color w:val="auto"/>
          <w:sz w:val="24"/>
          <w:szCs w:val="24"/>
          <w:highlight w:val="none"/>
          <w:lang w:val="en-US" w:eastAsia="zh-CN"/>
        </w:rPr>
        <w:t>维护运行考核</w:t>
      </w:r>
    </w:p>
    <w:p w14:paraId="17A732DD">
      <w:pPr>
        <w:spacing w:line="360" w:lineRule="auto"/>
        <w:ind w:firstLine="480" w:firstLineChars="200"/>
        <w:contextualSpacing/>
        <w:rPr>
          <w:rFonts w:hint="eastAsia" w:ascii="宋体" w:hAnsi="宋体" w:eastAsia="宋体" w:cs="宋体"/>
          <w:color w:val="auto"/>
          <w:kern w:val="0"/>
          <w:sz w:val="24"/>
          <w:szCs w:val="21"/>
          <w:highlight w:val="none"/>
          <w:lang w:val="en-US" w:eastAsia="zh-CN" w:bidi="ar-SA"/>
        </w:rPr>
      </w:pPr>
      <w:r>
        <w:rPr>
          <w:rFonts w:hint="eastAsia" w:ascii="宋体" w:hAnsi="宋体" w:eastAsia="宋体" w:cs="宋体"/>
          <w:color w:val="auto"/>
          <w:kern w:val="0"/>
          <w:sz w:val="24"/>
          <w:szCs w:val="21"/>
          <w:highlight w:val="none"/>
          <w:lang w:val="en-US" w:eastAsia="zh-CN" w:bidi="ar-SA"/>
        </w:rPr>
        <w:t>1、租赁期限内，每条链路故障时间累计不得超过48个小时，对于超过部分按每小时100元在合同价中扣除。</w:t>
      </w:r>
    </w:p>
    <w:p w14:paraId="1E0BF1D9">
      <w:pPr>
        <w:spacing w:line="360" w:lineRule="auto"/>
        <w:ind w:firstLine="480" w:firstLineChars="200"/>
        <w:contextualSpacing/>
        <w:rPr>
          <w:rFonts w:hint="eastAsia" w:ascii="宋体" w:hAnsi="宋体" w:eastAsia="宋体" w:cs="宋体"/>
          <w:color w:val="auto"/>
          <w:kern w:val="0"/>
          <w:sz w:val="24"/>
          <w:szCs w:val="21"/>
          <w:highlight w:val="none"/>
          <w:lang w:val="en-US" w:eastAsia="zh-CN" w:bidi="ar-SA"/>
        </w:rPr>
      </w:pPr>
      <w:r>
        <w:rPr>
          <w:rFonts w:hint="eastAsia" w:ascii="宋体" w:hAnsi="宋体" w:eastAsia="宋体" w:cs="宋体"/>
          <w:color w:val="auto"/>
          <w:kern w:val="0"/>
          <w:sz w:val="24"/>
          <w:szCs w:val="21"/>
          <w:highlight w:val="none"/>
          <w:lang w:val="en-US" w:eastAsia="zh-CN" w:bidi="ar-SA"/>
        </w:rPr>
        <w:t>2、如因链路技术故障等中标人主要以上责任造成重大影响的，采购人根据受影响的前端点位数量，按每个点位2000元在合同价中扣除。</w:t>
      </w:r>
    </w:p>
    <w:p w14:paraId="7F967136">
      <w:pPr>
        <w:spacing w:line="360" w:lineRule="auto"/>
        <w:ind w:firstLine="480" w:firstLineChars="200"/>
        <w:contextualSpacing/>
      </w:pPr>
      <w:r>
        <w:rPr>
          <w:rFonts w:hint="eastAsia" w:ascii="宋体" w:hAnsi="宋体" w:eastAsia="宋体" w:cs="宋体"/>
          <w:color w:val="auto"/>
          <w:kern w:val="0"/>
          <w:sz w:val="24"/>
          <w:szCs w:val="21"/>
          <w:highlight w:val="none"/>
          <w:lang w:val="en-US" w:eastAsia="zh-CN" w:bidi="ar-SA"/>
        </w:rPr>
        <w:t>3、因无法预知的第三方损坏线路或者不可抗力事件，导致短时间内无法修复的链路故障，不计入考核累计时长</w:t>
      </w:r>
      <w:r>
        <w:rPr>
          <w:rFonts w:hint="eastAsia" w:ascii="宋体" w:hAnsi="宋体" w:cs="宋体"/>
          <w:color w:val="auto"/>
          <w:kern w:val="0"/>
          <w:sz w:val="24"/>
          <w:szCs w:val="21"/>
          <w:highlight w:val="none"/>
          <w:lang w:val="en-US" w:eastAsia="zh-CN" w:bidi="ar-SA"/>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KaiTi_GB2312">
    <w:altName w:val="楷体"/>
    <w:panose1 w:val="02010609060101010101"/>
    <w:charset w:val="86"/>
    <w:family w:val="modern"/>
    <w:pitch w:val="default"/>
    <w:sig w:usb0="00000000" w:usb1="00000000"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093D9">
    <w:pPr>
      <w:pStyle w:val="5"/>
      <w:rPr>
        <w:b/>
        <w:i/>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74F92D">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24</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7F74F92D">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24</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0NzM5NDkxYjhjMjI1NDhjZmU5YzJlZDg1ZTcwM2MifQ=="/>
  </w:docVars>
  <w:rsids>
    <w:rsidRoot w:val="37503D70"/>
    <w:rsid w:val="37503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jc w:val="center"/>
      <w:outlineLvl w:val="0"/>
    </w:pPr>
    <w:rPr>
      <w:rFonts w:ascii="KaiTi_GB2312" w:eastAsia="KaiTi_GB2312"/>
      <w:sz w:val="28"/>
      <w:szCs w:val="28"/>
    </w:rPr>
  </w:style>
  <w:style w:type="character" w:default="1" w:styleId="10">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lock Text"/>
    <w:basedOn w:val="1"/>
    <w:unhideWhenUsed/>
    <w:qFormat/>
    <w:uiPriority w:val="99"/>
    <w:pPr>
      <w:spacing w:after="120"/>
      <w:ind w:left="1440" w:leftChars="700" w:right="1440" w:rightChars="700"/>
    </w:pPr>
  </w:style>
  <w:style w:type="paragraph" w:styleId="4">
    <w:name w:val="Plain Text"/>
    <w:basedOn w:val="1"/>
    <w:qFormat/>
    <w:uiPriority w:val="0"/>
    <w:rPr>
      <w:rFonts w:ascii="宋体" w:hAnsi="Courier New" w:cs="Courier New"/>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7">
    <w:name w:val="Body Text First Indent"/>
    <w:basedOn w:val="1"/>
    <w:qFormat/>
    <w:uiPriority w:val="99"/>
    <w:pPr>
      <w:spacing w:line="360" w:lineRule="auto"/>
      <w:ind w:firstLine="200" w:firstLineChars="200"/>
    </w:pPr>
    <w:rPr>
      <w:rFonts w:ascii="仿宋_GB2312" w:eastAsia="仿宋_GB2312"/>
      <w:sz w:val="30"/>
      <w:szCs w:val="30"/>
    </w:rPr>
  </w:style>
  <w:style w:type="table" w:styleId="9">
    <w:name w:val="Table Grid"/>
    <w:basedOn w:val="8"/>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1">
    <w:name w:val="段"/>
    <w:next w:val="1"/>
    <w:qFormat/>
    <w:uiPriority w:val="0"/>
    <w:pPr>
      <w:widowControl w:val="0"/>
      <w:ind w:firstLine="200"/>
      <w:jc w:val="both"/>
    </w:pPr>
    <w:rPr>
      <w:rFonts w:ascii="宋体" w:hAnsi="宋体" w:eastAsia="宋体" w:cs="宋体"/>
      <w:color w:val="000000"/>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2024-08-19T07:00:00Z</dcterms:created>
  <dc:creator>吉胜1418378764</dc:creator>
  <cp:lastModifiedBy>吉胜1418378764</cp:lastModifiedBy>
  <dcterms:modified xsi:type="dcterms:W3CDTF">2024-08-19T07:00:46Z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CA7D29B9762243489C8AC031972FB445_11</vt:lpwstr>
  </property>
</Properties>
</file>