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color w:val="auto"/>
          <w:sz w:val="24"/>
          <w:highlight w:val="none"/>
        </w:rPr>
      </w:r>
      <w:r>
        <w:rPr>
          <w:rFonts w:hint="eastAsia" w:ascii="宋体" w:hAnsi="宋体" w:cs="Arial"/>
          <w:color w:val="auto"/>
          <w:sz w:val="24"/>
          <w:highlight w:val="none"/>
        </w:rPr>
        <w:b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6"/>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6"/>
        <w:ind w:firstLine="0"/>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南丰镇2025-2028年度大环境卫生保洁项目</w:t>
      </w:r>
      <w:r>
        <w:rPr>
          <w:rFonts w:hint="eastAsia" w:ascii="宋体" w:hAnsi="宋体"/>
          <w:b/>
          <w:bCs/>
          <w:color w:val="auto"/>
          <w:sz w:val="32"/>
          <w:szCs w:val="32"/>
          <w:highlight w:val="none"/>
          <w:lang w:eastAsia="zh-CN"/>
        </w:rPr>
      </w:r>
      <w:r/>
    </w:p>
    <w:p>
      <w:pPr>
        <w:pStyle w:val="1026"/>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JSZC-320582-RFZB-G2025-0025</w:t>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6"/>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88"/>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苏州日丰招投标代理有限公司</w:t>
      </w:r>
      <w:r/>
    </w:p>
    <w:p>
      <w:pPr>
        <w:pStyle w:val="1026"/>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2025年</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月30</w:t>
      </w:r>
      <w:r>
        <w:rPr>
          <w:rFonts w:hint="eastAsia" w:ascii="宋体" w:hAnsi="宋体" w:cs="宋体"/>
          <w:b/>
          <w:bCs/>
          <w:color w:val="auto"/>
          <w:sz w:val="32"/>
          <w:highlight w:val="none"/>
        </w:rPr>
        <w:t xml:space="preserve">日</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bookmarkStart w:id="1" w:name="_Toc120614210"/>
      <w:r/>
      <w:bookmarkStart w:id="2" w:name="_Toc479757206"/>
      <w:r/>
      <w:bookmarkStart w:id="3" w:name="_Toc20823272"/>
      <w:r/>
      <w:bookmarkStart w:id="4" w:name="_Toc523127445"/>
      <w:r/>
      <w:bookmarkStart w:id="5" w:name="_Toc16938516"/>
      <w:r/>
      <w:bookmarkStart w:id="6" w:name="_Toc513029200"/>
      <w:r>
        <w:rPr>
          <w:rFonts w:hint="eastAsia" w:ascii="宋体" w:hAnsi="宋体"/>
          <w:b/>
          <w:bCs/>
          <w:color w:val="auto"/>
          <w:sz w:val="44"/>
          <w:szCs w:val="44"/>
          <w:highlight w:val="none"/>
        </w:rPr>
        <w:br w:type="page" w:clear="all"/>
      </w:r>
      <w:bookmarkEnd w:id="1"/>
      <w:r/>
      <w:r/>
    </w:p>
    <w:sdt>
      <w:sdtPr>
        <w15:appearance w15:val="boundingBox"/>
        <w:id w:val="147471829"/>
        <w:docPartObj>
          <w:docPartGallery w:val="Table of Contents"/>
          <w:docPartUnique w:val="true"/>
        </w:docPartObj>
        <w:rPr>
          <w:rFonts w:ascii="宋体" w:hAnsi="宋体" w:eastAsia="宋体"/>
          <w:color w:val="auto"/>
          <w:sz w:val="21"/>
          <w:highlight w:val="none"/>
        </w:rPr>
      </w:sdtPr>
      <w:sdtContent>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pStyle w:val="1104"/>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_Toc21862 </w:instrText>
          </w:r>
          <w:r>
            <w:rPr>
              <w:rFonts w:hint="eastAsia" w:ascii="宋体" w:hAnsi="宋体" w:eastAsia="宋体" w:cs="宋体"/>
              <w:color w:val="auto"/>
              <w:sz w:val="28"/>
              <w:szCs w:val="28"/>
              <w:highlight w:val="none"/>
            </w:rPr>
            <w:fldChar w:fldCharType="separate"/>
          </w:r>
          <w:sdt>
            <w:sdtPr>
              <w15:appearance w15:val="boundingBox"/>
              <w:id w:val="147478359"/>
              <w:placeholder>
                <w:docPart w:val="{db99237d-42b2-4625-adaa-cdcb20bdbc17}"/>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第一章 投标邀请</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1104"/>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_Toc20695 </w:instrText>
          </w:r>
          <w:r>
            <w:rPr>
              <w:rFonts w:hint="eastAsia" w:ascii="宋体" w:hAnsi="宋体" w:eastAsia="宋体" w:cs="宋体"/>
              <w:color w:val="auto"/>
              <w:sz w:val="28"/>
              <w:szCs w:val="28"/>
              <w:highlight w:val="none"/>
            </w:rPr>
            <w:fldChar w:fldCharType="separate"/>
          </w:r>
          <w:sdt>
            <w:sdtPr>
              <w15:appearance w15:val="boundingBox"/>
              <w:id w:val="147456671"/>
              <w:placeholder>
                <w:docPart w:val="{3db1153b-a313-4cdb-8e01-1361fe21f933}"/>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第二章 投标人须知</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p>
        <w:p>
          <w:pPr>
            <w:pStyle w:val="1104"/>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_Toc23624 </w:instrText>
          </w:r>
          <w:r>
            <w:rPr>
              <w:rFonts w:hint="eastAsia" w:ascii="宋体" w:hAnsi="宋体" w:eastAsia="宋体" w:cs="宋体"/>
              <w:color w:val="auto"/>
              <w:sz w:val="28"/>
              <w:szCs w:val="28"/>
              <w:highlight w:val="none"/>
            </w:rPr>
            <w:fldChar w:fldCharType="separate"/>
          </w:r>
          <w:sdt>
            <w:sdtPr>
              <w15:appearance w15:val="boundingBox"/>
              <w:id w:val="147457059"/>
              <w:placeholder>
                <w:docPart w:val="{4d4edb2b-7f03-4d36-9ea1-64a6a7230317}"/>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第三章 合同条款及格式</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p>
        <w:p>
          <w:pPr>
            <w:pStyle w:val="1104"/>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_Toc13157 </w:instrText>
          </w:r>
          <w:r>
            <w:rPr>
              <w:rFonts w:hint="eastAsia" w:ascii="宋体" w:hAnsi="宋体" w:eastAsia="宋体" w:cs="宋体"/>
              <w:color w:val="auto"/>
              <w:sz w:val="28"/>
              <w:szCs w:val="28"/>
              <w:highlight w:val="none"/>
            </w:rPr>
            <w:fldChar w:fldCharType="separate"/>
          </w:r>
          <w:sdt>
            <w:sdtPr>
              <w15:appearance w15:val="boundingBox"/>
              <w:id w:val="147476273"/>
              <w:placeholder>
                <w:docPart w:val="{9f851f9d-07d5-4d15-a69b-c3297c99684e}"/>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第四章 项目需求</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p>
        <w:p>
          <w:pPr>
            <w:pStyle w:val="1104"/>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_Toc21867 </w:instrText>
          </w:r>
          <w:r>
            <w:rPr>
              <w:rFonts w:hint="eastAsia" w:ascii="宋体" w:hAnsi="宋体" w:eastAsia="宋体" w:cs="宋体"/>
              <w:color w:val="auto"/>
              <w:sz w:val="28"/>
              <w:szCs w:val="28"/>
              <w:highlight w:val="none"/>
            </w:rPr>
            <w:fldChar w:fldCharType="separate"/>
          </w:r>
          <w:sdt>
            <w:sdtPr>
              <w15:appearance w15:val="boundingBox"/>
              <w:id w:val="147479109"/>
              <w:placeholder>
                <w:docPart w:val="{505733db-f56d-4b60-8e9f-efcc0a81aeb9}"/>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第五章 评标方法与评标标准</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46</w:t>
          </w:r>
          <w:r>
            <w:rPr>
              <w:rFonts w:hint="eastAsia" w:ascii="宋体" w:hAnsi="宋体" w:eastAsia="宋体" w:cs="宋体"/>
              <w:color w:val="auto"/>
              <w:sz w:val="28"/>
              <w:szCs w:val="28"/>
              <w:highlight w:val="none"/>
            </w:rPr>
            <w:fldChar w:fldCharType="end"/>
          </w:r>
          <w:r/>
        </w:p>
        <w:p>
          <w:pPr>
            <w:pStyle w:val="1104"/>
            <w:tabs>
              <w:tab w:val="right" w:pos="10092" w:leader="dot"/>
            </w:tabs>
            <w:rPr>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_Toc32308 </w:instrText>
          </w:r>
          <w:r>
            <w:rPr>
              <w:rFonts w:hint="eastAsia" w:ascii="宋体" w:hAnsi="宋体" w:eastAsia="宋体" w:cs="宋体"/>
              <w:color w:val="auto"/>
              <w:sz w:val="28"/>
              <w:szCs w:val="28"/>
              <w:highlight w:val="none"/>
            </w:rPr>
            <w:fldChar w:fldCharType="separate"/>
          </w:r>
          <w:sdt>
            <w:sdtPr>
              <w15:appearance w15:val="boundingBox"/>
              <w:id w:val="147464993"/>
              <w:placeholder>
                <w:docPart w:val="{a973bf35-792b-41a5-8533-373bfb04a253}"/>
              </w:placeholder>
              <w:rPr>
                <w:rFonts w:hint="eastAsia" w:ascii="宋体" w:hAnsi="宋体" w:eastAsia="宋体" w:cs="宋体"/>
                <w:color w:val="auto"/>
                <w:sz w:val="28"/>
                <w:szCs w:val="28"/>
                <w:highlight w:val="none"/>
                <w:lang w:val="en-US" w:eastAsia="zh-CN" w:bidi="ar-SA"/>
              </w:rPr>
            </w:sdtPr>
            <w:sdtContent>
              <w:r>
                <w:rPr>
                  <w:rFonts w:hint="eastAsia" w:ascii="宋体" w:hAnsi="宋体" w:eastAsia="宋体" w:cs="宋体"/>
                  <w:color w:val="auto"/>
                  <w:sz w:val="28"/>
                  <w:szCs w:val="28"/>
                  <w:highlight w:val="none"/>
                </w:rPr>
                <w:t xml:space="preserve">第六章 投标文件格式</w:t>
              </w:r>
            </w:sdtContent>
          </w:sdt>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p>
      </w:sdtContent>
    </w:sdt>
    <w:p>
      <w:pPr>
        <w:pStyle w:val="1104"/>
        <w:tabs>
          <w:tab w:val="right" w:pos="10092" w:leader="dot"/>
        </w:tabs>
        <w:rPr>
          <w:color w:val="auto"/>
          <w:highlight w:val="none"/>
        </w:rPr>
      </w:pPr>
      <w:r>
        <w:rPr>
          <w:color w:val="auto"/>
          <w:highlight w:val="none"/>
        </w:rPr>
      </w:r>
      <w:r/>
    </w:p>
    <w:p>
      <w:pPr>
        <w:pStyle w:val="801"/>
        <w:rPr>
          <w:color w:val="auto"/>
          <w:highlight w:val="none"/>
        </w:rPr>
        <w:sectPr>
          <w:headerReference w:type="default" r:id="rId10"/>
          <w:footerReference w:type="default" r:id="rId12"/>
          <w:footerReference w:type="even" r:id="rId13"/>
          <w:footnotePr/>
          <w:endnotePr/>
          <w:type w:val="nextPage"/>
          <w:pgSz w:w="11906" w:h="16838" w:orient="portrait"/>
          <w:pgMar w:top="1440" w:right="737" w:bottom="1440" w:left="1077" w:header="851" w:footer="992" w:gutter="0"/>
          <w:cols w:num="1" w:sep="0" w:space="1701" w:equalWidth="1"/>
          <w:docGrid w:linePitch="360"/>
          <w:titlePg/>
        </w:sectPr>
      </w:pPr>
      <w:r>
        <w:rPr>
          <w:color w:val="auto"/>
          <w:highlight w:val="none"/>
        </w:rPr>
      </w:r>
      <w:r/>
    </w:p>
    <w:p>
      <w:pPr>
        <w:pStyle w:val="993"/>
        <w:numPr>
          <w:ilvl w:val="0"/>
          <w:numId w:val="1"/>
        </w:numPr>
        <w:spacing w:line="360" w:lineRule="auto"/>
        <w:rPr>
          <w:rFonts w:hint="eastAsia" w:ascii="宋体" w:hAnsi="宋体" w:eastAsia="宋体"/>
          <w:color w:val="auto"/>
          <w:sz w:val="36"/>
          <w:szCs w:val="36"/>
          <w:highlight w:val="none"/>
        </w:rPr>
        <w:outlineLvl w:val="0"/>
      </w:pPr>
      <w:r/>
      <w:bookmarkStart w:id="7" w:name="_Toc31298"/>
      <w:r/>
      <w:bookmarkStart w:id="8" w:name="_Toc21862"/>
      <w:r/>
      <w:bookmarkStart w:id="9" w:name="_Toc30448"/>
      <w:r/>
      <w:bookmarkStart w:id="10" w:name="_Toc38368118"/>
      <w:r/>
      <w:bookmarkStart w:id="11" w:name="_Toc20897"/>
      <w:r/>
      <w:bookmarkStart w:id="12" w:name="_Toc35266018"/>
      <w:r/>
      <w:bookmarkStart w:id="13" w:name="_Toc20691"/>
      <w:r/>
      <w:bookmarkStart w:id="14" w:name="_Toc54615237"/>
      <w:r/>
      <w:bookmarkStart w:id="15" w:name="_Toc459"/>
      <w:r>
        <w:rPr>
          <w:rFonts w:hint="eastAsia" w:ascii="宋体" w:hAnsi="宋体" w:eastAsia="宋体"/>
          <w:color w:val="auto"/>
          <w:sz w:val="36"/>
          <w:szCs w:val="36"/>
          <w:highlight w:val="none"/>
        </w:rPr>
        <w:t xml:space="preserve">投标邀请</w:t>
      </w:r>
      <w:bookmarkEnd w:id="7"/>
      <w:r/>
      <w:bookmarkEnd w:id="8"/>
      <w:r/>
      <w:bookmarkEnd w:id="9"/>
      <w:r/>
      <w:bookmarkEnd w:id="10"/>
      <w:r/>
      <w:bookmarkEnd w:id="11"/>
      <w:r/>
      <w:bookmarkEnd w:id="12"/>
      <w:r/>
      <w:bookmarkEnd w:id="13"/>
      <w:r/>
      <w:bookmarkEnd w:id="14"/>
      <w:r/>
      <w:bookmarkEnd w:id="15"/>
      <w:r/>
      <w:bookmarkStart w:id="16" w:name="_Toc120614211"/>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r>
      <w:r>
        <w:rPr>
          <w:rFonts w:hint="eastAsia" w:ascii="宋体" w:hAnsi="宋体" w:eastAsia="宋体" w:cs="宋体"/>
          <w:b w:val="0"/>
          <w:bCs w:val="0"/>
          <w:color w:val="auto"/>
          <w:sz w:val="24"/>
          <w:szCs w:val="24"/>
          <w:highlight w:val="none"/>
          <w:lang w:eastAsia="zh-CN"/>
        </w:rPr>
        <w:t xml:space="preserve">南丰镇2025-2028年度大环境卫生保洁项目</w:t>
      </w:r>
      <w:r>
        <w:rPr>
          <w:rFonts w:hint="eastAsia" w:ascii="宋体" w:hAnsi="宋体" w:eastAsia="宋体" w:cs="宋体"/>
          <w:b w:val="0"/>
          <w:bCs w:val="0"/>
          <w:color w:val="auto"/>
          <w:sz w:val="24"/>
          <w:szCs w:val="24"/>
          <w:highlight w:val="none"/>
        </w:rPr>
        <w:t xml:space="preserve">的潜在投标人应在“苏采云政府采购一体化平台”中参与项目并下载获取电子招标文件，并于2025年</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月15日13:30（北京时间）前上传电子投标文件。</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一、项目基本情况</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项目编号：</w:t>
      </w:r>
      <w:r>
        <w:rPr>
          <w:rFonts w:hint="eastAsia" w:ascii="宋体" w:hAnsi="宋体" w:eastAsia="宋体" w:cs="宋体"/>
          <w:b w:val="0"/>
          <w:bCs w:val="0"/>
          <w:color w:val="auto"/>
          <w:sz w:val="24"/>
          <w:szCs w:val="24"/>
          <w:highlight w:val="none"/>
          <w:lang w:eastAsia="zh-CN"/>
        </w:rPr>
        <w:t xml:space="preserve">JSZC-320582-RFZB-G2025-0025</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rPr>
        <w:t xml:space="preserve">南丰镇2025-2028年度大环境卫生保洁项目</w:t>
      </w:r>
      <w:r>
        <w:rPr>
          <w:rFonts w:hint="eastAsia" w:ascii="宋体" w:hAnsi="宋体" w:eastAsia="宋体" w:cs="宋体"/>
          <w:b w:val="0"/>
          <w:bCs w:val="0"/>
          <w:color w:val="auto"/>
          <w:sz w:val="24"/>
          <w:szCs w:val="24"/>
          <w:highlight w:val="none"/>
        </w:rPr>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5021</w:t>
      </w:r>
      <w:r>
        <w:rPr>
          <w:rFonts w:hint="eastAsia" w:ascii="宋体" w:hAnsi="宋体" w:eastAsia="宋体" w:cs="宋体"/>
          <w:b w:val="0"/>
          <w:bCs w:val="0"/>
          <w:color w:val="auto"/>
          <w:sz w:val="24"/>
          <w:szCs w:val="24"/>
          <w:highlight w:val="none"/>
        </w:rPr>
        <w:t xml:space="preserve">万元</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5021</w:t>
      </w:r>
      <w:r>
        <w:rPr>
          <w:rFonts w:hint="eastAsia" w:ascii="宋体" w:hAnsi="宋体" w:eastAsia="宋体" w:cs="宋体"/>
          <w:b w:val="0"/>
          <w:bCs w:val="0"/>
          <w:color w:val="auto"/>
          <w:sz w:val="24"/>
          <w:szCs w:val="24"/>
          <w:highlight w:val="none"/>
        </w:rPr>
        <w:t xml:space="preserve">万元</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采购需求：</w:t>
      </w:r>
      <w:bookmarkStart w:id="17" w:name="OLE_LINK4"/>
      <w:r>
        <w:rPr>
          <w:rFonts w:hint="eastAsia" w:ascii="宋体" w:hAnsi="宋体" w:eastAsia="宋体" w:cs="宋体"/>
          <w:b w:val="0"/>
          <w:bCs w:val="0"/>
          <w:color w:val="auto"/>
          <w:sz w:val="24"/>
          <w:szCs w:val="24"/>
          <w:highlight w:val="none"/>
        </w:rPr>
        <w:t xml:space="preserve">本次招标的标的是</w:t>
      </w:r>
      <w:r>
        <w:rPr>
          <w:rFonts w:hint="eastAsia" w:ascii="宋体" w:hAnsi="宋体" w:eastAsia="宋体" w:cs="宋体"/>
          <w:b w:val="0"/>
          <w:bCs w:val="0"/>
          <w:color w:val="auto"/>
          <w:sz w:val="24"/>
          <w:szCs w:val="24"/>
          <w:highlight w:val="none"/>
          <w:lang w:eastAsia="zh-CN"/>
        </w:rPr>
        <w:t xml:space="preserve">南丰镇2025-2028年度大环境卫生保洁项目</w:t>
      </w:r>
      <w:r>
        <w:rPr>
          <w:rFonts w:hint="eastAsia" w:ascii="宋体" w:hAnsi="宋体" w:eastAsia="宋体" w:cs="宋体"/>
          <w:b w:val="0"/>
          <w:bCs w:val="0"/>
          <w:color w:val="auto"/>
          <w:sz w:val="24"/>
          <w:szCs w:val="24"/>
          <w:highlight w:val="none"/>
        </w:rPr>
        <w:t xml:space="preserve">，具体要求见招标文件第四章项目需求。</w:t>
      </w:r>
      <w:bookmarkEnd w:id="17"/>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合同履行期限：</w:t>
      </w:r>
      <w:r>
        <w:rPr>
          <w:rFonts w:hint="eastAsia" w:ascii="宋体" w:hAnsi="宋体" w:eastAsia="宋体" w:cs="宋体"/>
          <w:b w:val="0"/>
          <w:bCs w:val="0"/>
          <w:color w:val="auto"/>
          <w:sz w:val="24"/>
          <w:szCs w:val="24"/>
          <w:highlight w:val="none"/>
          <w:lang w:eastAsia="zh-CN"/>
        </w:rPr>
        <w:t xml:space="preserve">三年，即202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年9月16日——202</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年9月15日</w:t>
      </w:r>
      <w:r>
        <w:rPr>
          <w:rFonts w:hint="eastAsia" w:ascii="宋体" w:hAnsi="宋体" w:eastAsia="宋体" w:cs="宋体"/>
          <w:b w:val="0"/>
          <w:bCs w:val="0"/>
          <w:color w:val="auto"/>
          <w:sz w:val="24"/>
          <w:szCs w:val="24"/>
          <w:highlight w:val="none"/>
        </w:rPr>
        <w:t xml:space="preserve">。</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二、申请人的资格要求：</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1、满足《中华人民共和国政府采购法》第二十二条规定：</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（1）具有独立承担民事责任的能力；</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（2）具有良好的商业信誉和健全的财务会计制度；</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（3）具有履行合同所必需的设备和专业技术能力；</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（4）有依法缴纳税收和社会保障资金的良好记录；</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（5）参加政府采购活动前三年内，在经营活动中没有重大违法记录；</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（6）法律、行政法规规定的其他条件。</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2、落实政府采购政策需满足的资格要求：</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2.1</w:t>
      </w:r>
      <w:bookmarkStart w:id="18" w:name="OLE_LINK3"/>
      <w:r>
        <w:rPr>
          <w:rFonts w:hint="eastAsia" w:ascii="宋体" w:hAnsi="宋体" w:eastAsia="宋体" w:cs="宋体"/>
          <w:b w:val="0"/>
          <w:bCs w:val="0"/>
          <w:color w:val="auto"/>
          <w:sz w:val="24"/>
          <w:szCs w:val="24"/>
          <w:highlight w:val="none"/>
          <w:lang w:val="en-US" w:eastAsia="zh-CN"/>
        </w:rPr>
        <w:t xml:space="preserve">项目预算总额的40%专门面向中小企业采购，并采用合同分包形式预留，其中该预留部分预留给小微企业的比例不低于60%。</w:t>
      </w:r>
      <w:bookmarkEnd w:id="18"/>
      <w:r>
        <w:rPr>
          <w:rFonts w:hint="eastAsia" w:ascii="宋体" w:hAnsi="宋体" w:eastAsia="宋体" w:cs="宋体"/>
          <w:b w:val="0"/>
          <w:bCs w:val="0"/>
          <w:color w:val="auto"/>
          <w:sz w:val="24"/>
          <w:szCs w:val="24"/>
          <w:highlight w:val="none"/>
          <w:lang w:val="en-US" w:eastAsia="zh-CN"/>
        </w:rPr>
        <w:t xml:space="preserve">预留措施按照《政府采购促进中小企业发展管理办法》执行。本项目未预留份额部分不允许分包或转包</w:t>
      </w:r>
      <w:r>
        <w:rPr>
          <w:rFonts w:hint="eastAsia" w:ascii="宋体" w:hAnsi="宋体" w:eastAsia="宋体" w:cs="宋体"/>
          <w:b w:val="0"/>
          <w:bCs w:val="0"/>
          <w:color w:val="auto"/>
          <w:sz w:val="24"/>
          <w:szCs w:val="24"/>
          <w:highlight w:val="none"/>
          <w:lang w:eastAsia="zh-CN"/>
        </w:rPr>
        <w:t xml:space="preserve">。</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3、供应商应当具备的特定资格条件：无。</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4、拒绝下述供应商参加本次采购活动： </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4.1供应商单位负责人为同一人或者存在直接控股、管理关系的不同供应商，不得参加同一合同项下的政府采购活动。 </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4.2凡为采购项目提供整体设计、规范编制或者项目管理、监理、检测等服务的供应商，不得再参加本项目的采购活动。</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4.3法人的分支机构不得参加投标（除银行、保险、石油石化、电力、电信等行业特殊情况外）。</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注：1.本项目不接受联合体投标。</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本项目不允许进口产品投标</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val="en-US" w:eastAsia="zh-CN"/>
        </w:rPr>
        <w:t xml:space="preserve">获取</w:t>
      </w:r>
      <w:r>
        <w:rPr>
          <w:rFonts w:hint="eastAsia" w:ascii="宋体" w:hAnsi="宋体" w:eastAsia="宋体" w:cs="宋体"/>
          <w:b/>
          <w:bCs/>
          <w:color w:val="auto"/>
          <w:sz w:val="24"/>
          <w:szCs w:val="24"/>
          <w:highlight w:val="none"/>
          <w:lang w:eastAsia="zh-CN"/>
        </w:rPr>
        <w:t xml:space="preserve">招标文件</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1.时间：自招标文件公告发布之日起5个工作日。</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2.地点：在“苏采云”自行免费下载招标文件。</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方式：线上获取 </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售价：0.00元 </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四、提交投标文件截止时间、开标时间和地点</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时间：</w:t>
      </w:r>
      <w:r>
        <w:rPr>
          <w:rFonts w:hint="eastAsia" w:ascii="宋体" w:hAnsi="宋体" w:eastAsia="宋体" w:cs="宋体"/>
          <w:b w:val="0"/>
          <w:bCs w:val="0"/>
          <w:color w:val="auto"/>
          <w:sz w:val="24"/>
          <w:szCs w:val="24"/>
          <w:highlight w:val="none"/>
          <w:lang w:eastAsia="zh-CN"/>
        </w:rPr>
        <w:t xml:space="preserve">2025</w:t>
      </w:r>
      <w:r>
        <w:rPr>
          <w:rFonts w:hint="eastAsia" w:ascii="宋体" w:hAnsi="宋体" w:eastAsia="宋体" w:cs="宋体"/>
          <w:b w:val="0"/>
          <w:bCs w:val="0"/>
          <w:color w:val="auto"/>
          <w:sz w:val="24"/>
          <w:szCs w:val="24"/>
          <w:highlight w:val="none"/>
          <w:lang w:val="en-US" w:eastAsia="zh-CN"/>
        </w:rPr>
        <w:t xml:space="preserve">年8月15日13:30</w:t>
      </w:r>
      <w:r>
        <w:rPr>
          <w:rFonts w:hint="eastAsia" w:ascii="宋体" w:hAnsi="宋体" w:eastAsia="宋体" w:cs="宋体"/>
          <w:b w:val="0"/>
          <w:bCs w:val="0"/>
          <w:color w:val="auto"/>
          <w:sz w:val="24"/>
          <w:szCs w:val="24"/>
          <w:highlight w:val="none"/>
          <w:lang w:eastAsia="zh-CN"/>
        </w:rPr>
        <w:t xml:space="preserve">（北京时间）</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地点：苏采云 </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五、公告期限</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自本公告发布之日起5个工作日。</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六、其他补充事宜</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1、CA证书办理：</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供应商参与</w:t>
      </w:r>
      <w:r>
        <w:rPr>
          <w:rFonts w:hint="eastAsia" w:ascii="宋体" w:hAnsi="宋体" w:eastAsia="宋体" w:cs="宋体"/>
          <w:b w:val="0"/>
          <w:bCs w:val="0"/>
          <w:color w:val="auto"/>
          <w:sz w:val="24"/>
          <w:szCs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2、参与采购活动：</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3、电子投标准备：</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在系统操作过程中如有疑问，请按以下方式联系：</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注册咨询：0512-69820854；CA技术咨询电话：400-608-6099；</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签章使用问题：025-83633811、025-83633812、15380932027、15371015030；</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系统使用指导与咨询：联系电话：0512-69820854；智能客服：登录苏采云系统后，联系系统右下方智能客服图标进行咨询。</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6、请供应商确保电脑、系统及其他设备（视频输入输出设备等）无误，且开标直至项目结束始终保持系统在线状态。</w:t>
      </w:r>
      <w:r/>
    </w:p>
    <w:p>
      <w:pPr>
        <w:pStyle w:val="993"/>
        <w:numPr>
          <w:ilvl w:val="0"/>
          <w:numId w:val="0"/>
        </w:numPr>
        <w:ind w:firstLine="482"/>
        <w:jc w:val="both"/>
        <w:keepLines w:val="0"/>
        <w:keepNext w:val="0"/>
        <w:pageBreakBefore w:val="0"/>
        <w:spacing w:after="181"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七、对本次招标提出询问，请按以下方式联系</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1.采购人信息</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名 称：张家港市南丰镇人民政府</w:t>
      </w:r>
      <w:r/>
    </w:p>
    <w:p>
      <w:pPr>
        <w:pStyle w:val="993"/>
        <w:numPr>
          <w:ilvl w:val="0"/>
          <w:numId w:val="0"/>
        </w:numPr>
        <w:ind w:firstLine="480"/>
        <w:jc w:val="both"/>
        <w:keepLines w:val="0"/>
        <w:keepNext w:val="0"/>
        <w:pageBreakBefore w:val="0"/>
        <w:spacing w:after="181"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地址：张家港市南丰镇</w:t>
      </w:r>
      <w:r/>
    </w:p>
    <w:p>
      <w:pPr>
        <w:pStyle w:val="993"/>
        <w:numPr>
          <w:ilvl w:val="0"/>
          <w:numId w:val="0"/>
        </w:numPr>
        <w:ind w:firstLine="480"/>
        <w:jc w:val="both"/>
        <w:keepLines w:val="0"/>
        <w:keepNext w:val="0"/>
        <w:pageBreakBefore w:val="0"/>
        <w:spacing w:after="181"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联系人：赵倩倩</w:t>
      </w:r>
      <w:r/>
    </w:p>
    <w:p>
      <w:pPr>
        <w:pStyle w:val="993"/>
        <w:numPr>
          <w:ilvl w:val="0"/>
          <w:numId w:val="0"/>
        </w:numPr>
        <w:ind w:firstLine="480"/>
        <w:jc w:val="both"/>
        <w:keepLines w:val="0"/>
        <w:keepNext w:val="0"/>
        <w:pageBreakBefore w:val="0"/>
        <w:spacing w:after="181"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联系方式：0512-58620006</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2.采购代理机构信息</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名 称：苏州日丰招投标代理有限公司</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地　址：苏州市姑苏区平泷路251号城市生活广场A座1610室</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联系人：刘秀萍、金娟、殷涛霞  </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联系电话：0512-68136997</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3.项目联系方式</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项目联系人：刘秀萍、金娟、殷涛霞</w:t>
      </w:r>
      <w:r/>
    </w:p>
    <w:p>
      <w:pPr>
        <w:pStyle w:val="993"/>
        <w:numPr>
          <w:ilvl w:val="0"/>
          <w:numId w:val="0"/>
        </w:numPr>
        <w:ind w:firstLine="480"/>
        <w:jc w:val="both"/>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电　话：0512-68136997/18662614146</w:t>
      </w:r>
      <w:r/>
    </w:p>
    <w:p>
      <w:pPr>
        <w:ind w:firstLine="480"/>
        <w:jc w:val="right"/>
        <w:spacing w:line="360" w:lineRule="auto"/>
        <w:rPr>
          <w:rFonts w:hint="eastAsia" w:ascii="宋体" w:hAnsi="宋体"/>
          <w:color w:val="auto"/>
          <w:sz w:val="24"/>
          <w:highlight w:val="none"/>
        </w:rPr>
      </w:pPr>
      <w:r>
        <w:rPr>
          <w:rFonts w:ascii="宋体" w:hAnsi="宋体"/>
          <w:color w:val="auto"/>
          <w:sz w:val="24"/>
          <w:highlight w:val="none"/>
        </w:rPr>
        <w:tab/>
      </w:r>
      <w:r/>
    </w:p>
    <w:p>
      <w:pPr>
        <w:pStyle w:val="993"/>
        <w:pageBreakBefore/>
        <w:spacing w:line="360" w:lineRule="auto"/>
        <w:rPr>
          <w:rFonts w:hint="eastAsia" w:ascii="宋体" w:hAnsi="宋体" w:eastAsia="宋体"/>
          <w:color w:val="auto"/>
          <w:sz w:val="36"/>
          <w:szCs w:val="36"/>
          <w:highlight w:val="none"/>
        </w:rPr>
      </w:pPr>
      <w:r/>
      <w:bookmarkStart w:id="19" w:name="_Toc35266019"/>
      <w:r/>
      <w:bookmarkStart w:id="20" w:name="_Toc18483"/>
      <w:r/>
      <w:bookmarkStart w:id="21" w:name="_Toc38368119"/>
      <w:r/>
      <w:bookmarkStart w:id="22" w:name="_Toc54615238"/>
      <w:r/>
      <w:bookmarkStart w:id="23" w:name="_Toc11123"/>
      <w:r/>
      <w:bookmarkStart w:id="24" w:name="_Toc988"/>
      <w:r/>
      <w:bookmarkStart w:id="25" w:name="_Toc9464"/>
      <w:r/>
      <w:bookmarkStart w:id="26" w:name="_Toc20695"/>
      <w:r/>
      <w:bookmarkStart w:id="27" w:name="_Toc16702"/>
      <w:r>
        <w:rPr>
          <w:rFonts w:hint="eastAsia" w:ascii="宋体" w:hAnsi="宋体" w:eastAsia="宋体"/>
          <w:color w:val="auto"/>
          <w:sz w:val="36"/>
          <w:szCs w:val="36"/>
          <w:highlight w:val="none"/>
        </w:rPr>
        <w:t xml:space="preserve">第二章 </w:t>
      </w:r>
      <w:bookmarkEnd w:id="2"/>
      <w:r/>
      <w:bookmarkEnd w:id="3"/>
      <w:r/>
      <w:bookmarkEnd w:id="4"/>
      <w:r/>
      <w:bookmarkEnd w:id="5"/>
      <w:r/>
      <w:bookmarkEnd w:id="6"/>
      <w:r/>
      <w:bookmarkEnd w:id="16"/>
      <w:r/>
      <w:bookmarkStart w:id="28" w:name="_Toc16938518"/>
      <w:r/>
      <w:bookmarkStart w:id="29" w:name="_Toc513029202"/>
      <w:r/>
      <w:bookmarkStart w:id="30" w:name="_Toc20823274"/>
      <w:r/>
      <w:bookmarkStart w:id="31" w:name="_Toc120614213"/>
      <w:r>
        <w:rPr>
          <w:rFonts w:hint="eastAsia" w:ascii="宋体" w:hAnsi="宋体" w:eastAsia="宋体"/>
          <w:color w:val="auto"/>
          <w:sz w:val="36"/>
          <w:szCs w:val="36"/>
          <w:highlight w:val="none"/>
        </w:rPr>
        <w:t xml:space="preserve">投标人须知</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
    </w:p>
    <w:p>
      <w:pPr>
        <w:ind w:firstLine="482"/>
        <w:spacing w:line="360" w:lineRule="auto"/>
        <w:rPr>
          <w:rFonts w:hint="eastAsia" w:ascii="宋体" w:hAnsi="宋体" w:cs="宋体"/>
          <w:b/>
          <w:bCs/>
          <w:color w:val="auto"/>
          <w:sz w:val="24"/>
          <w:highlight w:val="none"/>
        </w:rPr>
        <w:outlineLvl w:val="9"/>
      </w:pPr>
      <w:r/>
      <w:bookmarkStart w:id="32" w:name="_Toc20823314"/>
      <w:r/>
      <w:bookmarkStart w:id="33" w:name="_Toc16938558"/>
      <w:r/>
      <w:bookmarkStart w:id="34" w:name="_Toc479757207"/>
      <w:r/>
      <w:bookmarkStart w:id="35" w:name="_Toc513029242"/>
      <w:r/>
      <w:bookmarkStart w:id="36" w:name="_Toc120614221"/>
      <w:r>
        <w:rPr>
          <w:rFonts w:hint="eastAsia" w:ascii="宋体" w:hAnsi="宋体" w:cs="宋体"/>
          <w:b/>
          <w:bCs/>
          <w:color w:val="auto"/>
          <w:sz w:val="24"/>
          <w:highlight w:val="none"/>
          <w:lang w:val="zh-CN"/>
        </w:rPr>
        <w:t xml:space="preserve">1. 说明</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1.1本招标文件仅适用于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组织的采购活动。</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1.3本招标文件的解释权属于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2. 词语释义</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2.1采购人（甲方）：依法进行政府采购的国家机关、事业单位、团体组织。</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zh-CN"/>
        </w:rPr>
        <w:t xml:space="preserve">2.2采购代理机构：</w:t>
      </w:r>
      <w:r>
        <w:rPr>
          <w:rFonts w:hint="eastAsia" w:ascii="宋体" w:hAnsi="宋体" w:cs="宋体"/>
          <w:color w:val="auto"/>
          <w:sz w:val="24"/>
          <w:highlight w:val="none"/>
        </w:rPr>
        <w:t xml:space="preserve">依法接受采购人委托，从事货物、工程和服务等政府采购代理业务的社会中介机构。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2.3投标人（供应商）：响应招标、参加投标竞争的法人、非法人组织或者自然人。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潜在投标人（供应商）：以招标文件规定的方式获取本项目招标文件的法人、非法人组织或者自然人。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2.4响应：投标人根据采购代理机构或采购代理机构发布的招标文件，编制投标文件并按规定投标的行为。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2.6合同：</w:t>
      </w:r>
      <w:r>
        <w:rPr>
          <w:rFonts w:hint="eastAsia" w:ascii="宋体" w:hAnsi="宋体" w:cs="宋体"/>
          <w:color w:val="auto"/>
          <w:sz w:val="24"/>
          <w:highlight w:val="none"/>
        </w:rPr>
        <w:t xml:space="preserve">甲乙</w:t>
      </w:r>
      <w:r>
        <w:rPr>
          <w:rFonts w:hint="eastAsia" w:ascii="宋体" w:hAnsi="宋体" w:cs="宋体"/>
          <w:color w:val="auto"/>
          <w:sz w:val="24"/>
          <w:highlight w:val="none"/>
          <w:lang w:val="zh-CN"/>
        </w:rPr>
        <w:t xml:space="preserve">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服务：系指本次招标文件规定乙方应承担的</w:t>
      </w:r>
      <w:r>
        <w:rPr>
          <w:rFonts w:hint="eastAsia" w:ascii="宋体" w:hAnsi="宋体" w:cs="宋体"/>
          <w:color w:val="auto"/>
          <w:sz w:val="24"/>
          <w:highlight w:val="none"/>
        </w:rPr>
        <w:t xml:space="preserve">与提供货物和服务有关的辅助服务及合同中规定乙方应承担的其它义务。</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知识产权：指专利权、商标权、著作权等无形财产专有权的统称。</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天：日历日。</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服务地点：合同中明确约定的</w:t>
      </w:r>
      <w:r>
        <w:rPr>
          <w:rFonts w:hint="eastAsia" w:ascii="宋体" w:hAnsi="宋体" w:cs="宋体"/>
          <w:color w:val="auto"/>
          <w:sz w:val="24"/>
          <w:highlight w:val="none"/>
        </w:rPr>
        <w:t xml:space="preserve">服务项目所在地。</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11</w:t>
      </w:r>
      <w:r>
        <w:rPr>
          <w:rFonts w:hint="eastAsia" w:ascii="宋体" w:hAnsi="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cs="宋体"/>
          <w:b/>
          <w:color w:val="auto"/>
          <w:sz w:val="24"/>
          <w:highlight w:val="none"/>
        </w:rPr>
        <w:outlineLvl w:val="9"/>
      </w:pPr>
      <w:r>
        <w:rPr>
          <w:rFonts w:hint="eastAsia" w:ascii="宋体" w:hAnsi="宋体" w:cs="宋体"/>
          <w:bCs/>
          <w:color w:val="auto"/>
          <w:sz w:val="24"/>
          <w:highlight w:val="none"/>
        </w:rPr>
        <w:t xml:space="preserve">2.13实质响应：</w:t>
      </w:r>
      <w:bookmarkStart w:id="37" w:name="OLE_LINK14"/>
      <w:r>
        <w:rPr>
          <w:rFonts w:hint="eastAsia" w:ascii="宋体" w:hAnsi="宋体" w:cs="宋体"/>
          <w:b/>
          <w:color w:val="auto"/>
          <w:sz w:val="24"/>
          <w:highlight w:val="none"/>
        </w:rPr>
        <w:t xml:space="preserve">满足本文件实质性要求的规定（本招标文件中斜体且有下划线部分为实质性要求）</w:t>
      </w:r>
      <w:r>
        <w:rPr>
          <w:rFonts w:hint="eastAsia" w:ascii="宋体" w:hAnsi="宋体" w:cs="宋体"/>
          <w:b/>
          <w:color w:val="auto"/>
          <w:sz w:val="24"/>
          <w:highlight w:val="none"/>
          <w:lang w:val="zh-CN"/>
        </w:rPr>
        <w:t xml:space="preserve">。</w:t>
      </w:r>
      <w:bookmarkEnd w:id="37"/>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2.14书面形式：指书面文字、合同书、信件和传真等可以有形地表现所载内容的形式。</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bCs/>
          <w:color w:val="auto"/>
          <w:sz w:val="24"/>
          <w:highlight w:val="none"/>
        </w:rPr>
        <w:t xml:space="preserve">2.15小微企业：</w:t>
      </w:r>
      <w:r>
        <w:rPr>
          <w:rFonts w:hint="eastAsia" w:ascii="宋体" w:hAnsi="宋体" w:cs="宋体"/>
          <w:color w:val="auto"/>
          <w:sz w:val="24"/>
          <w:highlight w:val="none"/>
          <w:lang w:val="zh-CN"/>
        </w:rPr>
        <w:t xml:space="preserve">小型企业且提供自有服务的，视同为小型企业。微型企业且提供自有服务的，视同为微型企业。</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二、投标人（供应商）</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 供应商资格要求</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3.1供应商应当具备下列一般条件：</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3.1.1具有独立承担民事责任的能力；</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3.1.2具有良好的商业信誉和健全的财务会计制度；</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3.1.3具有履行合同所必需的设备和专业技术能力；</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3.1.4有依法缴纳税收和社会保障资金的良好记录；</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3.1.6</w:t>
      </w:r>
      <w:bookmarkStart w:id="38" w:name="OLE_LINK11"/>
      <w:r>
        <w:rPr>
          <w:rFonts w:hint="eastAsia" w:ascii="宋体" w:hAnsi="宋体" w:cs="宋体"/>
          <w:bCs/>
          <w:color w:val="auto"/>
          <w:sz w:val="24"/>
          <w:highlight w:val="none"/>
        </w:rPr>
        <w:t xml:space="preserve">法律、行政法规规定的其他条件</w:t>
      </w:r>
      <w:bookmarkEnd w:id="38"/>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3.2.落实政府采购政策需满足的资格要求：</w:t>
      </w:r>
      <w:r>
        <w:rPr>
          <w:rFonts w:hint="eastAsia" w:ascii="宋体" w:hAnsi="宋体" w:cs="宋体"/>
          <w:bCs/>
          <w:color w:val="auto"/>
          <w:sz w:val="24"/>
          <w:highlight w:val="none"/>
          <w:lang w:val="en-US" w:eastAsia="zh-CN"/>
        </w:rPr>
        <w:t xml:space="preserve">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3..3供应商应当具备的特定资格条件：无。         </w:t>
      </w:r>
      <w:r/>
    </w:p>
    <w:p>
      <w:pPr>
        <w:ind w:firstLine="480"/>
        <w:spacing w:line="360" w:lineRule="auto"/>
        <w:rPr>
          <w:rFonts w:hint="eastAsia" w:ascii="宋体" w:hAnsi="宋体" w:cs="宋体"/>
          <w:bCs/>
          <w:color w:val="auto"/>
          <w:sz w:val="24"/>
          <w:highlight w:val="none"/>
          <w:lang w:bidi="ar"/>
        </w:rPr>
        <w:outlineLvl w:val="9"/>
      </w:pPr>
      <w:r>
        <w:rPr>
          <w:rFonts w:hint="eastAsia" w:ascii="宋体" w:hAnsi="宋体" w:cs="宋体"/>
          <w:bCs/>
          <w:color w:val="auto"/>
          <w:sz w:val="24"/>
          <w:highlight w:val="none"/>
          <w:lang w:bidi="ar"/>
        </w:rPr>
        <w:t xml:space="preserve">3.4.其他资格条件：</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lang w:bidi="ar"/>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lang w:bidi="ar"/>
        </w:rPr>
        <w:t xml:space="preserve">（2）本项目不接受联合体投标；</w:t>
      </w:r>
      <w:r/>
    </w:p>
    <w:p>
      <w:pPr>
        <w:ind w:firstLine="48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4、投标人代表</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4.1指全权代表投标人参加投标活动并签署投标文件的人，如果投标人代表不是法定代表人，须持有《法人授权委托书》（详见统一格式）。</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5、投标费用 </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6、联合体投标</w:t>
      </w:r>
      <w:r/>
    </w:p>
    <w:p>
      <w:pPr>
        <w:ind w:firstLine="480"/>
        <w:spacing w:line="360" w:lineRule="auto"/>
        <w:rPr>
          <w:rFonts w:hint="eastAsia" w:ascii="宋体" w:hAnsi="宋体" w:cs="宋体"/>
          <w:bCs/>
          <w:color w:val="auto"/>
          <w:sz w:val="24"/>
          <w:highlight w:val="none"/>
          <w:lang w:val="zh-CN"/>
        </w:rPr>
        <w:outlineLvl w:val="9"/>
      </w:pPr>
      <w:r>
        <w:rPr>
          <w:rFonts w:hint="eastAsia" w:ascii="宋体" w:hAnsi="宋体" w:cs="宋体"/>
          <w:bCs/>
          <w:color w:val="auto"/>
          <w:sz w:val="24"/>
          <w:highlight w:val="none"/>
          <w:lang w:val="zh-CN"/>
        </w:rPr>
        <w:t xml:space="preserve">本采购项目</w:t>
      </w:r>
      <w:r>
        <w:rPr>
          <w:rFonts w:hint="eastAsia" w:ascii="宋体" w:hAnsi="宋体" w:cs="宋体"/>
          <w:iCs/>
          <w:color w:val="auto"/>
          <w:sz w:val="24"/>
          <w:highlight w:val="none"/>
        </w:rPr>
        <w:t xml:space="preserve">不</w:t>
      </w:r>
      <w:r>
        <w:rPr>
          <w:rFonts w:hint="eastAsia" w:ascii="宋体" w:hAnsi="宋体" w:cs="宋体"/>
          <w:bCs/>
          <w:color w:val="auto"/>
          <w:sz w:val="24"/>
          <w:highlight w:val="none"/>
          <w:lang w:val="zh-CN"/>
        </w:rPr>
        <w:t xml:space="preserve">接受联合体投标。</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三、招标文件的说明</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7、招标文件</w:t>
      </w:r>
      <w:r/>
    </w:p>
    <w:p>
      <w:pPr>
        <w:ind w:firstLine="480"/>
        <w:spacing w:line="360" w:lineRule="auto"/>
        <w:rPr>
          <w:rFonts w:hint="eastAsia" w:ascii="宋体" w:hAnsi="宋体" w:cs="宋体"/>
          <w:bCs/>
          <w:color w:val="auto"/>
          <w:sz w:val="24"/>
          <w:highlight w:val="none"/>
          <w:lang w:val="zh-CN"/>
        </w:rPr>
        <w:outlineLvl w:val="9"/>
      </w:pPr>
      <w:r>
        <w:rPr>
          <w:rFonts w:hint="eastAsia" w:ascii="宋体" w:hAnsi="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8、招标文件的询问与澄清</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8.1投标人在收到招标文件后，若有问题需要询问，应在获取招标文件后按网上报名相关流程提出，采购代理机构将予以解答。</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8.2采购人或者采购代理机构可以对已发出的招标文件进行必要的澄清或者修改，并发布澄清（修改）公告。澄清或者修改的内容为招标文件的组成部分。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8.4至招标文件获取截止时间，获取招标文件的潜在投标人不足3家的，采购人或采购代理机构可以顺延招标文件提供期限。</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9、招标文件的修改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9.1采购代理机构可依法对招标文件进行必要的澄清或者修改。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9.2采购代理机构对招标文件的修改，将以补充通知的形式在网上发布公告。补充通知将作为招标文件的组成部分，对所有投标人有约束力。</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bCs/>
          <w:color w:val="auto"/>
          <w:sz w:val="24"/>
          <w:highlight w:val="none"/>
          <w:lang w:val="zh-CN"/>
        </w:rPr>
        <w:t xml:space="preserve">10、质疑</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10.4供应商如对本项目提出质疑须在法定质疑期内一次性提出针对同一采购程序环节的质疑。</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10.5接受质疑函的方式：当场送达或邮寄方式，</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10.6联系单位：苏州日丰招投标代理有限公司</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zh-CN"/>
        </w:rPr>
        <w:t xml:space="preserve">10.7收件人： </w:t>
      </w:r>
      <w:r>
        <w:rPr>
          <w:rFonts w:hint="eastAsia" w:ascii="宋体" w:hAnsi="宋体" w:cs="宋体"/>
          <w:color w:val="auto"/>
          <w:sz w:val="24"/>
          <w:highlight w:val="none"/>
          <w:u w:val="single"/>
        </w:rPr>
        <w:t xml:space="preserve">金娟</w:t>
      </w:r>
      <w:r>
        <w:rPr>
          <w:rFonts w:hint="eastAsia" w:ascii="宋体" w:hAnsi="宋体" w:cs="宋体"/>
          <w:color w:val="auto"/>
          <w:sz w:val="24"/>
          <w:highlight w:val="none"/>
          <w:u w:val="single"/>
          <w:lang w:val="zh-CN"/>
        </w:rPr>
        <w:t xml:space="preserve">、刘秀萍、</w:t>
      </w:r>
      <w:r>
        <w:rPr>
          <w:rFonts w:hint="eastAsia" w:ascii="宋体" w:hAnsi="宋体" w:cs="宋体"/>
          <w:color w:val="auto"/>
          <w:sz w:val="24"/>
          <w:highlight w:val="none"/>
          <w:u w:val="single"/>
        </w:rPr>
        <w:t xml:space="preserve">殷涛霞</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10.8联系电话： </w:t>
      </w:r>
      <w:r>
        <w:rPr>
          <w:rFonts w:hint="eastAsia" w:ascii="宋体" w:hAnsi="宋体" w:cs="宋体"/>
          <w:color w:val="auto"/>
          <w:sz w:val="24"/>
          <w:highlight w:val="none"/>
          <w:u w:val="single"/>
        </w:rPr>
        <w:t xml:space="preserve">0512-68136997</w:t>
      </w:r>
      <w:r>
        <w:rPr>
          <w:rFonts w:hint="eastAsia" w:ascii="宋体" w:hAnsi="宋体" w:cs="宋体"/>
          <w:color w:val="auto"/>
          <w:sz w:val="24"/>
          <w:highlight w:val="none"/>
          <w:u w:val="single"/>
          <w:lang w:val="zh-CN"/>
        </w:rPr>
        <w:t xml:space="preserve">   </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10.9通讯地址：</w:t>
      </w:r>
      <w:r>
        <w:rPr>
          <w:rFonts w:hint="eastAsia" w:ascii="宋体" w:hAnsi="宋体" w:cs="宋体"/>
          <w:color w:val="auto"/>
          <w:sz w:val="24"/>
          <w:highlight w:val="none"/>
          <w:u w:val="single"/>
          <w:lang w:val="zh-CN"/>
        </w:rPr>
        <w:t xml:space="preserve">苏州市姑苏区平泷路251号城市生活广场A座1610室 </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10.10邮政编码：</w:t>
      </w:r>
      <w:r>
        <w:rPr>
          <w:rFonts w:hint="eastAsia" w:ascii="宋体" w:hAnsi="宋体" w:cs="宋体"/>
          <w:color w:val="auto"/>
          <w:sz w:val="24"/>
          <w:highlight w:val="none"/>
          <w:u w:val="single"/>
        </w:rPr>
        <w:t xml:space="preserve">215000</w:t>
      </w:r>
      <w:r>
        <w:rPr>
          <w:rFonts w:hint="eastAsia" w:ascii="宋体" w:hAnsi="宋体" w:cs="宋体"/>
          <w:color w:val="auto"/>
          <w:sz w:val="24"/>
          <w:highlight w:val="none"/>
          <w:u w:val="single"/>
          <w:lang w:val="zh-CN"/>
        </w:rPr>
        <w:t xml:space="preserve">  </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四、投标文件说明</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11、提示与要求</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11.2无论是否递交投标文件，投标人都应将招标文件及相关的所有通知、文件等视为保密文件。</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12、投标文件计量单位和使用文字</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13. </w:t>
      </w:r>
      <w:r>
        <w:rPr>
          <w:rFonts w:hint="eastAsia" w:ascii="宋体" w:hAnsi="宋体" w:cs="宋体"/>
          <w:color w:val="auto"/>
          <w:sz w:val="24"/>
          <w:highlight w:val="none"/>
          <w:lang w:val="zh-CN"/>
        </w:rPr>
        <w:t xml:space="preserve">电子投标文件的组成</w:t>
      </w:r>
      <w:r>
        <w:rPr>
          <w:rFonts w:hint="eastAsia" w:ascii="宋体" w:hAnsi="宋体" w:cs="宋体"/>
          <w:b/>
          <w:color w:val="auto"/>
          <w:sz w:val="24"/>
          <w:highlight w:val="none"/>
          <w:lang w:val="zh-CN"/>
        </w:rPr>
        <w:t xml:space="preserve">（相关文件格式参见第</w:t>
      </w:r>
      <w:r>
        <w:rPr>
          <w:rFonts w:hint="eastAsia" w:ascii="宋体" w:hAnsi="宋体" w:cs="宋体"/>
          <w:b/>
          <w:color w:val="auto"/>
          <w:sz w:val="24"/>
          <w:highlight w:val="none"/>
        </w:rPr>
        <w:t xml:space="preserve">六</w:t>
      </w:r>
      <w:r>
        <w:rPr>
          <w:rFonts w:hint="eastAsia" w:ascii="宋体" w:hAnsi="宋体" w:cs="宋体"/>
          <w:b/>
          <w:color w:val="auto"/>
          <w:sz w:val="24"/>
          <w:highlight w:val="none"/>
          <w:lang w:val="zh-CN"/>
        </w:rPr>
        <w:t xml:space="preserve">章）</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13.1 </w:t>
      </w:r>
      <w:r>
        <w:rPr>
          <w:rFonts w:hint="eastAsia" w:ascii="宋体" w:hAnsi="宋体" w:cs="宋体"/>
          <w:color w:val="auto"/>
          <w:sz w:val="24"/>
          <w:highlight w:val="none"/>
          <w:lang w:val="zh-CN"/>
        </w:rPr>
        <w:t xml:space="preserve">封面</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开标一览表（按系统中的统一格式）</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13.3.投标函；</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资格审查投标文件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.1关于资格证明文件的书面承诺；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合格供应商的基本条件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.1具有独立承担民事责任的能力证明【</w:t>
      </w:r>
      <w:bookmarkStart w:id="39" w:name="OLE_LINK12"/>
      <w:r/>
      <w:bookmarkStart w:id="40" w:name="OLE_LINK6"/>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val="zh-CN"/>
        </w:rPr>
        <w:t xml:space="preserve">投标单位营业执照副本复印件，投标单位法定代表人身份证复印件，法人授权委托书（如有授权），投标单位代理人身份证复印件（如有授权</w:t>
      </w:r>
      <w:bookmarkEnd w:id="39"/>
      <w:r>
        <w:rPr>
          <w:rFonts w:hint="eastAsia" w:ascii="宋体" w:hAnsi="宋体" w:cs="宋体"/>
          <w:color w:val="auto"/>
          <w:sz w:val="24"/>
          <w:highlight w:val="none"/>
          <w:lang w:val="zh-CN"/>
        </w:rPr>
        <w:t xml:space="preserve">）</w:t>
      </w:r>
      <w:bookmarkEnd w:id="40"/>
      <w:r>
        <w:rPr>
          <w:rFonts w:hint="eastAsia" w:ascii="宋体" w:hAnsi="宋体" w:cs="宋体"/>
          <w:color w:val="auto"/>
          <w:sz w:val="24"/>
          <w:highlight w:val="none"/>
          <w:lang w:val="zh-CN"/>
        </w:rPr>
        <w:t xml:space="preserve">】；</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.2具有良好的商业信誉和健全的财务会计制度证明（</w:t>
      </w:r>
      <w:bookmarkStart w:id="41" w:name="OLE_LINK7"/>
      <w:r>
        <w:rPr>
          <w:rFonts w:hint="eastAsia" w:ascii="宋体" w:hAnsi="宋体" w:cs="宋体"/>
          <w:color w:val="auto"/>
          <w:sz w:val="24"/>
          <w:highlight w:val="none"/>
          <w:lang w:val="zh-CN"/>
        </w:rPr>
        <w:t xml:space="preserve">提供最近一期的财务状况报告，其他组织、自然人及成立未满一年的法人应提供银行出具的资信证明</w:t>
      </w:r>
      <w:bookmarkEnd w:id="41"/>
      <w:r>
        <w:rPr>
          <w:rFonts w:hint="eastAsia" w:ascii="宋体" w:hAnsi="宋体" w:cs="宋体"/>
          <w:color w:val="auto"/>
          <w:sz w:val="24"/>
          <w:highlight w:val="none"/>
          <w:lang w:val="zh-CN"/>
        </w:rPr>
        <w:t xml:space="preserve">）；</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w:t>
      </w:r>
      <w:bookmarkStart w:id="42" w:name="OLE_LINK8"/>
      <w:r>
        <w:rPr>
          <w:rFonts w:hint="eastAsia" w:ascii="宋体" w:hAnsi="宋体" w:cs="宋体"/>
          <w:color w:val="auto"/>
          <w:sz w:val="24"/>
          <w:highlight w:val="none"/>
          <w:lang w:val="zh-CN"/>
        </w:rPr>
        <w:t xml:space="preserve">履行合同所必需的设备和专业技术能力的证明材料或</w:t>
      </w:r>
      <w:bookmarkEnd w:id="42"/>
      <w:r>
        <w:rPr>
          <w:rFonts w:hint="eastAsia" w:ascii="宋体" w:hAnsi="宋体" w:cs="宋体"/>
          <w:color w:val="auto"/>
          <w:sz w:val="24"/>
          <w:highlight w:val="none"/>
          <w:lang w:val="en-US" w:eastAsia="zh-CN"/>
        </w:rPr>
        <w:t xml:space="preserve">书面声明函</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.4有依法缴纳税收和社会保障资金的良好记录（提供</w:t>
      </w:r>
      <w:r>
        <w:rPr>
          <w:rFonts w:hint="eastAsia" w:ascii="宋体" w:hAnsi="宋体" w:cs="宋体"/>
          <w:color w:val="auto"/>
          <w:sz w:val="24"/>
          <w:highlight w:val="none"/>
        </w:rPr>
        <w:t xml:space="preserve">最近一期</w:t>
      </w:r>
      <w:r>
        <w:rPr>
          <w:rFonts w:hint="eastAsia" w:ascii="宋体" w:hAnsi="宋体" w:cs="宋体"/>
          <w:color w:val="auto"/>
          <w:sz w:val="24"/>
          <w:highlight w:val="none"/>
          <w:lang w:val="zh-CN"/>
        </w:rPr>
        <w:t xml:space="preserve">依法缴纳税收及缴纳社会保障资金的证明材料，如相关主管部门证明或银行代扣证明。</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单位如依法享受缓缴、免缴税收、社会保障资金的应提供相关主管部门出具的证明材料）；</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.5</w:t>
      </w:r>
      <w:bookmarkStart w:id="43" w:name="OLE_LINK1"/>
      <w:r>
        <w:rPr>
          <w:rFonts w:hint="eastAsia" w:ascii="宋体" w:hAnsi="宋体" w:cs="宋体"/>
          <w:color w:val="auto"/>
          <w:sz w:val="24"/>
          <w:highlight w:val="none"/>
          <w:lang w:val="zh-CN"/>
        </w:rPr>
        <w:t xml:space="preserve">参加政府采购活动前三年内在经营活动中没有重大违法记录的书面声明函；</w:t>
      </w:r>
      <w:bookmarkEnd w:id="43"/>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13.4.2.6</w:t>
      </w:r>
      <w:bookmarkStart w:id="44" w:name="OLE_LINK9"/>
      <w:r>
        <w:rPr>
          <w:rFonts w:hint="eastAsia" w:ascii="宋体" w:hAnsi="宋体" w:cs="宋体"/>
          <w:color w:val="auto"/>
          <w:sz w:val="24"/>
          <w:highlight w:val="none"/>
        </w:rPr>
        <w:t xml:space="preserve">落实政府采购政策需满足的资格要求</w:t>
      </w:r>
      <w:bookmarkEnd w:id="44"/>
      <w:r>
        <w:rPr>
          <w:rFonts w:hint="eastAsia" w:ascii="宋体" w:hAnsi="宋体" w:cs="宋体"/>
          <w:color w:val="auto"/>
          <w:sz w:val="24"/>
          <w:highlight w:val="none"/>
        </w:rPr>
        <w:t xml:space="preserve">：</w:t>
      </w:r>
      <w:bookmarkStart w:id="45" w:name="OLE_LINK10"/>
      <w:r>
        <w:rPr>
          <w:rFonts w:hint="eastAsia" w:ascii="宋体" w:hAnsi="宋体" w:eastAsia="宋体" w:cs="宋体"/>
          <w:b w:val="0"/>
          <w:bCs w:val="0"/>
          <w:color w:val="auto"/>
          <w:sz w:val="24"/>
          <w:szCs w:val="24"/>
          <w:highlight w:val="none"/>
          <w:lang w:val="en-US" w:eastAsia="zh-CN"/>
        </w:rPr>
        <w:t xml:space="preserve">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rPr>
          <w:rFonts w:hint="eastAsia" w:ascii="宋体" w:hAnsi="宋体" w:cs="宋体"/>
          <w:b w:val="0"/>
          <w:bCs w:val="0"/>
          <w:color w:val="auto"/>
          <w:sz w:val="24"/>
          <w:szCs w:val="24"/>
          <w:highlight w:val="none"/>
          <w:lang w:val="en-US" w:eastAsia="zh-CN"/>
        </w:rPr>
        <w:t xml:space="preserve">（提供分包协议及承接企业中小企业声明函）</w:t>
      </w:r>
      <w:r>
        <w:rPr>
          <w:rFonts w:hint="eastAsia" w:ascii="宋体" w:hAnsi="宋体" w:cs="宋体"/>
          <w:color w:val="auto"/>
          <w:sz w:val="24"/>
          <w:highlight w:val="none"/>
        </w:rPr>
        <w:t xml:space="preserve">；</w:t>
      </w:r>
      <w:bookmarkEnd w:id="45"/>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其它有关资格证明的文件；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符合性审查投标文件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第四章项目需求中实质性要求（即斜体且有下划线部分，每条详细列出）响应对照；</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其他有关符合性证明的文件；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综合评审投标文件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.1服务方案</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履约能力</w:t>
      </w:r>
      <w:r/>
    </w:p>
    <w:p>
      <w:pPr>
        <w:ind w:firstLine="480"/>
        <w:spacing w:line="360" w:lineRule="auto"/>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其他</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注：（</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）以上的资料，投标人</w:t>
      </w:r>
      <w:r>
        <w:rPr>
          <w:rFonts w:hint="eastAsia" w:ascii="宋体" w:hAnsi="宋体" w:cs="宋体"/>
          <w:color w:val="auto"/>
          <w:sz w:val="24"/>
          <w:highlight w:val="none"/>
        </w:rPr>
        <w:t xml:space="preserve">按相关要求</w:t>
      </w:r>
      <w:r>
        <w:rPr>
          <w:rFonts w:hint="eastAsia" w:ascii="宋体" w:hAnsi="宋体" w:cs="宋体"/>
          <w:color w:val="auto"/>
          <w:sz w:val="24"/>
          <w:highlight w:val="none"/>
          <w:lang w:val="zh-CN"/>
        </w:rPr>
        <w:t xml:space="preserve">提供并</w:t>
      </w:r>
      <w:r>
        <w:rPr>
          <w:rFonts w:hint="eastAsia" w:ascii="宋体" w:hAnsi="宋体" w:cs="宋体"/>
          <w:color w:val="auto"/>
          <w:sz w:val="24"/>
          <w:highlight w:val="none"/>
        </w:rPr>
        <w:t xml:space="preserve">按招标文件要求</w:t>
      </w:r>
      <w:r>
        <w:rPr>
          <w:rFonts w:hint="eastAsia" w:ascii="宋体" w:hAnsi="宋体" w:cs="宋体"/>
          <w:color w:val="auto"/>
          <w:sz w:val="24"/>
          <w:highlight w:val="none"/>
          <w:lang w:val="zh-CN"/>
        </w:rPr>
        <w:t xml:space="preserve">加盖投标单位的电子签章或公章。</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）投标人所提交的资料的完整与否，将直接影响投标人的评分。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）制作电子投标文件时将相关资料上传至相应模块。</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14、投标文件的制作、签署、上传</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.1本项目采用电子招投标形式，请供应商按照《苏采云系统供应商操作手册》进行制作、上传电子投标文件。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.2制作电子投标文件时，应按照招标文件要求加盖投标人电子公章。</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.3电子投标文件制作完成后请于投标文件网上提交截止时间前成功上传至“苏采云”系统，否则视为放弃参加该采购项目。</w:t>
      </w:r>
      <w:bookmarkStart w:id="46" w:name="_Toc31150"/>
      <w:r/>
      <w:bookmarkStart w:id="47" w:name="_Toc25608"/>
      <w:r>
        <w:rPr>
          <w:rFonts w:hint="eastAsia" w:ascii="宋体" w:hAnsi="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r/>
      <w:bookmarkEnd w:id="47"/>
      <w:r/>
      <w:r/>
    </w:p>
    <w:p>
      <w:pPr>
        <w:ind w:firstLine="482"/>
        <w:spacing w:line="360" w:lineRule="auto"/>
        <w:rPr>
          <w:rFonts w:hint="eastAsia" w:ascii="宋体" w:hAnsi="宋体" w:cs="宋体"/>
          <w:bCs/>
          <w:color w:val="auto"/>
          <w:sz w:val="24"/>
          <w:highlight w:val="none"/>
        </w:rPr>
        <w:outlineLvl w:val="9"/>
      </w:pPr>
      <w:r>
        <w:rPr>
          <w:rFonts w:hint="eastAsia" w:ascii="宋体" w:hAnsi="宋体" w:cs="宋体"/>
          <w:b/>
          <w:bCs/>
          <w:color w:val="auto"/>
          <w:sz w:val="24"/>
          <w:highlight w:val="none"/>
        </w:rPr>
        <w:t xml:space="preserve">14.4 投标报价（编制）要求的说明</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.1项目总价应包括但不限于人员费用（工资、福利、培训、社会保险等）、服务所用设备工具购置及维修费用、</w:t>
      </w:r>
      <w:r>
        <w:rPr>
          <w:rFonts w:hint="eastAsia"/>
          <w:color w:val="auto"/>
          <w:sz w:val="24"/>
          <w:highlight w:val="none"/>
        </w:rPr>
        <w:t xml:space="preserve">通讯费、交通费、资料费</w:t>
      </w:r>
      <w:r>
        <w:rPr>
          <w:rFonts w:hint="eastAsia" w:ascii="宋体" w:hAnsi="宋体" w:cs="宋体"/>
          <w:color w:val="auto"/>
          <w:sz w:val="24"/>
          <w:highlight w:val="none"/>
          <w:lang w:val="zh-CN"/>
        </w:rPr>
        <w:t xml:space="preserve">、管理费用、</w:t>
      </w:r>
      <w:r>
        <w:rPr>
          <w:rFonts w:hint="eastAsia" w:ascii="宋体" w:hAnsi="宋体" w:cs="宋体"/>
          <w:color w:val="auto"/>
          <w:sz w:val="24"/>
          <w:highlight w:val="none"/>
          <w:lang w:val="en-US" w:eastAsia="zh-CN"/>
        </w:rPr>
        <w:t xml:space="preserve">不可预见费用、</w:t>
      </w:r>
      <w:r>
        <w:rPr>
          <w:rFonts w:hint="eastAsia" w:ascii="宋体" w:hAnsi="宋体" w:cs="宋体"/>
          <w:color w:val="auto"/>
          <w:sz w:val="24"/>
          <w:highlight w:val="none"/>
          <w:lang w:val="zh-CN"/>
        </w:rPr>
        <w:t xml:space="preserve">利润、税金、政策性文件规定及合同包含的所有风险、责任等</w:t>
      </w:r>
      <w:r>
        <w:rPr>
          <w:rFonts w:hint="eastAsia" w:ascii="宋体" w:hAnsi="宋体" w:cs="宋体"/>
          <w:color w:val="auto"/>
          <w:sz w:val="24"/>
          <w:highlight w:val="none"/>
        </w:rPr>
        <w:t xml:space="preserve">完成本项目</w:t>
      </w:r>
      <w:r>
        <w:rPr>
          <w:rFonts w:hint="eastAsia" w:ascii="宋体" w:hAnsi="宋体" w:cs="宋体"/>
          <w:color w:val="auto"/>
          <w:sz w:val="24"/>
          <w:highlight w:val="none"/>
          <w:lang w:val="zh-CN"/>
        </w:rPr>
        <w:t xml:space="preserve">各项应有费用。</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.2一项投标内容只允许一个报价，采购代理机构不接受任何有选择性的投标报价。</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投标文件报价中的单价和总价全部采用人民币表示，除非合同的特殊条款另有规定。</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.4最低的投标报价或最高的折扣比例是中标的重要条件，但不是中标的唯一条件。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.5报价必须充分考虑所有可能影响到报价的价格因素，一旦投标结束最终成交，如发生漏、缺、少项，都将被认为是中标人的报价让利行为。</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、投标保证金</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本项目不收取投标保证金</w:t>
      </w:r>
      <w:r/>
    </w:p>
    <w:p>
      <w:pPr>
        <w:ind w:firstLine="482"/>
        <w:spacing w:line="360" w:lineRule="auto"/>
        <w:rPr>
          <w:rFonts w:hint="eastAsia" w:ascii="宋体" w:hAnsi="宋体" w:cs="宋体"/>
          <w:b/>
          <w:color w:val="auto"/>
          <w:sz w:val="24"/>
          <w:highlight w:val="none"/>
        </w:rPr>
        <w:outlineLvl w:val="9"/>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、投标文件的有效期</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.1自投标截止时间之日起</w:t>
      </w:r>
      <w:r>
        <w:rPr>
          <w:rFonts w:hint="eastAsia" w:ascii="宋体" w:hAnsi="宋体" w:cs="宋体"/>
          <w:color w:val="auto"/>
          <w:sz w:val="24"/>
          <w:highlight w:val="none"/>
        </w:rPr>
        <w:t xml:space="preserve">90</w:t>
      </w:r>
      <w:r>
        <w:rPr>
          <w:rFonts w:hint="eastAsia" w:ascii="宋体" w:hAnsi="宋体" w:cs="宋体"/>
          <w:color w:val="auto"/>
          <w:sz w:val="24"/>
          <w:highlight w:val="none"/>
          <w:lang w:val="zh-CN"/>
        </w:rPr>
        <w:t xml:space="preserve">天，投标书应保持有效。有效期短于这个规定期限的投标，将被拒绝。</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五、投标文件的递交、补充、修改和撤回</w:t>
      </w:r>
      <w:r/>
    </w:p>
    <w:p>
      <w:pPr>
        <w:ind w:firstLine="482"/>
        <w:spacing w:line="360" w:lineRule="auto"/>
        <w:rPr>
          <w:rFonts w:hint="eastAsia" w:ascii="宋体" w:hAnsi="宋体" w:cs="宋体"/>
          <w:color w:val="auto"/>
          <w:sz w:val="24"/>
          <w:highlight w:val="none"/>
          <w:lang w:val="zh-CN"/>
        </w:rPr>
        <w:outlineLvl w:val="9"/>
      </w:pPr>
      <w:r>
        <w:rPr>
          <w:rFonts w:hint="eastAsia" w:ascii="宋体" w:hAnsi="宋体" w:cs="宋体"/>
          <w:b/>
          <w:bCs/>
          <w:color w:val="auto"/>
          <w:sz w:val="24"/>
          <w:highlight w:val="none"/>
        </w:rPr>
        <w:t xml:space="preserve">17</w:t>
      </w:r>
      <w:r>
        <w:rPr>
          <w:rFonts w:hint="eastAsia" w:ascii="宋体" w:hAnsi="宋体" w:cs="宋体"/>
          <w:b/>
          <w:bCs/>
          <w:color w:val="auto"/>
          <w:sz w:val="24"/>
          <w:highlight w:val="none"/>
          <w:lang w:val="zh-CN"/>
        </w:rPr>
        <w:t xml:space="preserve">.投标文件的递交</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.1投标人应当在在投标截止时间前制作并上传电子投标文件。</w:t>
      </w:r>
      <w:r/>
    </w:p>
    <w:p>
      <w:pPr>
        <w:ind w:firstLine="482"/>
        <w:keepLines w:val="0"/>
        <w:keepNext w:val="0"/>
        <w:pageBreakBefore w:val="0"/>
        <w:spacing w:line="360" w:lineRule="auto"/>
        <w:widowControl w:val="off"/>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rPr>
        <w:t xml:space="preserve">18.</w:t>
      </w:r>
      <w:r>
        <w:rPr>
          <w:rFonts w:hint="eastAsia" w:ascii="宋体" w:hAnsi="宋体" w:cs="宋体"/>
          <w:b/>
          <w:bCs/>
          <w:color w:val="auto"/>
          <w:sz w:val="24"/>
          <w:highlight w:val="none"/>
          <w:lang w:val="zh-CN"/>
        </w:rPr>
        <w:t xml:space="preserve">投标文件的拒收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拒绝接收在其规定的投标截止时间后上传的任何投标文件。</w:t>
      </w:r>
      <w:r/>
    </w:p>
    <w:p>
      <w:pPr>
        <w:ind w:firstLine="482"/>
        <w:spacing w:line="360" w:lineRule="auto"/>
        <w:rPr>
          <w:rFonts w:hint="eastAsia" w:ascii="宋体" w:hAnsi="宋体" w:cs="宋体"/>
          <w:b/>
          <w:bCs/>
          <w:color w:val="auto"/>
          <w:sz w:val="24"/>
          <w:highlight w:val="none"/>
          <w:lang w:val="zh-CN"/>
        </w:rPr>
        <w:outlineLvl w:val="9"/>
      </w:pPr>
      <w:r/>
      <w:bookmarkStart w:id="48" w:name="_Toc16938544"/>
      <w:r/>
      <w:bookmarkStart w:id="49" w:name="_Toc513029228"/>
      <w:r/>
      <w:bookmarkStart w:id="50" w:name="_Toc20823300"/>
      <w:r>
        <w:rPr>
          <w:rFonts w:hint="eastAsia" w:ascii="宋体" w:hAnsi="宋体" w:cs="宋体"/>
          <w:b/>
          <w:bCs/>
          <w:color w:val="auto"/>
          <w:sz w:val="24"/>
          <w:highlight w:val="none"/>
        </w:rPr>
        <w:t xml:space="preserve">19</w:t>
      </w:r>
      <w:r>
        <w:rPr>
          <w:rFonts w:hint="eastAsia" w:ascii="宋体" w:hAnsi="宋体" w:cs="宋体"/>
          <w:b/>
          <w:bCs/>
          <w:color w:val="auto"/>
          <w:sz w:val="24"/>
          <w:highlight w:val="none"/>
          <w:lang w:val="zh-CN"/>
        </w:rPr>
        <w:t xml:space="preserve">、投标文件的撤回和修改</w:t>
      </w:r>
      <w:bookmarkEnd w:id="48"/>
      <w:r/>
      <w:bookmarkEnd w:id="49"/>
      <w:r/>
      <w:bookmarkEnd w:id="50"/>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 投标文件的撤回</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.1.1 电子投标文件的撤回</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投标人可在投标截止时间前，撤回其电子投标文件，具体操作方法见《操作手册》。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.1.2 投标人撤回电子投标文件，则认为其不再参与本项目投标活动。</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20、投标文件的修改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20.1投标人可在投标截止时间前，对其电子投标文件进行修改，具体操作方法见《操作手册》。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20.2 在投标截止时间之后，投标人不得对其电子投标文件作任何修改。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20.3 在投标截止时间至招标文件中规定的投标有效期满之间的这段时间内，投标人不得撤回其投标。</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六、开标和评标 </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21</w:t>
      </w:r>
      <w:r>
        <w:rPr>
          <w:rFonts w:hint="eastAsia" w:ascii="宋体" w:hAnsi="宋体" w:cs="宋体"/>
          <w:b/>
          <w:bCs/>
          <w:color w:val="auto"/>
          <w:sz w:val="24"/>
          <w:highlight w:val="none"/>
          <w:lang w:val="zh-CN"/>
        </w:rPr>
        <w:t xml:space="preserve">、开标</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21.2开标仪式由采购代理机构组织。苏采云系统将自动对项目进行开标，并宣布各投标人名称和投标价格。</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spacing w:line="360" w:lineRule="auto"/>
        <w:rPr>
          <w:rFonts w:hint="eastAsia" w:ascii="宋体" w:hAnsi="宋体" w:cs="宋体"/>
          <w:b/>
          <w:bCs/>
          <w:color w:val="auto"/>
          <w:sz w:val="24"/>
          <w:highlight w:val="none"/>
          <w:lang w:val="zh-CN"/>
        </w:rPr>
        <w:outlineLvl w:val="9"/>
      </w:pPr>
      <w:r/>
      <w:bookmarkStart w:id="51" w:name="_Toc513029231"/>
      <w:r/>
      <w:bookmarkStart w:id="52" w:name="_Toc16938547"/>
      <w:r/>
      <w:bookmarkStart w:id="53" w:name="_Toc20823303"/>
      <w:r>
        <w:rPr>
          <w:rFonts w:hint="eastAsia" w:ascii="宋体" w:hAnsi="宋体" w:cs="宋体"/>
          <w:b/>
          <w:bCs/>
          <w:color w:val="auto"/>
          <w:sz w:val="24"/>
          <w:highlight w:val="none"/>
          <w:lang w:val="zh-CN"/>
        </w:rPr>
        <w:t xml:space="preserve">22、评标委员会</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22.1 开标后，采购代理机构将立即组织评标委员会（以下简称评委会）进行评标。</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22.3评委会独立工作，负责评审所有投标文件并确定中标侯选人。</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23、评标过程的保密与公正</w:t>
      </w:r>
      <w:bookmarkEnd w:id="51"/>
      <w:r/>
      <w:bookmarkEnd w:id="52"/>
      <w:r/>
      <w:bookmarkEnd w:id="53"/>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23.3 采购代理机构和评标委员会不向未中标的投标人解释未中标原因，也不公布评标过程中的相关细节。</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23.4 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bCs/>
          <w:color w:val="auto"/>
          <w:sz w:val="24"/>
          <w:highlight w:val="none"/>
          <w:lang w:val="zh-CN"/>
        </w:rPr>
        <w:outlineLvl w:val="9"/>
      </w:pPr>
      <w:r/>
      <w:bookmarkStart w:id="54" w:name="_Toc16938548"/>
      <w:r/>
      <w:bookmarkStart w:id="55" w:name="_Toc20823304"/>
      <w:r/>
      <w:bookmarkStart w:id="56" w:name="_Toc513029232"/>
      <w:r>
        <w:rPr>
          <w:rFonts w:hint="eastAsia" w:ascii="宋体" w:hAnsi="宋体" w:cs="宋体"/>
          <w:b/>
          <w:bCs/>
          <w:color w:val="auto"/>
          <w:sz w:val="24"/>
          <w:highlight w:val="none"/>
          <w:lang w:val="zh-CN"/>
        </w:rPr>
        <w:t xml:space="preserve">24、投标文件的澄清</w:t>
      </w:r>
      <w:bookmarkEnd w:id="54"/>
      <w:r/>
      <w:bookmarkEnd w:id="55"/>
      <w:r/>
      <w:bookmarkEnd w:id="56"/>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评标委员会并非对每个投标人都做澄清要求。</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24.3 接到评委会澄清、说明和补正要求的投标人如未按规定做出澄清、说明和补正，其风险由投标人自行承担。</w:t>
      </w:r>
      <w:r/>
    </w:p>
    <w:p>
      <w:pPr>
        <w:ind w:firstLine="482"/>
        <w:spacing w:line="360" w:lineRule="auto"/>
        <w:rPr>
          <w:rFonts w:hint="eastAsia" w:ascii="宋体" w:hAnsi="宋体" w:cs="宋体"/>
          <w:b/>
          <w:bCs/>
          <w:color w:val="auto"/>
          <w:sz w:val="24"/>
          <w:highlight w:val="none"/>
          <w:lang w:val="zh-CN"/>
        </w:rPr>
        <w:outlineLvl w:val="9"/>
      </w:pPr>
      <w:r/>
      <w:bookmarkStart w:id="57" w:name="_Toc513029233"/>
      <w:r/>
      <w:bookmarkStart w:id="58" w:name="_Toc16938549"/>
      <w:r/>
      <w:bookmarkStart w:id="59" w:name="_Toc20823305"/>
      <w:r>
        <w:rPr>
          <w:rFonts w:hint="eastAsia" w:ascii="宋体" w:hAnsi="宋体" w:cs="宋体"/>
          <w:b/>
          <w:bCs/>
          <w:color w:val="auto"/>
          <w:sz w:val="24"/>
          <w:highlight w:val="none"/>
          <w:lang w:val="zh-CN"/>
        </w:rPr>
        <w:t xml:space="preserve">25、对投标文件的初审</w:t>
      </w:r>
      <w:bookmarkEnd w:id="57"/>
      <w:r/>
      <w:bookmarkEnd w:id="58"/>
      <w:r/>
      <w:bookmarkEnd w:id="59"/>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25.1投标文件初审分为资格审查和符合性审查。</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25.4评委会将对确定为实质性响应的投标进行进一步审核，确定其是否有计算上或累加上的算术错误，修正错误的原则如下：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（1）投标文件中开标一览表内容与投标文件中相应内容不一致的，以开标一览表为准。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（2）大写金额和小写金额不一致的，以大写金额为准。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（4）总价金额与按单价汇总金额不一致的，以单价金额计算结果为准。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同时出现两种以上错误的，按照前款规定的顺序修正。</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cs="宋体"/>
          <w:color w:val="auto"/>
          <w:sz w:val="24"/>
          <w:highlight w:val="none"/>
          <w:lang w:val="zh-CN"/>
        </w:rPr>
        <w:outlineLvl w:val="9"/>
      </w:pPr>
      <w:r/>
      <w:bookmarkStart w:id="60" w:name="_Toc20823306"/>
      <w:r/>
      <w:bookmarkStart w:id="61" w:name="_Toc513029234"/>
      <w:r/>
      <w:bookmarkStart w:id="62" w:name="_Toc16938550"/>
      <w:r>
        <w:rPr>
          <w:rFonts w:hint="eastAsia" w:ascii="宋体" w:hAnsi="宋体" w:cs="宋体"/>
          <w:color w:val="auto"/>
          <w:sz w:val="24"/>
          <w:highlight w:val="none"/>
          <w:lang w:val="zh-CN"/>
        </w:rPr>
        <w:t xml:space="preserve">25.6投标人在开、评标全过程中应保持通讯畅通，及时登录苏采云系统查阅、答复相关信息，并安排专人与采购代理机构及评标委员会联系。</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26、</w:t>
      </w:r>
      <w:bookmarkEnd w:id="60"/>
      <w:r/>
      <w:bookmarkEnd w:id="61"/>
      <w:r/>
      <w:bookmarkEnd w:id="62"/>
      <w:r>
        <w:rPr>
          <w:rFonts w:hint="eastAsia" w:ascii="宋体" w:hAnsi="宋体" w:cs="宋体"/>
          <w:b/>
          <w:bCs/>
          <w:color w:val="auto"/>
          <w:sz w:val="24"/>
          <w:highlight w:val="none"/>
          <w:lang w:val="zh-CN"/>
        </w:rPr>
        <w:t xml:space="preserve">无效投标条款和废标条款</w:t>
      </w:r>
      <w:r/>
    </w:p>
    <w:p>
      <w:pPr>
        <w:ind w:firstLine="482"/>
        <w:spacing w:line="360" w:lineRule="auto"/>
        <w:rPr>
          <w:rFonts w:hint="eastAsia" w:ascii="宋体" w:hAnsi="宋体" w:cs="宋体"/>
          <w:b/>
          <w:bCs/>
          <w:color w:val="auto"/>
          <w:sz w:val="24"/>
          <w:highlight w:val="none"/>
          <w:lang w:val="zh-CN"/>
        </w:rPr>
        <w:outlineLvl w:val="9"/>
      </w:pPr>
      <w:r/>
      <w:bookmarkStart w:id="63" w:name="_Toc20823307"/>
      <w:r/>
      <w:bookmarkStart w:id="64" w:name="_Toc513029235"/>
      <w:r/>
      <w:bookmarkStart w:id="65" w:name="_Toc16938551"/>
      <w:r>
        <w:rPr>
          <w:rFonts w:hint="eastAsia" w:ascii="宋体" w:hAnsi="宋体" w:cs="宋体"/>
          <w:b/>
          <w:bCs/>
          <w:color w:val="auto"/>
          <w:sz w:val="24"/>
          <w:highlight w:val="none"/>
          <w:lang w:val="zh-CN"/>
        </w:rPr>
        <w:t xml:space="preserve">26.1无效投标条款</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 投标人在苏采云系统规定的时间内未成功解密电子投标文件的。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26.1.2 投标人未按照招标文件要求上传电子投标文件的。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26.1.3同一投标人提交两个（含两个）以上不同的投标报价的。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26.1.4投标人不具备招标文件中规定资格要求的。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26.1.5投标人的报价超过了采购预算或最高限价的。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26.1.6未通过符合性审查的。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 26.1.7不符合招标文件中规定的实质性要求和条件的</w:t>
      </w:r>
      <w:r>
        <w:rPr>
          <w:rFonts w:hint="eastAsia" w:ascii="宋体" w:hAnsi="宋体" w:cs="宋体"/>
          <w:b/>
          <w:bCs/>
          <w:color w:val="auto"/>
          <w:sz w:val="24"/>
          <w:highlight w:val="none"/>
          <w:lang w:val="zh-CN"/>
        </w:rPr>
        <w:t xml:space="preserve">（本招标文件中斜体且有下划线部分为实质性要求和条件）。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26.1.9 投标文件含有采购人不能接受的附加条件的。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26.1.11 投标文件未按照招标文件要求加盖CA电子公章的。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26.1.12其他法律、法规及本招标文件规定的属无效投标的情形。</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26.2废标条款</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26.2.1符合专业条件的供应商或者对招标文件作实质响应的供应商不足三家的。26.2.2出现影响采购公正的违法、违规行为的。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26.2.3因重大变故，采购任务取消的。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26.2.4评标委员会认定招标文件存在歧义、重大缺陷导致评审工作无法进行。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26.2.5 因苏采云系统系统故障原因造成开标不成功的。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26.3 投标截止时间结束后参加投标的供应商不足三家的处理：</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bCs/>
          <w:color w:val="auto"/>
          <w:sz w:val="24"/>
          <w:highlight w:val="none"/>
          <w:lang w:val="zh-CN"/>
        </w:rPr>
        <w:outlineLvl w:val="9"/>
      </w:pPr>
      <w:r/>
      <w:bookmarkStart w:id="66" w:name="_Toc120614219"/>
      <w:r>
        <w:rPr>
          <w:rFonts w:hint="eastAsia" w:ascii="宋体" w:hAnsi="宋体" w:cs="宋体"/>
          <w:b/>
          <w:bCs/>
          <w:color w:val="auto"/>
          <w:sz w:val="24"/>
          <w:highlight w:val="none"/>
          <w:lang w:val="zh-CN"/>
        </w:rPr>
        <w:t xml:space="preserve">六、</w:t>
      </w:r>
      <w:bookmarkEnd w:id="63"/>
      <w:r/>
      <w:bookmarkEnd w:id="64"/>
      <w:r/>
      <w:bookmarkEnd w:id="65"/>
      <w:r>
        <w:rPr>
          <w:rFonts w:hint="eastAsia" w:ascii="宋体" w:hAnsi="宋体" w:cs="宋体"/>
          <w:b/>
          <w:bCs/>
          <w:color w:val="auto"/>
          <w:sz w:val="24"/>
          <w:highlight w:val="none"/>
          <w:lang w:val="zh-CN"/>
        </w:rPr>
        <w:t xml:space="preserve">定标</w:t>
      </w:r>
      <w:bookmarkEnd w:id="66"/>
      <w:r/>
      <w:r/>
    </w:p>
    <w:p>
      <w:pPr>
        <w:ind w:firstLine="482"/>
        <w:spacing w:line="360" w:lineRule="auto"/>
        <w:rPr>
          <w:rFonts w:hint="eastAsia" w:ascii="宋体" w:hAnsi="宋体" w:cs="宋体"/>
          <w:b/>
          <w:bCs/>
          <w:color w:val="auto"/>
          <w:sz w:val="24"/>
          <w:highlight w:val="none"/>
          <w:lang w:val="zh-CN"/>
        </w:rPr>
        <w:outlineLvl w:val="9"/>
      </w:pPr>
      <w:r/>
      <w:bookmarkStart w:id="67" w:name="_Toc513029238"/>
      <w:r/>
      <w:bookmarkStart w:id="68" w:name="_Toc20823310"/>
      <w:r/>
      <w:bookmarkStart w:id="69" w:name="_Toc16938554"/>
      <w:r>
        <w:rPr>
          <w:rFonts w:hint="eastAsia" w:ascii="宋体" w:hAnsi="宋体" w:cs="宋体"/>
          <w:b/>
          <w:bCs/>
          <w:color w:val="auto"/>
          <w:sz w:val="24"/>
          <w:highlight w:val="none"/>
          <w:lang w:val="zh-CN"/>
        </w:rPr>
        <w:t xml:space="preserve">27、</w:t>
      </w:r>
      <w:bookmarkEnd w:id="67"/>
      <w:r>
        <w:rPr>
          <w:rFonts w:hint="eastAsia" w:ascii="宋体" w:hAnsi="宋体" w:cs="宋体"/>
          <w:b/>
          <w:bCs/>
          <w:color w:val="auto"/>
          <w:sz w:val="24"/>
          <w:highlight w:val="none"/>
          <w:lang w:val="zh-CN"/>
        </w:rPr>
        <w:t xml:space="preserve">确定</w:t>
      </w:r>
      <w:bookmarkEnd w:id="68"/>
      <w:r/>
      <w:bookmarkEnd w:id="69"/>
      <w:r>
        <w:rPr>
          <w:rFonts w:hint="eastAsia" w:ascii="宋体" w:hAnsi="宋体" w:cs="宋体"/>
          <w:b/>
          <w:bCs/>
          <w:color w:val="auto"/>
          <w:sz w:val="24"/>
          <w:highlight w:val="none"/>
          <w:lang w:val="zh-CN"/>
        </w:rPr>
        <w:t xml:space="preserve">中标单位</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27.1中标候选人的选取原则和数量见招标文件规定。 </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27.2 采购人应根据评委会推荐的中标候选人确定中标人。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27.3 采购代理机构将在“苏州市政府采购网”发布中标公告，公告期限为1个工作日。</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 若有充分证据证明，中标人出现下列情况之一的，一经查实，将被取消中标资格：</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27.4.1提供虚假材料谋取中标的。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27.4.2向采购人、采购代理机构行贿或者提供其他不正当利益的。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27.4.3属于本文件规定的无效条件，但在评标过程中又未被评委会发现的。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27.4.4与采购人或者其他供应商恶意串通的。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27.4.5采取不正当手段诋毁、排挤其他供应商的。</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 有下列情形之一的，视为投标人串通投标，投标无效：</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27.5.1不同投标人的投标文件由同一单位或者个人编制。</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27.5.2不同投标人委托同一单位或者个人办理投标事宜。</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27.5.3 不同投标人的投标文件载明的项目管理成员或者联系人员为同一人。</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27.5.4不同投标人的投标文件异常一致或者投标报价呈规律性差异。</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zh-CN"/>
        </w:rPr>
        <w:t xml:space="preserve">、投标文件的评价和比较</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.1评标委员会将仅对按招标文件有关规定确定为实质上响应招标文件要求的投标文件进行评价和比较。</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.3 最低的投标报价或最高的折扣比例是中标的重要条件，但不是唯一条件。</w:t>
      </w:r>
      <w:r/>
    </w:p>
    <w:p>
      <w:pPr>
        <w:ind w:firstLine="480"/>
        <w:spacing w:line="360" w:lineRule="auto"/>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28.4根据苏财购［2025］62号关于推动解决政府采购异常低价问题相关工作的通知，评审委员会启动异常低价投标（响应）审查的情形和具体要求，包括：</w:t>
      </w:r>
      <w:r/>
    </w:p>
    <w:p>
      <w:pPr>
        <w:ind w:firstLine="480"/>
        <w:spacing w:line="360" w:lineRule="auto"/>
        <w:rPr>
          <w:rFonts w:hint="default" w:ascii="宋体" w:hAnsi="宋体" w:cs="宋体"/>
          <w:b/>
          <w:bCs/>
          <w:color w:val="auto"/>
          <w:sz w:val="24"/>
          <w:highlight w:val="none"/>
          <w:lang w:val="en-US" w:eastAsia="zh-CN"/>
        </w:rPr>
        <w:outlineLvl w:val="9"/>
      </w:pPr>
      <w:r>
        <w:rPr>
          <w:rFonts w:hint="default" w:ascii="宋体" w:hAnsi="宋体" w:cs="宋体"/>
          <w:b/>
          <w:bCs/>
          <w:color w:val="auto"/>
          <w:sz w:val="24"/>
          <w:highlight w:val="none"/>
          <w:lang w:val="en-US" w:eastAsia="zh-CN"/>
        </w:rPr>
        <w:t xml:space="preserve">(一)评审过程中出现下列情形之一的，评审委员会应当启动异常低价投标(响应)审查程序:</w:t>
      </w:r>
      <w:r/>
    </w:p>
    <w:p>
      <w:pPr>
        <w:ind w:firstLine="480"/>
        <w:spacing w:line="360" w:lineRule="auto"/>
        <w:rPr>
          <w:rFonts w:hint="default" w:ascii="宋体" w:hAnsi="宋体" w:cs="宋体"/>
          <w:b/>
          <w:bCs/>
          <w:color w:val="auto"/>
          <w:sz w:val="24"/>
          <w:highlight w:val="none"/>
          <w:lang w:val="en-US" w:eastAsia="zh-CN"/>
        </w:rPr>
        <w:outlineLvl w:val="9"/>
      </w:pPr>
      <w:r>
        <w:rPr>
          <w:rFonts w:hint="default" w:ascii="宋体" w:hAnsi="宋体" w:cs="宋体"/>
          <w:b/>
          <w:bCs/>
          <w:color w:val="auto"/>
          <w:sz w:val="24"/>
          <w:highlight w:val="none"/>
          <w:lang w:val="en-US" w:eastAsia="zh-CN"/>
        </w:rPr>
        <w:t xml:space="preserve">1.投标(响应)报价低于采购项目预算50%的，即投标(响应)报价＜采购项目预算×50%</w:t>
      </w:r>
      <w:r>
        <w:rPr>
          <w:rFonts w:hint="eastAsia" w:ascii="宋体" w:hAnsi="宋体" w:cs="宋体"/>
          <w:b/>
          <w:bCs/>
          <w:color w:val="auto"/>
          <w:sz w:val="24"/>
          <w:highlight w:val="none"/>
          <w:lang w:val="en-US" w:eastAsia="zh-CN"/>
        </w:rPr>
        <w:t xml:space="preserve">；</w:t>
      </w:r>
      <w:r/>
    </w:p>
    <w:p>
      <w:pPr>
        <w:ind w:firstLine="480"/>
        <w:spacing w:line="360" w:lineRule="auto"/>
        <w:rPr>
          <w:rFonts w:hint="default" w:ascii="宋体" w:hAnsi="宋体" w:cs="宋体"/>
          <w:b/>
          <w:bCs/>
          <w:color w:val="auto"/>
          <w:sz w:val="24"/>
          <w:highlight w:val="none"/>
          <w:lang w:val="en-US" w:eastAsia="zh-CN"/>
        </w:rPr>
        <w:outlineLvl w:val="9"/>
      </w:pPr>
      <w:r>
        <w:rPr>
          <w:rFonts w:hint="default" w:ascii="宋体" w:hAnsi="宋体" w:cs="宋体"/>
          <w:b/>
          <w:bCs/>
          <w:color w:val="auto"/>
          <w:sz w:val="24"/>
          <w:highlight w:val="none"/>
          <w:lang w:val="en-US" w:eastAsia="zh-CN"/>
        </w:rPr>
        <w:t xml:space="preserve">2.投标(响应)报价低于采购项目最高限价45%的，即投标(响应)报价＜采购项目</w:t>
      </w:r>
      <w:r>
        <w:rPr>
          <w:rFonts w:hint="eastAsia" w:ascii="宋体" w:hAnsi="宋体" w:cs="宋体"/>
          <w:b/>
          <w:bCs/>
          <w:color w:val="auto"/>
          <w:sz w:val="24"/>
          <w:highlight w:val="none"/>
          <w:lang w:val="en-US" w:eastAsia="zh-CN"/>
        </w:rPr>
        <w:t xml:space="preserve">最高限价</w:t>
      </w:r>
      <w:r>
        <w:rPr>
          <w:rFonts w:hint="default" w:ascii="宋体" w:hAnsi="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45</w:t>
      </w:r>
      <w:r>
        <w:rPr>
          <w:rFonts w:hint="default" w:ascii="宋体" w:hAnsi="宋体" w:cs="宋体"/>
          <w:b/>
          <w:bCs/>
          <w:color w:val="auto"/>
          <w:sz w:val="24"/>
          <w:highlight w:val="none"/>
          <w:lang w:val="en-US" w:eastAsia="zh-CN"/>
        </w:rPr>
        <w:t xml:space="preserve">%；</w:t>
      </w:r>
      <w:r/>
    </w:p>
    <w:p>
      <w:pPr>
        <w:ind w:firstLine="480"/>
        <w:spacing w:line="360" w:lineRule="auto"/>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3.</w:t>
      </w:r>
      <w:r>
        <w:rPr>
          <w:rFonts w:hint="default" w:ascii="宋体" w:hAnsi="宋体" w:cs="宋体"/>
          <w:b/>
          <w:bCs/>
          <w:color w:val="auto"/>
          <w:sz w:val="24"/>
          <w:highlight w:val="none"/>
          <w:lang w:val="en-US" w:eastAsia="zh-CN"/>
        </w:rPr>
        <w:t xml:space="preserve">评审委员会认定的供应商报价过低、有可能影响产品质量或者不能诚信履约的其他情形。</w:t>
      </w:r>
      <w:r/>
    </w:p>
    <w:p>
      <w:pPr>
        <w:ind w:firstLine="480"/>
        <w:spacing w:line="360" w:lineRule="auto"/>
        <w:rPr>
          <w:rFonts w:hint="default" w:ascii="宋体" w:hAnsi="宋体" w:cs="宋体"/>
          <w:b/>
          <w:bCs/>
          <w:color w:val="auto"/>
          <w:sz w:val="24"/>
          <w:highlight w:val="none"/>
          <w:lang w:val="en-US" w:eastAsia="zh-CN"/>
        </w:rPr>
        <w:outlineLvl w:val="9"/>
      </w:pPr>
      <w:r>
        <w:rPr>
          <w:rFonts w:hint="default" w:ascii="宋体" w:hAnsi="宋体" w:cs="宋体"/>
          <w:b/>
          <w:bCs/>
          <w:color w:val="auto"/>
          <w:sz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七、确定中标原则：</w:t>
      </w:r>
      <w:r/>
    </w:p>
    <w:p>
      <w:pPr>
        <w:ind w:firstLine="482"/>
        <w:spacing w:line="360" w:lineRule="auto"/>
        <w:tabs>
          <w:tab w:val="left" w:pos="567" w:leader="none"/>
        </w:tabs>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rPr>
        <w:t xml:space="preserve">29.</w:t>
      </w:r>
      <w:r>
        <w:rPr>
          <w:rFonts w:hint="eastAsia" w:ascii="宋体" w:hAnsi="宋体" w:cs="宋体"/>
          <w:b/>
          <w:bCs/>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spacing w:line="360" w:lineRule="auto"/>
        <w:tabs>
          <w:tab w:val="left" w:pos="567" w:leader="none"/>
        </w:tabs>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£根据委托代理协议内容，由采购人授权评标委员会直接确定中标供应商。</w:t>
      </w:r>
      <w:bookmarkStart w:id="70" w:name="_Toc2583655"/>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八、</w:t>
      </w:r>
      <w:bookmarkEnd w:id="70"/>
      <w:r>
        <w:rPr>
          <w:rFonts w:hint="eastAsia" w:ascii="宋体" w:hAnsi="宋体" w:cs="宋体"/>
          <w:b/>
          <w:color w:val="auto"/>
          <w:sz w:val="24"/>
          <w:highlight w:val="none"/>
          <w:lang w:val="zh-CN"/>
        </w:rPr>
        <w:t xml:space="preserve">中标通知书</w:t>
      </w:r>
      <w:r/>
    </w:p>
    <w:p>
      <w:pPr>
        <w:ind w:firstLine="480"/>
        <w:spacing w:line="360" w:lineRule="auto"/>
        <w:rPr>
          <w:rFonts w:hint="eastAsia" w:ascii="宋体" w:hAnsi="宋体" w:cs="宋体"/>
          <w:bCs/>
          <w:color w:val="auto"/>
          <w:sz w:val="24"/>
          <w:highlight w:val="none"/>
          <w:lang w:val="zh-CN"/>
        </w:rPr>
        <w:outlineLvl w:val="9"/>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bCs/>
          <w:color w:val="auto"/>
          <w:sz w:val="24"/>
          <w:highlight w:val="none"/>
          <w:lang w:val="zh-CN"/>
        </w:rPr>
        <w:outlineLvl w:val="9"/>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九、告知招标结果</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29.1 对未通过资格审查的投标人，告知其未通过的原因。</w:t>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十、签订合同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30.1中标供应商应当自发出中标通知书之日起30日内，与采购人签订合同。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30.2招标文件、中标供应商的投标文件及其澄清文件等，均为签订合同的依据。</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30.3中标人无正当理由不得拒绝签订政府采购合同。</w:t>
      </w:r>
      <w:r/>
    </w:p>
    <w:p>
      <w:pPr>
        <w:ind w:firstLine="482"/>
        <w:spacing w:line="360" w:lineRule="auto"/>
        <w:rPr>
          <w:rFonts w:hint="eastAsia" w:ascii="宋体" w:hAnsi="宋体" w:cs="宋体"/>
          <w:b/>
          <w:color w:val="auto"/>
          <w:sz w:val="24"/>
          <w:highlight w:val="none"/>
          <w:lang w:val="zh-CN"/>
        </w:rPr>
        <w:outlineLvl w:val="9"/>
      </w:pPr>
      <w:r>
        <w:rPr>
          <w:rFonts w:hint="eastAsia" w:ascii="宋体" w:hAnsi="宋体" w:cs="宋体"/>
          <w:b/>
          <w:color w:val="auto"/>
          <w:sz w:val="24"/>
          <w:highlight w:val="none"/>
          <w:lang w:val="zh-CN"/>
        </w:rPr>
        <w:t xml:space="preserve">十一、其他事项</w:t>
      </w:r>
      <w:r/>
    </w:p>
    <w:p>
      <w:pPr>
        <w:ind w:firstLine="482"/>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lang w:val="zh-CN"/>
        </w:rPr>
        <w:t xml:space="preserve">31、中标服务费</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按照苏财购告【2016】31号规定的收费标准收取，以下计算方法确定招标代理服务费收费金额：</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预算金额100万以下费率为预算金额的1.5%；</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预算金额100－500万费率为预算金额的1.1%；</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预算金额500－1000万费率为预算金额的0.8%；</w:t>
      </w:r>
      <w:r/>
    </w:p>
    <w:p>
      <w:pPr>
        <w:ind w:firstLine="480"/>
        <w:spacing w:line="360" w:lineRule="auto"/>
        <w:rPr>
          <w:rFonts w:hint="eastAsia" w:ascii="宋体" w:hAnsi="宋体" w:cs="宋体"/>
          <w:color w:val="auto"/>
          <w:sz w:val="24"/>
          <w:szCs w:val="24"/>
          <w:highlight w:val="none"/>
          <w:lang w:val="zh-CN"/>
        </w:rPr>
        <w:outlineLvl w:val="9"/>
      </w:pPr>
      <w:r>
        <w:rPr>
          <w:rFonts w:hint="eastAsia" w:ascii="宋体" w:hAnsi="宋体" w:cs="宋体"/>
          <w:color w:val="auto"/>
          <w:sz w:val="24"/>
          <w:highlight w:val="none"/>
          <w:lang w:val="zh-CN"/>
        </w:rPr>
        <w:t xml:space="preserve">预算金额1000－5000万费率为预算金额的0.5%；</w:t>
      </w:r>
      <w:r>
        <w:rPr>
          <w:rFonts w:hint="eastAsia" w:ascii="宋体" w:hAnsi="宋体" w:cs="宋体"/>
          <w:color w:val="auto"/>
          <w:sz w:val="24"/>
          <w:szCs w:val="24"/>
          <w:highlight w:val="none"/>
          <w:lang w:val="zh-CN"/>
        </w:rPr>
      </w:r>
      <w:r/>
    </w:p>
    <w:p>
      <w:pPr>
        <w:ind w:firstLine="480"/>
        <w:spacing w:line="360" w:lineRule="auto"/>
        <w:rPr>
          <w:rFonts w:hint="eastAsia" w:ascii="宋体" w:hAnsi="宋体" w:cs="宋体"/>
          <w:color w:val="auto"/>
          <w:sz w:val="24"/>
          <w:szCs w:val="24"/>
          <w:highlight w:val="none"/>
          <w:lang w:val="zh-CN"/>
        </w:rPr>
        <w:outlineLvl w:val="9"/>
      </w:pPr>
      <w:r>
        <w:rPr>
          <w:rFonts w:hint="eastAsia" w:ascii="宋体" w:hAnsi="宋体" w:cs="宋体"/>
          <w:color w:val="auto"/>
          <w:sz w:val="24"/>
          <w:highlight w:val="none"/>
          <w:lang w:val="zh-CN"/>
        </w:rPr>
      </w:r>
      <w:r>
        <w:rPr>
          <w:rFonts w:hint="eastAsia" w:ascii="宋体" w:hAnsi="宋体" w:cs="宋体"/>
          <w:color w:val="auto"/>
          <w:sz w:val="24"/>
          <w:highlight w:val="none"/>
          <w:lang w:val="zh-CN"/>
        </w:rPr>
        <w:t xml:space="preserve">预算金额</w:t>
      </w:r>
      <w:r>
        <w:rPr>
          <w:rFonts w:hint="eastAsia" w:ascii="宋体" w:hAnsi="宋体" w:cs="宋体"/>
          <w:color w:val="auto"/>
          <w:sz w:val="24"/>
          <w:highlight w:val="none"/>
          <w:lang w:val="zh-CN"/>
        </w:rPr>
        <w:t xml:space="preserve">5000万元以上</w:t>
      </w:r>
      <w:r>
        <w:rPr>
          <w:rFonts w:hint="eastAsia" w:ascii="宋体" w:hAnsi="宋体" w:cs="宋体"/>
          <w:color w:val="auto"/>
          <w:sz w:val="24"/>
          <w:highlight w:val="none"/>
          <w:lang w:val="zh-CN"/>
        </w:rPr>
        <w:t xml:space="preserve">费率为预算金额的0.25%；</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代理服务费按上述规定的标准和差额定率累进法进行计算收取,领取中标通知书时向采购代理机构一次性付清。</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例：若预算金额为150万，则代理服务费＝（100×1.5%＋（150－100）×1.1%）</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中标服务费收款账号：</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账户名：苏州日丰招投标代理有限公司</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账号：32201988636051560473 </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开户行：建设银行苏州高新技术产业开发区支行</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缴纳服务费时中标人需提供开票信息：单位公司名称、地址、电话、税号、开户银行、账号。</w:t>
      </w:r>
      <w:r/>
    </w:p>
    <w:p>
      <w:pPr>
        <w:ind w:firstLine="482"/>
        <w:spacing w:line="360" w:lineRule="auto"/>
        <w:rPr>
          <w:rFonts w:hint="eastAsia" w:ascii="宋体" w:hAnsi="宋体" w:cs="宋体"/>
          <w:b/>
          <w:bCs/>
          <w:color w:val="auto"/>
          <w:sz w:val="24"/>
          <w:highlight w:val="none"/>
          <w:lang w:val="zh-CN"/>
        </w:rPr>
        <w:outlineLvl w:val="9"/>
      </w:pPr>
      <w:r/>
      <w:bookmarkStart w:id="71" w:name="EB0f9f45dd5e234a13a81c333deb906690"/>
      <w:r/>
      <w:bookmarkEnd w:id="71"/>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履约保证金</w:t>
      </w:r>
      <w:r/>
    </w:p>
    <w:p>
      <w:pPr>
        <w:ind w:firstLine="482"/>
        <w:spacing w:line="360" w:lineRule="auto"/>
        <w:rPr>
          <w:rFonts w:hint="eastAsia" w:ascii="宋体" w:hAnsi="宋体" w:cs="宋体"/>
          <w:color w:val="auto"/>
          <w:sz w:val="24"/>
          <w:highlight w:val="none"/>
          <w:lang w:val="zh-CN"/>
        </w:rPr>
        <w:outlineLvl w:val="9"/>
      </w:pPr>
      <w:r>
        <w:rPr>
          <w:rFonts w:hint="eastAsia" w:ascii="宋体" w:hAnsi="宋体" w:cs="宋体"/>
          <w:b/>
          <w:bCs/>
          <w:color w:val="auto"/>
          <w:sz w:val="24"/>
          <w:highlight w:val="none"/>
        </w:rPr>
        <w:t xml:space="preserve">32.1</w:t>
      </w:r>
      <w:r>
        <w:rPr>
          <w:rFonts w:hint="eastAsia" w:ascii="宋体" w:hAnsi="宋体" w:cs="宋体"/>
          <w:b/>
          <w:bCs/>
          <w:color w:val="auto"/>
          <w:sz w:val="24"/>
          <w:highlight w:val="none"/>
          <w:lang w:val="zh-CN"/>
        </w:rPr>
        <w:t xml:space="preserve">合同签订前，中标单位向采购单位交付合同</w:t>
      </w:r>
      <w:r>
        <w:rPr>
          <w:rFonts w:hint="eastAsia" w:ascii="宋体" w:hAnsi="宋体" w:cs="宋体"/>
          <w:b/>
          <w:bCs/>
          <w:color w:val="auto"/>
          <w:sz w:val="24"/>
          <w:highlight w:val="none"/>
        </w:rPr>
        <w:t xml:space="preserve">总价款</w:t>
      </w:r>
      <w:r>
        <w:rPr>
          <w:rFonts w:hint="eastAsia" w:ascii="宋体" w:hAnsi="宋体" w:cs="宋体"/>
          <w:b/>
          <w:bCs/>
          <w:color w:val="auto"/>
          <w:sz w:val="24"/>
          <w:highlight w:val="none"/>
          <w:lang w:val="zh-CN"/>
        </w:rPr>
        <w:t xml:space="preserve">2％的履约保证金</w:t>
      </w:r>
      <w:r>
        <w:rPr>
          <w:rFonts w:hint="eastAsia" w:ascii="宋体" w:hAnsi="宋体" w:cs="宋体"/>
          <w:color w:val="auto"/>
          <w:sz w:val="24"/>
          <w:highlight w:val="none"/>
          <w:lang w:val="zh-CN"/>
        </w:rPr>
        <w:t xml:space="preserve">。</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、监督和公证</w:t>
      </w:r>
      <w:r/>
    </w:p>
    <w:p>
      <w:pPr>
        <w:ind w:firstLine="48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.1政府有关监督部门将对招投标全过程进行监督。</w:t>
      </w:r>
      <w:r/>
    </w:p>
    <w:p>
      <w:pPr>
        <w:ind w:firstLine="482"/>
        <w:spacing w:line="360" w:lineRule="auto"/>
        <w:rPr>
          <w:rFonts w:hint="eastAsia" w:ascii="宋体" w:hAnsi="宋体" w:cs="宋体"/>
          <w:b/>
          <w:bCs/>
          <w:color w:val="auto"/>
          <w:sz w:val="24"/>
          <w:highlight w:val="none"/>
          <w:lang w:val="zh-CN"/>
        </w:rPr>
        <w:outlineLvl w:val="9"/>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zh-CN"/>
        </w:rPr>
        <w:t xml:space="preserve">、未尽事宜</w:t>
      </w:r>
      <w:r/>
    </w:p>
    <w:p>
      <w:pPr>
        <w:ind w:firstLine="480"/>
        <w:spacing w:line="360" w:lineRule="auto"/>
        <w:rPr>
          <w:rFonts w:hint="eastAsia" w:ascii="宋体" w:hAnsi="宋体" w:cs="宋体"/>
          <w:color w:val="auto"/>
          <w:sz w:val="24"/>
          <w:szCs w:val="24"/>
          <w:highlight w:val="none"/>
        </w:rPr>
        <w:outlineLvl w:val="9"/>
      </w:pPr>
      <w:r>
        <w:rPr>
          <w:rFonts w:hint="eastAsia" w:ascii="宋体" w:hAnsi="宋体" w:cs="宋体"/>
          <w:color w:val="auto"/>
          <w:sz w:val="24"/>
          <w:highlight w:val="none"/>
          <w:lang w:val="zh-CN"/>
        </w:rPr>
        <w:t xml:space="preserve">按《中华人民共和国政府采购法》及其他有关政府采购的法律法规的规定执行</w:t>
      </w:r>
      <w:r>
        <w:rPr>
          <w:rFonts w:hint="eastAsia" w:ascii="宋体" w:hAnsi="宋体" w:cs="宋体"/>
          <w:bCs/>
          <w:color w:val="auto"/>
          <w:sz w:val="24"/>
          <w:highlight w:val="none"/>
        </w:rPr>
        <w:t xml:space="preserve">。</w:t>
      </w:r>
      <w:r/>
    </w:p>
    <w:p>
      <w:pPr>
        <w:pStyle w:val="993"/>
        <w:pageBreakBefore/>
        <w:spacing w:line="360" w:lineRule="auto"/>
        <w:rPr>
          <w:rFonts w:hint="eastAsia" w:ascii="宋体" w:hAnsi="宋体" w:eastAsia="宋体"/>
          <w:color w:val="auto"/>
          <w:sz w:val="36"/>
          <w:szCs w:val="36"/>
          <w:highlight w:val="none"/>
        </w:rPr>
      </w:pPr>
      <w:r/>
      <w:bookmarkStart w:id="72" w:name="_Toc54615245"/>
      <w:r/>
      <w:bookmarkStart w:id="73" w:name="_Toc23624"/>
      <w:r/>
      <w:bookmarkStart w:id="74" w:name="_Toc27080"/>
      <w:r/>
      <w:bookmarkStart w:id="75" w:name="_Toc35266027"/>
      <w:r/>
      <w:bookmarkStart w:id="76" w:name="_Toc38368127"/>
      <w:r/>
      <w:bookmarkStart w:id="77" w:name="_Toc28875"/>
      <w:r/>
      <w:bookmarkStart w:id="78" w:name="_Toc32276"/>
      <w:r/>
      <w:bookmarkStart w:id="79" w:name="_Toc21428"/>
      <w:r/>
      <w:bookmarkStart w:id="80" w:name="_Toc25391"/>
      <w:r>
        <w:rPr>
          <w:rFonts w:hint="eastAsia" w:ascii="宋体" w:hAnsi="宋体" w:eastAsia="宋体"/>
          <w:color w:val="auto"/>
          <w:sz w:val="36"/>
          <w:szCs w:val="36"/>
          <w:highlight w:val="none"/>
        </w:rPr>
        <w:t xml:space="preserve">第三章 合同条款及</w:t>
      </w:r>
      <w:bookmarkEnd w:id="32"/>
      <w:r/>
      <w:bookmarkEnd w:id="33"/>
      <w:r/>
      <w:bookmarkEnd w:id="34"/>
      <w:r/>
      <w:bookmarkEnd w:id="35"/>
      <w:r/>
      <w:bookmarkEnd w:id="36"/>
      <w:r>
        <w:rPr>
          <w:rFonts w:hint="eastAsia" w:ascii="宋体" w:hAnsi="宋体" w:eastAsia="宋体"/>
          <w:color w:val="auto"/>
          <w:sz w:val="36"/>
          <w:szCs w:val="36"/>
          <w:highlight w:val="none"/>
        </w:rPr>
        <w:t xml:space="preserve">格式</w:t>
      </w:r>
      <w:bookmarkEnd w:id="72"/>
      <w:r/>
      <w:bookmarkEnd w:id="73"/>
      <w:r/>
      <w:bookmarkEnd w:id="74"/>
      <w:r/>
      <w:bookmarkEnd w:id="75"/>
      <w:r/>
      <w:bookmarkEnd w:id="76"/>
      <w:r/>
      <w:bookmarkEnd w:id="77"/>
      <w:r/>
      <w:bookmarkEnd w:id="78"/>
      <w:r/>
      <w:bookmarkEnd w:id="79"/>
      <w:r/>
      <w:bookmarkEnd w:id="80"/>
      <w:r/>
      <w:r/>
    </w:p>
    <w:p>
      <w:pPr>
        <w:ind w:firstLine="420"/>
        <w:spacing w:after="0" w:line="240" w:lineRule="auto"/>
        <w:rPr>
          <w:rFonts w:hint="eastAsia" w:ascii="宋体" w:hAnsi="宋体"/>
          <w:color w:val="auto"/>
          <w:highlight w:val="none"/>
        </w:rPr>
      </w:pPr>
      <w:r/>
      <w:bookmarkStart w:id="81" w:name="EB445c3bd035294764b52dfc379b7b9568"/>
      <w:r/>
      <w:bookmarkEnd w:id="81"/>
      <w:r/>
      <w:r/>
    </w:p>
    <w:p>
      <w:pPr>
        <w:ind w:firstLine="480"/>
        <w:spacing w:after="120" w:line="360" w:lineRule="auto"/>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以下为中标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后签定本项目合同的通用条款，中标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供应商不得提出实质性的修改。</w:t>
      </w:r>
      <w:r/>
    </w:p>
    <w:p>
      <w:pPr>
        <w:ind w:firstLine="643"/>
        <w:jc w:val="center"/>
        <w:spacing w:after="120" w:line="360" w:lineRule="auto"/>
        <w:rPr>
          <w:b/>
          <w:bCs/>
          <w:color w:val="auto"/>
          <w:sz w:val="32"/>
          <w:szCs w:val="32"/>
          <w:highlight w:val="none"/>
        </w:rPr>
      </w:pPr>
      <w:r>
        <w:rPr>
          <w:rFonts w:hint="eastAsia"/>
          <w:b/>
          <w:bCs/>
          <w:color w:val="auto"/>
          <w:sz w:val="32"/>
          <w:szCs w:val="32"/>
          <w:highlight w:val="none"/>
        </w:rPr>
        <w:t xml:space="preserve">张家港市政府采购合同</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p>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乙方：（卖方）</w:t>
      </w:r>
      <w:r/>
    </w:p>
    <w:p>
      <w:pPr>
        <w:ind w:firstLine="480"/>
        <w:spacing w:after="12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甲、乙双方根据苏州日丰招投标代理有限公司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项目公开招标的采购结果，签署本合同。</w:t>
      </w:r>
      <w:r/>
    </w:p>
    <w:p>
      <w:pPr>
        <w:ind w:firstLine="482"/>
        <w:spacing w:after="12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一、服务内容</w:t>
      </w:r>
      <w:r/>
    </w:p>
    <w:tbl>
      <w:tblPr>
        <w:tblStyle w:val="792"/>
        <w:tblW w:w="996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37"/>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p>
        </w:tc>
      </w:tr>
      <w:tr>
        <w:trPr>
          <w:cantSplit/>
          <w:trHeight w:val="686"/>
        </w:trPr>
        <w:tc>
          <w:tcPr>
            <w:tcBorders>
              <w:top w:val="single" w:color="auto" w:sz="4" w:space="0"/>
              <w:left w:val="single" w:color="auto" w:sz="4" w:space="0"/>
              <w:bottom w:val="single" w:color="auto" w:sz="4" w:space="0"/>
              <w:right w:val="single" w:color="auto" w:sz="4" w:space="0"/>
            </w:tcBorders>
            <w:tcW w:w="3425" w:type="dxa"/>
            <w:vAlign w:val="center"/>
            <w:textDirection w:val="lrTb"/>
            <w:noWrap w:val="false"/>
          </w:tcPr>
          <w:p>
            <w:pPr>
              <w:ind w:firstLine="480"/>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113" w:type="dxa"/>
            <w:vAlign w:val="center"/>
            <w:textDirection w:val="lrTb"/>
            <w:noWrap w:val="false"/>
          </w:tcPr>
          <w:p>
            <w:pPr>
              <w:ind w:firstLine="480"/>
              <w:jc w:val="center"/>
              <w:spacing w:after="120" w:line="360" w:lineRule="auto"/>
              <w:rPr>
                <w:rFonts w:hint="eastAsia" w:ascii="宋体" w:hAnsi="宋体" w:cs="宋体"/>
                <w:color w:val="auto"/>
                <w:sz w:val="24"/>
                <w:highlight w:val="none"/>
              </w:rPr>
            </w:pPr>
            <w:r>
              <w:rPr>
                <w:rFonts w:ascii="宋体" w:hAnsi="宋体" w:cs="宋体"/>
                <w:color w:val="auto"/>
                <w:sz w:val="24"/>
                <w:highlight w:val="none"/>
              </w:rPr>
              <w:t xml:space="preserve">详见第四章项目需求</w:t>
            </w:r>
            <w:r/>
          </w:p>
        </w:tc>
      </w:tr>
    </w:tbl>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二、合同金额</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2.1本合同金额为（大写）：</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人民币。</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82" w:name="bookmark234"/>
      <w:r/>
      <w:bookmarkStart w:id="83" w:name="bookmark232"/>
      <w:r/>
      <w:bookmarkStart w:id="84" w:name="bookmark235"/>
      <w:r/>
      <w:bookmarkStart w:id="85" w:name="bookmark233"/>
      <w:r>
        <w:rPr>
          <w:rFonts w:hint="eastAsia" w:ascii="宋体" w:hAnsi="宋体" w:eastAsia="宋体" w:cs="宋体"/>
          <w:b/>
          <w:bCs/>
          <w:color w:val="auto"/>
          <w:sz w:val="24"/>
          <w:highlight w:val="none"/>
          <w:lang w:eastAsia="zh-CN"/>
        </w:rPr>
        <w:t xml:space="preserve">三</w:t>
      </w:r>
      <w:bookmarkEnd w:id="82"/>
      <w:r>
        <w:rPr>
          <w:rFonts w:hint="eastAsia" w:ascii="宋体" w:hAnsi="宋体" w:eastAsia="宋体" w:cs="宋体"/>
          <w:b/>
          <w:bCs/>
          <w:color w:val="auto"/>
          <w:sz w:val="24"/>
          <w:highlight w:val="none"/>
          <w:lang w:eastAsia="zh-CN"/>
        </w:rPr>
        <w:t xml:space="preserve">、履约保证金</w:t>
      </w:r>
      <w:bookmarkEnd w:id="83"/>
      <w:r/>
      <w:bookmarkEnd w:id="84"/>
      <w:r/>
      <w:bookmarkEnd w:id="85"/>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3.1合同签订前，乙方向采购单位交纳人民币</w:t>
      </w:r>
      <w:r>
        <w:rPr>
          <w:rFonts w:hint="eastAsia" w:ascii="宋体" w:hAnsi="宋体" w:eastAsia="宋体" w:cs="宋体"/>
          <w:b/>
          <w:bCs/>
          <w:color w:val="auto"/>
          <w:sz w:val="24"/>
          <w:highlight w:val="none"/>
          <w:u w:val="single"/>
          <w:lang w:val="zh-CN" w:eastAsia="zh-CN"/>
        </w:rPr>
        <w:t xml:space="preserve">（合同金额的</w:t>
      </w:r>
      <w:r>
        <w:rPr>
          <w:rFonts w:hint="eastAsia" w:ascii="宋体" w:hAnsi="宋体" w:eastAsia="宋体" w:cs="宋体"/>
          <w:b/>
          <w:bCs/>
          <w:color w:val="auto"/>
          <w:sz w:val="24"/>
          <w:highlight w:val="none"/>
          <w:u w:val="single"/>
          <w:lang w:eastAsia="zh-CN"/>
        </w:rPr>
        <w:t xml:space="preserve">2%</w:t>
      </w:r>
      <w:r>
        <w:rPr>
          <w:rFonts w:hint="eastAsia" w:ascii="宋体" w:hAnsi="宋体" w:eastAsia="宋体" w:cs="宋体"/>
          <w:b/>
          <w:bCs/>
          <w:color w:val="auto"/>
          <w:sz w:val="24"/>
          <w:highlight w:val="none"/>
          <w:u w:val="single"/>
          <w:lang w:val="zh-CN" w:eastAsia="zh-CN"/>
        </w:rPr>
        <w:t xml:space="preserve">）</w:t>
      </w:r>
      <w:r>
        <w:rPr>
          <w:rFonts w:hint="eastAsia" w:ascii="宋体" w:hAnsi="宋体" w:eastAsia="宋体" w:cs="宋体"/>
          <w:color w:val="auto"/>
          <w:sz w:val="24"/>
          <w:highlight w:val="none"/>
          <w:lang w:eastAsia="zh-CN"/>
        </w:rPr>
        <w:t xml:space="preserve">作为本合同的履约保证金。</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3.2甲方付清全部合同金额的同时返还履约保证金。逾期退还的，应当支付逾期利息，且逾期利息的利率不得低于合同订立时1年期贷款市场报价利率。</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3.3乙方不履行与甲方订立的合同的，履约保证金不予退还。</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86" w:name="bookmark238"/>
      <w:r/>
      <w:bookmarkStart w:id="87" w:name="bookmark236"/>
      <w:r/>
      <w:bookmarkStart w:id="88" w:name="bookmark237"/>
      <w:r/>
      <w:bookmarkStart w:id="89" w:name="bookmark239"/>
      <w:r>
        <w:rPr>
          <w:rFonts w:hint="eastAsia" w:ascii="宋体" w:hAnsi="宋体" w:eastAsia="宋体" w:cs="宋体"/>
          <w:b/>
          <w:bCs/>
          <w:color w:val="auto"/>
          <w:sz w:val="24"/>
          <w:highlight w:val="none"/>
          <w:lang w:eastAsia="zh-CN"/>
        </w:rPr>
        <w:t xml:space="preserve">四</w:t>
      </w:r>
      <w:bookmarkEnd w:id="86"/>
      <w:r>
        <w:rPr>
          <w:rFonts w:hint="eastAsia" w:ascii="宋体" w:hAnsi="宋体" w:eastAsia="宋体" w:cs="宋体"/>
          <w:b/>
          <w:bCs/>
          <w:color w:val="auto"/>
          <w:sz w:val="24"/>
          <w:highlight w:val="none"/>
          <w:lang w:eastAsia="zh-CN"/>
        </w:rPr>
        <w:t xml:space="preserve">、转包或分包</w:t>
      </w:r>
      <w:bookmarkEnd w:id="87"/>
      <w:r/>
      <w:bookmarkEnd w:id="88"/>
      <w:r/>
      <w:bookmarkEnd w:id="89"/>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4.1本合同范围的服务，应由乙方直接提供，不得转让他人提供;</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4.2</w:t>
      </w:r>
      <w:r>
        <w:rPr>
          <w:rFonts w:hint="eastAsia" w:ascii="宋体" w:hAnsi="宋体" w:eastAsia="宋体" w:cs="宋体"/>
          <w:color w:val="auto"/>
          <w:sz w:val="24"/>
          <w:highlight w:val="none"/>
          <w:lang w:val="en-US" w:eastAsia="zh-CN"/>
        </w:rPr>
        <w:t xml:space="preserve">允许</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lang w:val="en-US" w:eastAsia="zh-CN"/>
        </w:rPr>
        <w:t xml:space="preserve">将部分</w:t>
      </w:r>
      <w:r>
        <w:rPr>
          <w:rFonts w:hint="eastAsia" w:ascii="宋体" w:hAnsi="宋体" w:eastAsia="宋体" w:cs="宋体"/>
          <w:color w:val="auto"/>
          <w:sz w:val="24"/>
          <w:highlight w:val="none"/>
          <w:lang w:eastAsia="zh-CN"/>
        </w:rPr>
        <w:t xml:space="preserve">服务分包</w:t>
      </w:r>
      <w:r>
        <w:rPr>
          <w:rFonts w:hint="eastAsia" w:ascii="宋体" w:hAnsi="宋体" w:eastAsia="宋体" w:cs="宋体"/>
          <w:color w:val="auto"/>
          <w:sz w:val="24"/>
          <w:highlight w:val="none"/>
          <w:lang w:val="en-US" w:eastAsia="zh-CN"/>
        </w:rPr>
        <w:t xml:space="preserve">给中小（微）企业完成</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90" w:name="bookmark242"/>
      <w:r/>
      <w:bookmarkStart w:id="91" w:name="bookmark241"/>
      <w:r/>
      <w:bookmarkStart w:id="92" w:name="bookmark243"/>
      <w:r/>
      <w:bookmarkStart w:id="93" w:name="bookmark240"/>
      <w:r>
        <w:rPr>
          <w:rFonts w:hint="eastAsia" w:ascii="宋体" w:hAnsi="宋体" w:eastAsia="宋体" w:cs="宋体"/>
          <w:b/>
          <w:bCs/>
          <w:color w:val="auto"/>
          <w:sz w:val="24"/>
          <w:highlight w:val="none"/>
          <w:lang w:eastAsia="zh-CN"/>
        </w:rPr>
        <w:t xml:space="preserve">五</w:t>
      </w:r>
      <w:bookmarkEnd w:id="90"/>
      <w:r>
        <w:rPr>
          <w:rFonts w:hint="eastAsia" w:ascii="宋体" w:hAnsi="宋体" w:eastAsia="宋体" w:cs="宋体"/>
          <w:b/>
          <w:bCs/>
          <w:color w:val="auto"/>
          <w:sz w:val="24"/>
          <w:highlight w:val="none"/>
          <w:lang w:eastAsia="zh-CN"/>
        </w:rPr>
        <w:t xml:space="preserve">、服务期限：</w:t>
      </w:r>
      <w:bookmarkEnd w:id="91"/>
      <w:r/>
      <w:bookmarkEnd w:id="92"/>
      <w:r/>
      <w:bookmarkEnd w:id="93"/>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u w:val="single"/>
          <w:lang w:eastAsia="zh-CN"/>
        </w:rPr>
        <w:outlineLvl w:val="9"/>
      </w:pPr>
      <w:r>
        <w:rPr>
          <w:rFonts w:hint="eastAsia" w:ascii="宋体" w:hAnsi="宋体" w:eastAsia="宋体" w:cs="宋体"/>
          <w:color w:val="auto"/>
          <w:sz w:val="24"/>
          <w:highlight w:val="none"/>
          <w:lang w:eastAsia="zh-CN"/>
        </w:rPr>
        <w:t xml:space="preserve">服务期限为三年。</w:t>
      </w:r>
      <w:r>
        <w:rPr>
          <w:rFonts w:hint="eastAsia" w:ascii="宋体" w:hAnsi="宋体" w:eastAsia="宋体" w:cs="宋体"/>
          <w:color w:val="auto"/>
          <w:sz w:val="24"/>
          <w:highlight w:val="none"/>
          <w:u w:val="single"/>
          <w:lang w:eastAsia="zh-CN"/>
        </w:rPr>
        <w:t xml:space="preserve">自    年    月    日至    年    月    日</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94" w:name="bookmark246"/>
      <w:r/>
      <w:bookmarkStart w:id="95" w:name="bookmark247"/>
      <w:r/>
      <w:bookmarkStart w:id="96" w:name="bookmark244"/>
      <w:r/>
      <w:bookmarkStart w:id="97" w:name="bookmark245"/>
      <w:r>
        <w:rPr>
          <w:rFonts w:hint="eastAsia" w:ascii="宋体" w:hAnsi="宋体" w:eastAsia="宋体" w:cs="宋体"/>
          <w:b/>
          <w:bCs/>
          <w:color w:val="auto"/>
          <w:sz w:val="24"/>
          <w:highlight w:val="none"/>
          <w:lang w:eastAsia="zh-CN"/>
        </w:rPr>
        <w:t xml:space="preserve">六</w:t>
      </w:r>
      <w:bookmarkEnd w:id="94"/>
      <w:r>
        <w:rPr>
          <w:rFonts w:hint="eastAsia" w:ascii="宋体" w:hAnsi="宋体" w:eastAsia="宋体" w:cs="宋体"/>
          <w:b/>
          <w:bCs/>
          <w:color w:val="auto"/>
          <w:sz w:val="24"/>
          <w:highlight w:val="none"/>
          <w:lang w:eastAsia="zh-CN"/>
        </w:rPr>
        <w:t xml:space="preserve">、货款支付</w:t>
      </w:r>
      <w:bookmarkEnd w:id="95"/>
      <w:r/>
      <w:bookmarkEnd w:id="96"/>
      <w:r/>
      <w:bookmarkEnd w:id="97"/>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6.1 结付程序：供方按本合同内容合格地履行供货义务后，凭验收报告、销售发票到采购单位办理货款（或工程款）结算手续。 </w:t>
      </w:r>
      <w:r/>
    </w:p>
    <w:p>
      <w:pPr>
        <w:pStyle w:val="1114"/>
        <w:ind w:firstLine="500"/>
        <w:spacing w:line="440" w:lineRule="exac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6.2结付期限：</w:t>
      </w:r>
      <w:r/>
    </w:p>
    <w:p>
      <w:pPr>
        <w:pStyle w:val="1114"/>
        <w:ind w:firstLine="500"/>
        <w:spacing w:line="440" w:lineRule="exact"/>
        <w:rPr>
          <w:rStyle w:val="791"/>
          <w:rFonts w:hint="eastAsia" w:ascii="宋体" w:hAnsi="宋体" w:eastAsia="宋体" w:cs="宋体"/>
          <w:b w:val="0"/>
          <w:i w:val="0"/>
          <w:iCs/>
          <w:color w:val="auto"/>
          <w:spacing w:val="7"/>
          <w:sz w:val="24"/>
          <w:highlight w:val="none"/>
          <w:u w:val="none"/>
          <w:lang w:eastAsia="zh-CN"/>
        </w:rPr>
        <w:outlineLvl w:val="9"/>
      </w:pPr>
      <w:r>
        <w:rPr>
          <w:rStyle w:val="791"/>
          <w:rFonts w:hint="eastAsia" w:ascii="宋体" w:hAnsi="宋体" w:eastAsia="宋体" w:cs="宋体"/>
          <w:b w:val="0"/>
          <w:i w:val="0"/>
          <w:iCs/>
          <w:color w:val="auto"/>
          <w:spacing w:val="7"/>
          <w:sz w:val="24"/>
          <w:highlight w:val="none"/>
          <w:u w:val="none"/>
          <w:lang w:val="en-US" w:eastAsia="zh-CN"/>
        </w:rPr>
        <w:t xml:space="preserve">本项目</w:t>
      </w:r>
      <w:r>
        <w:rPr>
          <w:rStyle w:val="791"/>
          <w:rFonts w:ascii="宋体" w:hAnsi="宋体" w:eastAsia="宋体" w:cs="宋体"/>
          <w:b w:val="0"/>
          <w:i w:val="0"/>
          <w:iCs/>
          <w:color w:val="auto"/>
          <w:spacing w:val="7"/>
          <w:sz w:val="24"/>
          <w:highlight w:val="none"/>
          <w:u w:val="none"/>
        </w:rPr>
        <w:t xml:space="preserve">预付款10%，</w:t>
      </w:r>
      <w:r>
        <w:rPr>
          <w:rStyle w:val="791"/>
          <w:rFonts w:hint="eastAsia" w:ascii="宋体" w:hAnsi="宋体" w:eastAsia="宋体" w:cs="宋体"/>
          <w:b w:val="0"/>
          <w:i w:val="0"/>
          <w:iCs/>
          <w:color w:val="auto"/>
          <w:spacing w:val="7"/>
          <w:sz w:val="24"/>
          <w:highlight w:val="none"/>
          <w:u w:val="none"/>
          <w:lang w:eastAsia="zh-CN"/>
        </w:rPr>
        <w:t xml:space="preserve">（</w:t>
      </w:r>
      <w:r>
        <w:rPr>
          <w:rStyle w:val="791"/>
          <w:rFonts w:hint="eastAsia" w:ascii="宋体" w:hAnsi="宋体" w:eastAsia="宋体" w:cs="宋体"/>
          <w:b w:val="0"/>
          <w:i w:val="0"/>
          <w:iCs/>
          <w:color w:val="auto"/>
          <w:spacing w:val="7"/>
          <w:sz w:val="24"/>
          <w:highlight w:val="none"/>
          <w:u w:val="none"/>
          <w:lang w:val="en-US" w:eastAsia="zh-CN"/>
        </w:rPr>
        <w:t xml:space="preserve">在签订合同时，供方明确表示无需预付款或者主动要求降低预付款比例的，</w:t>
      </w:r>
      <w:r>
        <w:rPr>
          <w:rStyle w:val="791"/>
          <w:rFonts w:ascii="宋体" w:hAnsi="宋体" w:eastAsia="宋体" w:cs="宋体"/>
          <w:b w:val="0"/>
          <w:i w:val="0"/>
          <w:iCs/>
          <w:color w:val="auto"/>
          <w:spacing w:val="7"/>
          <w:sz w:val="24"/>
          <w:highlight w:val="none"/>
          <w:u w:val="none"/>
        </w:rPr>
        <w:t xml:space="preserve">采购人</w:t>
      </w:r>
      <w:r>
        <w:rPr>
          <w:rStyle w:val="791"/>
          <w:rFonts w:hint="eastAsia" w:ascii="宋体" w:hAnsi="宋体" w:eastAsia="宋体" w:cs="宋体"/>
          <w:b w:val="0"/>
          <w:i w:val="0"/>
          <w:iCs/>
          <w:color w:val="auto"/>
          <w:spacing w:val="7"/>
          <w:sz w:val="24"/>
          <w:highlight w:val="none"/>
          <w:u w:val="none"/>
          <w:lang w:val="en-US" w:eastAsia="zh-CN"/>
        </w:rPr>
        <w:t xml:space="preserve">可不适用上述关于预付款的规定。</w:t>
      </w:r>
      <w:r>
        <w:rPr>
          <w:rStyle w:val="791"/>
          <w:rFonts w:hint="eastAsia" w:ascii="宋体" w:hAnsi="宋体" w:eastAsia="宋体" w:cs="宋体"/>
          <w:b w:val="0"/>
          <w:i w:val="0"/>
          <w:iCs/>
          <w:color w:val="auto"/>
          <w:spacing w:val="7"/>
          <w:sz w:val="24"/>
          <w:highlight w:val="none"/>
          <w:u w:val="none"/>
          <w:lang w:eastAsia="zh-CN"/>
        </w:rPr>
        <w:t xml:space="preserve">）</w:t>
      </w:r>
      <w:r>
        <w:rPr>
          <w:rStyle w:val="791"/>
          <w:rFonts w:ascii="宋体" w:hAnsi="宋体" w:eastAsia="宋体" w:cs="宋体"/>
          <w:b w:val="0"/>
          <w:i w:val="0"/>
          <w:iCs/>
          <w:color w:val="auto"/>
          <w:spacing w:val="7"/>
          <w:sz w:val="24"/>
          <w:highlight w:val="none"/>
          <w:u w:val="none"/>
        </w:rPr>
        <w:t xml:space="preserve">合同签订后，待整个服务项目所需设备、人员全部到位，经</w:t>
      </w:r>
      <w:r>
        <w:rPr>
          <w:rStyle w:val="791"/>
          <w:rFonts w:hint="eastAsia" w:ascii="宋体" w:hAnsi="宋体" w:eastAsia="宋体" w:cs="宋体"/>
          <w:b w:val="0"/>
          <w:i w:val="0"/>
          <w:iCs/>
          <w:color w:val="auto"/>
          <w:spacing w:val="7"/>
          <w:sz w:val="24"/>
          <w:highlight w:val="none"/>
          <w:u w:val="none"/>
          <w:lang w:val="en-US" w:eastAsia="zh-CN"/>
        </w:rPr>
        <w:t xml:space="preserve">采购</w:t>
      </w:r>
      <w:r>
        <w:rPr>
          <w:rStyle w:val="791"/>
          <w:rFonts w:ascii="宋体" w:hAnsi="宋体" w:eastAsia="宋体" w:cs="宋体"/>
          <w:b w:val="0"/>
          <w:i w:val="0"/>
          <w:iCs/>
          <w:color w:val="auto"/>
          <w:spacing w:val="7"/>
          <w:sz w:val="24"/>
          <w:highlight w:val="none"/>
          <w:u w:val="none"/>
        </w:rPr>
        <w:t xml:space="preserve">人认可后开始进行管理服务。</w:t>
      </w:r>
      <w:r>
        <w:rPr>
          <w:rFonts w:hint="eastAsia" w:ascii="宋体" w:hAnsi="宋体" w:eastAsia="宋体" w:cs="宋体"/>
          <w:i w:val="0"/>
          <w:iCs/>
          <w:color w:val="auto"/>
          <w:sz w:val="24"/>
          <w:highlight w:val="none"/>
          <w:u w:val="none"/>
          <w:lang w:eastAsia="zh-CN"/>
        </w:rPr>
        <w:t xml:space="preserve">根据</w:t>
      </w:r>
      <w:r>
        <w:rPr>
          <w:rFonts w:hint="eastAsia" w:ascii="宋体" w:hAnsi="宋体" w:eastAsia="宋体" w:cs="宋体"/>
          <w:i w:val="0"/>
          <w:iCs/>
          <w:color w:val="auto"/>
          <w:sz w:val="24"/>
          <w:highlight w:val="none"/>
          <w:u w:val="none"/>
          <w:lang w:val="en-US" w:eastAsia="zh-CN"/>
        </w:rPr>
        <w:t xml:space="preserve">采购</w:t>
      </w:r>
      <w:r>
        <w:rPr>
          <w:rFonts w:hint="eastAsia" w:ascii="宋体" w:hAnsi="宋体" w:eastAsia="宋体" w:cs="宋体"/>
          <w:i w:val="0"/>
          <w:iCs/>
          <w:color w:val="auto"/>
          <w:sz w:val="24"/>
          <w:highlight w:val="none"/>
          <w:u w:val="none"/>
          <w:lang w:eastAsia="zh-CN"/>
        </w:rPr>
        <w:t xml:space="preserve">人所需的南丰镇大环境卫生保洁市场化服务各个作业标准对中标人进行的环卫保洁服务质量进行检查、验收和百分考核，考核分值为满意度分值。考核每扣一分，扣除当月服务费800元，根据月度最终考评得分，计算当月服务费。连续二次得分在90分以下且在半个月的期限内整改不到位的，采购单位有权利终止合同。服务费每两个月支付一次。被市级以上通报的，一次扣1000元；通报后没有及时整改到位的，一次扣3000元</w:t>
      </w:r>
      <w:r>
        <w:rPr>
          <w:rStyle w:val="791"/>
          <w:rFonts w:ascii="宋体" w:hAnsi="宋体" w:eastAsia="宋体" w:cs="宋体"/>
          <w:b w:val="0"/>
          <w:i w:val="0"/>
          <w:iCs/>
          <w:color w:val="auto"/>
          <w:spacing w:val="7"/>
          <w:sz w:val="24"/>
          <w:highlight w:val="none"/>
          <w:u w:val="none"/>
        </w:rPr>
        <w:t xml:space="preserve">，最后一次付款不计利息，根据履约情况退还履约保证金</w:t>
      </w:r>
      <w:r>
        <w:rPr>
          <w:rStyle w:val="791"/>
          <w:rFonts w:hint="eastAsia" w:ascii="宋体" w:hAnsi="宋体" w:eastAsia="宋体" w:cs="宋体"/>
          <w:b w:val="0"/>
          <w:i w:val="0"/>
          <w:iCs/>
          <w:color w:val="auto"/>
          <w:spacing w:val="7"/>
          <w:sz w:val="24"/>
          <w:highlight w:val="none"/>
          <w:u w:val="none"/>
          <w:lang w:eastAsia="zh-CN"/>
        </w:rPr>
        <w:t xml:space="preserve">。</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6.3乙方收款账户：</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6.4甲方合同款支付方式：（若乙方为中小企业，不得强制其接受非现金支付方式）</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98" w:name="bookmark250"/>
      <w:r/>
      <w:bookmarkStart w:id="99" w:name="bookmark248"/>
      <w:r/>
      <w:bookmarkStart w:id="100" w:name="bookmark251"/>
      <w:r/>
      <w:bookmarkStart w:id="101" w:name="bookmark249"/>
      <w:r>
        <w:rPr>
          <w:rFonts w:hint="eastAsia" w:ascii="宋体" w:hAnsi="宋体" w:eastAsia="宋体" w:cs="宋体"/>
          <w:b/>
          <w:bCs/>
          <w:color w:val="auto"/>
          <w:sz w:val="24"/>
          <w:highlight w:val="none"/>
          <w:lang w:eastAsia="zh-CN"/>
        </w:rPr>
        <w:t xml:space="preserve">七</w:t>
      </w:r>
      <w:bookmarkEnd w:id="98"/>
      <w:r>
        <w:rPr>
          <w:rFonts w:hint="eastAsia" w:ascii="宋体" w:hAnsi="宋体" w:eastAsia="宋体" w:cs="宋体"/>
          <w:b/>
          <w:bCs/>
          <w:color w:val="auto"/>
          <w:sz w:val="24"/>
          <w:highlight w:val="none"/>
          <w:lang w:eastAsia="zh-CN"/>
        </w:rPr>
        <w:t xml:space="preserve">、税</w:t>
      </w:r>
      <w:bookmarkEnd w:id="99"/>
      <w:r/>
      <w:bookmarkEnd w:id="100"/>
      <w:r/>
      <w:bookmarkEnd w:id="101"/>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7.1本合同执行中相关的一切税费均由乙方负担。</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02" w:name="bookmark254"/>
      <w:r/>
      <w:bookmarkStart w:id="103" w:name="bookmark255"/>
      <w:r/>
      <w:bookmarkStart w:id="104" w:name="bookmark253"/>
      <w:r/>
      <w:bookmarkStart w:id="105" w:name="bookmark252"/>
      <w:r>
        <w:rPr>
          <w:rFonts w:hint="eastAsia" w:ascii="宋体" w:hAnsi="宋体" w:eastAsia="宋体" w:cs="宋体"/>
          <w:b/>
          <w:bCs/>
          <w:color w:val="auto"/>
          <w:sz w:val="24"/>
          <w:highlight w:val="none"/>
          <w:lang w:eastAsia="zh-CN"/>
        </w:rPr>
        <w:t xml:space="preserve">八</w:t>
      </w:r>
      <w:bookmarkEnd w:id="102"/>
      <w:r>
        <w:rPr>
          <w:rFonts w:hint="eastAsia" w:ascii="宋体" w:hAnsi="宋体" w:eastAsia="宋体" w:cs="宋体"/>
          <w:b/>
          <w:bCs/>
          <w:color w:val="auto"/>
          <w:sz w:val="24"/>
          <w:highlight w:val="none"/>
          <w:lang w:eastAsia="zh-CN"/>
        </w:rPr>
        <w:t xml:space="preserve">、管理事项</w:t>
      </w:r>
      <w:bookmarkEnd w:id="103"/>
      <w:r/>
      <w:bookmarkEnd w:id="104"/>
      <w:r/>
      <w:bookmarkEnd w:id="105"/>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按招标内容要求以及响应单位的承诺项目阐述。</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06" w:name="bookmark258"/>
      <w:r/>
      <w:bookmarkStart w:id="107" w:name="bookmark257"/>
      <w:r/>
      <w:bookmarkStart w:id="108" w:name="bookmark259"/>
      <w:r/>
      <w:bookmarkStart w:id="109" w:name="bookmark256"/>
      <w:r>
        <w:rPr>
          <w:rFonts w:hint="eastAsia" w:ascii="宋体" w:hAnsi="宋体" w:eastAsia="宋体" w:cs="宋体"/>
          <w:b/>
          <w:bCs/>
          <w:color w:val="auto"/>
          <w:sz w:val="24"/>
          <w:highlight w:val="none"/>
          <w:lang w:eastAsia="zh-CN"/>
        </w:rPr>
        <w:t xml:space="preserve">九</w:t>
      </w:r>
      <w:bookmarkEnd w:id="106"/>
      <w:r>
        <w:rPr>
          <w:rFonts w:hint="eastAsia" w:ascii="宋体" w:hAnsi="宋体" w:eastAsia="宋体" w:cs="宋体"/>
          <w:b/>
          <w:bCs/>
          <w:color w:val="auto"/>
          <w:sz w:val="24"/>
          <w:highlight w:val="none"/>
          <w:lang w:eastAsia="zh-CN"/>
        </w:rPr>
        <w:t xml:space="preserve">、双方权利义务</w:t>
      </w:r>
      <w:bookmarkEnd w:id="107"/>
      <w:r/>
      <w:bookmarkEnd w:id="108"/>
      <w:r/>
      <w:bookmarkEnd w:id="109"/>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9.1 甲方的权利和义务</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（一）甲方的权利和义务</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1、甲方按合同约定向乙方支付保洁服务费用；</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2、甲方有权指派专人定期不定期按照卫生保洁标准进行检查，如发现卫生不符合甲方要求，先以口头形式通知乙方立即整改；</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（二）乙方的权利和义务</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1、乙方保洁人员应服从甲方的管理，遵守甲方各项管理制度；</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2、乙方保洁人员必须身体健康、仪容端正、品德良好、无违法犯罪记录；</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3、乙方对保洁工作认真负责，并定期征求甲方对保洁工作的意见和建议，对存在的问题及时处理；</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4、乙方可根据自身的工作特点和甲方的保洁要求自行安排工作程序；</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5、乙方应遵循安全操作、文明作业的有关规定，在卫生保洁过程中采取严格的安全措施，如发生人身安全事故及意外事故，责任与费用由乙方承担；</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6、乙方负责保洁工的培训，保洁工作人员要统一着装上岗；</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7、乙方应爱护室内各种设施，注意节水节电；</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8、因乙方在保洁工作中给甲方设施、物品等造成损失的，视实际情况协商解决。</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9、乙方应及时调整不适应工作需求的保洁人员，如甲方认为该员工不能胜任本职工作的，必须调整。</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10、乙方提供本项目保洁服务所需的设备工具及物耗。</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10" w:name="bookmark274"/>
      <w:r/>
      <w:bookmarkStart w:id="111" w:name="bookmark273"/>
      <w:r/>
      <w:bookmarkStart w:id="112" w:name="bookmark275"/>
      <w:r>
        <w:rPr>
          <w:rFonts w:hint="eastAsia" w:ascii="宋体" w:hAnsi="宋体" w:eastAsia="宋体" w:cs="宋体"/>
          <w:b/>
          <w:bCs/>
          <w:color w:val="auto"/>
          <w:sz w:val="24"/>
          <w:highlight w:val="none"/>
          <w:lang w:eastAsia="zh-CN"/>
        </w:rPr>
        <w:t xml:space="preserve">十、服务质量</w:t>
      </w:r>
      <w:bookmarkEnd w:id="110"/>
      <w:r/>
      <w:bookmarkEnd w:id="111"/>
      <w:r/>
      <w:bookmarkEnd w:id="112"/>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乙方提供的管理服务应达到投标文件所约定的目标。对达标的理解有异议的，由双方共同认可的第三方予以评定。</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13" w:name="bookmark278"/>
      <w:r/>
      <w:bookmarkStart w:id="114" w:name="bookmark276"/>
      <w:r/>
      <w:bookmarkStart w:id="115" w:name="bookmark277"/>
      <w:r>
        <w:rPr>
          <w:rFonts w:hint="eastAsia" w:ascii="宋体" w:hAnsi="宋体" w:eastAsia="宋体" w:cs="宋体"/>
          <w:b/>
          <w:bCs/>
          <w:color w:val="auto"/>
          <w:sz w:val="24"/>
          <w:highlight w:val="none"/>
          <w:lang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、违约责任</w:t>
      </w:r>
      <w:bookmarkEnd w:id="113"/>
      <w:r/>
      <w:bookmarkEnd w:id="114"/>
      <w:r/>
      <w:bookmarkEnd w:id="115"/>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16" w:name="bookmark281"/>
      <w:r/>
      <w:bookmarkStart w:id="117" w:name="bookmark279"/>
      <w:r/>
      <w:bookmarkStart w:id="118" w:name="bookmark280"/>
      <w:r>
        <w:rPr>
          <w:rFonts w:hint="eastAsia" w:ascii="宋体" w:hAnsi="宋体" w:eastAsia="宋体" w:cs="宋体"/>
          <w:color w:val="auto"/>
          <w:sz w:val="24"/>
          <w:highlight w:val="none"/>
          <w:lang w:eastAsia="zh-CN"/>
        </w:rPr>
        <w:t xml:space="preserve">1、如甲方不能按期支付保洁费的，甲方应按有关规定支付滞纳金给乙方。</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2、乙方保洁服务如不符合或达不到甲方的要求，甲方书面告知乙方整改；若未按甲方要求及时整改或经整改后仍不能达到甲方要求，甲方有权终止合同，并要求乙方按服务费用的5%承担违约责任。</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3、因乙方管理不当造成甲方在市镇两级考核中两次进入灰榜的，甲方有权解除合同并不承担任何违约责任。</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lang w:eastAsia="zh-CN"/>
        </w:rPr>
        <w:t xml:space="preserve">十二、不可抗力事件处理</w:t>
      </w:r>
      <w:bookmarkEnd w:id="116"/>
      <w:r/>
      <w:bookmarkEnd w:id="117"/>
      <w:r/>
      <w:bookmarkEnd w:id="118"/>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12.1在合同有效期内，任何一方因不可抗力事件导致不能履行合同，则合同履行期可延长，其延长期与不可抗力影响期相同。</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12.2不可抗力事件发生后，应立即通知对方,并寄送有关权威机构出具的证明。</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12.3不可抗力事件延续120天以上，双方应通过友好协商，确定是否继续履行合同。</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19" w:name="bookmark282"/>
      <w:r/>
      <w:bookmarkStart w:id="120" w:name="bookmark283"/>
      <w:r/>
      <w:bookmarkStart w:id="121" w:name="bookmark284"/>
      <w:r>
        <w:rPr>
          <w:rFonts w:hint="eastAsia" w:ascii="宋体" w:hAnsi="宋体" w:eastAsia="宋体" w:cs="宋体"/>
          <w:b/>
          <w:bCs/>
          <w:color w:val="auto"/>
          <w:sz w:val="24"/>
          <w:highlight w:val="none"/>
          <w:lang w:eastAsia="zh-CN"/>
        </w:rPr>
        <w:t xml:space="preserve">十三、诉讼</w:t>
      </w:r>
      <w:bookmarkEnd w:id="119"/>
      <w:r/>
      <w:bookmarkEnd w:id="120"/>
      <w:r/>
      <w:bookmarkEnd w:id="121"/>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13.1双方在执行合同中所发生的一切争议，应通过协商解决。如协商不成，可向合同签订地法院起诉，合同签订地在此约定为张家港市。</w:t>
      </w:r>
      <w:r/>
    </w:p>
    <w:p>
      <w:pPr>
        <w:ind w:firstLine="482"/>
        <w:keepLines w:val="0"/>
        <w:keepNext w:val="0"/>
        <w:pageBreakBefore w:val="0"/>
        <w:spacing w:after="120" w:line="360" w:lineRule="auto"/>
        <w:widowControl w:val="off"/>
        <w:rPr>
          <w:rFonts w:hint="eastAsia" w:ascii="宋体" w:hAnsi="宋体" w:eastAsia="宋体" w:cs="宋体"/>
          <w:b/>
          <w:bCs/>
          <w:color w:val="auto"/>
          <w:sz w:val="24"/>
          <w:highlight w:val="none"/>
          <w:lang w:eastAsia="zh-CN"/>
        </w:rPr>
        <w:outlineLvl w:val="9"/>
      </w:pPr>
      <w:r/>
      <w:bookmarkStart w:id="122" w:name="bookmark286"/>
      <w:r/>
      <w:bookmarkStart w:id="123" w:name="bookmark287"/>
      <w:r/>
      <w:bookmarkStart w:id="124" w:name="bookmark285"/>
      <w:r>
        <w:rPr>
          <w:rFonts w:hint="eastAsia" w:ascii="宋体" w:hAnsi="宋体" w:eastAsia="宋体" w:cs="宋体"/>
          <w:b/>
          <w:bCs/>
          <w:color w:val="auto"/>
          <w:sz w:val="24"/>
          <w:highlight w:val="none"/>
          <w:lang w:eastAsia="zh-CN"/>
        </w:rPr>
        <w:t xml:space="preserve">十四、合同其他文件</w:t>
      </w:r>
      <w:bookmarkEnd w:id="122"/>
      <w:r/>
      <w:bookmarkEnd w:id="123"/>
      <w:r/>
      <w:bookmarkEnd w:id="124"/>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14.1下列文件为本合同不可分割部份，与本合同具有同等效力。</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25" w:name="bookmark288"/>
      <w:r/>
      <w:bookmarkEnd w:id="125"/>
      <w:r>
        <w:rPr>
          <w:rFonts w:hint="eastAsia" w:ascii="宋体" w:hAnsi="宋体" w:eastAsia="宋体" w:cs="宋体"/>
          <w:color w:val="auto"/>
          <w:sz w:val="24"/>
          <w:highlight w:val="none"/>
          <w:lang w:eastAsia="zh-CN"/>
        </w:rPr>
        <w:t xml:space="preserve">（1）《中华人民共和国政府采购法》；</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26" w:name="bookmark289"/>
      <w:r/>
      <w:bookmarkEnd w:id="126"/>
      <w:r>
        <w:rPr>
          <w:rFonts w:hint="eastAsia" w:ascii="宋体" w:hAnsi="宋体" w:eastAsia="宋体" w:cs="宋体"/>
          <w:color w:val="auto"/>
          <w:sz w:val="24"/>
          <w:highlight w:val="none"/>
          <w:lang w:eastAsia="zh-CN"/>
        </w:rPr>
        <w:t xml:space="preserve">（2）中标通知书；</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27" w:name="bookmark290"/>
      <w:r/>
      <w:bookmarkEnd w:id="127"/>
      <w:r>
        <w:rPr>
          <w:rFonts w:hint="eastAsia" w:ascii="宋体" w:hAnsi="宋体" w:eastAsia="宋体" w:cs="宋体"/>
          <w:color w:val="auto"/>
          <w:sz w:val="24"/>
          <w:highlight w:val="none"/>
          <w:lang w:eastAsia="zh-CN"/>
        </w:rPr>
        <w:t xml:space="preserve">（3）供方中标的投标书；</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28" w:name="bookmark291"/>
      <w:r/>
      <w:bookmarkEnd w:id="128"/>
      <w:r>
        <w:rPr>
          <w:rFonts w:hint="eastAsia" w:ascii="宋体" w:hAnsi="宋体" w:eastAsia="宋体" w:cs="宋体"/>
          <w:color w:val="auto"/>
          <w:sz w:val="24"/>
          <w:highlight w:val="none"/>
          <w:lang w:eastAsia="zh-CN"/>
        </w:rPr>
        <w:t xml:space="preserve">（4）招标文件；</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（5）供方在招投标过程中所作的其他承诺、声明、书面澄清等。</w:t>
      </w:r>
      <w:r/>
    </w:p>
    <w:p>
      <w:pPr>
        <w:ind w:firstLine="482"/>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bookmarkStart w:id="129" w:name="bookmark292"/>
      <w:r/>
      <w:bookmarkStart w:id="130" w:name="bookmark293"/>
      <w:r/>
      <w:bookmarkStart w:id="131" w:name="bookmark294"/>
      <w:r>
        <w:rPr>
          <w:rFonts w:hint="eastAsia" w:ascii="宋体" w:hAnsi="宋体" w:eastAsia="宋体" w:cs="宋体"/>
          <w:b/>
          <w:bCs/>
          <w:color w:val="auto"/>
          <w:sz w:val="24"/>
          <w:highlight w:val="none"/>
          <w:lang w:eastAsia="zh-CN"/>
        </w:rPr>
        <w:t xml:space="preserve">十五、合同生效及其它</w:t>
      </w:r>
      <w:bookmarkEnd w:id="129"/>
      <w:r/>
      <w:bookmarkEnd w:id="130"/>
      <w:r/>
      <w:bookmarkEnd w:id="131"/>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15.1合同经双方法定代表人(或负责人)或授权委托代表人签字并加盖单位公章后生效，生效后至张家港市政府采购管理中心备案。</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15.2本合同未尽事宜，遵照《民法典》合同编经甲乙双方协商一致可签订补充协议。</w:t>
      </w:r>
      <w:r/>
    </w:p>
    <w:p>
      <w:pPr>
        <w:ind w:firstLine="480"/>
        <w:keepLines w:val="0"/>
        <w:keepNext w:val="0"/>
        <w:pageBreakBefore w:val="0"/>
        <w:spacing w:after="12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15.3本合同正本一式六份，具有同等法律效力，甲方三份，乙方、张家港市政府采购管理中心、苏州日丰招投标代理有限公司各执一份</w:t>
      </w:r>
      <w:r>
        <w:rPr>
          <w:rFonts w:hint="eastAsia" w:ascii="宋体" w:hAnsi="宋体" w:eastAsia="宋体" w:cs="宋体"/>
          <w:color w:val="auto"/>
          <w:sz w:val="24"/>
          <w:highlight w:val="none"/>
        </w:rPr>
        <w:t xml:space="preserve">。</w:t>
      </w:r>
      <w:r/>
    </w:p>
    <w:p>
      <w:pPr>
        <w:rPr>
          <w:rFonts w:hint="eastAsia" w:ascii="宋体" w:hAnsi="宋体"/>
          <w:color w:val="auto"/>
          <w:sz w:val="20"/>
          <w:highlight w:val="none"/>
        </w:rPr>
      </w:pPr>
      <w:r>
        <w:rPr>
          <w:rFonts w:hint="eastAsia" w:ascii="宋体" w:hAnsi="宋体"/>
          <w:color w:val="auto"/>
          <w:sz w:val="20"/>
          <w:highlight w:val="none"/>
        </w:rPr>
      </w:r>
      <w:r/>
    </w:p>
    <w:p>
      <w:pPr>
        <w:pStyle w:val="993"/>
        <w:pageBreakBefore/>
        <w:spacing w:line="360" w:lineRule="auto"/>
        <w:rPr>
          <w:rFonts w:hint="eastAsia" w:ascii="宋体" w:hAnsi="宋体" w:eastAsia="宋体"/>
          <w:color w:val="auto"/>
          <w:highlight w:val="none"/>
        </w:rPr>
      </w:pPr>
      <w:r/>
      <w:bookmarkStart w:id="132" w:name="_Hlt16619350"/>
      <w:r/>
      <w:bookmarkStart w:id="133" w:name="_Toc31052"/>
      <w:r/>
      <w:bookmarkStart w:id="134" w:name="_Toc35266028"/>
      <w:r/>
      <w:bookmarkStart w:id="135" w:name="_Toc20823346"/>
      <w:r/>
      <w:bookmarkStart w:id="136" w:name="_Toc27415"/>
      <w:r/>
      <w:bookmarkStart w:id="137" w:name="_Toc18061"/>
      <w:r/>
      <w:bookmarkStart w:id="138" w:name="_Toc38368128"/>
      <w:r/>
      <w:bookmarkStart w:id="139" w:name="_Toc13157"/>
      <w:r/>
      <w:bookmarkStart w:id="140" w:name="_Toc54615246"/>
      <w:r/>
      <w:bookmarkStart w:id="141" w:name="_Toc27491"/>
      <w:r/>
      <w:bookmarkStart w:id="142" w:name="_Toc21468"/>
      <w:r/>
      <w:bookmarkStart w:id="143" w:name="_Toc120614244"/>
      <w:r/>
      <w:bookmarkStart w:id="144" w:name="_Toc16938590"/>
      <w:r/>
      <w:bookmarkStart w:id="145" w:name="_Toc462564139"/>
      <w:r/>
      <w:bookmarkStart w:id="146" w:name="_Toc479757211"/>
      <w:r>
        <w:rPr>
          <w:rFonts w:hint="eastAsia" w:ascii="宋体" w:hAnsi="宋体" w:eastAsia="宋体"/>
          <w:color w:val="auto"/>
          <w:highlight w:val="none"/>
        </w:rPr>
        <w:t xml:space="preserve">第</w:t>
      </w:r>
      <w:bookmarkEnd w:id="132"/>
      <w:r>
        <w:rPr>
          <w:rFonts w:hint="eastAsia" w:ascii="宋体" w:hAnsi="宋体" w:eastAsia="宋体"/>
          <w:color w:val="auto"/>
          <w:highlight w:val="none"/>
        </w:rPr>
        <w:t xml:space="preserve">四章 项目需求</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Start w:id="147" w:name="_Toc274321794"/>
      <w:r/>
      <w:bookmarkEnd w:id="147"/>
      <w:r/>
      <w:bookmarkStart w:id="148" w:name="_Toc319429198"/>
      <w:r/>
      <w:bookmarkEnd w:id="148"/>
      <w:r/>
      <w:bookmarkStart w:id="149" w:name="_Toc483515625"/>
      <w:r/>
      <w:bookmarkStart w:id="150" w:name="_Toc350255489"/>
      <w:r/>
      <w:bookmarkStart w:id="151" w:name="_Toc26554093"/>
      <w:r/>
      <w:bookmarkStart w:id="152" w:name="_Toc49090575"/>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029"/>
        <w:ind w:firstLine="500"/>
        <w:spacing w:line="440" w:lineRule="exact"/>
        <w:rPr>
          <w:rFonts w:hint="eastAsia" w:ascii="宋体" w:hAnsi="宋体" w:eastAsia="宋体" w:cs="宋体"/>
          <w:color w:val="auto"/>
          <w:highlight w:val="none"/>
        </w:rPr>
      </w:pPr>
      <w:r>
        <w:rPr>
          <w:rFonts w:ascii="宋体" w:hAnsi="宋体" w:eastAsia="宋体" w:cs="宋体"/>
          <w:color w:val="auto"/>
          <w:spacing w:val="7"/>
          <w:highlight w:val="none"/>
        </w:rPr>
        <w:t xml:space="preserve">1.清单</w:t>
      </w:r>
      <w:r/>
    </w:p>
    <w:tbl>
      <w:tblPr>
        <w:tblStyle w:val="79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2742"/>
        <w:gridCol w:w="798"/>
        <w:gridCol w:w="930"/>
        <w:gridCol w:w="990"/>
        <w:gridCol w:w="39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9"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42"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0"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3"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9"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42" w:type="dxa"/>
            <w:vAlign w:val="center"/>
            <w:textDirection w:val="lrTb"/>
            <w:noWrap w:val="false"/>
          </w:tcPr>
          <w:p>
            <w:pPr>
              <w:pStyle w:val="1077"/>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南丰镇2025-2028年度大环境卫生保洁项目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8"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0"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0" w:type="dxa"/>
            <w:vAlign w:val="center"/>
            <w:textDirection w:val="lrTb"/>
            <w:noWrap w:val="false"/>
          </w:tcPr>
          <w:p>
            <w:pPr>
              <w:pStyle w:val="1077"/>
              <w:jc w:val="center"/>
              <w:rPr>
                <w:rFonts w:hint="eastAsia" w:ascii="宋体" w:hAnsi="宋体" w:eastAsia="宋体" w:cs="宋体"/>
                <w:color w:val="auto"/>
                <w:highlight w:val="none"/>
              </w:rPr>
            </w:pPr>
            <w:r>
              <w:rPr>
                <w:rFonts w:ascii="宋体" w:hAnsi="宋体" w:eastAsia="宋体" w:cs="宋体"/>
                <w:color w:val="auto"/>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3" w:type="dxa"/>
            <w:vAlign w:val="center"/>
            <w:textDirection w:val="lrTb"/>
            <w:noWrap w:val="false"/>
          </w:tcPr>
          <w:p>
            <w:pPr>
              <w:pStyle w:val="1077"/>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其他未列明行业（包括科学研究和技术服务业，水利、环境和公共设施管理业，居民服务、修理和其他服务业，社会工作，文化、体育和娱乐业等）</w:t>
            </w:r>
            <w:r/>
          </w:p>
        </w:tc>
      </w:tr>
    </w:tbl>
    <w:p>
      <w:pPr>
        <w:pStyle w:val="1077"/>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ind w:firstLine="508"/>
        <w:keepLines w:val="0"/>
        <w:keepNext w:val="0"/>
        <w:pageBreakBefore w:val="0"/>
        <w:spacing w:after="120" w:line="360" w:lineRule="auto"/>
        <w:widowControl/>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54"/>
        <w:ind w:firstLine="508"/>
        <w:keepLines w:val="0"/>
        <w:keepNext w:val="0"/>
        <w:pageBreakBefore w:val="0"/>
        <w:spacing w:after="120" w:line="360" w:lineRule="auto"/>
        <w:widowControl/>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2.核心产品清单</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无</w:t>
      </w:r>
      <w:r/>
    </w:p>
    <w:p>
      <w:pPr>
        <w:pStyle w:val="1000"/>
        <w:ind w:firstLine="508"/>
        <w:keepLines w:val="0"/>
        <w:keepNext w:val="0"/>
        <w:pageBreakBefore w:val="0"/>
        <w:spacing w:after="120" w:line="360" w:lineRule="auto"/>
        <w:widowControl/>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000"/>
        <w:ind w:firstLine="508"/>
        <w:keepLines w:val="0"/>
        <w:keepNext w:val="0"/>
        <w:pageBreakBefore w:val="0"/>
        <w:spacing w:after="120" w:line="360" w:lineRule="auto"/>
        <w:widowControl/>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节能产品政府采购品目清单：无 </w:t>
      </w:r>
      <w:r/>
    </w:p>
    <w:p>
      <w:pPr>
        <w:pStyle w:val="1090"/>
        <w:ind w:firstLine="508"/>
        <w:keepLines w:val="0"/>
        <w:keepNext w:val="0"/>
        <w:pageBreakBefore w:val="0"/>
        <w:spacing w:after="120" w:line="360" w:lineRule="auto"/>
        <w:widowControl/>
        <w:rPr>
          <w:rFonts w:hint="eastAsia" w:ascii="宋体" w:hAnsi="宋体" w:eastAsia="宋体" w:cs="宋体"/>
          <w:color w:val="auto"/>
          <w:spacing w:val="7"/>
          <w:highlight w:val="none"/>
        </w:rPr>
        <w:outlineLvl w:val="9"/>
      </w:pPr>
      <w:r>
        <w:rPr>
          <w:rFonts w:ascii="宋体" w:hAnsi="宋体" w:eastAsia="宋体" w:cs="宋体"/>
          <w:color w:val="auto"/>
          <w:spacing w:val="7"/>
          <w:highlight w:val="none"/>
        </w:rPr>
        <w:t xml:space="preserve">环境标志产品政府采购品目清单:无</w:t>
      </w:r>
      <w:r/>
    </w:p>
    <w:p>
      <w:pPr>
        <w:spacing w:before="120" w:after="120" w:line="440" w:lineRule="exact"/>
        <w:rPr>
          <w:rFonts w:hint="eastAsia" w:ascii="宋体" w:hAnsi="宋体" w:cs="宋体"/>
          <w:b/>
          <w:color w:val="auto"/>
          <w:sz w:val="28"/>
          <w:szCs w:val="28"/>
          <w:highlight w:val="none"/>
        </w:rPr>
      </w:pPr>
      <w:r/>
      <w:bookmarkStart w:id="153" w:name="EB408f2104b2e44804a6615a1921eee37c"/>
      <w:r/>
      <w:bookmarkEnd w:id="153"/>
      <w:r>
        <w:rPr>
          <w:rFonts w:hint="eastAsia" w:ascii="宋体" w:hAnsi="宋体" w:cs="宋体"/>
          <w:b/>
          <w:color w:val="auto"/>
          <w:sz w:val="28"/>
          <w:szCs w:val="28"/>
          <w:highlight w:val="none"/>
        </w:rPr>
        <w:t xml:space="preserve">二、技术要求</w:t>
      </w:r>
      <w:bookmarkEnd w:id="149"/>
      <w:r/>
      <w:bookmarkEnd w:id="150"/>
      <w:r/>
      <w:r/>
    </w:p>
    <w:tbl>
      <w:tblPr>
        <w:tblStyle w:val="79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284"/>
        <w:gridCol w:w="81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68" w:type="dxa"/>
            <w:vAlign w:val="center"/>
            <w:textDirection w:val="lrTb"/>
            <w:noWrap w:val="false"/>
          </w:tcPr>
          <w:p>
            <w:pPr>
              <w:pStyle w:val="1001"/>
              <w:jc w:val="center"/>
              <w:rPr>
                <w:rFonts w:hint="eastAsia" w:ascii="宋体" w:hAnsi="宋体" w:eastAsia="宋体" w:cs="宋体"/>
                <w:color w:val="auto"/>
                <w:highlight w:val="none"/>
              </w:rPr>
            </w:pPr>
            <w:r/>
            <w:bookmarkStart w:id="154" w:name="EB46fc682c2c764bbdaed30f22794dcce7"/>
            <w:r/>
            <w:bookmarkEnd w:id="154"/>
            <w:r/>
            <w:bookmarkStart w:id="155" w:name="_Toc54615247"/>
            <w:r/>
            <w:bookmarkStart w:id="156" w:name="_Toc35266029"/>
            <w:r/>
            <w:bookmarkStart w:id="157" w:name="_Toc38368129"/>
            <w:r/>
            <w:bookmarkStart w:id="158" w:name="_Toc120614281"/>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84" w:type="dxa"/>
            <w:vAlign w:val="center"/>
            <w:textDirection w:val="lrTb"/>
            <w:noWrap w:val="false"/>
          </w:tcPr>
          <w:p>
            <w:pPr>
              <w:pStyle w:val="1001"/>
              <w:jc w:val="center"/>
              <w:rPr>
                <w:rFonts w:hint="eastAsia"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center"/>
              <w:rPr>
                <w:rFonts w:hint="eastAsia" w:ascii="宋体" w:hAnsi="宋体" w:eastAsia="宋体" w:cs="宋体"/>
                <w:color w:val="auto"/>
                <w:highlight w:val="none"/>
              </w:rPr>
            </w:pPr>
            <w:r>
              <w:rPr>
                <w:rFonts w:ascii="宋体" w:hAnsi="宋体" w:eastAsia="宋体" w:cs="宋体"/>
                <w:color w:val="auto"/>
                <w:highlight w:val="none"/>
              </w:rPr>
              <w:t xml:space="preserve">内容</w:t>
            </w:r>
            <w:r/>
          </w:p>
        </w:tc>
      </w:tr>
      <w:tr>
        <w:trPr>
          <w:trHeight w:val="2163"/>
        </w:trPr>
        <w:tc>
          <w:tcPr>
            <w:tcBorders>
              <w:top w:val="single" w:color="000000" w:sz="2" w:space="0"/>
              <w:left w:val="single" w:color="000000" w:sz="2" w:space="0"/>
              <w:bottom w:val="single" w:color="000000" w:sz="2" w:space="0"/>
              <w:right w:val="single" w:color="000000" w:sz="2" w:space="0"/>
            </w:tcBorders>
            <w:tcMar>
              <w:top w:w="100" w:type="dxa"/>
              <w:bottom w:w="100" w:type="dxa"/>
            </w:tcMar>
            <w:tcW w:w="568" w:type="dxa"/>
            <w:vAlign w:val="center"/>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84" w:type="dxa"/>
            <w:vAlign w:val="center"/>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ind w:firstLine="480"/>
              <w:jc w:val="left"/>
              <w:rPr>
                <w:rFonts w:ascii="宋体" w:hAnsi="宋体" w:eastAsia="宋体" w:cs="宋体"/>
                <w:color w:val="auto"/>
                <w:highlight w:val="none"/>
              </w:rPr>
            </w:pPr>
            <w:r>
              <w:rPr>
                <w:rFonts w:ascii="宋体" w:hAnsi="宋体" w:eastAsia="宋体" w:cs="宋体"/>
                <w:color w:val="auto"/>
                <w:highlight w:val="none"/>
              </w:rPr>
              <w:t xml:space="preserve">投标人需负责全镇建成区及东沙区域道路、公厕、开放小区等公共区域的卫生保洁，开放小区垃圾分类督导、二次分拣及收运处置，建筑装潢垃圾及大件垃圾的清运处置以及镇区病媒生物防制工作，对保洁区域内所有企业生活垃圾的清运处置，垃圾处置终端的运行和维护。通过对人员、装备等细化要求，提升服务质量，进一步提升全镇大环境卫生长效管理水平，总体提高作业效率和综合管理水平。为期3年。</w:t>
            </w:r>
            <w:r/>
          </w:p>
        </w:tc>
      </w:tr>
      <w:tr>
        <w:trPr>
          <w:trHeight w:val="2163"/>
        </w:trPr>
        <w:tc>
          <w:tcPr>
            <w:tcBorders>
              <w:top w:val="single" w:color="000000" w:sz="2" w:space="0"/>
              <w:left w:val="single" w:color="000000" w:sz="2" w:space="0"/>
              <w:bottom w:val="single" w:color="000000" w:sz="2" w:space="0"/>
              <w:right w:val="single" w:color="000000" w:sz="2" w:space="0"/>
            </w:tcBorders>
            <w:tcMar>
              <w:top w:w="100" w:type="dxa"/>
              <w:bottom w:w="100" w:type="dxa"/>
            </w:tcMar>
            <w:tcW w:w="568" w:type="dxa"/>
            <w:vAlign w:val="center"/>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84" w:type="dxa"/>
            <w:vAlign w:val="center"/>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1、保洁区域内所有道路（机动车、非机动车道、人行道板）清扫保洁、路面冲洗、洒水除尘；</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2、保洁区域内道路两侧绿化带、道路中间绿化隔离带、绿化景点垃圾捡拾及清理；</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3、保洁区域内所有公交候车亭（牌）保洁及站台、道路两侧小广告（乱涂、乱写、乱贴）的清除；</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4、保洁区域所有垃圾的分类督导及收集清运处置；</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5、保洁区域内产生的建筑装潢垃圾及路面零散建筑装潢垃圾的清运处置；</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6、对保洁区域内所有企业产生的生活垃圾每天分类督导、清运处置；</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7、保洁区域内的病媒防制工作；</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8、镇</w:t>
            </w:r>
            <w:r>
              <w:rPr>
                <w:rFonts w:hint="eastAsia" w:ascii="宋体" w:hAnsi="宋体" w:eastAsia="宋体" w:cs="宋体"/>
                <w:i/>
                <w:iCs/>
                <w:color w:val="auto"/>
                <w:highlight w:val="none"/>
                <w:u w:val="single"/>
                <w:lang w:val="en-US" w:eastAsia="zh-CN"/>
              </w:rPr>
              <w:t xml:space="preserve">环卫工作</w:t>
            </w:r>
            <w:r>
              <w:rPr>
                <w:rFonts w:hint="eastAsia" w:ascii="宋体" w:hAnsi="宋体" w:eastAsia="宋体" w:cs="宋体"/>
                <w:i/>
                <w:iCs/>
                <w:color w:val="auto"/>
                <w:highlight w:val="none"/>
                <w:u w:val="single"/>
                <w:lang w:eastAsia="zh-CN"/>
              </w:rPr>
              <w:t xml:space="preserve">站</w:t>
            </w:r>
            <w:r>
              <w:rPr>
                <w:rFonts w:hint="eastAsia" w:ascii="宋体" w:hAnsi="宋体" w:eastAsia="宋体" w:cs="宋体"/>
                <w:i/>
                <w:iCs/>
                <w:color w:val="auto"/>
                <w:highlight w:val="none"/>
                <w:u w:val="single"/>
                <w:lang w:val="en-US" w:eastAsia="zh-CN"/>
              </w:rPr>
              <w:t xml:space="preserve">的</w:t>
            </w:r>
            <w:r>
              <w:rPr>
                <w:rFonts w:hint="eastAsia" w:ascii="宋体" w:hAnsi="宋体" w:eastAsia="宋体" w:cs="宋体"/>
                <w:i/>
                <w:iCs/>
                <w:color w:val="auto"/>
                <w:highlight w:val="none"/>
                <w:u w:val="single"/>
                <w:lang w:eastAsia="zh-CN"/>
              </w:rPr>
              <w:t xml:space="preserve">管理运行和维护；</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9、镇农林废弃物处置中心管理；</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10、镇区</w:t>
            </w:r>
            <w:r>
              <w:rPr>
                <w:rFonts w:hint="eastAsia" w:ascii="宋体" w:hAnsi="宋体" w:eastAsia="宋体" w:cs="宋体"/>
                <w:i/>
                <w:iCs/>
                <w:color w:val="auto"/>
                <w:highlight w:val="none"/>
                <w:u w:val="single"/>
                <w:lang w:val="en-US" w:eastAsia="zh-CN"/>
              </w:rPr>
              <w:t xml:space="preserve">12座</w:t>
            </w:r>
            <w:r>
              <w:rPr>
                <w:rFonts w:hint="eastAsia" w:ascii="宋体" w:hAnsi="宋体" w:eastAsia="宋体" w:cs="宋体"/>
                <w:i/>
                <w:iCs/>
                <w:color w:val="auto"/>
                <w:highlight w:val="none"/>
                <w:u w:val="single"/>
                <w:lang w:eastAsia="zh-CN"/>
              </w:rPr>
              <w:t xml:space="preserve">公厕、永联片区</w:t>
            </w:r>
            <w:r>
              <w:rPr>
                <w:rFonts w:hint="eastAsia" w:ascii="宋体" w:hAnsi="宋体" w:eastAsia="宋体" w:cs="宋体"/>
                <w:i/>
                <w:iCs/>
                <w:color w:val="auto"/>
                <w:highlight w:val="none"/>
                <w:u w:val="single"/>
                <w:lang w:val="en-US" w:eastAsia="zh-CN"/>
              </w:rPr>
              <w:t xml:space="preserve">3</w:t>
            </w:r>
            <w:r>
              <w:rPr>
                <w:rFonts w:hint="eastAsia" w:ascii="宋体" w:hAnsi="宋体" w:eastAsia="宋体" w:cs="宋体"/>
                <w:i/>
                <w:iCs/>
                <w:color w:val="auto"/>
                <w:highlight w:val="none"/>
                <w:u w:val="single"/>
                <w:lang w:eastAsia="zh-CN"/>
              </w:rPr>
              <w:t xml:space="preserve">座公厕、东沙片区3座公厕管理运行</w:t>
            </w:r>
            <w:r>
              <w:rPr>
                <w:rFonts w:hint="eastAsia" w:ascii="宋体" w:hAnsi="宋体" w:eastAsia="宋体" w:cs="宋体"/>
                <w:i/>
                <w:iCs/>
                <w:color w:val="auto"/>
                <w:highlight w:val="none"/>
                <w:u w:val="single"/>
                <w:lang w:val="en-US" w:eastAsia="zh-CN"/>
              </w:rPr>
              <w:t xml:space="preserve">维护</w:t>
            </w:r>
            <w:r>
              <w:rPr>
                <w:rFonts w:hint="eastAsia" w:ascii="宋体" w:hAnsi="宋体" w:eastAsia="宋体" w:cs="宋体"/>
                <w:i/>
                <w:iCs/>
                <w:color w:val="auto"/>
                <w:highlight w:val="none"/>
                <w:u w:val="single"/>
                <w:lang w:eastAsia="zh-CN"/>
              </w:rPr>
              <w:t xml:space="preserve">；</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11、沿街餐饮门店餐厨垃圾上门收运；</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12、</w:t>
            </w:r>
            <w:r>
              <w:rPr>
                <w:rFonts w:hint="eastAsia" w:ascii="宋体" w:hAnsi="宋体" w:eastAsia="宋体" w:cs="宋体"/>
                <w:i/>
                <w:iCs/>
                <w:color w:val="auto"/>
                <w:highlight w:val="none"/>
                <w:u w:val="single"/>
                <w:lang w:val="en-US" w:eastAsia="zh-CN"/>
              </w:rPr>
              <w:t xml:space="preserve">无条件配合</w:t>
            </w:r>
            <w:r>
              <w:rPr>
                <w:rFonts w:hint="eastAsia" w:ascii="宋体" w:hAnsi="宋体" w:eastAsia="宋体" w:cs="宋体"/>
                <w:i/>
                <w:iCs/>
                <w:color w:val="auto"/>
                <w:highlight w:val="none"/>
                <w:u w:val="single"/>
                <w:lang w:eastAsia="zh-CN"/>
              </w:rPr>
              <w:t xml:space="preserve">镇区内突发性、临时性的有关环境卫生保洁相关应急</w:t>
            </w:r>
            <w:r>
              <w:rPr>
                <w:rFonts w:hint="eastAsia" w:ascii="宋体" w:hAnsi="宋体" w:eastAsia="宋体" w:cs="宋体"/>
                <w:i/>
                <w:iCs/>
                <w:color w:val="auto"/>
                <w:highlight w:val="none"/>
                <w:u w:val="single"/>
                <w:lang w:val="en-US" w:eastAsia="zh-CN"/>
              </w:rPr>
              <w:t xml:space="preserve">、</w:t>
            </w:r>
            <w:r>
              <w:rPr>
                <w:rFonts w:hint="eastAsia" w:ascii="宋体" w:hAnsi="宋体" w:eastAsia="宋体" w:cs="宋体"/>
                <w:i/>
                <w:iCs/>
                <w:color w:val="auto"/>
                <w:highlight w:val="none"/>
                <w:u w:val="single"/>
                <w:lang w:eastAsia="zh-CN"/>
              </w:rPr>
              <w:t xml:space="preserve">保障工作；</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13、全镇有害垃圾及时送至暂存点，处置、管理并按要求做好相关</w:t>
            </w:r>
            <w:r>
              <w:rPr>
                <w:rFonts w:hint="eastAsia" w:ascii="宋体" w:hAnsi="宋体" w:eastAsia="宋体" w:cs="宋体"/>
                <w:i/>
                <w:iCs/>
                <w:color w:val="auto"/>
                <w:highlight w:val="none"/>
                <w:u w:val="single"/>
                <w:lang w:val="en-US" w:eastAsia="zh-CN"/>
              </w:rPr>
              <w:t xml:space="preserve">台账</w:t>
            </w:r>
            <w:r>
              <w:rPr>
                <w:rFonts w:hint="eastAsia" w:ascii="宋体" w:hAnsi="宋体" w:eastAsia="宋体" w:cs="宋体"/>
                <w:i/>
                <w:iCs/>
                <w:color w:val="auto"/>
                <w:highlight w:val="none"/>
                <w:u w:val="single"/>
                <w:lang w:eastAsia="zh-CN"/>
              </w:rPr>
              <w:t xml:space="preserve">；</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14、保洁区域内产生大件垃圾及时清运、处置，按要求做好相关</w:t>
            </w:r>
            <w:r>
              <w:rPr>
                <w:rFonts w:hint="eastAsia" w:ascii="宋体" w:hAnsi="宋体" w:eastAsia="宋体" w:cs="宋体"/>
                <w:i/>
                <w:iCs/>
                <w:color w:val="auto"/>
                <w:highlight w:val="none"/>
                <w:u w:val="single"/>
                <w:lang w:val="en-US" w:eastAsia="zh-CN"/>
              </w:rPr>
              <w:t xml:space="preserve">台账</w:t>
            </w:r>
            <w:r>
              <w:rPr>
                <w:rFonts w:hint="eastAsia" w:ascii="宋体" w:hAnsi="宋体" w:eastAsia="宋体" w:cs="宋体"/>
                <w:i/>
                <w:iCs/>
                <w:color w:val="auto"/>
                <w:highlight w:val="none"/>
                <w:u w:val="single"/>
                <w:lang w:eastAsia="zh-CN"/>
              </w:rPr>
              <w:t xml:space="preserve">；</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val="en-US" w:eastAsia="zh-CN"/>
              </w:rPr>
              <w:t xml:space="preserve">15、按照上级要求做好环卫安全、演练等安全培训和相关台账；</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eastAsia="zh-CN"/>
              </w:rPr>
              <w:t xml:space="preserve">1</w:t>
            </w:r>
            <w:r>
              <w:rPr>
                <w:rFonts w:hint="eastAsia" w:ascii="宋体" w:hAnsi="宋体" w:eastAsia="宋体" w:cs="宋体"/>
                <w:i/>
                <w:iCs/>
                <w:color w:val="auto"/>
                <w:highlight w:val="none"/>
                <w:u w:val="single"/>
                <w:lang w:val="en-US" w:eastAsia="zh-CN"/>
              </w:rPr>
              <w:t xml:space="preserve">6</w:t>
            </w:r>
            <w:r>
              <w:rPr>
                <w:rFonts w:hint="eastAsia" w:ascii="宋体" w:hAnsi="宋体" w:eastAsia="宋体" w:cs="宋体"/>
                <w:i/>
                <w:iCs/>
                <w:color w:val="auto"/>
                <w:highlight w:val="none"/>
                <w:u w:val="single"/>
                <w:lang w:eastAsia="zh-CN"/>
              </w:rPr>
              <w:t xml:space="preserve">、规范运行</w:t>
            </w:r>
            <w:r>
              <w:rPr>
                <w:rFonts w:hint="eastAsia" w:ascii="宋体" w:hAnsi="宋体" w:eastAsia="宋体" w:cs="宋体"/>
                <w:i/>
                <w:iCs/>
                <w:color w:val="auto"/>
                <w:highlight w:val="none"/>
                <w:u w:val="single"/>
                <w:lang w:val="en-US" w:eastAsia="zh-CN"/>
              </w:rPr>
              <w:t xml:space="preserve">可回收物分拣中心</w:t>
            </w:r>
            <w:r>
              <w:rPr>
                <w:rFonts w:hint="eastAsia" w:ascii="宋体" w:hAnsi="宋体" w:eastAsia="宋体" w:cs="宋体"/>
                <w:i/>
                <w:iCs/>
                <w:color w:val="auto"/>
                <w:highlight w:val="none"/>
                <w:u w:val="single"/>
                <w:lang w:eastAsia="zh-CN"/>
              </w:rPr>
              <w:t xml:space="preserve">，按要求配备人员、车辆，确保辖区内可回收垃圾及时收运处</w:t>
            </w:r>
            <w:r>
              <w:rPr>
                <w:rFonts w:hint="eastAsia" w:ascii="宋体" w:hAnsi="宋体" w:eastAsia="宋体" w:cs="宋体"/>
                <w:i/>
                <w:iCs/>
                <w:color w:val="auto"/>
                <w:highlight w:val="none"/>
                <w:u w:val="single"/>
                <w:lang w:val="en-US" w:eastAsia="zh-CN"/>
              </w:rPr>
              <w:t xml:space="preserve">置</w:t>
            </w:r>
            <w:r>
              <w:rPr>
                <w:rFonts w:hint="eastAsia" w:ascii="宋体" w:hAnsi="宋体" w:eastAsia="宋体" w:cs="宋体"/>
                <w:i/>
                <w:iCs/>
                <w:color w:val="auto"/>
                <w:highlight w:val="none"/>
                <w:u w:val="single"/>
                <w:lang w:eastAsia="zh-CN"/>
              </w:rPr>
              <w:t xml:space="preserve">。</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val="en-US" w:eastAsia="zh-CN"/>
              </w:rPr>
              <w:t xml:space="preserve">17、做好项目区域内环卫设施、场所等氛围布置的新增和更换，定期巡查，发现损坏、缺失等情况应及时修复。</w:t>
            </w:r>
            <w:r>
              <w:rPr>
                <w:i/>
                <w:iCs/>
              </w:rPr>
            </w:r>
            <w:r/>
          </w:p>
          <w:p>
            <w:pPr>
              <w:pStyle w:val="1001"/>
              <w:jc w:val="left"/>
              <w:rPr>
                <w:rFonts w:hint="eastAsia" w:ascii="宋体" w:hAnsi="宋体" w:eastAsia="宋体" w:cs="宋体"/>
                <w:bCs w:val="0"/>
                <w:i/>
                <w:iCs/>
                <w:color w:val="auto"/>
                <w:highlight w:val="none"/>
                <w:u w:val="single"/>
              </w:rPr>
            </w:pPr>
            <w:r>
              <w:rPr>
                <w:rFonts w:hint="eastAsia" w:ascii="宋体" w:hAnsi="宋体" w:eastAsia="宋体" w:cs="宋体"/>
                <w:i/>
                <w:iCs/>
                <w:color w:val="auto"/>
                <w:highlight w:val="none"/>
                <w:u w:val="single"/>
                <w:lang w:val="en-US" w:eastAsia="zh-CN"/>
              </w:rPr>
              <w:t xml:space="preserve">18、负责项目区域范围内各类偷倒垃圾及无主垃圾的清理、运输及处置。</w:t>
            </w:r>
            <w:r>
              <w:rPr>
                <w:i/>
                <w:iCs/>
              </w:rPr>
            </w:r>
            <w:r/>
          </w:p>
          <w:p>
            <w:pPr>
              <w:pStyle w:val="1001"/>
              <w:jc w:val="left"/>
              <w:rPr>
                <w:rFonts w:ascii="宋体" w:hAnsi="宋体" w:eastAsia="宋体" w:cs="宋体"/>
                <w:bCs/>
                <w:i/>
                <w:color w:val="auto"/>
                <w:highlight w:val="none"/>
              </w:rPr>
            </w:pPr>
            <w:r>
              <w:rPr>
                <w:rFonts w:hint="eastAsia" w:ascii="宋体" w:hAnsi="宋体" w:eastAsia="宋体" w:cs="宋体"/>
                <w:i/>
                <w:iCs/>
                <w:color w:val="auto"/>
                <w:highlight w:val="none"/>
                <w:u w:val="single"/>
                <w:lang w:val="en-US" w:eastAsia="zh-CN"/>
              </w:rPr>
              <w:t xml:space="preserve">19、服务内容包括但不限于上述内容，如项目区域内出现其他属于环境卫生保洁范畴但文件中未列明的内容，投标人在投标时应做相应的风险预测，报价时予以充分考虑。在中标后需要无条件服务采购人安排的工作内容，且采购人不再另行支付服务费。</w:t>
            </w:r>
            <w:r>
              <w:rPr>
                <w:i/>
                <w:iCs/>
              </w:rPr>
            </w:r>
            <w:r/>
          </w:p>
        </w:tc>
      </w:tr>
      <w:tr>
        <w:trPr>
          <w:trHeight w:val="2163"/>
        </w:trPr>
        <w:tc>
          <w:tcPr>
            <w:tcBorders>
              <w:top w:val="single" w:color="000000" w:sz="2" w:space="0"/>
              <w:left w:val="single" w:color="000000" w:sz="2" w:space="0"/>
              <w:right w:val="single" w:color="000000" w:sz="2" w:space="0"/>
            </w:tcBorders>
            <w:tcMar>
              <w:top w:w="100" w:type="dxa"/>
              <w:bottom w:w="100" w:type="dxa"/>
            </w:tcMar>
            <w:tcW w:w="568" w:type="dxa"/>
            <w:vAlign w:val="center"/>
            <w:vMerge w:val="restart"/>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2" w:space="0"/>
              <w:left w:val="single" w:color="000000" w:sz="2" w:space="0"/>
              <w:right w:val="single" w:color="000000" w:sz="2" w:space="0"/>
            </w:tcBorders>
            <w:tcMar>
              <w:top w:w="100" w:type="dxa"/>
              <w:bottom w:w="100" w:type="dxa"/>
            </w:tcMar>
            <w:tcW w:w="1284" w:type="dxa"/>
            <w:vAlign w:val="center"/>
            <w:vMerge w:val="restart"/>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110"/>
              <w:ind w:firstLine="480"/>
              <w:spacing w:after="156"/>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 xml:space="preserve">1、市级道路、绿化：</w:t>
            </w:r>
            <w:r/>
          </w:p>
          <w:tbl>
            <w:tblPr>
              <w:tblStyle w:val="792"/>
              <w:tblW w:w="7884"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929"/>
              <w:gridCol w:w="1515"/>
              <w:gridCol w:w="1500"/>
              <w:gridCol w:w="1065"/>
              <w:gridCol w:w="1875"/>
            </w:tblGrid>
            <w:tr>
              <w:trPr>
                <w:jc w:val="center"/>
                <w:trHeight w:val="468"/>
              </w:trPr>
              <w:tc>
                <w:tcPr>
                  <w:tcBorders>
                    <w:top w:val="single" w:color="000000" w:sz="4" w:space="0"/>
                    <w:left w:val="single" w:color="000000" w:sz="4" w:space="0"/>
                    <w:bottom w:val="single" w:color="000000" w:sz="4" w:space="0"/>
                    <w:right w:val="single" w:color="000000" w:sz="4" w:space="0"/>
                  </w:tcBorders>
                  <w:tcW w:w="1929" w:type="dxa"/>
                  <w:vAlign w:val="center"/>
                  <w:vMerge w:val="restart"/>
                  <w:textDirection w:val="lrTb"/>
                  <w:noWrap w:val="false"/>
                </w:tcPr>
                <w:p>
                  <w:pPr>
                    <w:ind w:firstLine="482"/>
                    <w:jc w:val="center"/>
                    <w:spacing w:after="156"/>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515" w:type="dxa"/>
                  <w:vAlign w:val="center"/>
                  <w:vMerge w:val="restart"/>
                  <w:textDirection w:val="lrTb"/>
                  <w:noWrap w:val="false"/>
                </w:tcPr>
                <w:p>
                  <w:pPr>
                    <w:jc w:val="center"/>
                    <w:spacing w:after="156"/>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起点名称</w:t>
                  </w:r>
                  <w:r/>
                </w:p>
              </w:tc>
              <w:tc>
                <w:tcPr>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spacing w:after="156"/>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终点名称</w:t>
                  </w:r>
                  <w:r/>
                </w:p>
              </w:tc>
              <w:tc>
                <w:tcPr>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spacing w:after="156"/>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路段长度（㎞）</w:t>
                  </w:r>
                  <w:r/>
                </w:p>
              </w:tc>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ind w:firstLine="482"/>
                    <w:jc w:val="center"/>
                    <w:spacing w:after="156"/>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绿化范围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妙丰公路</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永南河桥</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泗兴港桥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两个桥头护坡及</w:t>
                  </w:r>
                  <w:r/>
                </w:p>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道路两侧绿化带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永南河绿化（东段）</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51266.08㎡</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永南河绿化（西段）</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38734.37㎡</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新204国道</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both"/>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永钢大道</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妙丰线</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新204国道</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建工大道</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新204国道</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含两侧绿化带至围墙或河坡</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七海坝</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南横套桥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702</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四个方向非机动车道及中间环路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南丰段含支路</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老204国道南丰段林地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34000㎡</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老204国道南丰段景点</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9307㎡</w:t>
                  </w:r>
                  <w:r/>
                </w:p>
              </w:tc>
            </w:tr>
            <w:tr>
              <w:trPr>
                <w:jc w:val="center"/>
                <w:trHeight w:val="23"/>
              </w:trPr>
              <w:tc>
                <w:tcPr>
                  <w:shd w:val="clear" w:color="auto" w:fill="auto"/>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港丰公路</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乐兴路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三干河桥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沿江公路</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常熟界</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七干河桥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新老永泰路（含永泰路至垃圾填埋场路段）</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both"/>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含两侧绿化带</w:t>
                  </w:r>
                  <w:r/>
                </w:p>
              </w:tc>
            </w:tr>
            <w:tr>
              <w:trPr>
                <w:jc w:val="center"/>
                <w:trHeight w:val="90"/>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走马塘道路绿化</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firstLine="480"/>
                    <w:jc w:val="both"/>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18527.32㎡</w:t>
                  </w:r>
                  <w:r/>
                </w:p>
              </w:tc>
            </w:tr>
            <w:tr>
              <w:trPr>
                <w:jc w:val="center"/>
                <w:trHeight w:val="23"/>
              </w:trPr>
              <w:tc>
                <w:tcPr>
                  <w:tcBorders>
                    <w:top w:val="single" w:color="000000" w:sz="4" w:space="0"/>
                    <w:left w:val="single" w:color="auto" w:sz="4" w:space="0"/>
                    <w:bottom w:val="single" w:color="000000" w:sz="4" w:space="0"/>
                    <w:right w:val="single" w:color="000000" w:sz="4" w:space="0"/>
                  </w:tcBorders>
                  <w:tcW w:w="1929" w:type="dxa"/>
                  <w:vAlign w:val="center"/>
                  <w:textDirection w:val="lrTb"/>
                  <w:noWrap w:val="false"/>
                </w:tcPr>
                <w:p>
                  <w:pPr>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长防处沿江江堤道路绿化</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firstLine="480"/>
                    <w:jc w:val="center"/>
                    <w:spacing w:after="15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after="156"/>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17.304</w:t>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ind w:firstLine="480"/>
                    <w:jc w:val="both"/>
                    <w:spacing w:after="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含坡岸</w:t>
                  </w:r>
                  <w:r/>
                </w:p>
              </w:tc>
            </w:tr>
          </w:tbl>
          <w:p>
            <w:pPr>
              <w:pStyle w:val="1001"/>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2、镇区</w:t>
            </w:r>
            <w:r/>
          </w:p>
          <w:p>
            <w:pPr>
              <w:pStyle w:val="1001"/>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（1）公厕：1海新南路、2海新北路、3洞子港、4电信局、5老菜场、6小商品市场、7科文中心旁、8老装卸站、9吉麦隆西侧、10金陵西路、11南丰广场、12大姐烧烤边（12座公厕）</w:t>
            </w:r>
            <w:r/>
          </w:p>
          <w:p>
            <w:pPr>
              <w:pStyle w:val="1001"/>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道路：南丰东路、南丰西路、海丰路到七海坝、兴丰路、振兴北路、振兴南路、振兴南路延伸段、新瑞路、育才北路、育才南路、振丰路、北街、南街、南丰北路、南丰南路、金陵东路、金陵西路、民丰南路、民丰西路、丰园路、兴园路、海新南路、金丰路、悦丰路、新民东路、新民西路、泗兴路、南丰大道、实验幼儿园北侧路、泗兴5期旁新建路段、原老年房周边道路地块、原新德村12组拆迁区域路段地块。</w:t>
            </w:r>
            <w:r/>
          </w:p>
          <w:p>
            <w:pPr>
              <w:pStyle w:val="1001"/>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（3）公共区域：小商品市场、南丰广场、吉麦隆超市广场、文体中心广场、沿街门面房后、公交首末站（南丰南路）、大学生宿舍周边、小游园、南丰东路与老南街交界处小广场。</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3、永联片区</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（1）公厕：永顺园1号、永顺园2号和永和园5号。</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（2）道路：红旗路、长安路、永钢大道（东侧段）、新街、永钢集团公司前面路段。</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（3）小区：18大队未拆迁居民区、永顺园、永兴园</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4、东沙片区</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（1）公厕：人民路公厕、街心花园公厕、农贸市场公厕（3座公厕）</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道路：东沙片区内所有厂区外道路，包括但不限于联峰大桥到苏化桥、东沙人民路、少年路、新华路、向阳路、东福路、填埋场南侧道路、无名支路一条、化工区常福路西端保洁、光大前面东西向路段保洁、北控前面南北向路段保洁、填埋场往北右拐到老江堤保洁、填埋场往北左拐到老永泰路卡口保洁、老江堤到新江堤之间路段保洁和偷倒垃圾处置。</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公共区域：东沙办事处办公楼大院。</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5、振兴社区</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范围：海新南路沿街商铺及住宅楼、振兴社区辖区内所有沿街商铺及沿街住宅楼、振兴社区辖区内所有无物业开放小区（包括但不限于汇金广场、四季花园、阳光花园、老教师新村、金城花园、金陵嘉苑、牡丹小区小商品市场、老公交首末站、民丰小区一期二期等）</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服务内容;以上区域内所有门前、背街小巷、楼梯（到顶）、平台、绿化带的卫生保洁，小广告清理，堆放杂物实时清理，垃圾分类等。</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6、垃圾分类收集点位明细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（1）固定收集点：四季花园1个、联峰雅苑1、2、3期2个（不需要督导）、阳光花苑1个、碧桂园3个（不需要督导）、永钢新村、瑞景美墅。</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（2）移动收集点：</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镇区：金陵东路3个、南丰南路1个、南丰北路1个、金陵西路1个、民丰小区2个、南丰西路2个、民丰西路1个、海新路南路2个、民丰南路1个、老南街1个、老北街1个、其余道路门店商户流动收集车4辆（育才路、新民路、新丰路、新联花苑门面房等）</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永联片区：18大队1个、永联新街3个</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东沙办事处：人民路沿街4个</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restart"/>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left w:val="single" w:color="000000" w:sz="2" w:space="0"/>
              <w:right w:val="single" w:color="000000" w:sz="2" w:space="0"/>
            </w:tcBorders>
            <w:tcMar>
              <w:top w:w="100" w:type="dxa"/>
              <w:bottom w:w="100" w:type="dxa"/>
            </w:tcMar>
            <w:tcW w:w="1284" w:type="dxa"/>
            <w:vAlign w:val="center"/>
            <w:vMerge w:val="restart"/>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环卫作业要求和标准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一）道路作业标准及绿化保洁作业标准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（A）路面废弃物控制指标：</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1、果皮（片/千平方米）≤5；</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2、纸屑、塑膜（片/千平方米）≤5；</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3、烟蒂（个/千平方米）≤6；</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4、污水（平方米/千平方米）≤0.5；</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5、其它（平方米/千平方米）≤2；</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（B）降雪天气，应及时组织铲雪作业。道路融雪后，路面灰沙及其它废弃物应及时清扫干净。    </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C）道路清扫保洁实行机械化作业，以冲洗、清扫为主、人工保洁为辅，机械化清扫率不低于70%，用高压清洗车和清扫车相结合对机动车及非机动车道进行冲洗、清扫作业，机械清扫作业每天不低于2次，重要活动根据镇市容管理科通知。道路第一遍清扫冲洗作业应于每日8：00前结束；</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（D）对路面临时被污染以及垃圾收集点污染的要及时清扫、清洗，做到路面见本色，不留痕迹；</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E）保洁作业时间6：00-20：00，公厕和镇区主次干道路到晚上20:00（根据冬季夏季作业时间适时调整），区域内道路每天普扫2次，快车道、慢车道、人行道路面进行全面清扫，主要道路路面垃圾停留不超过30分钟，其它道路不超过40分钟。道路路面保洁做到无垃圾杂物、无积水积泥、油污、无碳迹烟蒂、无果皮纸屑、无土石杂草等，路面干净、边角路牙侧石、绿化隔离带、交通护栏等公共设施周边干净，无明显灰沙。后街巷道清扫保洁和垃圾清运要求与主次干道人工保洁同时间、同步骤、同标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（F）道路清扫工在作业时应统一着具有反光标志的全套工作装（按照上级要求做好其它相关要求）；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（G）道路保洁质量要求：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1、主要路段应巡回保洁。</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2、路面常冲洗、基本见本色，特殊情况根据区镇市容管理科通知确定。</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3、清扫无死角，路面基本无杂物，垃圾无漏收；雨后基本无积水，雨水窨井盖无阻塞；</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4、桥面的保洁质量应与所连接的道路保洁质量标准相同。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5、人行地道的地面保洁质量，应与所连接的道路保洁质量标准相同。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6、按照环卫作业交叉区“35”工作法（工作责任区清扫保洁应各延伸3米，区域交界处清扫保洁应各延伸5米），适当延展保洁边界。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(I)乱张贴、乱涂写清理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1、沿线保洁范围内市政设施（路灯杆、隔离栏、路面栏杆等）无乱张贴、乱涂写、违规横幅等。</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2、主次干道上小广告24小时内清除、后街巷道内小广告48小时内清除。</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3、清理完乱张贴、乱涂写，保持清理部位与周边一致。</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4、不得随意破坏设施设备。</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（J）作业人员无拾荒。</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（K）清扫保洁垃圾倾倒到指定地方。</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（L）保洁车整洁，工具摆放整齐。</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（M）严格遵守交通法规，安全行车，作业时不得影响车辆通行与市民出行。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（N）政府网站、市长信箱、新闻媒体及来信、来访等投诉按照规定时限及时妥善处理，迅速整改到位。</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(O)具体保洁标准和配套工具要求参考《苏州市环卫精细化保洁导则》和《苏州市环卫精细化保洁指导手册》。</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二)生活垃圾的分类督导及垃圾收集清运</w:t>
            </w:r>
            <w:r/>
          </w:p>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1.垃圾的分类督导要求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1.1按时开放固定点位的收集亭房，并进行垃圾分类督导（上午两小时、下午两小时，周末及节假日中午增加1小时）；</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1.2移动分类点位按照固定点位开放时间，分类收集车辆按时到点位开展督导收运工作，另外安排收运车辆上午、下午各收运2遍；</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1.3每个垃圾收集亭至少配备一名督导员（含移动分类点）；</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1.4对居民投放的垃圾进行检查、指导，确保分类准确率达标，对分类不准确的行为进行宣教；</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1.5分类收集点周边环境整洁，垃圾桶每天清洗干净（含移动分类点）；</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1.6做好每个点位台账记录；</w:t>
            </w:r>
            <w:r/>
          </w:p>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2.垃圾分类收集清运要求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2.1生活垃圾收集、清运及时、彻底，每天不少于2次，运输全部实现机械化密闭作业，不得使用任何农用车或拖拉机替代垃圾清运车；</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2.2作业完毕及时清理收集亭、桶及外场地，确保收集亭、桶周围无乱堆废品，无散落垃圾，无污水积存，环境整洁卫生；</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2.3清运完毕后应及时将垃圾桶放归原位，垃圾做到日产日清；</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2.4清运过程中保洁车辆箱盖必须密闭，车厢锁扣随时扣紧确保无扬、撒、拖挂和污水滴漏，车身底部不得积压、堆放各种垃圾；</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2.5生活垃圾分类运输至镇环卫工作站分类处理；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2.6各类垃圾分类收运，不得混收混运。</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2.7做好有毒有害垃圾的收集和清运工作，规范有毒有害垃圾的分类投放、安全收集、专业运输及无害化处置全流程管理，确保环境安全和公众健康。</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三）公厕工作要求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1、每天全面打扫、消杀，保持厕内通风良好，无异味；</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2、蹲位、便池保持畅通无污物、污迹，厕所内外环境整洁；</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3、管理间内部整洁美观，物品摆放整齐有序，地面、墙壁、设施等干净无涂贴；</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4、按照上级要求落实“一厕一保洁”模式，每周三开展“大扫除”活动，挡板、卫生洁具等其它设施应每天擦洗，室内无蛛网、积尘、涂贴；</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5、厕所蹲位处放置纸篓（张贴其他垃圾标识）、其他垃圾桶和垃圾袋，维护好自动售纸机和“小厨宝”的正常运行；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6、化粪池满溢及时处理。</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7、公厕内部公共设施设备的日常维修费由中标方承担，公厕水电费由中标方承担。</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8、公厕有“环卫驿站”、“五彩工具车（间）”等服务设施的按上级要求做好相关设施配备和日常维护工作。</w:t>
            </w:r>
            <w:r/>
          </w:p>
        </w:tc>
      </w:tr>
      <w:tr>
        <w:trPr>
          <w:trHeight w:val="216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四）镇环卫工作站运行和维护要求</w:t>
            </w:r>
            <w:r/>
          </w:p>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1、其他垃圾处理中心：</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1.1对全镇的其他垃圾进行压缩转运。</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1.2确保垃圾日产日清，做到周边环境整洁，堆放有序。</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1.3对环卫工作站设备、场地和排水沟冲洗每天不少于2次，收运车辆外部每日冲洗保洁到位。</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1.4及时做好其他垃圾处理中心设备维护、维修（含空气处理和检测报告），确保顺利运行。</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1.5每天做好消杀工作，定期视情况对污水管网（内、外）冲洗抽污，确保排水通畅不满溢。</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1.6不得处理工业垃圾，不得处理除南丰镇以外的其他垃圾。</w:t>
            </w:r>
            <w:r/>
          </w:p>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2、厨余垃圾处理中心：</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2.1做好全镇厨余垃圾的处置，做好相关处置合同的签订和相关台账记录。</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2.2做好设施设备的保洁和维护，确保设备的顺利运转，相关分出率数据达到上级要求。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2.3对处置中心场地冲洗每天不少于2次，确保室内排水沟内干净整洁无残留垃圾堆积。</w:t>
            </w:r>
            <w:r/>
          </w:p>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3、渗滤液处理中心运行和维护要求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i/>
                <w:iCs/>
                <w:color w:val="auto"/>
                <w:highlight w:val="none"/>
                <w:u w:val="single"/>
                <w:lang w:val="en-US" w:eastAsia="zh-CN"/>
              </w:rPr>
              <w:t xml:space="preserve">3.1</w:t>
            </w:r>
            <w:r>
              <w:rPr>
                <w:rStyle w:val="791"/>
                <w:rFonts w:hint="eastAsia" w:ascii="宋体" w:hAnsi="宋体" w:eastAsia="宋体" w:cs="宋体"/>
                <w:b w:val="0"/>
                <w:i/>
                <w:iCs/>
                <w:color w:val="auto"/>
                <w:sz w:val="24"/>
                <w:szCs w:val="24"/>
                <w:highlight w:val="none"/>
                <w:u w:val="single"/>
                <w:lang w:val="en-US" w:eastAsia="zh-CN"/>
              </w:rPr>
              <w:t xml:space="preserve">渗滤液处理</w:t>
            </w:r>
            <w:r>
              <w:rPr>
                <w:rStyle w:val="791"/>
                <w:rFonts w:ascii="宋体" w:hAnsi="宋体" w:eastAsia="宋体" w:cs="宋体"/>
                <w:b w:val="0"/>
                <w:i/>
                <w:iCs/>
                <w:color w:val="auto"/>
                <w:sz w:val="24"/>
                <w:szCs w:val="24"/>
                <w:highlight w:val="none"/>
                <w:u w:val="single"/>
              </w:rPr>
              <w:t xml:space="preserve">服务方应具有相应资质</w:t>
            </w:r>
            <w:r>
              <w:rPr>
                <w:rStyle w:val="791"/>
                <w:rFonts w:hint="eastAsia" w:ascii="宋体" w:hAnsi="宋体" w:eastAsia="宋体" w:cs="宋体"/>
                <w:b w:val="0"/>
                <w:i/>
                <w:iCs/>
                <w:color w:val="auto"/>
                <w:sz w:val="24"/>
                <w:szCs w:val="24"/>
                <w:highlight w:val="none"/>
                <w:u w:val="single"/>
                <w:lang w:val="en-US" w:eastAsia="zh-CN"/>
              </w:rPr>
              <w:t xml:space="preserve">以</w:t>
            </w:r>
            <w:r>
              <w:rPr>
                <w:rFonts w:hint="eastAsia" w:ascii="宋体" w:hAnsi="宋体" w:eastAsia="宋体" w:cs="宋体"/>
                <w:i/>
                <w:iCs/>
                <w:color w:val="auto"/>
                <w:highlight w:val="none"/>
                <w:u w:val="single"/>
                <w:lang w:val="en-US" w:eastAsia="zh-CN"/>
              </w:rPr>
              <w:t xml:space="preserve">确保正常运维水质在线监测设备，按照有关规定进行日常检验以确保渗滤液处理后达到《污水排入城市下水道水质标准》GB/T31962-2015，A级指标排放标准。水质检测方法按国家相关规范和标准执行，检测结果应登记存档。每季度抽取一次水样送至具有相关资质的水质检测机构进行检测。</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3.2负责与该项目设备有关设施的运营维护、设备维修以及周边关系的协调等，采购人给予协助。渗滤液处理过程中不得产生次生环境污染，不得损坏垃圾中转站已有的设备和设施，处理现场必须整洁美观有序。</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在提供服务期间，必须严格按渗滤液处理站设备操作规程、安全操作规程进行操作，并保证人身安全，应确保合同履约期间无安全事故发生。如因措施不当、管理疏漏等各种原因造成任何人身或财产损害的，由中标单位承担所有责任。</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3.4须随环卫工作站生产安排情况及时保证垃圾渗滤液处理及污水排放，并确保出水达到本项目排放标准。项目服务期间产生的浓缩液（如有）和脱水污泥由中标单位负责合规处置。项目服务期间如出现环保问题，如危废、固废、浓缩液等处置物，由中标单位负责。</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3.5须遵守主管部门制订的相关渗滤液处理运营管理制度，记录渗滤液处理站的运行日志、水位等监测记录、维修记录、排放记录等，并于每月15日前将上月运行记录、每月28日前将下月运营计划报送采购人，待合同期满后将全部资料记录整理造册移交采购人。在服务期内，有义务配合采购人做好上级部门的监督检查工作，并提供相关材料。</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3.6工作人员必须遵守渗滤液处理站的各项规章制度，服从采购人管理人员检查和监督，并且要保护好站内的一切公共设施、消防设施及保持站内环境卫生。服务期间做好安全交通标识牌，负责及时清理垃圾，保证场地清洁；承担服务期间设备和人员的安全责任。针对雨季、台风暴雨等恶劣天气以及渗滤液处理量增加、渗滤液溢出或其他环境污染等突发事件，要制订相应的应急预案，并积极配合采购人有效地实施应对措施。</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运营时处理污水所消耗的自来水不得超过污水总量的5%，向采购单位提交节水、节电承诺书。负责渗滤液处置服务所需的运营和维护全部内容，并做好垃圾中转站渗滤液处理日常管理工作，建立巡查机制，并建立完善的台账资料，防止意外状况发生。</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4、可回收物分拣中心（有害垃圾暂存仓库）</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4.1做好可回收物分拣中心（有害垃圾暂存仓库）垃圾的运输处置，做好相关台账记录。</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4.2做好场地周边环境整洁，可回收物（有害垃圾）分类堆放有序。</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4.3确保可回收物分拣中心（有害垃圾暂存仓库）稳定运行，相关分出率数据达到上级要求。</w:t>
            </w:r>
            <w:r/>
          </w:p>
        </w:tc>
      </w:tr>
      <w:tr>
        <w:trPr>
          <w:trHeight w:val="278"/>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五）镇农林废弃物处置中心看管要求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1、设置专人对农林废弃物处置中心进行看管。</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2、工作时间上午7:00——11:00，下午1:00——5:00（特殊情况除外）</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3、定期对场地内堆放的农林废弃物进行规整，确保场地堆放有序。</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4、及时与处理公司联系，定期将农林废弃物进行处置。</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5、除农林废弃物以外的垃圾不得进入场地。</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6、进入场地的农林废弃物均需获镇市容管理科同意。</w:t>
            </w:r>
            <w:r/>
          </w:p>
        </w:tc>
      </w:tr>
      <w:tr>
        <w:trPr>
          <w:trHeight w:val="1433"/>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六）突发性、临时性的有关环境卫生保洁相关应急、保障工作要求</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1、如有重要检查和线路保障要无条件调配人员；</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2、不另外支付重要保障等产生的费用；</w:t>
            </w:r>
            <w:r/>
          </w:p>
        </w:tc>
      </w:tr>
      <w:tr>
        <w:trPr>
          <w:trHeight w:val="1433"/>
        </w:trPr>
        <w:tc>
          <w:tcPr>
            <w:tcBorders>
              <w:left w:val="single" w:color="000000" w:sz="2" w:space="0"/>
              <w:right w:val="single" w:color="000000" w:sz="2" w:space="0"/>
            </w:tcBorders>
            <w:tcMar>
              <w:top w:w="100" w:type="dxa"/>
              <w:bottom w:w="100" w:type="dxa"/>
            </w:tcMar>
            <w:tcW w:w="568" w:type="dxa"/>
            <w:vAlign w:val="center"/>
            <w:vMerge w:val="restart"/>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Borders>
              <w:left w:val="single" w:color="000000" w:sz="2" w:space="0"/>
              <w:right w:val="single" w:color="000000" w:sz="2" w:space="0"/>
            </w:tcBorders>
            <w:tcMar>
              <w:top w:w="100" w:type="dxa"/>
              <w:bottom w:w="100" w:type="dxa"/>
            </w:tcMar>
            <w:tcW w:w="1284" w:type="dxa"/>
            <w:vAlign w:val="center"/>
            <w:vMerge w:val="restart"/>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人员配备及设施配备要求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注：投标单位需接受采购方原环卫未退休剩余34人员安排方案。总体工资待遇合计不少于267.92万元/年，此部分为不可竞争报价，投标人在投标报价时应一并考虑。</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（一）人员要求：</w:t>
            </w:r>
            <w:r>
              <w:rPr>
                <w:rFonts w:hint="eastAsia" w:ascii="宋体" w:hAnsi="宋体" w:eastAsia="宋体" w:cs="宋体"/>
                <w:i/>
                <w:iCs/>
                <w:color w:val="auto"/>
                <w:highlight w:val="none"/>
                <w:u w:val="single"/>
                <w:lang w:val="en-US" w:eastAsia="zh-CN"/>
              </w:rPr>
              <w:t xml:space="preserve">以下为最低配置且未含轮休（即工作时间为365天）。</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环卫保洁、垃圾分类：设项目经理2人，内勤1人，统计员1人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1、镇区:需配备管理员4人，保洁48人，驾驶员13人，电瓶扫地车驾驶员2人，垃圾分类流动收集督导员26人，清运工10人，中转站管理员4人，门卫2人，维修工1人。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2、老永联片区：需配备管理员2人，保洁员13人，垃圾分类流动收集督导员7人，驾驶员3人，电瓶扫地车驾驶员1人，清运工4人。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3、东沙片区：需配备管理员1人，保洁员8人，垃圾分类流动收集督导员2人，驾驶员4人，清运工4人。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4、市级道路绿化保洁：保洁员20名，驾驶员1名。</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i/>
                <w:iCs/>
                <w:color w:val="auto"/>
                <w:highlight w:val="none"/>
                <w:u w:val="single"/>
                <w:lang w:val="en-US" w:eastAsia="zh-CN"/>
              </w:rPr>
              <w:t xml:space="preserve">5、振兴社区：需配备管理员1名，保洁员16人，分类亭督导员2人，清运工2人。</w:t>
            </w:r>
            <w:r/>
          </w:p>
        </w:tc>
      </w:tr>
      <w:tr>
        <w:trPr>
          <w:trHeight w:val="9178"/>
        </w:trPr>
        <w:tc>
          <w:tcPr>
            <w:tcBorders>
              <w:left w:val="single" w:color="000000" w:sz="2" w:space="0"/>
              <w:right w:val="single" w:color="000000" w:sz="2" w:space="0"/>
            </w:tcBorders>
            <w:tcMar>
              <w:top w:w="100" w:type="dxa"/>
              <w:bottom w:w="100" w:type="dxa"/>
            </w:tcMar>
            <w:tcW w:w="568"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left w:val="single" w:color="000000" w:sz="2" w:space="0"/>
              <w:right w:val="single" w:color="000000" w:sz="2" w:space="0"/>
            </w:tcBorders>
            <w:tcMar>
              <w:top w:w="100" w:type="dxa"/>
              <w:bottom w:w="100" w:type="dxa"/>
            </w:tcMar>
            <w:tcW w:w="1284" w:type="dxa"/>
            <w:vAlign w:val="center"/>
            <w:vMerge w:val="continue"/>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spacing w:line="28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（二）设施配备要求：</w:t>
            </w:r>
            <w:r/>
          </w:p>
          <w:tbl>
            <w:tblPr>
              <w:tblStyle w:val="792"/>
              <w:tblW w:w="78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2285"/>
              <w:gridCol w:w="2376"/>
              <w:gridCol w:w="962"/>
              <w:gridCol w:w="1677"/>
            </w:tblGrid>
            <w:tr>
              <w:trPr>
                <w:jc w:val="center"/>
                <w:trHeight w:val="874"/>
                <w:tblHeader/>
              </w:trPr>
              <w:tc>
                <w:tcPr>
                  <w:shd w:val="clear" w:color="auto" w:fill="95b3d7"/>
                  <w:tcW w:w="584"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序号</w:t>
                  </w:r>
                  <w:r/>
                </w:p>
              </w:tc>
              <w:tc>
                <w:tcPr>
                  <w:shd w:val="clear" w:color="auto" w:fill="95b3d7"/>
                  <w:tcW w:w="2285"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类型</w:t>
                  </w:r>
                  <w:r/>
                </w:p>
              </w:tc>
              <w:tc>
                <w:tcPr>
                  <w:shd w:val="clear" w:color="auto" w:fill="95b3d7"/>
                  <w:tcW w:w="2376"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最低配置要求</w:t>
                  </w:r>
                  <w:r/>
                </w:p>
              </w:tc>
              <w:tc>
                <w:tcPr>
                  <w:shd w:val="clear" w:color="auto" w:fill="95b3d7"/>
                  <w:tcW w:w="962"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数量</w:t>
                  </w:r>
                  <w:r/>
                </w:p>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（辆/套）</w:t>
                  </w:r>
                  <w:r/>
                </w:p>
              </w:tc>
              <w:tc>
                <w:tcPr>
                  <w:shd w:val="clear" w:color="auto" w:fill="95b3d7"/>
                  <w:tcW w:w="1677"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备注</w:t>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1</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洒水车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9吨</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shd w:val="clear" w:color="auto" w:fill="auto"/>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en-US"/>
                    </w:rPr>
                    <w:outlineLvl w:val="9"/>
                  </w:pPr>
                  <w:r>
                    <w:rPr>
                      <w:rFonts w:hint="default" w:ascii="宋体" w:hAnsi="宋体" w:eastAsia="宋体" w:cs="宋体"/>
                      <w:i/>
                      <w:iCs/>
                      <w:color w:val="auto"/>
                      <w:sz w:val="24"/>
                      <w:szCs w:val="24"/>
                      <w:highlight w:val="none"/>
                      <w:u w:val="single"/>
                      <w:lang w:val="en-US" w:eastAsia="en-US"/>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2</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中型扫地车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5吨</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shd w:val="clear" w:color="auto" w:fill="auto"/>
                  <w:tcW w:w="167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en-US"/>
                    </w:rPr>
                    <w:outlineLvl w:val="9"/>
                  </w:pPr>
                  <w:r>
                    <w:rPr>
                      <w:rFonts w:hint="eastAsia" w:ascii="宋体" w:hAnsi="宋体" w:eastAsia="宋体" w:cs="宋体"/>
                      <w:i/>
                      <w:iCs/>
                      <w:color w:val="auto"/>
                      <w:sz w:val="24"/>
                      <w:szCs w:val="24"/>
                      <w:highlight w:val="none"/>
                      <w:u w:val="single"/>
                      <w:lang w:val="en-US" w:eastAsia="en-US"/>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3</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电瓶扫地车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1吨 </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shd w:val="clear" w:color="auto" w:fill="auto"/>
                  <w:tcW w:w="1677" w:type="dxa"/>
                  <w:vAlign w:val="center"/>
                  <w:textDirection w:val="lrTb"/>
                  <w:noWrap w:val="false"/>
                </w:tcPr>
                <w:p>
                  <w:pPr>
                    <w:jc w:val="both"/>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4</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电瓶三轮保洁车</w:t>
                  </w:r>
                  <w:r/>
                </w:p>
              </w:tc>
              <w:tc>
                <w:tcPr>
                  <w:tcW w:w="2376" w:type="dxa"/>
                  <w:vAlign w:val="center"/>
                  <w:textDirection w:val="lrTb"/>
                  <w:noWrap w:val="false"/>
                </w:tcPr>
                <w:p>
                  <w:pPr>
                    <w:jc w:val="left"/>
                    <w:rPr>
                      <w:rFonts w:hint="default" w:ascii="宋体" w:hAnsi="宋体" w:eastAsia="宋体" w:cs="宋体"/>
                      <w:i/>
                      <w:iCs/>
                      <w:color w:val="auto"/>
                      <w:sz w:val="24"/>
                      <w:szCs w:val="24"/>
                      <w:highlight w:val="none"/>
                      <w:u w:val="single"/>
                      <w:lang w:val="en-US"/>
                    </w:rPr>
                    <w:outlineLvl w:val="9"/>
                  </w:pPr>
                  <w:r>
                    <w:rPr>
                      <w:rFonts w:hint="eastAsia" w:ascii="宋体" w:hAnsi="宋体" w:eastAsia="宋体" w:cs="宋体"/>
                      <w:i/>
                      <w:iCs/>
                      <w:color w:val="auto"/>
                      <w:sz w:val="24"/>
                      <w:szCs w:val="24"/>
                      <w:highlight w:val="none"/>
                      <w:u w:val="single"/>
                      <w:lang w:val="en-US" w:eastAsia="zh-CN"/>
                    </w:rPr>
                    <w:t xml:space="preserve">必须安装警示装置</w:t>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90</w:t>
                  </w:r>
                  <w:r/>
                </w:p>
              </w:tc>
              <w:tc>
                <w:tcPr>
                  <w:shd w:val="clear" w:color="auto" w:fill="auto"/>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5</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沿街商铺收运车，</w:t>
                  </w:r>
                  <w:r>
                    <w:rPr>
                      <w:rFonts w:hint="eastAsia" w:ascii="宋体" w:hAnsi="宋体" w:eastAsia="宋体" w:cs="宋体"/>
                      <w:i/>
                      <w:iCs/>
                      <w:color w:val="auto"/>
                      <w:sz w:val="24"/>
                      <w:szCs w:val="24"/>
                      <w:highlight w:val="none"/>
                      <w:u w:val="single"/>
                    </w:rPr>
                    <w:t xml:space="preserve">符合垃圾四分类标准要求</w:t>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10</w:t>
                  </w:r>
                  <w:r/>
                </w:p>
              </w:tc>
              <w:tc>
                <w:tcPr>
                  <w:shd w:val="clear" w:color="auto" w:fill="auto"/>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bidi="en-US"/>
                    </w:rPr>
                    <w:outlineLvl w:val="9"/>
                  </w:pPr>
                  <w:r>
                    <w:rPr>
                      <w:rFonts w:hint="default" w:ascii="宋体" w:hAnsi="宋体" w:eastAsia="宋体" w:cs="宋体"/>
                      <w:i/>
                      <w:iCs/>
                      <w:color w:val="auto"/>
                      <w:sz w:val="24"/>
                      <w:szCs w:val="24"/>
                      <w:highlight w:val="none"/>
                      <w:u w:val="single"/>
                      <w:lang w:val="en-US" w:eastAsia="zh-CN" w:bidi="en-US"/>
                    </w:rPr>
                  </w:r>
                  <w:r/>
                </w:p>
              </w:tc>
            </w:tr>
            <w:tr>
              <w:trPr>
                <w:jc w:val="center"/>
                <w:trHeight w:val="893"/>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6</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376"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四分类流动收集点位，</w:t>
                  </w:r>
                  <w:r>
                    <w:rPr>
                      <w:rFonts w:hint="eastAsia" w:ascii="宋体" w:hAnsi="宋体" w:eastAsia="宋体" w:cs="宋体"/>
                      <w:i/>
                      <w:iCs/>
                      <w:color w:val="auto"/>
                      <w:sz w:val="24"/>
                      <w:szCs w:val="24"/>
                      <w:highlight w:val="none"/>
                      <w:u w:val="single"/>
                    </w:rPr>
                    <w:t xml:space="preserve">符合垃圾四分类标准要求</w:t>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16</w:t>
                  </w:r>
                  <w:r/>
                </w:p>
              </w:tc>
              <w:tc>
                <w:tcPr>
                  <w:shd w:val="clear" w:color="auto" w:fill="auto"/>
                  <w:tcW w:w="167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7</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376"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厨余收运：2辆；餐厨收运：1辆；可回收：1辆；大件垃圾：1辆。备用车：4</w:t>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9</w:t>
                  </w:r>
                  <w:r/>
                </w:p>
              </w:tc>
              <w:tc>
                <w:tcPr>
                  <w:shd w:val="clear" w:color="auto" w:fill="auto"/>
                  <w:tcW w:w="1677"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8</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其他垃圾清运车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吨，GPS定位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9</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农运车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3辆；</w:t>
                  </w:r>
                  <w:r>
                    <w:rPr>
                      <w:rFonts w:hint="eastAsia" w:ascii="宋体" w:hAnsi="宋体" w:eastAsia="宋体" w:cs="宋体"/>
                      <w:i/>
                      <w:iCs/>
                      <w:color w:val="auto"/>
                      <w:sz w:val="24"/>
                      <w:szCs w:val="24"/>
                      <w:highlight w:val="none"/>
                      <w:u w:val="single"/>
                    </w:rPr>
                    <w:t xml:space="preserve">GPS定位</w:t>
                  </w:r>
                  <w:r/>
                </w:p>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1辆</w:t>
                  </w:r>
                  <w:r>
                    <w:rPr>
                      <w:rFonts w:hint="eastAsia" w:ascii="宋体" w:hAnsi="宋体" w:eastAsia="宋体" w:cs="宋体"/>
                      <w:i/>
                      <w:iCs/>
                      <w:color w:val="auto"/>
                      <w:sz w:val="24"/>
                      <w:szCs w:val="24"/>
                      <w:highlight w:val="none"/>
                      <w:u w:val="single"/>
                    </w:rPr>
                    <w:t xml:space="preserve">GPS定位</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含铲雪装置一套</w:t>
                  </w:r>
                  <w:r>
                    <w:rPr>
                      <w:rFonts w:hint="eastAsia" w:eastAsia="宋体" w:cs="宋体"/>
                      <w:i/>
                      <w:iCs/>
                      <w:color w:val="auto"/>
                      <w:sz w:val="24"/>
                      <w:szCs w:val="24"/>
                      <w:highlight w:val="none"/>
                      <w:u w:val="single"/>
                      <w:lang w:val="en-US" w:eastAsia="zh-CN"/>
                    </w:rPr>
                    <w:t xml:space="preserve">其他垃圾收运车</w:t>
                  </w:r>
                  <w:r/>
                </w:p>
              </w:tc>
            </w:tr>
            <w:tr>
              <w:trPr>
                <w:jc w:val="center"/>
                <w:trHeight w:val="570"/>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10</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垃圾转运车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17</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甲方提供2辆车辆</w:t>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11</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电瓶压缩车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eastAsia="宋体" w:cs="宋体"/>
                      <w:i/>
                      <w:iCs/>
                      <w:color w:val="auto"/>
                      <w:sz w:val="24"/>
                      <w:szCs w:val="24"/>
                      <w:highlight w:val="none"/>
                      <w:u w:val="single"/>
                      <w:lang w:val="en-US" w:eastAsia="zh-CN"/>
                    </w:rPr>
                    <w:t xml:space="preserve"> 1.5 </w:t>
                  </w:r>
                  <w:r>
                    <w:rPr>
                      <w:rFonts w:hint="eastAsia" w:ascii="宋体" w:hAnsi="宋体" w:eastAsia="宋体" w:cs="宋体"/>
                      <w:i/>
                      <w:iCs/>
                      <w:color w:val="auto"/>
                      <w:sz w:val="24"/>
                      <w:szCs w:val="24"/>
                      <w:highlight w:val="none"/>
                      <w:u w:val="single"/>
                    </w:rPr>
                    <w:t xml:space="preserve">吨</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677" w:type="dxa"/>
                  <w:vAlign w:val="center"/>
                  <w:textDirection w:val="lrTb"/>
                  <w:noWrap w:val="false"/>
                </w:tcPr>
                <w:p>
                  <w:pPr>
                    <w:jc w:val="left"/>
                    <w:rPr>
                      <w:rFonts w:hint="default" w:ascii="宋体" w:hAnsi="宋体" w:eastAsia="宋体" w:cs="宋体"/>
                      <w:b w:val="0"/>
                      <w:bCs w:val="0"/>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其他垃圾收运车</w:t>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12</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建筑垃圾清运车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9 </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13</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装载机</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装载能力≥</w:t>
                  </w:r>
                  <w:r>
                    <w:rPr>
                      <w:rFonts w:hint="eastAsia" w:eastAsia="宋体" w:cs="宋体"/>
                      <w:i/>
                      <w:iCs/>
                      <w:color w:val="auto"/>
                      <w:sz w:val="24"/>
                      <w:szCs w:val="24"/>
                      <w:highlight w:val="none"/>
                      <w:u w:val="single"/>
                      <w:lang w:val="en-US" w:eastAsia="zh-CN"/>
                    </w:rPr>
                    <w:t xml:space="preserve"> 2 </w:t>
                  </w:r>
                  <w:r>
                    <w:rPr>
                      <w:rFonts w:hint="eastAsia" w:ascii="宋体" w:hAnsi="宋体" w:eastAsia="宋体" w:cs="宋体"/>
                      <w:i/>
                      <w:iCs/>
                      <w:color w:val="auto"/>
                      <w:sz w:val="24"/>
                      <w:szCs w:val="24"/>
                      <w:highlight w:val="none"/>
                      <w:u w:val="single"/>
                    </w:rPr>
                    <w:t xml:space="preserve">吨</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b w:val="0"/>
                      <w:bCs w:val="0"/>
                      <w:i/>
                      <w:iCs/>
                      <w:color w:val="auto"/>
                      <w:sz w:val="24"/>
                      <w:szCs w:val="24"/>
                      <w:highlight w:val="none"/>
                      <w:u w:val="single"/>
                      <w:lang w:val="en-US" w:eastAsia="zh-CN"/>
                    </w:rPr>
                    <w:t xml:space="preserve">驾驶员持证上岗</w:t>
                  </w:r>
                  <w:r/>
                </w:p>
              </w:tc>
            </w:tr>
            <w:tr>
              <w:trPr>
                <w:jc w:val="center"/>
                <w:trHeight w:val="567"/>
              </w:trPr>
              <w:tc>
                <w:tcPr>
                  <w:tcW w:w="584"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14</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电瓶三轮高压冲洗车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shd w:val="clear" w:color="auto" w:fill="auto"/>
                      <w:lang w:val="en-US" w:eastAsia="en-US" w:bidi="en-US"/>
                    </w:rPr>
                    <w:outlineLvl w:val="9"/>
                  </w:pPr>
                  <w:r>
                    <w:rPr>
                      <w:rFonts w:hint="eastAsia" w:eastAsia="宋体" w:cs="宋体"/>
                      <w:i/>
                      <w:iCs/>
                      <w:color w:val="auto"/>
                      <w:sz w:val="24"/>
                      <w:szCs w:val="24"/>
                      <w:highlight w:val="none"/>
                      <w:u w:val="single"/>
                      <w:shd w:val="clear" w:color="auto" w:fill="auto"/>
                      <w:lang w:val="en-US" w:eastAsia="zh-CN"/>
                    </w:rPr>
                    <w:t xml:space="preserve">水箱容量</w:t>
                  </w:r>
                  <w:r>
                    <w:rPr>
                      <w:rFonts w:hint="eastAsia" w:ascii="宋体" w:hAnsi="宋体" w:eastAsia="宋体" w:cs="宋体"/>
                      <w:i/>
                      <w:iCs/>
                      <w:color w:val="auto"/>
                      <w:sz w:val="24"/>
                      <w:szCs w:val="24"/>
                      <w:highlight w:val="none"/>
                      <w:u w:val="single"/>
                      <w:shd w:val="clear" w:color="auto" w:fill="auto"/>
                    </w:rPr>
                    <w:t xml:space="preserve">≥</w:t>
                  </w:r>
                  <w:r>
                    <w:rPr>
                      <w:rFonts w:hint="eastAsia" w:eastAsia="宋体" w:cs="宋体"/>
                      <w:i/>
                      <w:iCs/>
                      <w:color w:val="auto"/>
                      <w:sz w:val="24"/>
                      <w:szCs w:val="24"/>
                      <w:highlight w:val="none"/>
                      <w:u w:val="single"/>
                      <w:shd w:val="clear" w:color="auto" w:fill="auto"/>
                      <w:lang w:val="en-US" w:eastAsia="zh-CN"/>
                    </w:rPr>
                    <w:t xml:space="preserve">500L</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3</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15</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道路养护车</w:t>
                  </w:r>
                  <w:r/>
                </w:p>
              </w:tc>
              <w:tc>
                <w:tcPr>
                  <w:tcW w:w="2376" w:type="dxa"/>
                  <w:vAlign w:val="center"/>
                  <w:textDirection w:val="lrTb"/>
                  <w:noWrap w:val="false"/>
                </w:tcPr>
                <w:p>
                  <w:pPr>
                    <w:jc w:val="left"/>
                    <w:rPr>
                      <w:rFonts w:hint="default" w:ascii="宋体" w:hAnsi="宋体" w:eastAsia="宋体" w:cs="宋体"/>
                      <w:i/>
                      <w:iCs/>
                      <w:color w:val="auto"/>
                      <w:sz w:val="24"/>
                      <w:szCs w:val="24"/>
                      <w:highlight w:val="none"/>
                      <w:u w:val="single"/>
                      <w:shd w:val="clear" w:color="auto" w:fill="auto"/>
                      <w:lang w:val="en-US" w:eastAsia="zh-CN"/>
                    </w:rPr>
                    <w:outlineLvl w:val="9"/>
                  </w:pPr>
                  <w:r>
                    <w:rPr>
                      <w:rFonts w:hint="eastAsia" w:eastAsia="宋体" w:cs="宋体"/>
                      <w:i/>
                      <w:iCs/>
                      <w:color w:val="auto"/>
                      <w:sz w:val="24"/>
                      <w:szCs w:val="24"/>
                      <w:highlight w:val="none"/>
                      <w:u w:val="single"/>
                      <w:shd w:val="clear" w:color="auto" w:fill="auto"/>
                      <w:lang w:val="en-US" w:eastAsia="zh-CN"/>
                    </w:rPr>
                    <w:t xml:space="preserve">总质</w:t>
                  </w:r>
                  <w:r>
                    <w:rPr>
                      <w:rFonts w:hint="eastAsia" w:ascii="宋体" w:hAnsi="宋体" w:eastAsia="宋体" w:cs="宋体"/>
                      <w:i/>
                      <w:iCs/>
                      <w:color w:val="auto"/>
                      <w:sz w:val="24"/>
                      <w:szCs w:val="24"/>
                      <w:highlight w:val="none"/>
                      <w:u w:val="single"/>
                      <w:shd w:val="clear" w:color="auto" w:fill="auto"/>
                    </w:rPr>
                    <w:t xml:space="preserve">量≥</w:t>
                  </w:r>
                  <w:r>
                    <w:rPr>
                      <w:rFonts w:hint="eastAsia" w:eastAsia="宋体" w:cs="宋体"/>
                      <w:i/>
                      <w:iCs/>
                      <w:color w:val="auto"/>
                      <w:sz w:val="24"/>
                      <w:szCs w:val="24"/>
                      <w:highlight w:val="none"/>
                      <w:u w:val="single"/>
                      <w:shd w:val="clear" w:color="auto" w:fill="auto"/>
                      <w:lang w:val="en-US" w:eastAsia="zh-CN"/>
                    </w:rPr>
                    <w:t xml:space="preserve">1.5</w:t>
                  </w:r>
                  <w:r>
                    <w:rPr>
                      <w:rFonts w:hint="eastAsia" w:ascii="宋体" w:hAnsi="宋体" w:eastAsia="宋体" w:cs="宋体"/>
                      <w:i/>
                      <w:iCs/>
                      <w:color w:val="auto"/>
                      <w:sz w:val="24"/>
                      <w:szCs w:val="24"/>
                      <w:highlight w:val="none"/>
                      <w:u w:val="single"/>
                      <w:shd w:val="clear" w:color="auto" w:fill="auto"/>
                    </w:rPr>
                    <w:t xml:space="preserve">吨</w:t>
                  </w:r>
                  <w:r>
                    <w:rPr>
                      <w:rFonts w:hint="eastAsia" w:eastAsia="宋体" w:cs="宋体"/>
                      <w:i/>
                      <w:iCs/>
                      <w:color w:val="auto"/>
                      <w:sz w:val="24"/>
                      <w:szCs w:val="24"/>
                      <w:highlight w:val="none"/>
                      <w:u w:val="single"/>
                      <w:shd w:val="clear" w:color="auto" w:fill="auto"/>
                      <w:lang w:eastAsia="zh-CN"/>
                    </w:rPr>
                    <w:t xml:space="preserve">，</w:t>
                  </w:r>
                  <w:r>
                    <w:rPr>
                      <w:rFonts w:hint="eastAsia" w:eastAsia="宋体" w:cs="宋体"/>
                      <w:i/>
                      <w:iCs/>
                      <w:color w:val="auto"/>
                      <w:sz w:val="24"/>
                      <w:szCs w:val="24"/>
                      <w:highlight w:val="none"/>
                      <w:u w:val="single"/>
                      <w:shd w:val="clear" w:color="auto" w:fill="auto"/>
                      <w:lang w:val="en-US" w:eastAsia="zh-CN"/>
                    </w:rPr>
                    <w:t xml:space="preserve">水箱容量</w:t>
                  </w:r>
                  <w:r>
                    <w:rPr>
                      <w:rFonts w:hint="eastAsia" w:ascii="宋体" w:hAnsi="宋体" w:eastAsia="宋体" w:cs="宋体"/>
                      <w:i/>
                      <w:iCs/>
                      <w:color w:val="auto"/>
                      <w:sz w:val="24"/>
                      <w:szCs w:val="24"/>
                      <w:highlight w:val="none"/>
                      <w:u w:val="single"/>
                      <w:shd w:val="clear" w:color="auto" w:fill="auto"/>
                    </w:rPr>
                    <w:t xml:space="preserve">≥</w:t>
                  </w:r>
                  <w:r>
                    <w:rPr>
                      <w:rFonts w:hint="eastAsia" w:eastAsia="宋体" w:cs="宋体"/>
                      <w:i/>
                      <w:iCs/>
                      <w:color w:val="auto"/>
                      <w:sz w:val="24"/>
                      <w:szCs w:val="24"/>
                      <w:highlight w:val="none"/>
                      <w:u w:val="single"/>
                      <w:shd w:val="clear" w:color="auto" w:fill="auto"/>
                      <w:lang w:val="en-US" w:eastAsia="zh-CN"/>
                    </w:rPr>
                    <w:t xml:space="preserve">800L</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16</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抽粪车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w:t>
                  </w:r>
                  <w:r>
                    <w:rPr>
                      <w:rFonts w:hint="eastAsia"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rPr>
                    <w:t xml:space="preserve">吨</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67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17</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新能源扫地车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2 </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GPS定位，车载智能一体机，车载硬盘录像机，摄像头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18</w:t>
                  </w:r>
                  <w:r/>
                </w:p>
              </w:tc>
              <w:tc>
                <w:tcPr>
                  <w:tcW w:w="2285"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新能源厨余垃圾清运车</w:t>
                  </w:r>
                  <w:r/>
                </w:p>
              </w:tc>
              <w:tc>
                <w:tcPr>
                  <w:tcW w:w="2376" w:type="dxa"/>
                  <w:vAlign w:val="center"/>
                  <w:textDirection w:val="lrTb"/>
                  <w:noWrap w:val="false"/>
                </w:tcPr>
                <w:p>
                  <w:pP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垃圾收集容量≥</w:t>
                  </w:r>
                  <w:r>
                    <w:rPr>
                      <w:rFonts w:hint="eastAsia" w:ascii="宋体" w:hAnsi="宋体" w:eastAsia="宋体" w:cs="宋体"/>
                      <w:i/>
                      <w:iCs/>
                      <w:color w:val="auto"/>
                      <w:sz w:val="24"/>
                      <w:szCs w:val="24"/>
                      <w:highlight w:val="none"/>
                      <w:u w:val="single"/>
                      <w:lang w:val="en-US" w:eastAsia="zh-CN"/>
                    </w:rPr>
                    <w:t xml:space="preserve">5m³</w:t>
                  </w:r>
                  <w:r>
                    <w:rPr>
                      <w:rFonts w:hint="eastAsia" w:ascii="宋体" w:hAnsi="宋体" w:eastAsia="宋体" w:cs="宋体"/>
                      <w:i/>
                      <w:iCs/>
                      <w:color w:val="auto"/>
                      <w:sz w:val="24"/>
                      <w:szCs w:val="24"/>
                      <w:highlight w:val="none"/>
                      <w:u w:val="single"/>
                    </w:rPr>
                    <w:t xml:space="preserve">，水箱容量≥</w:t>
                  </w:r>
                  <w:r>
                    <w:rPr>
                      <w:rFonts w:hint="eastAsia" w:ascii="宋体" w:hAnsi="宋体" w:eastAsia="宋体" w:cs="宋体"/>
                      <w:i/>
                      <w:iCs/>
                      <w:color w:val="auto"/>
                      <w:sz w:val="24"/>
                      <w:szCs w:val="24"/>
                      <w:highlight w:val="none"/>
                      <w:u w:val="single"/>
                      <w:lang w:val="en-US" w:eastAsia="zh-CN"/>
                    </w:rPr>
                    <w:t xml:space="preserve"> 250</w:t>
                  </w:r>
                  <w:r>
                    <w:rPr>
                      <w:rFonts w:hint="eastAsia" w:ascii="宋体" w:hAnsi="宋体" w:eastAsia="宋体" w:cs="宋体"/>
                      <w:i/>
                      <w:iCs/>
                      <w:color w:val="auto"/>
                      <w:sz w:val="24"/>
                      <w:szCs w:val="24"/>
                      <w:highlight w:val="none"/>
                      <w:u w:val="single"/>
                    </w:rPr>
                    <w:t xml:space="preserve">升</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GPS定位，车载智能一体机，车载硬盘录像机，摄像头</w:t>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19</w:t>
                  </w:r>
                  <w:r/>
                </w:p>
              </w:tc>
              <w:tc>
                <w:tcPr>
                  <w:tcW w:w="2285"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新能源其他垃圾清运车</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吨，GPS定位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20</w:t>
                  </w:r>
                  <w:r/>
                </w:p>
              </w:tc>
              <w:tc>
                <w:tcPr>
                  <w:tcW w:w="2285"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手持式（背负式）风管机</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584"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21</w:t>
                  </w:r>
                  <w:r/>
                </w:p>
              </w:tc>
              <w:tc>
                <w:tcPr>
                  <w:tcW w:w="2285"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弥雾机（消杀药品喷洒设备）</w:t>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962"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val="en-US" w:eastAsia="zh-CN"/>
                    </w:rPr>
                    <w:t xml:space="preserve">≥2</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584"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lang w:val="en-US" w:eastAsia="zh-CN"/>
                    </w:rPr>
                    <w:t xml:space="preserve">合计</w:t>
                  </w:r>
                  <w:r/>
                </w:p>
              </w:tc>
              <w:tc>
                <w:tcPr>
                  <w:tcW w:w="2285"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2376"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962" w:type="dxa"/>
                  <w:vAlign w:val="center"/>
                  <w:textDirection w:val="lrTb"/>
                  <w:noWrap w:val="false"/>
                </w:tcPr>
                <w:p>
                  <w:pPr>
                    <w:jc w:val="center"/>
                    <w:rPr>
                      <w:rFonts w:hint="default" w:ascii="宋体" w:hAnsi="宋体" w:eastAsia="宋体" w:cs="宋体"/>
                      <w:i/>
                      <w:iCs/>
                      <w:color w:val="auto"/>
                      <w:sz w:val="24"/>
                      <w:szCs w:val="24"/>
                      <w:highlight w:val="none"/>
                      <w:u w:val="single"/>
                      <w:lang w:val="en-US"/>
                    </w:rPr>
                    <w:outlineLvl w:val="9"/>
                  </w:pPr>
                  <w:r>
                    <w:rPr>
                      <w:rFonts w:hint="eastAsia" w:ascii="宋体" w:hAnsi="宋体" w:eastAsia="宋体" w:cs="宋体"/>
                      <w:i/>
                      <w:iCs/>
                      <w:color w:val="auto"/>
                      <w:sz w:val="24"/>
                      <w:szCs w:val="24"/>
                      <w:highlight w:val="none"/>
                      <w:u w:val="single"/>
                      <w:lang w:val="en-US" w:eastAsia="zh-CN"/>
                    </w:rPr>
                    <w:t xml:space="preserve">158</w:t>
                  </w:r>
                  <w:r/>
                </w:p>
              </w:tc>
              <w:tc>
                <w:tcPr>
                  <w:tcW w:w="167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gridSpan w:val="5"/>
                  <w:tcW w:w="7884"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注：目前有15辆车按上级要求安装GPS定位且接入市级平台，如在合同履行期内上级监管部门要求作业车辆加装GPS定位或接入市级平台的，中标单位应无条件配合，甲方不再另行支付费用。</w:t>
                  </w:r>
                  <w:r/>
                </w:p>
              </w:tc>
            </w:tr>
          </w:tbl>
          <w:p>
            <w:pPr>
              <w:ind w:firstLine="480"/>
              <w:spacing w:line="28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28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至少需要配备上表中所要求的车辆，要求外观统一美观，无破损，确保配备车辆数量和质量能胜任和高标准完成项目要求。上述车辆及设备为本项目最低配置，进场后如达不到项目管理要求，中标人须根据实际情况在增加相应车辆或设备，相关费用由中标人承担，采购人不承担任何费用。</w:t>
            </w:r>
            <w:r/>
          </w:p>
          <w:p>
            <w:pPr>
              <w:ind w:firstLine="480"/>
              <w:spacing w:line="28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注：中转站垃圾转运车2辆，由甲方作为中转站配套设施提供给中标单位使用，中标方需考虑驾驶员和该车辆的维修保养等费用。</w:t>
            </w:r>
            <w:r/>
          </w:p>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投标单位在合同期配备不少于3辆新能源垃圾清运车或清扫车及配套设施（充电桩等），车辆为总质量≥4500kg，核定载质量≥2000kg的载货汽车，</w:t>
            </w:r>
            <w:r/>
          </w:p>
        </w:tc>
      </w:tr>
      <w:tr>
        <w:trPr>
          <w:trHeight w:val="345"/>
        </w:trPr>
        <w:tc>
          <w:tcPr>
            <w:tcBorders>
              <w:left w:val="single" w:color="000000" w:sz="2" w:space="0"/>
              <w:right w:val="single" w:color="000000" w:sz="2" w:space="0"/>
            </w:tcBorders>
            <w:tcMar>
              <w:top w:w="100" w:type="dxa"/>
              <w:bottom w:w="100" w:type="dxa"/>
            </w:tcMar>
            <w:tcW w:w="568" w:type="dxa"/>
            <w:vAlign w:val="center"/>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Borders>
              <w:left w:val="single" w:color="000000" w:sz="2" w:space="0"/>
              <w:right w:val="single" w:color="000000" w:sz="2" w:space="0"/>
            </w:tcBorders>
            <w:tcMar>
              <w:top w:w="100" w:type="dxa"/>
              <w:bottom w:w="100" w:type="dxa"/>
            </w:tcMar>
            <w:tcW w:w="1284" w:type="dxa"/>
            <w:vAlign w:val="center"/>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规范用工和安全责任事故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中标企业作业人员每天到岗，并保持各岗位人员相对稳定；人员岗位分配由投标企业勘察现场自行确定。一线保洁作业人员男（60周岁含）、女（50周岁含）以内人员数量占承担本项目作业人员总数的比例≥60%，男女作业人员年龄不得高于65周岁，应按时上、下岗，上岗期间应穿戴印有统一字样的服装或标志着装。</w:t>
            </w:r>
            <w:r/>
          </w:p>
          <w:p>
            <w:pPr>
              <w:pStyle w:val="1001"/>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2、根据《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3、确保设备车辆和人员的安全运行，并独自承担承包期间的一切刑事、民事、安全等责任。</w:t>
            </w:r>
            <w:r/>
          </w:p>
        </w:tc>
      </w:tr>
      <w:tr>
        <w:trPr>
          <w:trHeight w:val="858"/>
        </w:trPr>
        <w:tc>
          <w:tcPr>
            <w:tcBorders>
              <w:left w:val="single" w:color="000000" w:sz="2" w:space="0"/>
              <w:bottom w:val="single" w:color="000000" w:sz="2" w:space="0"/>
              <w:right w:val="single" w:color="000000" w:sz="2" w:space="0"/>
            </w:tcBorders>
            <w:tcMar>
              <w:top w:w="100" w:type="dxa"/>
              <w:bottom w:w="100" w:type="dxa"/>
            </w:tcMar>
            <w:tcW w:w="568" w:type="dxa"/>
            <w:vAlign w:val="center"/>
            <w:textDirection w:val="lrTb"/>
            <w:noWrap w:val="false"/>
          </w:tcPr>
          <w:p>
            <w:pPr>
              <w:pStyle w:val="100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c>
          <w:tcPr>
            <w:tcBorders>
              <w:left w:val="single" w:color="000000" w:sz="2" w:space="0"/>
              <w:bottom w:val="single" w:color="000000" w:sz="2" w:space="0"/>
              <w:right w:val="single" w:color="000000" w:sz="2" w:space="0"/>
            </w:tcBorders>
            <w:tcMar>
              <w:top w:w="100" w:type="dxa"/>
              <w:bottom w:w="100" w:type="dxa"/>
            </w:tcMar>
            <w:tcW w:w="1284" w:type="dxa"/>
            <w:vAlign w:val="center"/>
            <w:textDirection w:val="lrTb"/>
            <w:noWrap w:val="false"/>
          </w:tcPr>
          <w:p>
            <w:pPr>
              <w:pStyle w:val="100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其他约定、要求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10" w:type="dxa"/>
            <w:vAlign w:val="center"/>
            <w:textDirection w:val="lrTb"/>
            <w:noWrap w:val="false"/>
          </w:tcPr>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1、本次招标项目影响重大。投标人必须认真阅读招标文件全文，深刻理解招标文件要求，审慎投标。如因投标人提供虚假证明或材料，致使本项目重新招标或中标无效的，其投标保证金不予退还。</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2、如遇国家和省、市级迎检、重大活动保障及自然灾害时，中标人须服从镇统一安排，增加清扫保洁人员，延长清扫保洁时间。所需费用投标人在本次投标时综合考虑，中标后不作增加。</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3、投标单位应在投标文件中承诺在中标后 15 天内在项目所在地设置固定的车辆停放场所，场地大小至少可停放用于本项目环卫作业的车辆及作业机具，并且符合相关部门的安全要求提供具备与本项目环卫作业量，作业机具相匹配的车辆停放固定场所（自行寻找停放场地）。</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4、为便于管理、考核，中标人应按照招标人要求，如实提供有关统计数据和资料。</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5、巡查员对所管辖的路面，绿化巡查每天不得少于一次，重点路段巡查员每天不得少于两次，每天巡查情况必须向主管进行汇报，巡查员要正常休息，中标单位必须落实相关人员进行巡查。</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6、中标单位应保持各岗位人员相对稳定。</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7、中标单位所有服务人员相关证件（包括身份证复印件）及所需车辆资料交采购方备案，如发生人员、车辆变动，需将变动人员、车辆资料交采购方备案。</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8、中标单位必须遵守劳动法，依法规范用工，所有人员须签订劳动合同，参加基本社会养老保险，以及上级部门制定的相关劳动规定，加班费用支付按政策法规规定执行。</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9、按采购人要求在每月25日前按统一格式向采购人提供相关运行资料，包括但不限于从业人员信息、工资和加班费发放、车辆信息和自查考核情况等，并确保资料信息的真实性和规范性。</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10、环卫作业服务期内，采购人根据工作需要召开会议，中标人的法定代表或管理人员必须准时参加。</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11、中标单位应加强对员工的培训、管理，以达到符合招标方管理要求。</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12、中标单位应严格督导员工的行为规范，并要求员工严格执行招标方相关管理规定维护招标方整体形象。</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13、中标单位管理服务人员工作中应注意安全防范。如因招标方原因发生安全事故，由招标方负责；如因中标单位保洁服务人员自身原因发生的安全事故，由中标单位负责。</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14、中标单位须积极配合采购单位做好进退场交接事宜。</w:t>
            </w:r>
            <w:r/>
          </w:p>
          <w:p>
            <w:pPr>
              <w:pStyle w:val="1001"/>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15、有未尽事项，由采购单位与中标单位另行协商解决。</w:t>
            </w:r>
            <w:r/>
          </w:p>
        </w:tc>
      </w:tr>
    </w:tbl>
    <w:p>
      <w:pPr>
        <w:ind w:firstLine="482"/>
        <w:spacing w:before="120" w:after="12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spacing w:before="120" w:after="12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三、商务条款 </w:t>
      </w:r>
      <w:r/>
    </w:p>
    <w:p>
      <w:pPr>
        <w:pStyle w:val="1047"/>
        <w:ind w:firstLine="510"/>
        <w:keepLines w:val="0"/>
        <w:keepNext w:val="0"/>
        <w:pageBreakBefore w:val="0"/>
        <w:spacing w:after="120" w:line="360" w:lineRule="auto"/>
        <w:widowControl/>
        <w:rPr>
          <w:rFonts w:hint="eastAsia" w:ascii="宋体" w:hAnsi="宋体" w:eastAsia="宋体" w:cs="宋体"/>
          <w:b/>
          <w:color w:val="auto"/>
          <w:spacing w:val="7"/>
          <w:highlight w:val="none"/>
        </w:rPr>
        <w:outlineLvl w:val="9"/>
      </w:pPr>
      <w:r>
        <w:rPr>
          <w:rFonts w:hint="eastAsia" w:ascii="宋体" w:hAnsi="宋体" w:eastAsia="宋体" w:cs="宋体"/>
          <w:b/>
          <w:color w:val="auto"/>
          <w:spacing w:val="7"/>
          <w:highlight w:val="none"/>
        </w:rPr>
        <w:t xml:space="preserve">1 服务期限</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rPr>
        <w:outlineLvl w:val="9"/>
      </w:pPr>
      <w:r>
        <w:rPr>
          <w:rFonts w:hint="eastAsia" w:ascii="宋体" w:hAnsi="宋体" w:eastAsia="宋体" w:cs="宋体"/>
          <w:i/>
          <w:color w:val="auto"/>
          <w:spacing w:val="7"/>
          <w:highlight w:val="none"/>
          <w:u w:val="single"/>
        </w:rPr>
        <w:t xml:space="preserve">1.1、服务期限</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rPr>
        <w:outlineLvl w:val="9"/>
      </w:pPr>
      <w:r>
        <w:rPr>
          <w:rFonts w:hint="eastAsia" w:ascii="宋体" w:hAnsi="宋体" w:eastAsia="宋体" w:cs="宋体"/>
          <w:i/>
          <w:color w:val="auto"/>
          <w:spacing w:val="7"/>
          <w:highlight w:val="none"/>
          <w:u w:val="single"/>
          <w:lang w:eastAsia="zh-CN"/>
        </w:rPr>
        <w:t xml:space="preserve">三年，即202</w:t>
      </w:r>
      <w:r>
        <w:rPr>
          <w:rFonts w:hint="eastAsia" w:ascii="宋体" w:hAnsi="宋体" w:eastAsia="宋体" w:cs="宋体"/>
          <w:i/>
          <w:color w:val="auto"/>
          <w:spacing w:val="7"/>
          <w:highlight w:val="none"/>
          <w:u w:val="single"/>
          <w:lang w:val="en-US" w:eastAsia="zh-CN"/>
        </w:rPr>
        <w:t xml:space="preserve">5</w:t>
      </w:r>
      <w:r>
        <w:rPr>
          <w:rFonts w:hint="eastAsia" w:ascii="宋体" w:hAnsi="宋体" w:eastAsia="宋体" w:cs="宋体"/>
          <w:i/>
          <w:color w:val="auto"/>
          <w:spacing w:val="7"/>
          <w:highlight w:val="none"/>
          <w:u w:val="single"/>
          <w:lang w:eastAsia="zh-CN"/>
        </w:rPr>
        <w:t xml:space="preserve">年9月16日——202</w:t>
      </w:r>
      <w:r>
        <w:rPr>
          <w:rFonts w:hint="eastAsia" w:ascii="宋体" w:hAnsi="宋体" w:eastAsia="宋体" w:cs="宋体"/>
          <w:i/>
          <w:color w:val="auto"/>
          <w:spacing w:val="7"/>
          <w:highlight w:val="none"/>
          <w:u w:val="single"/>
          <w:lang w:val="en-US" w:eastAsia="zh-CN"/>
        </w:rPr>
        <w:t xml:space="preserve">8</w:t>
      </w:r>
      <w:r>
        <w:rPr>
          <w:rFonts w:hint="eastAsia" w:ascii="宋体" w:hAnsi="宋体" w:eastAsia="宋体" w:cs="宋体"/>
          <w:i/>
          <w:color w:val="auto"/>
          <w:spacing w:val="7"/>
          <w:highlight w:val="none"/>
          <w:u w:val="single"/>
          <w:lang w:eastAsia="zh-CN"/>
        </w:rPr>
        <w:t xml:space="preserve">年9月15日</w:t>
      </w:r>
      <w:r>
        <w:rPr>
          <w:rFonts w:hint="eastAsia" w:ascii="宋体" w:hAnsi="宋体" w:eastAsia="宋体" w:cs="宋体"/>
          <w:i/>
          <w:color w:val="auto"/>
          <w:spacing w:val="7"/>
          <w:highlight w:val="none"/>
          <w:u w:val="single"/>
        </w:rPr>
        <w:t xml:space="preserve">。</w:t>
      </w:r>
      <w:r/>
    </w:p>
    <w:p>
      <w:pPr>
        <w:pStyle w:val="1047"/>
        <w:ind w:firstLine="510"/>
        <w:keepLines w:val="0"/>
        <w:keepNext w:val="0"/>
        <w:pageBreakBefore w:val="0"/>
        <w:spacing w:after="120" w:line="360" w:lineRule="auto"/>
        <w:widowControl/>
        <w:rPr>
          <w:rFonts w:hint="eastAsia" w:ascii="宋体" w:hAnsi="宋体" w:eastAsia="宋体" w:cs="宋体"/>
          <w:b/>
          <w:iCs/>
          <w:color w:val="auto"/>
          <w:spacing w:val="7"/>
          <w:highlight w:val="none"/>
        </w:rPr>
        <w:outlineLvl w:val="9"/>
      </w:pPr>
      <w:r>
        <w:rPr>
          <w:rFonts w:hint="eastAsia" w:ascii="宋体" w:hAnsi="宋体" w:eastAsia="宋体" w:cs="宋体"/>
          <w:b/>
          <w:iCs/>
          <w:color w:val="auto"/>
          <w:spacing w:val="7"/>
          <w:highlight w:val="none"/>
        </w:rPr>
        <w:t xml:space="preserve">2 货款支付</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rPr>
        <w:outlineLvl w:val="9"/>
      </w:pPr>
      <w:r>
        <w:rPr>
          <w:rFonts w:hint="eastAsia" w:ascii="宋体" w:hAnsi="宋体" w:eastAsia="宋体" w:cs="宋体"/>
          <w:i/>
          <w:color w:val="auto"/>
          <w:spacing w:val="7"/>
          <w:highlight w:val="none"/>
          <w:u w:val="single"/>
        </w:rPr>
        <w:t xml:space="preserve">2.1、结付程序</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rPr>
        <w:outlineLvl w:val="9"/>
      </w:pPr>
      <w:r>
        <w:rPr>
          <w:rFonts w:hint="eastAsia" w:ascii="宋体" w:hAnsi="宋体" w:eastAsia="宋体" w:cs="宋体"/>
          <w:i/>
          <w:color w:val="auto"/>
          <w:spacing w:val="7"/>
          <w:highlight w:val="none"/>
          <w:u w:val="single"/>
        </w:rPr>
        <w:t xml:space="preserve">中标单位按合同内容合格履行</w:t>
      </w:r>
      <w:r>
        <w:rPr>
          <w:rFonts w:hint="eastAsia" w:ascii="宋体" w:hAnsi="宋体" w:eastAsia="宋体" w:cs="宋体"/>
          <w:i/>
          <w:color w:val="auto"/>
          <w:spacing w:val="7"/>
          <w:highlight w:val="none"/>
          <w:u w:val="single"/>
          <w:lang w:val="en-US" w:eastAsia="zh-CN"/>
        </w:rPr>
        <w:t xml:space="preserve">服务</w:t>
      </w:r>
      <w:r>
        <w:rPr>
          <w:rFonts w:hint="eastAsia" w:ascii="宋体" w:hAnsi="宋体" w:eastAsia="宋体" w:cs="宋体"/>
          <w:i/>
          <w:color w:val="auto"/>
          <w:spacing w:val="7"/>
          <w:highlight w:val="none"/>
          <w:u w:val="single"/>
        </w:rPr>
        <w:t xml:space="preserve">后，按相关规定</w:t>
      </w:r>
      <w:r>
        <w:rPr>
          <w:rFonts w:hint="eastAsia" w:ascii="宋体" w:hAnsi="宋体" w:eastAsia="宋体" w:cs="宋体"/>
          <w:i/>
          <w:color w:val="auto"/>
          <w:spacing w:val="7"/>
          <w:highlight w:val="none"/>
          <w:u w:val="single"/>
          <w:lang w:eastAsia="zh-CN"/>
        </w:rPr>
        <w:t xml:space="preserve">到采购单位</w:t>
      </w:r>
      <w:r>
        <w:rPr>
          <w:rFonts w:hint="eastAsia" w:ascii="宋体" w:hAnsi="宋体" w:eastAsia="宋体" w:cs="宋体"/>
          <w:i/>
          <w:color w:val="auto"/>
          <w:spacing w:val="7"/>
          <w:highlight w:val="none"/>
          <w:u w:val="single"/>
        </w:rPr>
        <w:t xml:space="preserve">办理结算手续。</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rPr>
        <w:outlineLvl w:val="9"/>
      </w:pPr>
      <w:r>
        <w:rPr>
          <w:rFonts w:hint="eastAsia" w:ascii="宋体" w:hAnsi="宋体" w:eastAsia="宋体" w:cs="宋体"/>
          <w:i/>
          <w:color w:val="auto"/>
          <w:spacing w:val="7"/>
          <w:highlight w:val="none"/>
          <w:u w:val="single"/>
        </w:rPr>
        <w:t xml:space="preserve">2.2、结付期限</w:t>
      </w:r>
      <w:r/>
    </w:p>
    <w:p>
      <w:pPr>
        <w:pStyle w:val="1047"/>
        <w:ind w:firstLine="508"/>
        <w:keepLines w:val="0"/>
        <w:keepNext w:val="0"/>
        <w:pageBreakBefore w:val="0"/>
        <w:spacing w:after="120" w:line="360" w:lineRule="auto"/>
        <w:widowControl/>
        <w:rPr>
          <w:rFonts w:hint="eastAsia" w:ascii="宋体" w:hAnsi="宋体" w:eastAsia="宋体" w:cs="宋体"/>
          <w:i/>
          <w:color w:val="auto"/>
          <w:spacing w:val="7"/>
          <w:highlight w:val="none"/>
          <w:u w:val="single"/>
          <w:lang w:eastAsia="zh-CN"/>
        </w:rPr>
        <w:outlineLvl w:val="9"/>
      </w:pPr>
      <w:r/>
      <w:bookmarkStart w:id="159" w:name="OLE_LINK13"/>
      <w:r>
        <w:rPr>
          <w:rFonts w:hint="eastAsia" w:ascii="宋体" w:hAnsi="宋体" w:eastAsia="宋体" w:cs="宋体"/>
          <w:i/>
          <w:color w:val="auto"/>
          <w:spacing w:val="7"/>
          <w:highlight w:val="none"/>
          <w:u w:val="single"/>
          <w:lang w:val="en-US" w:eastAsia="zh-CN"/>
        </w:rPr>
        <w:t xml:space="preserve">本项目</w:t>
      </w:r>
      <w:r>
        <w:rPr>
          <w:rFonts w:hint="eastAsia" w:ascii="宋体" w:hAnsi="宋体" w:eastAsia="宋体" w:cs="宋体"/>
          <w:i/>
          <w:color w:val="auto"/>
          <w:spacing w:val="7"/>
          <w:highlight w:val="none"/>
          <w:u w:val="single"/>
        </w:rPr>
        <w:t xml:space="preserve">预付款10%，</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在签订合同时，供方明确表示无需预付款或者主动要求降低预付款比例的，</w:t>
      </w:r>
      <w:r>
        <w:rPr>
          <w:rFonts w:hint="eastAsia" w:ascii="宋体" w:hAnsi="宋体" w:eastAsia="宋体" w:cs="宋体"/>
          <w:i/>
          <w:color w:val="auto"/>
          <w:spacing w:val="7"/>
          <w:highlight w:val="none"/>
          <w:u w:val="single"/>
        </w:rPr>
        <w:t xml:space="preserve">采购人</w:t>
      </w:r>
      <w:r>
        <w:rPr>
          <w:rFonts w:hint="eastAsia" w:ascii="宋体" w:hAnsi="宋体" w:eastAsia="宋体" w:cs="宋体"/>
          <w:i/>
          <w:color w:val="auto"/>
          <w:spacing w:val="7"/>
          <w:highlight w:val="none"/>
          <w:u w:val="single"/>
          <w:lang w:val="en-US" w:eastAsia="zh-CN"/>
        </w:rPr>
        <w:t xml:space="preserve">可不适用上述关于预付款的规定。</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合同签订后，待整个服务项目所需设备、人员全部到位，经</w:t>
      </w:r>
      <w:r>
        <w:rPr>
          <w:rFonts w:hint="eastAsia" w:ascii="宋体" w:hAnsi="宋体" w:eastAsia="宋体" w:cs="宋体"/>
          <w:i/>
          <w:color w:val="auto"/>
          <w:spacing w:val="7"/>
          <w:highlight w:val="none"/>
          <w:u w:val="single"/>
          <w:lang w:val="en-US" w:eastAsia="zh-CN"/>
        </w:rPr>
        <w:t xml:space="preserve">采购</w:t>
      </w:r>
      <w:r>
        <w:rPr>
          <w:rFonts w:hint="eastAsia" w:ascii="宋体" w:hAnsi="宋体" w:eastAsia="宋体" w:cs="宋体"/>
          <w:i/>
          <w:color w:val="auto"/>
          <w:spacing w:val="7"/>
          <w:highlight w:val="none"/>
          <w:u w:val="single"/>
        </w:rPr>
        <w:t xml:space="preserve">人认可后开始进行管理服务。</w:t>
      </w:r>
      <w:r>
        <w:rPr>
          <w:rFonts w:hint="eastAsia" w:ascii="宋体" w:hAnsi="宋体" w:eastAsia="宋体" w:cs="宋体"/>
          <w:i/>
          <w:color w:val="auto"/>
          <w:spacing w:val="7"/>
          <w:highlight w:val="none"/>
          <w:u w:val="single"/>
          <w:lang w:eastAsia="zh-CN"/>
        </w:rPr>
        <w:t xml:space="preserve">根据</w:t>
      </w:r>
      <w:r>
        <w:rPr>
          <w:rFonts w:hint="eastAsia" w:ascii="宋体" w:hAnsi="宋体" w:eastAsia="宋体" w:cs="宋体"/>
          <w:i/>
          <w:color w:val="auto"/>
          <w:spacing w:val="7"/>
          <w:highlight w:val="none"/>
          <w:u w:val="single"/>
          <w:lang w:val="en-US" w:eastAsia="zh-CN"/>
        </w:rPr>
        <w:t xml:space="preserve">采购</w:t>
      </w:r>
      <w:r>
        <w:rPr>
          <w:rFonts w:hint="eastAsia" w:ascii="宋体" w:hAnsi="宋体" w:eastAsia="宋体" w:cs="宋体"/>
          <w:i/>
          <w:color w:val="auto"/>
          <w:spacing w:val="7"/>
          <w:highlight w:val="none"/>
          <w:u w:val="single"/>
          <w:lang w:eastAsia="zh-CN"/>
        </w:rPr>
        <w:t xml:space="preserve">人所需的南丰镇大环境卫生保洁市场化服务各个作业标准对中标人进行的环卫保洁服务质量进行检查、验收和百分考核，考核分值为满意度分值。考核每扣一分，扣除当月服务费800元，根据月度最终考评得分，计算当月服务费。连续二次得分在90分以下且在半个月的期限内整改不到位的，采购单位有权利终止合同。服务费每两个月支付一次。被市级以上通报的，一次扣1000元；通报后没有及时整改到位的，一次扣3000元</w:t>
      </w:r>
      <w:r>
        <w:rPr>
          <w:rFonts w:hint="eastAsia" w:ascii="宋体" w:hAnsi="宋体" w:eastAsia="宋体" w:cs="宋体"/>
          <w:i/>
          <w:color w:val="auto"/>
          <w:spacing w:val="7"/>
          <w:highlight w:val="none"/>
          <w:u w:val="single"/>
        </w:rPr>
        <w:t xml:space="preserve">，最后一次付款不计利息，根据履约情况退还履约保证金</w:t>
      </w:r>
      <w:r>
        <w:rPr>
          <w:rFonts w:hint="eastAsia" w:ascii="宋体" w:hAnsi="宋体" w:eastAsia="宋体" w:cs="宋体"/>
          <w:i/>
          <w:color w:val="auto"/>
          <w:spacing w:val="7"/>
          <w:highlight w:val="none"/>
          <w:u w:val="single"/>
          <w:lang w:eastAsia="zh-CN"/>
        </w:rPr>
        <w:t xml:space="preserve">。</w:t>
      </w:r>
      <w:bookmarkEnd w:id="159"/>
      <w:r/>
      <w:r/>
    </w:p>
    <w:p>
      <w:pPr>
        <w:pStyle w:val="1047"/>
        <w:ind w:firstLine="510"/>
        <w:keepLines w:val="0"/>
        <w:keepNext w:val="0"/>
        <w:pageBreakBefore w:val="0"/>
        <w:spacing w:after="120" w:line="360" w:lineRule="auto"/>
        <w:widowControl/>
        <w:rPr>
          <w:rFonts w:hint="eastAsia" w:ascii="宋体" w:hAnsi="宋体" w:eastAsia="宋体" w:cs="宋体"/>
          <w:b/>
          <w:iCs/>
          <w:color w:val="auto"/>
          <w:spacing w:val="7"/>
          <w:highlight w:val="none"/>
        </w:rPr>
        <w:outlineLvl w:val="9"/>
      </w:pPr>
      <w:r>
        <w:rPr>
          <w:rFonts w:hint="eastAsia" w:ascii="宋体" w:hAnsi="宋体" w:eastAsia="宋体" w:cs="宋体"/>
          <w:b/>
          <w:iCs/>
          <w:color w:val="auto"/>
          <w:spacing w:val="7"/>
          <w:highlight w:val="none"/>
        </w:rPr>
        <w:t xml:space="preserve">3 投标货币</w:t>
      </w:r>
      <w:r/>
    </w:p>
    <w:p>
      <w:pPr>
        <w:pStyle w:val="1047"/>
        <w:ind w:firstLine="508"/>
        <w:keepLines w:val="0"/>
        <w:keepNext w:val="0"/>
        <w:pageBreakBefore w:val="0"/>
        <w:spacing w:after="120" w:line="360" w:lineRule="auto"/>
        <w:widowControl/>
        <w:rPr>
          <w:rFonts w:hint="eastAsia" w:ascii="宋体" w:hAnsi="宋体" w:eastAsia="宋体" w:cs="宋体"/>
          <w:iCs/>
          <w:color w:val="auto"/>
          <w:spacing w:val="7"/>
          <w:highlight w:val="none"/>
        </w:rPr>
        <w:outlineLvl w:val="9"/>
      </w:pPr>
      <w:r>
        <w:rPr>
          <w:rFonts w:hint="eastAsia" w:ascii="宋体" w:hAnsi="宋体" w:eastAsia="宋体" w:cs="宋体"/>
          <w:i/>
          <w:color w:val="auto"/>
          <w:spacing w:val="7"/>
          <w:highlight w:val="none"/>
          <w:u w:val="single"/>
        </w:rPr>
        <w:t xml:space="preserve">3.1、投标货币人民币</w:t>
      </w:r>
      <w:r/>
    </w:p>
    <w:p>
      <w:pPr>
        <w:pStyle w:val="1047"/>
        <w:ind w:firstLine="510"/>
        <w:keepLines w:val="0"/>
        <w:keepNext w:val="0"/>
        <w:pageBreakBefore w:val="0"/>
        <w:spacing w:after="120" w:line="360" w:lineRule="auto"/>
        <w:widowControl/>
        <w:rPr>
          <w:rFonts w:hint="eastAsia" w:ascii="宋体" w:hAnsi="宋体" w:eastAsia="宋体" w:cs="宋体"/>
          <w:b/>
          <w:iCs/>
          <w:color w:val="auto"/>
          <w:spacing w:val="7"/>
          <w:highlight w:val="none"/>
        </w:rPr>
        <w:outlineLvl w:val="9"/>
      </w:pPr>
      <w:r>
        <w:rPr>
          <w:rFonts w:hint="eastAsia" w:ascii="宋体" w:hAnsi="宋体" w:eastAsia="宋体" w:cs="宋体"/>
          <w:b/>
          <w:iCs/>
          <w:color w:val="auto"/>
          <w:spacing w:val="7"/>
          <w:highlight w:val="none"/>
        </w:rPr>
        <w:t xml:space="preserve">4 备品备件及耗材等要求</w:t>
      </w:r>
      <w:r/>
    </w:p>
    <w:p>
      <w:pPr>
        <w:pStyle w:val="1047"/>
        <w:ind w:firstLine="508"/>
        <w:keepLines w:val="0"/>
        <w:keepNext w:val="0"/>
        <w:pageBreakBefore w:val="0"/>
        <w:spacing w:after="120" w:line="360" w:lineRule="auto"/>
        <w:widowControl/>
        <w:rPr>
          <w:color w:val="auto"/>
          <w:highlight w:val="none"/>
        </w:rPr>
        <w:outlineLvl w:val="9"/>
      </w:pPr>
      <w:r>
        <w:rPr>
          <w:rFonts w:hint="eastAsia" w:ascii="宋体" w:hAnsi="宋体" w:eastAsia="宋体" w:cs="宋体"/>
          <w:i/>
          <w:color w:val="auto"/>
          <w:spacing w:val="7"/>
          <w:highlight w:val="none"/>
          <w:u w:val="single"/>
        </w:rPr>
        <w:t xml:space="preserve">4.1、备品备件及耗材等要求</w:t>
      </w:r>
      <w:bookmarkStart w:id="160" w:name="EBeba33935409e4c76a800f8c7f49348de"/>
      <w:r/>
      <w:bookmarkEnd w:id="160"/>
      <w:r>
        <w:rPr>
          <w:rFonts w:hint="eastAsia" w:ascii="宋体" w:hAnsi="宋体" w:eastAsia="宋体" w:cs="宋体"/>
          <w:i/>
          <w:color w:val="auto"/>
          <w:spacing w:val="7"/>
          <w:highlight w:val="none"/>
          <w:u w:val="single"/>
          <w:lang w:eastAsia="zh-CN"/>
        </w:rPr>
        <w:t xml:space="preserve">：</w:t>
      </w:r>
      <w:r>
        <w:rPr>
          <w:rFonts w:hint="eastAsia"/>
          <w:color w:val="auto"/>
          <w:highlight w:val="none"/>
        </w:rPr>
        <w:t xml:space="preserve">无</w:t>
      </w:r>
      <w:r/>
    </w:p>
    <w:p>
      <w:pPr>
        <w:ind w:firstLine="482"/>
        <w:keepLines w:val="0"/>
        <w:keepNext w:val="0"/>
        <w:pageBreakBefore w:val="0"/>
        <w:spacing w:before="120" w:after="181"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四、其他部分</w:t>
      </w:r>
      <w:r/>
    </w:p>
    <w:p>
      <w:pPr>
        <w:ind w:firstLine="482"/>
        <w:jc w:val="center"/>
        <w:keepLines w:val="0"/>
        <w:keepNext w:val="0"/>
        <w:pageBreakBefore w:val="0"/>
        <w:spacing w:after="181"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考核办法及考核细则</w:t>
      </w:r>
      <w:r/>
    </w:p>
    <w:p>
      <w:pPr>
        <w:numPr>
          <w:ilvl w:val="0"/>
          <w:numId w:val="2"/>
        </w:numPr>
        <w:ind w:firstLine="482"/>
        <w:keepLines w:val="0"/>
        <w:keepNext w:val="0"/>
        <w:pageBreakBefore w:val="0"/>
        <w:spacing w:after="181"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考核办法：</w:t>
      </w:r>
      <w:r/>
    </w:p>
    <w:p>
      <w:pPr>
        <w:numPr>
          <w:ilvl w:val="0"/>
          <w:numId w:val="0"/>
        </w:num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由镇</w:t>
      </w:r>
      <w:r>
        <w:rPr>
          <w:rFonts w:hint="eastAsia" w:ascii="宋体" w:hAnsi="宋体" w:eastAsia="宋体" w:cs="宋体"/>
          <w:color w:val="auto"/>
          <w:sz w:val="24"/>
          <w:szCs w:val="24"/>
          <w:highlight w:val="none"/>
          <w:lang w:val="en-US" w:eastAsia="zh-CN"/>
        </w:rPr>
        <w:t xml:space="preserve">市容管理科</w:t>
      </w:r>
      <w:r>
        <w:rPr>
          <w:rFonts w:hint="eastAsia" w:ascii="宋体" w:hAnsi="宋体" w:eastAsia="宋体" w:cs="宋体"/>
          <w:color w:val="auto"/>
          <w:sz w:val="24"/>
          <w:szCs w:val="24"/>
          <w:highlight w:val="none"/>
          <w:lang w:eastAsia="zh-CN"/>
        </w:rPr>
        <w:t xml:space="preserve">组织人员按照考核细则定期不定期对物业公司进行考评。上级检查到的问题也按照考核细则在当月考核中进行扣分。</w:t>
      </w:r>
      <w:r/>
    </w:p>
    <w:p>
      <w:pPr>
        <w:numPr>
          <w:ilvl w:val="0"/>
          <w:numId w:val="0"/>
        </w:numPr>
        <w:ind w:firstLine="482"/>
        <w:keepLines w:val="0"/>
        <w:keepNext w:val="0"/>
        <w:pageBreakBefore w:val="0"/>
        <w:spacing w:after="181"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二）考核细则：</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1、按照要求配齐配足作业人员和车辆。未按投标文件配足作业人员的，每缺一人当月按照投标文件中人员费用扣除；</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2、作业人员上岗期间统一着装。发现未按规定着工作服的有一次扣0.1分；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3、作业人员在规定时间内开展工作，定人定岗，不得迟到、早退、脱岗等。发现一人扣0.2分；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4、物业公司要积极配合镇开展整治活动及重大活动保障，不配合的有一次扣1分，影响全镇考核排名或活动保障出现问题的有一次扣5分；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5、文明作业，保洁车辆合理停放，因停放不合理影响行人、车辆通行的，发现一次扣0.1分；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6、道路及两侧绿化带无杂物，发现一处扣0.1分；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7、禁止将垃圾往两边绿化或出水通道内清倒，违反规定的，发现一次扣0.2分；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8、扫地车、洒水车作业警示灯必须完好，如作业时发现警示灯不亮或未开启，发现一次扣0.2分；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9、垃圾分类收集，不得混装混运，发现一次扣10分；若上级检查发现问题加倍扣分；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10、移动收集点要按照要求配备到位，少一辆当月按照投标文件中车辆费用扣除；</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11、垃圾要按照收运时间及时清运，确保日产日清。发现未及时清理的有一次扣0.1分；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12、分类督导员要按时在点位进行督导，对居民投放的垃圾进行检查、指导，未按照规定进行督导检查的，发现一次扣0.1分；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13、垃圾分类督导员要配合镇市容管理科、社区做好分类宣传工作，如发现不配合有一次扣0.2分；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14、及时对企业进行垃圾分类清运，督促企业垃圾分类投放，不及时清运的，发现一次扣0.1分；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15、收集点人员（含移动收集点）做好收运的台账记录，发现未按规定记录的又一次扣0.1分；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16、镇环卫工作站对每天收运的其他垃圾进行及时转运，转运途中防止滴漏，发现一次扣1分，不及时转运有一次扣1分；如不按照《北控焚烧厂安全管理要求及措施》操作执行和被上级通报的有一次扣5分；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17、每天全面打扫、消杀，保持厕内通风良好，无异味。如发现有异味，有一次扣0.1分；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18、蹲位、便池保持畅通无污物、污迹，厕所内外环境整洁。发现问题有一次扣0.1分；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19、管理间内部整洁美观，物品摆放整齐有序，地面、墙壁、设施等干净无涂贴。发现问题有一处扣0.1分；被文明创建及上级发现问题扣双倍；</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20、室内墙体每周全面擦洗1次，挡板、卫生洁具等其它设施应每天擦洗，室内无蛛网、积尘、涂贴。发现一处扣0.1分；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21、厕所蹲位处放置纸篓和垃圾袋，维护好自动售纸机和“小厨宝”的正常运行。未放置纸篓和垃圾袋发现一次扣0.1分；自动售纸机和“小厨宝”未在规定时间正常运行的发现一次扣0.1分。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22、化粪池满溢及时处理。不及时处理的发现一次扣1分。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按照规定做好病媒生物防制，区域内日常消杀及开展好各类防制工作，做好病媒防制台账。未开展活动有一次扣1分，未做好台账发现一次扣1分。被市级通报的一次扣3分，未完成上级相关要求内容的视情扣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24、按要求做好环卫工作站、可回收分拣中心、渗滤液处理中心等运行管理相关工作，被市级通报的一次扣1分，数据异常一次扣1分，未及时整改到位的加倍扣分。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注：采购单位有权更具实际需要调整考核办法，中标单位需服从新的考核办法执行。</w:t>
      </w:r>
      <w:r/>
    </w:p>
    <w:p>
      <w:pPr>
        <w:pStyle w:val="993"/>
        <w:pageBreakBefore/>
        <w:spacing w:line="360" w:lineRule="auto"/>
        <w:rPr>
          <w:rFonts w:hint="eastAsia" w:ascii="宋体" w:hAnsi="宋体" w:eastAsia="宋体"/>
          <w:b w:val="0"/>
          <w:color w:val="auto"/>
          <w:sz w:val="36"/>
          <w:szCs w:val="36"/>
          <w:highlight w:val="none"/>
        </w:rPr>
      </w:pPr>
      <w:r/>
      <w:bookmarkStart w:id="161" w:name="_Toc26715"/>
      <w:r/>
      <w:bookmarkStart w:id="162" w:name="_Toc30296"/>
      <w:r/>
      <w:bookmarkStart w:id="163" w:name="_Toc21867"/>
      <w:r/>
      <w:bookmarkStart w:id="164" w:name="_Toc11139"/>
      <w:r/>
      <w:bookmarkStart w:id="165" w:name="_Toc2834"/>
      <w:r/>
      <w:bookmarkStart w:id="166" w:name="_Toc10388"/>
      <w:r>
        <w:rPr>
          <w:rFonts w:hint="eastAsia" w:ascii="宋体" w:hAnsi="宋体" w:eastAsia="宋体"/>
          <w:color w:val="auto"/>
          <w:sz w:val="36"/>
          <w:szCs w:val="36"/>
          <w:highlight w:val="none"/>
        </w:rPr>
        <w:t xml:space="preserve">第五章 评标方法与评标标准</w:t>
      </w:r>
      <w:bookmarkEnd w:id="155"/>
      <w:r/>
      <w:bookmarkEnd w:id="156"/>
      <w:r/>
      <w:bookmarkEnd w:id="157"/>
      <w:r/>
      <w:bookmarkEnd w:id="161"/>
      <w:r/>
      <w:bookmarkEnd w:id="162"/>
      <w:r/>
      <w:bookmarkEnd w:id="163"/>
      <w:r/>
      <w:bookmarkEnd w:id="164"/>
      <w:r/>
      <w:bookmarkEnd w:id="165"/>
      <w:r/>
      <w:bookmarkEnd w:id="166"/>
      <w:r/>
      <w:r/>
    </w:p>
    <w:p>
      <w:pPr>
        <w:pStyle w:val="981"/>
        <w:ind w:firstLine="480"/>
        <w:jc w:val="left"/>
        <w:spacing w:after="181" w:line="360" w:lineRule="auto"/>
        <w:rPr>
          <w:rStyle w:val="997"/>
          <w:rFonts w:hint="eastAsia" w:ascii="宋体" w:hAnsi="宋体" w:cs="宋体"/>
          <w:b w:val="0"/>
          <w:bCs w:val="0"/>
          <w:color w:val="auto"/>
          <w:sz w:val="24"/>
          <w:szCs w:val="24"/>
          <w:highlight w:val="none"/>
        </w:rPr>
      </w:pPr>
      <w:r/>
      <w:bookmarkStart w:id="167" w:name="_Toc38368130"/>
      <w:r/>
      <w:bookmarkStart w:id="168" w:name="_Toc8905"/>
      <w:r/>
      <w:bookmarkStart w:id="169" w:name="_Toc35266030"/>
      <w:r/>
      <w:bookmarkStart w:id="170" w:name="_Toc54615248"/>
      <w:r>
        <w:rPr>
          <w:rStyle w:val="997"/>
          <w:rFonts w:hint="eastAsia" w:ascii="宋体" w:hAnsi="宋体" w:cs="宋体"/>
          <w:b w:val="0"/>
          <w:bCs w:val="0"/>
          <w:color w:val="auto"/>
          <w:sz w:val="24"/>
          <w:szCs w:val="24"/>
          <w:highlight w:val="none"/>
        </w:rPr>
        <w:t xml:space="preserve">一、评标方法与定标原则</w:t>
      </w:r>
      <w:bookmarkEnd w:id="167"/>
      <w:r/>
      <w:bookmarkEnd w:id="168"/>
      <w:r/>
      <w:bookmarkEnd w:id="169"/>
      <w:r/>
      <w:bookmarkEnd w:id="170"/>
      <w:r/>
      <w:r/>
    </w:p>
    <w:p>
      <w:pPr>
        <w:pStyle w:val="1048"/>
        <w:ind w:firstLine="508"/>
        <w:spacing w:after="120" w:line="360" w:lineRule="auto"/>
        <w:rPr>
          <w:rFonts w:hint="eastAsia" w:ascii="宋体" w:hAnsi="宋体" w:eastAsia="宋体" w:cs="宋体"/>
          <w:color w:val="auto"/>
          <w:spacing w:val="7"/>
          <w:highlight w:val="none"/>
        </w:rPr>
      </w:pPr>
      <w:r/>
      <w:bookmarkStart w:id="171" w:name="_Toc13502"/>
      <w:r/>
      <w:bookmarkStart w:id="172" w:name="_Toc38368131"/>
      <w:r/>
      <w:bookmarkStart w:id="173" w:name="_Toc35266031"/>
      <w:r/>
      <w:bookmarkStart w:id="174" w:name="_Toc54615249"/>
      <w:r>
        <w:rPr>
          <w:rFonts w:hint="eastAsia" w:ascii="宋体" w:hAnsi="宋体" w:eastAsia="宋体" w:cs="宋体"/>
          <w:color w:val="auto"/>
          <w:spacing w:val="7"/>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针对中小型企业的评审：</w:t>
      </w:r>
      <w:r/>
    </w:p>
    <w:p>
      <w:pPr>
        <w:pStyle w:val="1048"/>
        <w:ind w:firstLine="508"/>
        <w:spacing w:after="120" w:line="360" w:lineRule="auto"/>
        <w:rPr>
          <w:rFonts w:hint="eastAsia" w:ascii="宋体" w:hAnsi="宋体" w:eastAsia="宋体" w:cs="宋体"/>
          <w:color w:val="auto"/>
          <w:spacing w:val="7"/>
          <w:highlight w:val="none"/>
        </w:rPr>
      </w:pPr>
      <w:r/>
      <w:bookmarkStart w:id="175" w:name="OLE_LINK2"/>
      <w:r>
        <w:rPr>
          <w:rFonts w:hint="eastAsia" w:ascii="宋体" w:hAnsi="宋体" w:eastAsia="宋体" w:cs="宋体"/>
          <w:color w:val="auto"/>
          <w:spacing w:val="7"/>
          <w:highlight w:val="none"/>
        </w:rPr>
        <w:t xml:space="preserve">（1）根据《政府采购促进中小企业发展管理办法》(（财库〔2020〕46号)）及《苏州市政府采购促进中小企业发展实施意见》（苏财购〔2022〕16号）的规定，对未预留份额部分符合办法规定的小微企业报价给予20% 的扣除，用扣除后的价格参加评审。</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注：①中小企业参加政府采购活动，应当出具《中小企业声明函》，否则不得享受相关中小企业扶持政策；</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②以上规定未尽事项，按《政府采购促进中小企业发展管理办法》等有关制度规定执行。</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（2）根据《关于促进残疾人就业政府采购政策的通知》（财库〔2017〕141号）的通知规定：</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注：投标人如不提供以上声明函的，不得享受相关政府采购政策。</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注：投标人如不提供以上证明材料的，不得享受相关政府采购政策。</w:t>
      </w:r>
      <w:bookmarkEnd w:id="175"/>
      <w:r/>
      <w:r/>
    </w:p>
    <w:p>
      <w:pPr>
        <w:pStyle w:val="1048"/>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二、评标标准</w:t>
      </w:r>
      <w:bookmarkEnd w:id="171"/>
      <w:r/>
      <w:bookmarkEnd w:id="172"/>
      <w:r/>
      <w:bookmarkEnd w:id="173"/>
      <w:r/>
      <w:bookmarkEnd w:id="174"/>
      <w:r/>
      <w:r/>
    </w:p>
    <w:p>
      <w:pPr>
        <w:pStyle w:val="1042"/>
        <w:ind w:firstLine="510"/>
        <w:spacing w:after="120" w:line="360" w:lineRule="auto"/>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w:t>
      </w:r>
      <w:r>
        <w:rPr>
          <w:rFonts w:hint="eastAsia" w:ascii="宋体" w:hAnsi="宋体" w:eastAsia="宋体" w:cs="宋体"/>
          <w:b/>
          <w:color w:val="auto"/>
          <w:spacing w:val="7"/>
          <w:highlight w:val="none"/>
          <w:lang w:val="en-US" w:eastAsia="zh-CN"/>
        </w:rPr>
        <w:t xml:space="preserve">.</w:t>
      </w:r>
      <w:r>
        <w:rPr>
          <w:rFonts w:hint="eastAsia" w:ascii="宋体" w:hAnsi="宋体" w:eastAsia="宋体" w:cs="宋体"/>
          <w:b/>
          <w:color w:val="auto"/>
          <w:spacing w:val="7"/>
          <w:highlight w:val="none"/>
        </w:rPr>
        <w:t xml:space="preserve">价格分1</w:t>
      </w:r>
      <w:r>
        <w:rPr>
          <w:rFonts w:hint="eastAsia" w:ascii="宋体" w:hAnsi="宋体" w:eastAsia="宋体" w:cs="宋体"/>
          <w:b/>
          <w:color w:val="auto"/>
          <w:spacing w:val="7"/>
          <w:highlight w:val="none"/>
          <w:lang w:val="en-US" w:eastAsia="zh-CN"/>
        </w:rPr>
        <w:t xml:space="preserve">5</w:t>
      </w:r>
      <w:r>
        <w:rPr>
          <w:rFonts w:hint="eastAsia" w:ascii="宋体" w:hAnsi="宋体" w:eastAsia="宋体" w:cs="宋体"/>
          <w:b/>
          <w:color w:val="auto"/>
          <w:spacing w:val="7"/>
          <w:highlight w:val="none"/>
        </w:rPr>
        <w:t xml:space="preserve">.0 分</w:t>
      </w:r>
      <w:r/>
    </w:p>
    <w:p>
      <w:pPr>
        <w:pStyle w:val="1042"/>
        <w:ind w:firstLine="508"/>
        <w:spacing w:after="120" w:line="360" w:lineRule="auto"/>
        <w:rPr>
          <w:rFonts w:hint="eastAsia" w:ascii="宋体" w:hAnsi="宋体" w:eastAsia="宋体" w:cs="宋体"/>
          <w:color w:val="auto"/>
          <w:spacing w:val="7"/>
          <w:highlight w:val="none"/>
        </w:rPr>
      </w:pPr>
      <w:r/>
      <w:bookmarkStart w:id="176" w:name="OLE_LINK21"/>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采用低价优先法计算，即满足招标文件要求且投标价格最低的投标价为评标基准价，其价格分为满分1</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.0分。其他投标人的价格分统一按照下列公式计算：</w:t>
      </w:r>
      <w:r/>
    </w:p>
    <w:p>
      <w:pPr>
        <w:pStyle w:val="1042"/>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投标报价得分=（评标基准价/投标报价）* 1</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.0% * 100（保留二位小数）；</w:t>
      </w:r>
      <w:bookmarkEnd w:id="176"/>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2.服务</w:t>
      </w:r>
      <w:r>
        <w:rPr>
          <w:rFonts w:hint="eastAsia" w:ascii="宋体" w:hAnsi="宋体" w:eastAsia="宋体" w:cs="宋体"/>
          <w:b/>
          <w:bCs/>
          <w:color w:val="auto"/>
          <w:spacing w:val="7"/>
          <w:highlight w:val="none"/>
          <w:lang w:eastAsia="zh-CN"/>
        </w:rPr>
        <w:t xml:space="preserve">方案分6</w:t>
      </w:r>
      <w:r>
        <w:rPr>
          <w:rFonts w:hint="eastAsia" w:ascii="宋体" w:hAnsi="宋体" w:eastAsia="宋体" w:cs="宋体"/>
          <w:b/>
          <w:bCs/>
          <w:color w:val="auto"/>
          <w:spacing w:val="7"/>
          <w:highlight w:val="none"/>
          <w:lang w:val="en-US" w:eastAsia="zh-CN"/>
        </w:rPr>
        <w:t xml:space="preserve">3.0</w:t>
      </w:r>
      <w:r>
        <w:rPr>
          <w:rFonts w:hint="eastAsia" w:ascii="宋体" w:hAnsi="宋体" w:eastAsia="宋体" w:cs="宋体"/>
          <w:b/>
          <w:bCs/>
          <w:color w:val="auto"/>
          <w:spacing w:val="7"/>
          <w:highlight w:val="none"/>
          <w:lang w:eastAsia="zh-CN"/>
        </w:rPr>
        <w:t xml:space="preserve">分</w:t>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2.1</w:t>
      </w:r>
      <w:bookmarkStart w:id="177" w:name="OLE_LINK22"/>
      <w:r>
        <w:rPr>
          <w:rFonts w:hint="eastAsia" w:ascii="宋体" w:hAnsi="宋体" w:eastAsia="宋体" w:cs="宋体"/>
          <w:b/>
          <w:bCs/>
          <w:color w:val="auto"/>
          <w:spacing w:val="7"/>
          <w:highlight w:val="none"/>
          <w:lang w:eastAsia="zh-CN"/>
        </w:rPr>
        <w:t xml:space="preserve">道路（含绿化带）清扫及巡回保洁作业方案</w:t>
      </w:r>
      <w:r>
        <w:rPr>
          <w:rFonts w:hint="eastAsia" w:ascii="宋体" w:hAnsi="宋体" w:eastAsia="宋体" w:cs="宋体"/>
          <w:b/>
          <w:bCs/>
          <w:color w:val="auto"/>
          <w:spacing w:val="7"/>
          <w:highlight w:val="none"/>
          <w:lang w:val="en-US" w:eastAsia="zh-CN"/>
        </w:rPr>
        <w:t xml:space="preserve">6.0</w:t>
      </w:r>
      <w:r>
        <w:rPr>
          <w:rFonts w:hint="eastAsia" w:ascii="宋体" w:hAnsi="宋体" w:eastAsia="宋体" w:cs="宋体"/>
          <w:b/>
          <w:bCs/>
          <w:color w:val="auto"/>
          <w:spacing w:val="7"/>
          <w:highlight w:val="none"/>
          <w:lang w:eastAsia="zh-CN"/>
        </w:rPr>
        <w:t xml:space="preserve">分</w:t>
      </w:r>
      <w:bookmarkEnd w:id="177"/>
      <w:r/>
      <w:r/>
    </w:p>
    <w:p>
      <w:pPr>
        <w:pStyle w:val="1042"/>
        <w:ind w:firstLine="508"/>
        <w:spacing w:after="120" w:line="360" w:lineRule="auto"/>
        <w:rPr>
          <w:rFonts w:hint="eastAsia" w:ascii="宋体" w:hAnsi="宋体" w:eastAsia="宋体" w:cs="宋体"/>
          <w:color w:val="auto"/>
          <w:spacing w:val="7"/>
          <w:highlight w:val="none"/>
          <w:lang w:eastAsia="zh-CN"/>
        </w:rPr>
      </w:pPr>
      <w:r/>
      <w:bookmarkStart w:id="178" w:name="OLE_LINK23"/>
      <w:r>
        <w:rPr>
          <w:rFonts w:hint="eastAsia" w:ascii="宋体" w:hAnsi="宋体" w:eastAsia="宋体" w:cs="宋体"/>
          <w:color w:val="auto"/>
          <w:spacing w:val="7"/>
          <w:highlight w:val="none"/>
          <w:lang w:eastAsia="zh-CN"/>
        </w:rPr>
        <w:t xml:space="preserve">根据招标文件要求和投标人提供的保洁作业方案（保洁工作方案完整，包括但不限于本项目服务的内容、标准、根据项目特点采取有效管理措施等）。优于本项目作业方案需求的得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lang w:eastAsia="zh-CN"/>
        </w:rPr>
        <w:t xml:space="preserve">分，符合本项目需求的得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分，作业方案有缺失的得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lang w:eastAsia="zh-CN"/>
        </w:rPr>
        <w:t xml:space="preserve">分，不符合的不得分。</w:t>
      </w:r>
      <w:bookmarkEnd w:id="178"/>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2.2</w:t>
      </w:r>
      <w:r>
        <w:rPr>
          <w:rFonts w:hint="eastAsia" w:ascii="宋体" w:hAnsi="宋体" w:eastAsia="宋体" w:cs="宋体"/>
          <w:b/>
          <w:bCs/>
          <w:color w:val="auto"/>
          <w:spacing w:val="7"/>
          <w:highlight w:val="none"/>
          <w:lang w:eastAsia="zh-CN"/>
        </w:rPr>
        <w:t xml:space="preserve">公共设施（含垃圾房/亭、垃圾桶、果壳箱等）日常保洁及管理方案6</w:t>
      </w:r>
      <w:r>
        <w:rPr>
          <w:rFonts w:hint="eastAsia" w:ascii="宋体" w:hAnsi="宋体" w:eastAsia="宋体" w:cs="宋体"/>
          <w:b/>
          <w:bCs/>
          <w:color w:val="auto"/>
          <w:spacing w:val="7"/>
          <w:highlight w:val="none"/>
          <w:lang w:val="en-US" w:eastAsia="zh-CN"/>
        </w:rPr>
        <w:t xml:space="preserve">.0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lang w:eastAsia="zh-CN"/>
        </w:rPr>
      </w:pPr>
      <w:r/>
      <w:bookmarkStart w:id="179" w:name="OLE_LINK15"/>
      <w:r>
        <w:rPr>
          <w:rFonts w:hint="eastAsia" w:ascii="宋体" w:hAnsi="宋体" w:eastAsia="宋体" w:cs="宋体"/>
          <w:color w:val="auto"/>
          <w:spacing w:val="7"/>
          <w:highlight w:val="none"/>
          <w:lang w:eastAsia="zh-CN"/>
        </w:rPr>
        <w:t xml:space="preserve">根据投标人提供的公共设施（含垃圾房/亭、垃圾桶、果壳箱等）保洁及管理方案（工作方案完整，包括但不限于本项目服务的内容、标准、根据项目特点采取有效管理措施等）。优于本项目作业方案需求的得6分，符合本项目需求的得4分，作业方案有缺失的得2分，不符合的不得分。</w:t>
      </w:r>
      <w:bookmarkEnd w:id="179"/>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2.3</w:t>
      </w:r>
      <w:r>
        <w:rPr>
          <w:rFonts w:hint="eastAsia" w:ascii="宋体" w:hAnsi="宋体" w:eastAsia="宋体" w:cs="宋体"/>
          <w:b/>
          <w:bCs/>
          <w:color w:val="auto"/>
          <w:spacing w:val="7"/>
          <w:highlight w:val="none"/>
          <w:lang w:eastAsia="zh-CN"/>
        </w:rPr>
        <w:t xml:space="preserve">开放小区及背街小巷保洁作业方案6</w:t>
      </w:r>
      <w:r>
        <w:rPr>
          <w:rFonts w:hint="eastAsia" w:ascii="宋体" w:hAnsi="宋体" w:eastAsia="宋体" w:cs="宋体"/>
          <w:b/>
          <w:bCs/>
          <w:color w:val="auto"/>
          <w:spacing w:val="7"/>
          <w:highlight w:val="none"/>
          <w:lang w:val="en-US" w:eastAsia="zh-CN"/>
        </w:rPr>
        <w:t xml:space="preserve">.0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lang w:val="en-US" w:eastAsia="zh-CN"/>
        </w:rPr>
      </w:pPr>
      <w:r/>
      <w:bookmarkStart w:id="180" w:name="OLE_LINK16"/>
      <w:r>
        <w:rPr>
          <w:rFonts w:hint="eastAsia" w:ascii="宋体" w:hAnsi="宋体" w:eastAsia="宋体" w:cs="宋体"/>
          <w:color w:val="auto"/>
          <w:spacing w:val="7"/>
          <w:highlight w:val="none"/>
          <w:lang w:val="en-US" w:eastAsia="zh-CN"/>
        </w:rPr>
        <w:t xml:space="preserve">根据投标人提供的开放小区及背街小巷保洁作业方案（作业方案完整，包括但不限于本项目服务的内容、标准、根据项目特点采取有效管理措施等）。优于本项目作业方案需求的得6分，符合本项目需求的得4分，作业方案有缺失的得2分，不符合的不得分。</w:t>
      </w:r>
      <w:bookmarkEnd w:id="180"/>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2.4</w:t>
      </w:r>
      <w:r>
        <w:rPr>
          <w:rFonts w:hint="eastAsia" w:ascii="宋体" w:hAnsi="宋体" w:eastAsia="宋体" w:cs="宋体"/>
          <w:b/>
          <w:bCs/>
          <w:color w:val="auto"/>
          <w:spacing w:val="7"/>
          <w:highlight w:val="none"/>
          <w:lang w:eastAsia="zh-CN"/>
        </w:rPr>
        <w:t xml:space="preserve">公厕保洁方案6</w:t>
      </w:r>
      <w:r>
        <w:rPr>
          <w:rFonts w:hint="eastAsia" w:ascii="宋体" w:hAnsi="宋体" w:eastAsia="宋体" w:cs="宋体"/>
          <w:b/>
          <w:bCs/>
          <w:color w:val="auto"/>
          <w:spacing w:val="7"/>
          <w:highlight w:val="none"/>
          <w:lang w:val="en-US" w:eastAsia="zh-CN"/>
        </w:rPr>
        <w:t xml:space="preserve">.0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lang w:eastAsia="zh-CN"/>
        </w:rPr>
      </w:pPr>
      <w:r/>
      <w:bookmarkStart w:id="181" w:name="OLE_LINK17"/>
      <w:r>
        <w:rPr>
          <w:rFonts w:hint="eastAsia" w:ascii="宋体" w:hAnsi="宋体" w:eastAsia="宋体" w:cs="宋体"/>
          <w:color w:val="auto"/>
          <w:spacing w:val="7"/>
          <w:highlight w:val="none"/>
          <w:lang w:eastAsia="zh-CN"/>
        </w:rPr>
        <w:t xml:space="preserve">根据招标文件要求和投标人提供的保洁作业方案（保洁工作方案完整，包括但不限于本项目服务的内容、标准、根据项目特点采取有效管理措施等）。优于本项目作业方案需求的得6分，符合本项目需求的得4分，作业方案有缺失的得2分，不符合的不得</w:t>
      </w:r>
      <w:bookmarkStart w:id="219" w:name="_GoBack"/>
      <w:r/>
      <w:bookmarkEnd w:id="219"/>
      <w:r>
        <w:rPr>
          <w:rFonts w:hint="eastAsia" w:ascii="宋体" w:hAnsi="宋体" w:eastAsia="宋体" w:cs="宋体"/>
          <w:color w:val="auto"/>
          <w:spacing w:val="7"/>
          <w:highlight w:val="none"/>
          <w:lang w:eastAsia="zh-CN"/>
        </w:rPr>
        <w:t xml:space="preserve">分。</w:t>
      </w:r>
      <w:bookmarkEnd w:id="181"/>
      <w:r/>
      <w:r/>
    </w:p>
    <w:p>
      <w:pPr>
        <w:pStyle w:val="1042"/>
        <w:ind w:firstLine="510"/>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b/>
          <w:bCs/>
          <w:color w:val="auto"/>
          <w:spacing w:val="7"/>
          <w:highlight w:val="none"/>
          <w:lang w:val="en-US" w:eastAsia="zh-CN"/>
        </w:rPr>
        <w:t xml:space="preserve">2.5</w:t>
      </w:r>
      <w:bookmarkStart w:id="182" w:name="OLE_LINK24"/>
      <w:r>
        <w:rPr>
          <w:rFonts w:hint="eastAsia" w:ascii="宋体" w:hAnsi="宋体" w:eastAsia="宋体" w:cs="宋体"/>
          <w:b/>
          <w:bCs/>
          <w:color w:val="auto"/>
          <w:spacing w:val="7"/>
          <w:highlight w:val="none"/>
          <w:lang w:eastAsia="zh-CN"/>
        </w:rPr>
        <w:t xml:space="preserve">垃圾（含无主垃圾）分类收集、清运方案</w:t>
      </w:r>
      <w:r>
        <w:rPr>
          <w:rFonts w:hint="eastAsia" w:ascii="宋体" w:hAnsi="宋体" w:eastAsia="宋体" w:cs="宋体"/>
          <w:b/>
          <w:bCs/>
          <w:color w:val="auto"/>
          <w:spacing w:val="7"/>
          <w:highlight w:val="none"/>
          <w:lang w:val="en-US" w:eastAsia="zh-CN"/>
        </w:rPr>
        <w:t xml:space="preserve">6.0</w:t>
      </w:r>
      <w:r>
        <w:rPr>
          <w:rFonts w:hint="eastAsia" w:ascii="宋体" w:hAnsi="宋体" w:eastAsia="宋体" w:cs="宋体"/>
          <w:b/>
          <w:bCs/>
          <w:color w:val="auto"/>
          <w:spacing w:val="7"/>
          <w:highlight w:val="none"/>
          <w:lang w:eastAsia="zh-CN"/>
        </w:rPr>
        <w:t xml:space="preserve">分</w:t>
      </w:r>
      <w:bookmarkEnd w:id="182"/>
      <w:r/>
      <w:r/>
    </w:p>
    <w:p>
      <w:pPr>
        <w:pStyle w:val="1042"/>
        <w:ind w:firstLine="508"/>
        <w:spacing w:after="120" w:line="360" w:lineRule="auto"/>
        <w:rPr>
          <w:rFonts w:hint="eastAsia" w:ascii="宋体" w:hAnsi="宋体" w:eastAsia="宋体" w:cs="宋体"/>
          <w:color w:val="auto"/>
          <w:spacing w:val="7"/>
          <w:highlight w:val="none"/>
          <w:lang w:eastAsia="zh-CN"/>
        </w:rPr>
      </w:pPr>
      <w:r/>
      <w:bookmarkStart w:id="183" w:name="OLE_LINK18"/>
      <w:r>
        <w:rPr>
          <w:rFonts w:hint="eastAsia" w:ascii="宋体" w:hAnsi="宋体" w:eastAsia="宋体" w:cs="宋体"/>
          <w:color w:val="auto"/>
          <w:spacing w:val="7"/>
          <w:highlight w:val="none"/>
          <w:lang w:eastAsia="zh-CN"/>
        </w:rPr>
        <w:t xml:space="preserve">根据招标文件要求和投标人提供的垃圾（含无主垃圾）分类收集、清运方案（工作方案完整，包括但不限于本项目服务的内容、标准、配有有毒有害垃圾专用运送车辆、有毒有害垃圾和公共环境消杀的专业人员以及有毒有害垃圾处置规范等）。优于本项目作业方案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lang w:eastAsia="zh-CN"/>
        </w:rPr>
        <w:t xml:space="preserve">分，符合本项目需求的得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分，作业方案有缺失的得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lang w:eastAsia="zh-CN"/>
        </w:rPr>
        <w:t xml:space="preserve">分，不符合的不得分。</w:t>
      </w:r>
      <w:bookmarkEnd w:id="183"/>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2.6</w:t>
      </w:r>
      <w:bookmarkStart w:id="184" w:name="OLE_LINK25"/>
      <w:r>
        <w:rPr>
          <w:rFonts w:hint="eastAsia" w:ascii="宋体" w:hAnsi="宋体" w:eastAsia="宋体" w:cs="宋体"/>
          <w:b/>
          <w:bCs/>
          <w:color w:val="auto"/>
          <w:spacing w:val="7"/>
          <w:highlight w:val="none"/>
          <w:lang w:eastAsia="zh-CN"/>
        </w:rPr>
        <w:t xml:space="preserve">重大活动保障方案</w:t>
      </w:r>
      <w:r>
        <w:rPr>
          <w:rFonts w:hint="eastAsia" w:ascii="宋体" w:hAnsi="宋体" w:eastAsia="宋体" w:cs="宋体"/>
          <w:b/>
          <w:bCs/>
          <w:color w:val="auto"/>
          <w:spacing w:val="7"/>
          <w:highlight w:val="none"/>
          <w:lang w:val="en-US" w:eastAsia="zh-CN"/>
        </w:rPr>
        <w:t xml:space="preserve">6.0</w:t>
      </w:r>
      <w:r>
        <w:rPr>
          <w:rFonts w:hint="eastAsia" w:ascii="宋体" w:hAnsi="宋体" w:eastAsia="宋体" w:cs="宋体"/>
          <w:b/>
          <w:bCs/>
          <w:color w:val="auto"/>
          <w:spacing w:val="7"/>
          <w:highlight w:val="none"/>
          <w:lang w:eastAsia="zh-CN"/>
        </w:rPr>
        <w:t xml:space="preserve">分</w:t>
      </w:r>
      <w:bookmarkEnd w:id="184"/>
      <w:r/>
      <w:r/>
    </w:p>
    <w:p>
      <w:pPr>
        <w:pStyle w:val="1042"/>
        <w:ind w:firstLine="508"/>
        <w:spacing w:after="120" w:line="360" w:lineRule="auto"/>
        <w:rPr>
          <w:rFonts w:hint="eastAsia" w:ascii="宋体" w:hAnsi="宋体" w:eastAsia="宋体" w:cs="宋体"/>
          <w:color w:val="auto"/>
          <w:spacing w:val="7"/>
          <w:highlight w:val="none"/>
          <w:lang w:eastAsia="zh-CN"/>
        </w:rPr>
      </w:pPr>
      <w:r/>
      <w:bookmarkStart w:id="185" w:name="OLE_LINK26"/>
      <w:r>
        <w:rPr>
          <w:rFonts w:hint="eastAsia" w:ascii="宋体" w:hAnsi="宋体" w:eastAsia="宋体" w:cs="宋体"/>
          <w:color w:val="auto"/>
          <w:spacing w:val="7"/>
          <w:highlight w:val="none"/>
          <w:lang w:eastAsia="zh-CN"/>
        </w:rPr>
        <w:t xml:space="preserve">重大活动保障方案7分。工作方案完整（包括但不限于本项目服务的内容、标准、环境检查、文明/卫生城市测评等的《重大活动保障方案》）。优于本项目作业方案需求的得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lang w:eastAsia="zh-CN"/>
        </w:rPr>
        <w:t xml:space="preserve">分，符合本项目需求的得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分，作业方案有缺失的得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lang w:eastAsia="zh-CN"/>
        </w:rPr>
        <w:t xml:space="preserve">分，不符合的不得分。</w:t>
      </w:r>
      <w:bookmarkEnd w:id="185"/>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2.7内部管理架构5.0分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根据投标人提供的内部管理架构，得5分。(</w:t>
      </w:r>
      <w:r>
        <w:rPr>
          <w:rFonts w:hint="eastAsia" w:ascii="宋体" w:hAnsi="宋体" w:eastAsia="宋体" w:cs="宋体"/>
          <w:color w:val="auto"/>
          <w:spacing w:val="7"/>
          <w:highlight w:val="none"/>
          <w:lang w:val="en-US" w:eastAsia="zh-CN"/>
        </w:rPr>
        <w:t xml:space="preserve">包含但不限于</w:t>
      </w:r>
      <w:r>
        <w:rPr>
          <w:rFonts w:hint="eastAsia" w:ascii="宋体" w:hAnsi="宋体" w:eastAsia="宋体" w:cs="宋体"/>
          <w:color w:val="auto"/>
          <w:spacing w:val="7"/>
          <w:highlight w:val="none"/>
          <w:lang w:eastAsia="zh-CN"/>
        </w:rPr>
        <w:t xml:space="preserve">日常考核、激励考核机制、监督机制、自我约束机制、信息反馈及处理机制)。优于本项目作业方案需求的得</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lang w:eastAsia="zh-CN"/>
        </w:rPr>
        <w:t xml:space="preserve">分，符合本项目需求的得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lang w:eastAsia="zh-CN"/>
        </w:rPr>
        <w:t xml:space="preserve">分，作业方案有缺失的得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lang w:eastAsia="zh-CN"/>
        </w:rPr>
        <w:t xml:space="preserve">分，不符合的不得分。</w:t>
      </w:r>
      <w:r/>
    </w:p>
    <w:p>
      <w:pPr>
        <w:pStyle w:val="1042"/>
        <w:ind w:firstLine="510"/>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b/>
          <w:bCs/>
          <w:color w:val="auto"/>
          <w:spacing w:val="7"/>
          <w:highlight w:val="none"/>
          <w:lang w:val="en-US" w:eastAsia="zh-CN"/>
        </w:rPr>
        <w:t xml:space="preserve">2.8</w:t>
      </w:r>
      <w:r>
        <w:rPr>
          <w:rFonts w:hint="eastAsia" w:ascii="宋体" w:hAnsi="宋体" w:eastAsia="宋体" w:cs="宋体"/>
          <w:b/>
          <w:bCs/>
          <w:color w:val="auto"/>
          <w:spacing w:val="7"/>
          <w:highlight w:val="none"/>
          <w:lang w:eastAsia="zh-CN"/>
        </w:rPr>
        <w:t xml:space="preserve">根据投标人提供的进退场交接方案说明</w:t>
      </w:r>
      <w:r>
        <w:rPr>
          <w:rFonts w:hint="eastAsia" w:ascii="宋体" w:hAnsi="宋体" w:eastAsia="宋体" w:cs="宋体"/>
          <w:b/>
          <w:bCs/>
          <w:color w:val="auto"/>
          <w:spacing w:val="7"/>
          <w:highlight w:val="none"/>
          <w:lang w:val="en-US" w:eastAsia="zh-CN"/>
        </w:rPr>
        <w:t xml:space="preserve">4.0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lang w:eastAsia="zh-CN"/>
        </w:rPr>
      </w:pPr>
      <w:r/>
      <w:bookmarkStart w:id="186" w:name="OLE_LINK19"/>
      <w:r>
        <w:rPr>
          <w:rFonts w:hint="eastAsia" w:ascii="宋体" w:hAnsi="宋体" w:eastAsia="宋体" w:cs="宋体"/>
          <w:color w:val="auto"/>
          <w:spacing w:val="7"/>
          <w:highlight w:val="none"/>
          <w:lang w:eastAsia="zh-CN"/>
        </w:rPr>
        <w:t xml:space="preserve">根据投标人提供的进退场交接方案说明，进退场方案内容清晰、有效，完全满足得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分，进退场方案基本覆盖本次采购需求得3分，进退场方案不够详细及完整部分满足项目需的得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lang w:eastAsia="zh-CN"/>
        </w:rPr>
        <w:t xml:space="preserve">分，不提供不得分。</w:t>
      </w:r>
      <w:bookmarkEnd w:id="186"/>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2.9</w:t>
      </w:r>
      <w:r>
        <w:rPr>
          <w:rFonts w:hint="eastAsia" w:ascii="宋体" w:hAnsi="宋体" w:eastAsia="宋体" w:cs="宋体"/>
          <w:b/>
          <w:bCs/>
          <w:color w:val="auto"/>
          <w:spacing w:val="7"/>
          <w:highlight w:val="none"/>
          <w:lang w:eastAsia="zh-CN"/>
        </w:rPr>
        <w:t xml:space="preserve">根据投标人提供的安全管理及应急措施方案6</w:t>
      </w:r>
      <w:r>
        <w:rPr>
          <w:rFonts w:hint="eastAsia" w:ascii="宋体" w:hAnsi="宋体" w:eastAsia="宋体" w:cs="宋体"/>
          <w:b/>
          <w:bCs/>
          <w:color w:val="auto"/>
          <w:spacing w:val="7"/>
          <w:highlight w:val="none"/>
          <w:lang w:val="en-US" w:eastAsia="zh-CN"/>
        </w:rPr>
        <w:t xml:space="preserve">.0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rPr>
      </w:pPr>
      <w:r/>
      <w:bookmarkStart w:id="187" w:name="OLE_LINK20"/>
      <w:r>
        <w:rPr>
          <w:rFonts w:hint="eastAsia" w:ascii="宋体" w:hAnsi="宋体" w:eastAsia="宋体" w:cs="宋体"/>
          <w:color w:val="auto"/>
          <w:spacing w:val="7"/>
          <w:highlight w:val="none"/>
        </w:rPr>
        <w:t xml:space="preserve">根据投标人针对本项目制定的应急预案，方案内容包含</w:t>
      </w:r>
      <w:r>
        <w:rPr>
          <w:rFonts w:hint="eastAsia" w:ascii="宋体" w:hAnsi="宋体" w:eastAsia="宋体" w:cs="宋体"/>
          <w:color w:val="auto"/>
          <w:spacing w:val="7"/>
          <w:highlight w:val="none"/>
          <w:lang w:val="en-US" w:eastAsia="zh-CN"/>
        </w:rPr>
        <w:t xml:space="preserve">但不限于</w:t>
      </w:r>
      <w:r>
        <w:rPr>
          <w:rFonts w:hint="eastAsia" w:ascii="宋体" w:hAnsi="宋体" w:eastAsia="宋体" w:cs="宋体"/>
          <w:color w:val="auto"/>
          <w:spacing w:val="7"/>
          <w:highlight w:val="none"/>
        </w:rPr>
        <w:t xml:space="preserve">风险规避措施；应急演练方案等内容。方案完全包含上述内容且完全满足项目需求的得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分；方案内容有部分缺少或部分内容满足要求的得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分；上述方案内容稍有提及或内容基本不满足要求的得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分；未提供方案说明或内容完全不满足项目需求的不得分。</w:t>
      </w:r>
      <w:bookmarkEnd w:id="187"/>
      <w:r/>
      <w:r/>
    </w:p>
    <w:p>
      <w:pPr>
        <w:pStyle w:val="1042"/>
        <w:ind w:firstLine="510"/>
        <w:spacing w:after="120"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lang w:val="en-US" w:eastAsia="zh-CN"/>
        </w:rPr>
        <w:t xml:space="preserve">2.10</w:t>
      </w:r>
      <w:r>
        <w:rPr>
          <w:rFonts w:hint="eastAsia" w:ascii="宋体" w:hAnsi="宋体" w:eastAsia="宋体" w:cs="宋体"/>
          <w:b/>
          <w:bCs/>
          <w:color w:val="auto"/>
          <w:spacing w:val="7"/>
          <w:highlight w:val="none"/>
        </w:rPr>
        <w:t xml:space="preserve">防控管理实施方案</w:t>
      </w:r>
      <w:r>
        <w:rPr>
          <w:rFonts w:hint="eastAsia" w:ascii="宋体" w:hAnsi="宋体" w:eastAsia="宋体" w:cs="宋体"/>
          <w:b/>
          <w:bCs/>
          <w:color w:val="auto"/>
          <w:spacing w:val="7"/>
          <w:highlight w:val="none"/>
          <w:lang w:val="en-US" w:eastAsia="zh-CN"/>
        </w:rPr>
        <w:t xml:space="preserve">4.0</w:t>
      </w:r>
      <w:r>
        <w:rPr>
          <w:rFonts w:hint="eastAsia" w:ascii="宋体" w:hAnsi="宋体" w:eastAsia="宋体" w:cs="宋体"/>
          <w:b/>
          <w:bCs/>
          <w:color w:val="auto"/>
          <w:spacing w:val="7"/>
          <w:highlight w:val="none"/>
        </w:rPr>
        <w:t xml:space="preserve">分</w:t>
      </w:r>
      <w:r/>
    </w:p>
    <w:p>
      <w:pPr>
        <w:pStyle w:val="1042"/>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防控方案（包括重点场所的消杀，病媒生物的</w:t>
      </w:r>
      <w:r>
        <w:rPr>
          <w:rFonts w:hint="eastAsia" w:ascii="宋体" w:hAnsi="宋体" w:eastAsia="宋体" w:cs="宋体"/>
          <w:color w:val="auto"/>
          <w:spacing w:val="7"/>
          <w:highlight w:val="none"/>
          <w:lang w:eastAsia="zh-CN"/>
        </w:rPr>
        <w:t xml:space="preserve">防制</w:t>
      </w:r>
      <w:r>
        <w:rPr>
          <w:rFonts w:hint="eastAsia" w:ascii="宋体" w:hAnsi="宋体" w:eastAsia="宋体" w:cs="宋体"/>
          <w:color w:val="auto"/>
          <w:spacing w:val="7"/>
          <w:highlight w:val="none"/>
        </w:rPr>
        <w:t xml:space="preserve">等）</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完整且优于项目需求的得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分，方案满足项目需求的得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分，方案内容缺失，不完全满足项目需求的得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分；未提供相关说明不得分。</w:t>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2.11渗滤液处理中心运行和维护</w:t>
      </w:r>
      <w:r>
        <w:rPr>
          <w:rFonts w:hint="eastAsia" w:ascii="宋体" w:hAnsi="宋体" w:eastAsia="宋体" w:cs="宋体"/>
          <w:b/>
          <w:bCs/>
          <w:color w:val="auto"/>
          <w:spacing w:val="7"/>
          <w:highlight w:val="none"/>
          <w:lang w:eastAsia="zh-CN"/>
        </w:rPr>
        <w:t xml:space="preserve">实施方案</w:t>
      </w:r>
      <w:r>
        <w:rPr>
          <w:rFonts w:hint="eastAsia" w:ascii="宋体" w:hAnsi="宋体" w:eastAsia="宋体" w:cs="宋体"/>
          <w:b/>
          <w:bCs/>
          <w:color w:val="auto"/>
          <w:spacing w:val="7"/>
          <w:highlight w:val="none"/>
          <w:lang w:val="en-US" w:eastAsia="zh-CN"/>
        </w:rPr>
        <w:t xml:space="preserve">8.0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val="en-US" w:eastAsia="zh-CN"/>
        </w:rPr>
        <w:t xml:space="preserve">根据投标人针对本项目所提供的渗滤液处理中心运行和维护</w:t>
      </w:r>
      <w:r>
        <w:rPr>
          <w:rFonts w:hint="eastAsia" w:ascii="宋体" w:hAnsi="宋体" w:eastAsia="宋体" w:cs="宋体"/>
          <w:color w:val="auto"/>
          <w:spacing w:val="7"/>
          <w:highlight w:val="none"/>
          <w:lang w:eastAsia="zh-CN"/>
        </w:rPr>
        <w:t xml:space="preserve">实施方案</w:t>
      </w:r>
      <w:r>
        <w:rPr>
          <w:rFonts w:hint="eastAsia" w:ascii="宋体" w:hAnsi="宋体" w:eastAsia="宋体" w:cs="宋体"/>
          <w:color w:val="auto"/>
          <w:spacing w:val="7"/>
          <w:highlight w:val="none"/>
          <w:lang w:val="en-US" w:eastAsia="zh-CN"/>
        </w:rPr>
        <w:t xml:space="preserve">进行综合评审（方案包括但不限于运营维护、设备维修、设备操作规程、渗滤液处理及污水排放、运营管理制度等）。</w:t>
      </w:r>
      <w:r>
        <w:rPr>
          <w:rFonts w:hint="eastAsia" w:ascii="宋体" w:hAnsi="宋体" w:eastAsia="宋体" w:cs="宋体"/>
          <w:color w:val="auto"/>
          <w:spacing w:val="7"/>
          <w:highlight w:val="none"/>
          <w:lang w:eastAsia="zh-CN"/>
        </w:rPr>
        <w:t xml:space="preserve">优于本项目作业方案需求的得</w:t>
      </w:r>
      <w:r>
        <w:rPr>
          <w:rFonts w:hint="eastAsia" w:ascii="宋体" w:hAnsi="宋体" w:eastAsia="宋体" w:cs="宋体"/>
          <w:color w:val="auto"/>
          <w:spacing w:val="7"/>
          <w:highlight w:val="none"/>
          <w:lang w:val="en-US" w:eastAsia="zh-CN"/>
        </w:rPr>
        <w:t xml:space="preserve">8</w:t>
      </w:r>
      <w:r>
        <w:rPr>
          <w:rFonts w:hint="eastAsia" w:ascii="宋体" w:hAnsi="宋体" w:eastAsia="宋体" w:cs="宋体"/>
          <w:color w:val="auto"/>
          <w:spacing w:val="7"/>
          <w:highlight w:val="none"/>
          <w:lang w:eastAsia="zh-CN"/>
        </w:rPr>
        <w:t xml:space="preserve">分，符合本项目需求的得</w:t>
      </w: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lang w:eastAsia="zh-CN"/>
        </w:rPr>
        <w:t xml:space="preserve">分，作业方案有缺失的得2分，不符合的不得分。</w:t>
      </w:r>
      <w:r/>
    </w:p>
    <w:p>
      <w:pPr>
        <w:pStyle w:val="1042"/>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3.</w:t>
      </w:r>
      <w:r>
        <w:rPr>
          <w:rFonts w:hint="eastAsia" w:ascii="宋体" w:hAnsi="宋体" w:eastAsia="宋体" w:cs="宋体"/>
          <w:b/>
          <w:bCs/>
          <w:color w:val="auto"/>
          <w:spacing w:val="7"/>
          <w:highlight w:val="none"/>
          <w:lang w:eastAsia="zh-CN"/>
        </w:rPr>
        <w:t xml:space="preserve">履约能力</w:t>
      </w:r>
      <w:r>
        <w:rPr>
          <w:rFonts w:hint="eastAsia" w:ascii="宋体" w:hAnsi="宋体" w:eastAsia="宋体" w:cs="宋体"/>
          <w:b/>
          <w:bCs/>
          <w:color w:val="auto"/>
          <w:spacing w:val="7"/>
          <w:highlight w:val="none"/>
          <w:lang w:val="en-US" w:eastAsia="zh-CN"/>
        </w:rPr>
        <w:t xml:space="preserve">18.0</w:t>
      </w:r>
      <w:r>
        <w:rPr>
          <w:rFonts w:hint="eastAsia" w:ascii="宋体" w:hAnsi="宋体" w:eastAsia="宋体" w:cs="宋体"/>
          <w:b/>
          <w:bCs/>
          <w:color w:val="auto"/>
          <w:spacing w:val="7"/>
          <w:highlight w:val="none"/>
          <w:lang w:eastAsia="zh-CN"/>
        </w:rPr>
        <w:t xml:space="preserve">分</w:t>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3.1类似业绩4.0分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根据投标人提供的20</w:t>
      </w:r>
      <w:r>
        <w:rPr>
          <w:rFonts w:hint="eastAsia" w:ascii="宋体" w:hAnsi="宋体" w:eastAsia="宋体" w:cs="宋体"/>
          <w:color w:val="auto"/>
          <w:spacing w:val="7"/>
          <w:highlight w:val="none"/>
          <w:lang w:val="en-US" w:eastAsia="zh-CN"/>
        </w:rPr>
        <w:t xml:space="preserve">22</w:t>
      </w:r>
      <w:r>
        <w:rPr>
          <w:rFonts w:hint="eastAsia" w:ascii="宋体" w:hAnsi="宋体" w:eastAsia="宋体" w:cs="宋体"/>
          <w:color w:val="auto"/>
          <w:spacing w:val="7"/>
          <w:highlight w:val="none"/>
          <w:lang w:eastAsia="zh-CN"/>
        </w:rPr>
        <w:t xml:space="preserve">年以来的类似业绩有一个得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lang w:eastAsia="zh-CN"/>
        </w:rPr>
        <w:t xml:space="preserve">分，</w:t>
      </w:r>
      <w:r>
        <w:rPr>
          <w:rFonts w:hint="eastAsia" w:ascii="宋体" w:hAnsi="宋体" w:eastAsia="宋体" w:cs="宋体"/>
          <w:color w:val="auto"/>
          <w:spacing w:val="7"/>
          <w:highlight w:val="none"/>
          <w:lang w:val="en-US" w:eastAsia="zh-CN"/>
        </w:rPr>
        <w:t xml:space="preserve">本项</w:t>
      </w:r>
      <w:r>
        <w:rPr>
          <w:rFonts w:hint="eastAsia" w:ascii="宋体" w:hAnsi="宋体" w:eastAsia="宋体" w:cs="宋体"/>
          <w:color w:val="auto"/>
          <w:spacing w:val="7"/>
          <w:highlight w:val="none"/>
          <w:lang w:eastAsia="zh-CN"/>
        </w:rPr>
        <w:t xml:space="preserve">最高</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分（请在投标文件中提供合同扫描件，不提供的不得分）。</w:t>
      </w:r>
      <w:r/>
    </w:p>
    <w:p>
      <w:pPr>
        <w:pStyle w:val="1042"/>
        <w:ind w:firstLine="510"/>
        <w:spacing w:after="120" w:line="360" w:lineRule="auto"/>
        <w:rPr>
          <w:rFonts w:hint="eastAsia" w:ascii="宋体" w:hAnsi="宋体" w:eastAsia="宋体" w:cs="宋体"/>
          <w:color w:val="auto"/>
          <w:highlight w:val="none"/>
          <w:lang w:val="en-US" w:eastAsia="zh-CN" w:bidi="ar"/>
        </w:rPr>
      </w:pPr>
      <w:r/>
      <w:bookmarkStart w:id="188" w:name="EBeb5e011c94484d45bc78085f792444b0"/>
      <w:r>
        <w:rPr>
          <w:rFonts w:hint="eastAsia" w:ascii="宋体" w:hAnsi="宋体" w:eastAsia="宋体" w:cs="宋体"/>
          <w:b/>
          <w:bCs/>
          <w:color w:val="auto"/>
          <w:spacing w:val="7"/>
          <w:highlight w:val="none"/>
          <w:lang w:val="en-US" w:eastAsia="zh-CN"/>
        </w:rPr>
        <w:t xml:space="preserve">3.2</w:t>
      </w:r>
      <w:bookmarkStart w:id="189" w:name="OLE_LINK27"/>
      <w:r>
        <w:rPr>
          <w:rFonts w:hint="eastAsia" w:ascii="宋体" w:hAnsi="宋体" w:eastAsia="宋体" w:cs="宋体"/>
          <w:color w:val="auto"/>
          <w:highlight w:val="none"/>
          <w:lang w:eastAsia="zh-CN" w:bidi="ar"/>
        </w:rPr>
        <w:t xml:space="preserve">投标人提供针对本项目专用车辆</w:t>
      </w:r>
      <w:r>
        <w:rPr>
          <w:rFonts w:hint="eastAsia" w:ascii="宋体" w:hAnsi="宋体" w:eastAsia="宋体" w:cs="宋体"/>
          <w:color w:val="auto"/>
          <w:highlight w:val="none"/>
          <w:lang w:val="en-US" w:eastAsia="zh-CN" w:bidi="ar"/>
        </w:rPr>
        <w:t xml:space="preserve">配备 4分</w:t>
      </w:r>
      <w:bookmarkEnd w:id="189"/>
      <w:r/>
      <w:r/>
    </w:p>
    <w:p>
      <w:pPr>
        <w:pStyle w:val="1042"/>
        <w:ind w:firstLine="480"/>
        <w:spacing w:after="120" w:line="360" w:lineRule="auto"/>
        <w:rPr>
          <w:rFonts w:hint="eastAsia" w:ascii="宋体" w:hAnsi="宋体" w:eastAsia="宋体" w:cs="宋体"/>
          <w:color w:val="auto"/>
          <w:highlight w:val="none"/>
          <w:lang w:eastAsia="zh-CN" w:bidi="ar"/>
        </w:rPr>
      </w:pPr>
      <w:r/>
      <w:bookmarkStart w:id="190" w:name="OLE_LINK28"/>
      <w:r>
        <w:rPr>
          <w:rFonts w:hint="eastAsia" w:ascii="宋体" w:hAnsi="宋体" w:eastAsia="宋体" w:cs="宋体"/>
          <w:color w:val="auto"/>
          <w:highlight w:val="none"/>
          <w:lang w:val="en-US" w:eastAsia="zh-CN" w:bidi="ar"/>
        </w:rPr>
        <w:t xml:space="preserve">在满足招标文件项目需求的基础上</w:t>
      </w:r>
      <w:r>
        <w:rPr>
          <w:rFonts w:hint="eastAsia" w:ascii="宋体" w:hAnsi="宋体" w:eastAsia="宋体" w:cs="宋体"/>
          <w:color w:val="auto"/>
          <w:highlight w:val="none"/>
          <w:lang w:eastAsia="zh-CN" w:bidi="ar"/>
        </w:rPr>
        <w:t xml:space="preserve">，每增加一辆</w:t>
      </w:r>
      <w:r>
        <w:rPr>
          <w:rFonts w:hint="eastAsia" w:ascii="宋体" w:hAnsi="宋体" w:eastAsia="宋体" w:cs="宋体"/>
          <w:color w:val="auto"/>
          <w:highlight w:val="none"/>
          <w:lang w:eastAsia="zh-CN"/>
        </w:rPr>
        <w:t xml:space="preserve">新能源垃圾清运车</w:t>
      </w:r>
      <w:r>
        <w:rPr>
          <w:rFonts w:hint="eastAsia" w:ascii="宋体" w:hAnsi="宋体" w:eastAsia="宋体" w:cs="宋体"/>
          <w:color w:val="auto"/>
          <w:highlight w:val="none"/>
          <w:lang w:eastAsia="zh-CN" w:bidi="ar"/>
        </w:rPr>
        <w:t xml:space="preserve">加</w:t>
      </w:r>
      <w:r>
        <w:rPr>
          <w:rFonts w:hint="eastAsia" w:ascii="宋体" w:hAnsi="宋体" w:eastAsia="宋体" w:cs="宋体"/>
          <w:color w:val="auto"/>
          <w:highlight w:val="none"/>
          <w:lang w:val="en-US" w:eastAsia="zh-CN" w:bidi="ar"/>
        </w:rPr>
        <w:t xml:space="preserve">2</w:t>
      </w:r>
      <w:r>
        <w:rPr>
          <w:rFonts w:hint="eastAsia" w:ascii="宋体" w:hAnsi="宋体" w:eastAsia="宋体" w:cs="宋体"/>
          <w:color w:val="auto"/>
          <w:highlight w:val="none"/>
          <w:lang w:eastAsia="zh-CN" w:bidi="ar"/>
        </w:rPr>
        <w:t xml:space="preserve">分，</w:t>
      </w:r>
      <w:r>
        <w:rPr>
          <w:rFonts w:hint="eastAsia" w:ascii="宋体" w:hAnsi="宋体" w:eastAsia="宋体" w:cs="宋体"/>
          <w:color w:val="auto"/>
          <w:highlight w:val="none"/>
          <w:lang w:val="en-US" w:eastAsia="zh-CN"/>
        </w:rPr>
        <w:t xml:space="preserve">车辆总质量≥4500kg，核定</w:t>
      </w:r>
      <w:r>
        <w:rPr>
          <w:rFonts w:hint="eastAsia" w:ascii="宋体" w:hAnsi="宋体" w:eastAsia="宋体" w:cs="宋体"/>
          <w:color w:val="auto"/>
          <w:highlight w:val="none"/>
          <w:lang w:eastAsia="zh-CN"/>
        </w:rPr>
        <w:t xml:space="preserve">载质量</w:t>
      </w:r>
      <w:r>
        <w:rPr>
          <w:rFonts w:hint="eastAsia" w:ascii="宋体" w:hAnsi="宋体" w:eastAsia="宋体" w:cs="宋体"/>
          <w:color w:val="auto"/>
          <w:highlight w:val="none"/>
          <w:lang w:val="en-US" w:eastAsia="zh-CN"/>
        </w:rPr>
        <w:t xml:space="preserve">≥2000kg</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本项最高4分。</w:t>
      </w:r>
      <w:r>
        <w:rPr>
          <w:rFonts w:hint="eastAsia" w:ascii="宋体" w:hAnsi="宋体" w:eastAsia="宋体" w:cs="宋体"/>
          <w:color w:val="auto"/>
          <w:highlight w:val="none"/>
          <w:lang w:eastAsia="zh-CN" w:bidi="ar"/>
        </w:rPr>
        <w:t xml:space="preserve">（请投标人提供自有车辆的车辆产权证或购置发票，租赁的提供租赁合同、产权证或购置发票，不提供的不得分，满足</w:t>
      </w:r>
      <w:r>
        <w:rPr>
          <w:rFonts w:hint="eastAsia" w:ascii="宋体" w:hAnsi="宋体" w:eastAsia="宋体" w:cs="宋体"/>
          <w:color w:val="auto"/>
          <w:highlight w:val="none"/>
          <w:lang w:val="en-US" w:eastAsia="zh-CN" w:bidi="ar"/>
        </w:rPr>
        <w:t xml:space="preserve">招标文件</w:t>
      </w:r>
      <w:r>
        <w:rPr>
          <w:rFonts w:hint="eastAsia" w:ascii="宋体" w:hAnsi="宋体" w:eastAsia="宋体" w:cs="宋体"/>
          <w:color w:val="auto"/>
          <w:highlight w:val="none"/>
          <w:lang w:eastAsia="zh-CN" w:bidi="ar"/>
        </w:rPr>
        <w:t xml:space="preserve">项目需求的不得分）。</w:t>
      </w:r>
      <w:bookmarkEnd w:id="190"/>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3.3</w:t>
      </w:r>
      <w:r>
        <w:rPr>
          <w:rFonts w:hint="eastAsia" w:ascii="宋体" w:hAnsi="宋体" w:eastAsia="宋体" w:cs="宋体"/>
          <w:color w:val="auto"/>
          <w:spacing w:val="7"/>
          <w:highlight w:val="none"/>
          <w:lang w:eastAsia="zh-CN"/>
        </w:rPr>
        <w:t xml:space="preserve">新能源</w:t>
      </w:r>
      <w:r>
        <w:rPr>
          <w:rFonts w:hint="eastAsia" w:ascii="宋体" w:hAnsi="宋体" w:eastAsia="宋体" w:cs="宋体"/>
          <w:color w:val="auto"/>
          <w:spacing w:val="7"/>
          <w:highlight w:val="none"/>
          <w:lang w:val="en-US" w:eastAsia="zh-CN"/>
        </w:rPr>
        <w:t xml:space="preserve">无人清扫车 2分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val="en-US" w:eastAsia="zh-CN"/>
        </w:rPr>
        <w:t xml:space="preserve">投标人针对本项目投入一辆</w:t>
      </w:r>
      <w:r>
        <w:rPr>
          <w:rFonts w:hint="eastAsia" w:ascii="宋体" w:hAnsi="宋体" w:eastAsia="宋体" w:cs="宋体"/>
          <w:color w:val="auto"/>
          <w:spacing w:val="7"/>
          <w:highlight w:val="none"/>
          <w:lang w:eastAsia="zh-CN"/>
        </w:rPr>
        <w:t xml:space="preserve">新能源</w:t>
      </w:r>
      <w:r>
        <w:rPr>
          <w:rFonts w:hint="eastAsia" w:ascii="宋体" w:hAnsi="宋体" w:eastAsia="宋体" w:cs="宋体"/>
          <w:color w:val="auto"/>
          <w:spacing w:val="7"/>
          <w:highlight w:val="none"/>
          <w:lang w:val="en-US" w:eastAsia="zh-CN"/>
        </w:rPr>
        <w:t xml:space="preserve">无人清扫车得2分，本项最高2分。</w:t>
      </w:r>
      <w:r>
        <w:rPr>
          <w:rFonts w:hint="eastAsia" w:ascii="宋体" w:hAnsi="宋体" w:eastAsia="宋体" w:cs="宋体"/>
          <w:color w:val="auto"/>
          <w:spacing w:val="7"/>
          <w:highlight w:val="none"/>
          <w:lang w:eastAsia="zh-CN"/>
        </w:rPr>
        <w:t xml:space="preserve">（请投标人提供自有车辆的车辆产权证或购置发票，租赁的提供租赁合同、产权证或购置发票，不提供的不得分。）</w:t>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3.4体系认证3.0分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投标人获得质量管理体系认证、环境管理体系认证、职业健康安全管理体系认证，有一个得1分，</w:t>
      </w:r>
      <w:r>
        <w:rPr>
          <w:rFonts w:hint="eastAsia" w:ascii="宋体" w:hAnsi="宋体" w:eastAsia="宋体" w:cs="宋体"/>
          <w:color w:val="auto"/>
          <w:spacing w:val="7"/>
          <w:highlight w:val="none"/>
          <w:lang w:val="en-US" w:eastAsia="zh-CN"/>
        </w:rPr>
        <w:t xml:space="preserve">本项最高</w:t>
      </w:r>
      <w:r>
        <w:rPr>
          <w:rFonts w:hint="eastAsia" w:ascii="宋体" w:hAnsi="宋体" w:eastAsia="宋体" w:cs="宋体"/>
          <w:color w:val="auto"/>
          <w:spacing w:val="7"/>
          <w:highlight w:val="none"/>
          <w:lang w:eastAsia="zh-CN"/>
        </w:rPr>
        <w:t xml:space="preserve">3分（请在投标文件中提供证书</w:t>
      </w:r>
      <w:r>
        <w:rPr>
          <w:rFonts w:hint="eastAsia" w:ascii="宋体" w:hAnsi="宋体" w:eastAsia="宋体" w:cs="宋体"/>
          <w:color w:val="auto"/>
          <w:spacing w:val="7"/>
          <w:highlight w:val="none"/>
          <w:lang w:val="en-US" w:eastAsia="zh-CN"/>
        </w:rPr>
        <w:t xml:space="preserve">扫描件</w:t>
      </w:r>
      <w:r>
        <w:rPr>
          <w:rFonts w:hint="eastAsia" w:ascii="宋体" w:hAnsi="宋体" w:eastAsia="宋体" w:cs="宋体"/>
          <w:color w:val="auto"/>
          <w:spacing w:val="7"/>
          <w:highlight w:val="none"/>
          <w:lang w:eastAsia="zh-CN"/>
        </w:rPr>
        <w:t xml:space="preserve">，不提供的不得分）</w:t>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3.5有害垃圾分类服务资质证书3.0分</w:t>
      </w:r>
      <w:r/>
    </w:p>
    <w:p>
      <w:pPr>
        <w:pStyle w:val="1042"/>
        <w:ind w:firstLine="508"/>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lang w:eastAsia="zh-CN"/>
        </w:rPr>
        <w:t xml:space="preserve">投标人具有有毒有害垃圾分类服务资质证书的得3分（</w:t>
      </w:r>
      <w:r>
        <w:rPr>
          <w:rFonts w:hint="eastAsia" w:ascii="宋体" w:hAnsi="宋体" w:eastAsia="宋体" w:cs="宋体"/>
          <w:color w:val="auto"/>
          <w:spacing w:val="7"/>
          <w:highlight w:val="none"/>
          <w:lang w:val="en-US" w:eastAsia="zh-CN"/>
        </w:rPr>
        <w:t xml:space="preserve">请在投标文件中提供证书扫描件，未提供的不得分</w:t>
      </w:r>
      <w:r>
        <w:rPr>
          <w:rFonts w:hint="eastAsia" w:ascii="宋体" w:hAnsi="宋体" w:eastAsia="宋体" w:cs="宋体"/>
          <w:color w:val="auto"/>
          <w:spacing w:val="7"/>
          <w:highlight w:val="none"/>
          <w:lang w:eastAsia="zh-CN"/>
        </w:rPr>
        <w:t xml:space="preserve">）。</w:t>
      </w:r>
      <w:r/>
    </w:p>
    <w:p>
      <w:pPr>
        <w:pStyle w:val="1042"/>
        <w:ind w:firstLine="510"/>
        <w:spacing w:after="120" w:line="360" w:lineRule="auto"/>
        <w:rPr>
          <w:rFonts w:hint="default" w:ascii="宋体" w:hAnsi="宋体" w:eastAsia="宋体" w:cs="宋体"/>
          <w:b/>
          <w:bCs/>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3.6相关荣誉2.0分</w:t>
      </w:r>
      <w:r/>
    </w:p>
    <w:p>
      <w:pPr>
        <w:pStyle w:val="1042"/>
        <w:ind w:firstLine="508"/>
        <w:spacing w:after="120"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投标单位202</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年1月1日以来获有政府部门颁发的相关</w:t>
      </w:r>
      <w:r>
        <w:rPr>
          <w:rFonts w:hint="eastAsia" w:ascii="宋体" w:hAnsi="宋体" w:eastAsia="宋体" w:cs="宋体"/>
          <w:color w:val="auto"/>
          <w:spacing w:val="7"/>
          <w:highlight w:val="none"/>
          <w:lang w:val="en-US" w:eastAsia="zh-CN"/>
        </w:rPr>
        <w:t xml:space="preserve">荣誉的有一项</w:t>
      </w:r>
      <w:r>
        <w:rPr>
          <w:rFonts w:hint="eastAsia" w:ascii="宋体" w:hAnsi="宋体" w:eastAsia="宋体" w:cs="宋体"/>
          <w:color w:val="auto"/>
          <w:spacing w:val="7"/>
          <w:highlight w:val="none"/>
        </w:rPr>
        <w:t xml:space="preserve">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w:t>
      </w:r>
      <w:r>
        <w:rPr>
          <w:rFonts w:hint="eastAsia" w:ascii="宋体" w:hAnsi="宋体" w:eastAsia="宋体" w:cs="宋体"/>
          <w:color w:val="auto"/>
          <w:spacing w:val="7"/>
          <w:highlight w:val="none"/>
          <w:lang w:val="en-US" w:eastAsia="zh-CN"/>
        </w:rPr>
        <w:t xml:space="preserve">本项</w:t>
      </w:r>
      <w:r>
        <w:rPr>
          <w:rFonts w:hint="eastAsia" w:ascii="宋体" w:hAnsi="宋体" w:eastAsia="宋体" w:cs="宋体"/>
          <w:color w:val="auto"/>
          <w:spacing w:val="7"/>
          <w:highlight w:val="none"/>
        </w:rPr>
        <w:t xml:space="preserve">最高得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分（请在投标文件中提供相关奖项证明材料，不提供的不得分）</w:t>
      </w:r>
      <w:r/>
    </w:p>
    <w:p>
      <w:pPr>
        <w:pStyle w:val="1042"/>
        <w:numPr>
          <w:ilvl w:val="0"/>
          <w:numId w:val="0"/>
        </w:numPr>
        <w:ind w:firstLine="510"/>
        <w:spacing w:after="120" w:line="360" w:lineRule="auto"/>
        <w:rPr>
          <w:rFonts w:hint="eastAsia" w:ascii="宋体" w:hAnsi="宋体" w:eastAsia="宋体" w:cs="宋体"/>
          <w:color w:val="auto"/>
          <w:spacing w:val="7"/>
          <w:highlight w:val="none"/>
          <w:lang w:eastAsia="zh-CN"/>
        </w:rPr>
      </w:pPr>
      <w:r>
        <w:rPr>
          <w:rFonts w:hint="eastAsia" w:ascii="宋体" w:hAnsi="宋体" w:eastAsia="宋体" w:cs="宋体"/>
          <w:b/>
          <w:bCs/>
          <w:color w:val="auto"/>
          <w:spacing w:val="7"/>
          <w:highlight w:val="none"/>
          <w:lang w:val="en-US" w:eastAsia="zh-CN"/>
        </w:rPr>
        <w:t xml:space="preserve">4、</w:t>
      </w:r>
      <w:r>
        <w:rPr>
          <w:rFonts w:hint="eastAsia" w:ascii="宋体" w:hAnsi="宋体" w:eastAsia="宋体" w:cs="宋体"/>
          <w:b/>
          <w:bCs/>
          <w:color w:val="auto"/>
          <w:spacing w:val="7"/>
          <w:highlight w:val="none"/>
          <w:lang w:eastAsia="zh-CN"/>
        </w:rPr>
        <w:t xml:space="preserve">其他</w:t>
      </w:r>
      <w:r>
        <w:rPr>
          <w:rFonts w:hint="eastAsia" w:ascii="宋体" w:hAnsi="宋体" w:eastAsia="宋体" w:cs="宋体"/>
          <w:b/>
          <w:bCs/>
          <w:color w:val="auto"/>
          <w:spacing w:val="7"/>
          <w:highlight w:val="none"/>
          <w:lang w:val="en-US" w:eastAsia="zh-CN"/>
        </w:rPr>
        <w:t xml:space="preserve">4.0分</w:t>
      </w:r>
      <w:r/>
    </w:p>
    <w:p>
      <w:pPr>
        <w:pStyle w:val="1042"/>
        <w:numPr>
          <w:ilvl w:val="0"/>
          <w:numId w:val="0"/>
        </w:numPr>
        <w:ind w:firstLine="510"/>
        <w:spacing w:after="120" w:line="360" w:lineRule="auto"/>
        <w:rPr>
          <w:rFonts w:hint="eastAsia" w:ascii="宋体" w:hAnsi="宋体" w:eastAsia="宋体" w:cs="宋体"/>
          <w:b/>
          <w:bCs/>
          <w:color w:val="auto"/>
          <w:spacing w:val="7"/>
          <w:highlight w:val="none"/>
          <w:lang w:eastAsia="zh-CN"/>
        </w:rPr>
      </w:pPr>
      <w:r>
        <w:rPr>
          <w:rFonts w:hint="eastAsia" w:ascii="宋体" w:hAnsi="宋体" w:eastAsia="宋体" w:cs="宋体"/>
          <w:b/>
          <w:bCs/>
          <w:color w:val="auto"/>
          <w:spacing w:val="7"/>
          <w:highlight w:val="none"/>
          <w:lang w:val="en-US" w:eastAsia="zh-CN"/>
        </w:rPr>
        <w:t xml:space="preserve">4.1</w:t>
      </w:r>
      <w:r>
        <w:rPr>
          <w:rFonts w:hint="eastAsia" w:ascii="宋体" w:hAnsi="宋体" w:eastAsia="宋体" w:cs="宋体"/>
          <w:b/>
          <w:bCs/>
          <w:color w:val="auto"/>
          <w:spacing w:val="7"/>
          <w:highlight w:val="none"/>
          <w:lang w:eastAsia="zh-CN"/>
        </w:rPr>
        <w:t xml:space="preserve">各项服务承诺</w:t>
      </w:r>
      <w:r>
        <w:rPr>
          <w:rFonts w:hint="eastAsia" w:ascii="宋体" w:hAnsi="宋体" w:eastAsia="宋体" w:cs="宋体"/>
          <w:b/>
          <w:bCs/>
          <w:color w:val="auto"/>
          <w:spacing w:val="7"/>
          <w:highlight w:val="none"/>
          <w:lang w:val="en-US" w:eastAsia="zh-CN"/>
        </w:rPr>
        <w:t xml:space="preserve">4.0</w:t>
      </w:r>
      <w:r>
        <w:rPr>
          <w:rFonts w:hint="eastAsia" w:ascii="宋体" w:hAnsi="宋体" w:eastAsia="宋体" w:cs="宋体"/>
          <w:b/>
          <w:bCs/>
          <w:color w:val="auto"/>
          <w:spacing w:val="7"/>
          <w:highlight w:val="none"/>
          <w:lang w:eastAsia="zh-CN"/>
        </w:rPr>
        <w:t xml:space="preserve">分</w:t>
      </w:r>
      <w:r/>
    </w:p>
    <w:p>
      <w:pPr>
        <w:pStyle w:val="1042"/>
        <w:ind w:firstLine="508"/>
        <w:spacing w:after="120"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各项服务承诺得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lang w:eastAsia="zh-CN"/>
        </w:rPr>
        <w:t xml:space="preserve">分，包括对发生各类安全事故善后处理承诺、应对履约期内各类风险承诺、车辆及设备在本项目区域内专车专用以及中标后按时交接的承诺，每少提供一个扣</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lang w:eastAsia="zh-CN"/>
        </w:rPr>
        <w:t xml:space="preserve">分，扣完为止</w:t>
      </w:r>
      <w:r>
        <w:rPr>
          <w:rFonts w:hint="eastAsia" w:ascii="宋体" w:hAnsi="宋体" w:eastAsia="宋体" w:cs="宋体"/>
          <w:color w:val="auto"/>
          <w:spacing w:val="7"/>
          <w:highlight w:val="none"/>
        </w:rPr>
        <w:t xml:space="preserve">。</w:t>
      </w:r>
      <w:r/>
    </w:p>
    <w:p>
      <w:pPr>
        <w:pStyle w:val="1024"/>
        <w:ind w:firstLine="508"/>
        <w:spacing w:after="181"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注:以上证明材料，不提供不得分。 </w:t>
      </w:r>
      <w:r/>
    </w:p>
    <w:p>
      <w:pPr>
        <w:pStyle w:val="1024"/>
        <w:ind w:firstLine="508"/>
        <w:spacing w:after="181" w:line="36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 </w:t>
      </w:r>
      <w:bookmarkEnd w:id="188"/>
      <w:r/>
      <w:r/>
    </w:p>
    <w:p>
      <w:pPr>
        <w:pStyle w:val="1024"/>
        <w:ind w:firstLine="508"/>
        <w:spacing w:after="181" w:line="240" w:lineRule="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r>
      <w:r/>
    </w:p>
    <w:p>
      <w:pPr>
        <w:pStyle w:val="993"/>
        <w:pageBreakBefore/>
        <w:spacing w:line="360" w:lineRule="auto"/>
        <w:rPr>
          <w:rFonts w:hint="eastAsia" w:ascii="宋体" w:hAnsi="宋体" w:eastAsia="宋体"/>
          <w:color w:val="auto"/>
          <w:highlight w:val="none"/>
        </w:rPr>
      </w:pPr>
      <w:r/>
      <w:bookmarkStart w:id="191" w:name="EB5eda7c9be7464788810dca94d24e634f"/>
      <w:r/>
      <w:bookmarkEnd w:id="191"/>
      <w:r/>
      <w:bookmarkStart w:id="192" w:name="_Toc16172"/>
      <w:r/>
      <w:bookmarkStart w:id="193" w:name="_Toc6358"/>
      <w:r/>
      <w:bookmarkStart w:id="194" w:name="_Toc23475"/>
      <w:r/>
      <w:bookmarkStart w:id="195" w:name="_Toc16796"/>
      <w:r/>
      <w:bookmarkStart w:id="196" w:name="_Toc54615250"/>
      <w:r/>
      <w:bookmarkStart w:id="197" w:name="_Toc38368132"/>
      <w:r/>
      <w:bookmarkStart w:id="198" w:name="_Toc35266032"/>
      <w:r/>
      <w:bookmarkStart w:id="199" w:name="_Toc32308"/>
      <w:r/>
      <w:bookmarkStart w:id="200" w:name="_Toc15600"/>
      <w:r>
        <w:rPr>
          <w:rFonts w:hint="eastAsia" w:ascii="宋体" w:hAnsi="宋体" w:eastAsia="宋体"/>
          <w:color w:val="auto"/>
          <w:highlight w:val="none"/>
        </w:rPr>
        <w:t xml:space="preserve">第六章 投标</w:t>
      </w:r>
      <w:bookmarkEnd w:id="151"/>
      <w:r/>
      <w:bookmarkEnd w:id="152"/>
      <w:r/>
      <w:bookmarkEnd w:id="158"/>
      <w:r>
        <w:rPr>
          <w:rFonts w:hint="eastAsia" w:ascii="宋体" w:hAnsi="宋体" w:eastAsia="宋体"/>
          <w:color w:val="auto"/>
          <w:highlight w:val="none"/>
        </w:rPr>
        <w:t xml:space="preserve">文件格式</w:t>
      </w:r>
      <w:bookmarkEnd w:id="192"/>
      <w:r/>
      <w:bookmarkEnd w:id="193"/>
      <w:r/>
      <w:bookmarkEnd w:id="194"/>
      <w:r/>
      <w:bookmarkEnd w:id="195"/>
      <w:r/>
      <w:bookmarkEnd w:id="196"/>
      <w:r/>
      <w:bookmarkEnd w:id="197"/>
      <w:r/>
      <w:bookmarkEnd w:id="198"/>
      <w:r/>
      <w:bookmarkEnd w:id="199"/>
      <w:r/>
      <w:bookmarkEnd w:id="200"/>
      <w:r/>
      <w:r/>
    </w:p>
    <w:p>
      <w:pPr>
        <w:pStyle w:val="1050"/>
        <w:rPr>
          <w:color w:val="auto"/>
          <w:highlight w:val="none"/>
        </w:rPr>
        <w:outlineLvl w:val="1"/>
      </w:pPr>
      <w:r/>
      <w:bookmarkStart w:id="201" w:name="_Toc2969"/>
      <w:r/>
      <w:bookmarkStart w:id="202" w:name="_Hlt26955039"/>
      <w:r/>
      <w:bookmarkStart w:id="203" w:name="_Toc26554094"/>
      <w:r>
        <w:rPr>
          <w:rFonts w:ascii="宋体" w:hAnsi="宋体" w:eastAsia="宋体" w:cs="宋体"/>
          <w:b/>
          <w:color w:val="auto"/>
          <w:sz w:val="32"/>
          <w:highlight w:val="none"/>
        </w:rPr>
        <w:t xml:space="preserve">一、封面</w:t>
      </w:r>
      <w:bookmarkEnd w:id="201"/>
      <w:r/>
      <w:r/>
    </w:p>
    <w:p>
      <w:pPr>
        <w:pStyle w:val="1055"/>
        <w:spacing w:line="440" w:lineRule="exact"/>
        <w:rPr>
          <w:color w:val="auto"/>
          <w:spacing w:val="7"/>
          <w:highlight w:val="none"/>
        </w:rPr>
      </w:pPr>
      <w:r>
        <w:rPr>
          <w:rFonts w:ascii="宋体" w:hAnsi="宋体" w:eastAsia="宋体" w:cs="宋体"/>
          <w:color w:val="auto"/>
          <w:highlight w:val="none"/>
        </w:rPr>
        <w:t xml:space="preserve">﻿ </w:t>
      </w:r>
      <w:r/>
    </w:p>
    <w:p>
      <w:pPr>
        <w:pStyle w:val="1055"/>
        <w:jc w:val="center"/>
        <w:spacing w:before="540" w:after="540"/>
        <w:rPr>
          <w:rFonts w:hint="eastAsia"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05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55"/>
        <w:jc w:val="center"/>
        <w:spacing w:before="400" w:after="400"/>
        <w:rPr>
          <w:rFonts w:hint="eastAsia"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105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055"/>
        <w:jc w:val="center"/>
        <w:spacing w:before="360" w:after="360"/>
        <w:rPr>
          <w:rFonts w:hint="eastAsia"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05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91"/>
        <w:rPr>
          <w:color w:val="auto"/>
          <w:highlight w:val="none"/>
        </w:rPr>
        <w:outlineLvl w:val="1"/>
      </w:pPr>
      <w:r>
        <w:rPr>
          <w:color w:val="auto"/>
          <w:highlight w:val="none"/>
        </w:rPr>
        <w:br w:type="page" w:clear="all"/>
      </w:r>
      <w:bookmarkStart w:id="204" w:name="_Toc20314"/>
      <w:r>
        <w:rPr>
          <w:rFonts w:ascii="宋体" w:hAnsi="宋体" w:eastAsia="宋体" w:cs="宋体"/>
          <w:b/>
          <w:color w:val="auto"/>
          <w:sz w:val="32"/>
          <w:highlight w:val="none"/>
        </w:rPr>
        <w:t xml:space="preserve">二、投标函格式</w:t>
      </w:r>
      <w:bookmarkEnd w:id="204"/>
      <w:r/>
      <w:r/>
    </w:p>
    <w:p>
      <w:pPr>
        <w:pStyle w:val="1085"/>
        <w:spacing w:line="440" w:lineRule="exact"/>
        <w:rPr>
          <w:color w:val="auto"/>
          <w:spacing w:val="7"/>
          <w:highlight w:val="none"/>
        </w:rPr>
      </w:pPr>
      <w:r>
        <w:rPr>
          <w:rFonts w:ascii="宋体" w:hAnsi="宋体" w:eastAsia="宋体" w:cs="宋体"/>
          <w:color w:val="auto"/>
          <w:highlight w:val="none"/>
        </w:rPr>
        <w:t xml:space="preserve">﻿ </w:t>
      </w:r>
      <w:r/>
    </w:p>
    <w:p>
      <w:pPr>
        <w:pStyle w:val="1085"/>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号</w:t>
      </w:r>
      <w:r>
        <w:rPr>
          <w:rFonts w:ascii="宋体" w:hAnsi="宋体" w:eastAsia="宋体" w:cs="宋体"/>
          <w:color w:val="auto"/>
          <w:highlight w:val="none"/>
        </w:rPr>
        <w:t xml:space="preserve">招标文件，正式授权下述签字人</w:t>
      </w:r>
      <w:r>
        <w:rPr>
          <w:rFonts w:ascii="宋体" w:hAnsi="宋体" w:eastAsia="宋体" w:cs="宋体"/>
          <w:color w:val="auto"/>
          <w:highlight w:val="none"/>
          <w:u w:val="single"/>
        </w:rPr>
        <w:t xml:space="preserve">      (姓名和职务)</w:t>
      </w:r>
      <w:r>
        <w:rPr>
          <w:rFonts w:ascii="宋体" w:hAnsi="宋体" w:eastAsia="宋体" w:cs="宋体"/>
          <w:color w:val="auto"/>
          <w:highlight w:val="none"/>
        </w:rPr>
        <w:t xml:space="preserve">代表我方</w:t>
      </w:r>
      <w:r>
        <w:rPr>
          <w:rFonts w:ascii="宋体" w:hAnsi="宋体" w:eastAsia="宋体" w:cs="宋体"/>
          <w:color w:val="auto"/>
          <w:highlight w:val="none"/>
          <w:u w:val="single"/>
        </w:rPr>
        <w:t xml:space="preserve">   （投标人的名称）</w:t>
      </w:r>
      <w:r>
        <w:rPr>
          <w:rFonts w:ascii="宋体" w:hAnsi="宋体" w:eastAsia="宋体" w:cs="宋体"/>
          <w:color w:val="auto"/>
          <w:highlight w:val="none"/>
        </w:rPr>
        <w:t xml:space="preserve">，全权处理本次项目投标的有关事宜。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地址：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邮编：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电话：    </w:t>
      </w:r>
      <w:r/>
    </w:p>
    <w:p>
      <w:pPr>
        <w:pStyle w:val="1085"/>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电子邮箱</w:t>
      </w:r>
      <w:r>
        <w:rPr>
          <w:rFonts w:ascii="宋体" w:hAnsi="宋体" w:eastAsia="宋体" w:cs="宋体"/>
          <w:color w:val="auto"/>
          <w:highlight w:val="none"/>
        </w:rPr>
        <w:t xml:space="preserve">：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投标单位名称：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公章：</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日期：   </w:t>
      </w:r>
      <w:r/>
    </w:p>
    <w:p>
      <w:pPr>
        <w:pStyle w:val="1085"/>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32"/>
        <w:rPr>
          <w:color w:val="auto"/>
          <w:highlight w:val="none"/>
        </w:rPr>
        <w:outlineLvl w:val="1"/>
      </w:pPr>
      <w:r>
        <w:rPr>
          <w:color w:val="auto"/>
          <w:highlight w:val="none"/>
        </w:rPr>
        <w:br w:type="page" w:clear="all"/>
      </w:r>
      <w:bookmarkStart w:id="205" w:name="_Toc1130"/>
      <w:r>
        <w:rPr>
          <w:rFonts w:ascii="宋体" w:hAnsi="宋体" w:eastAsia="宋体" w:cs="宋体"/>
          <w:b/>
          <w:color w:val="auto"/>
          <w:sz w:val="32"/>
          <w:highlight w:val="none"/>
        </w:rPr>
        <w:t xml:space="preserve">三、开标一览表</w:t>
      </w:r>
      <w:bookmarkEnd w:id="205"/>
      <w:r/>
      <w:r/>
    </w:p>
    <w:p>
      <w:pPr>
        <w:pStyle w:val="1016"/>
        <w:spacing w:line="440" w:lineRule="exact"/>
        <w:rPr>
          <w:color w:val="auto"/>
          <w:spacing w:val="7"/>
          <w:highlight w:val="none"/>
        </w:rPr>
      </w:pPr>
      <w:r>
        <w:rPr>
          <w:rFonts w:ascii="宋体" w:hAnsi="宋体" w:eastAsia="宋体" w:cs="宋体"/>
          <w:color w:val="auto"/>
          <w:highlight w:val="none"/>
        </w:rPr>
        <w:t xml:space="preserve">﻿ </w:t>
      </w:r>
      <w:r/>
    </w:p>
    <w:p>
      <w:pPr>
        <w:pStyle w:val="1016"/>
        <w:jc w:val="center"/>
        <w:spacing w:before="400" w:after="400" w:line="30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开标一览表</w:t>
      </w:r>
      <w:r/>
    </w:p>
    <w:p>
      <w:pPr>
        <w:pStyle w:val="1082"/>
        <w:ind w:firstLine="480"/>
        <w:jc w:val="both"/>
        <w:spacing w:after="181" w:line="360" w:lineRule="auto"/>
        <w:rPr>
          <w:rFonts w:hint="eastAsia" w:ascii="宋体" w:hAnsi="宋体" w:eastAsia="宋体" w:cs="宋体"/>
          <w:color w:val="auto"/>
          <w:highlight w:val="none"/>
        </w:rPr>
        <w:outlineLvl w:val="1"/>
      </w:pPr>
      <w:r/>
      <w:bookmarkStart w:id="206" w:name="_Toc1596"/>
      <w:r>
        <w:rPr>
          <w:rFonts w:hint="eastAsia" w:ascii="宋体" w:hAnsi="宋体" w:eastAsia="宋体" w:cs="宋体"/>
          <w:color w:val="auto"/>
          <w:highlight w:val="none"/>
        </w:rPr>
        <w:t xml:space="preserve">投标单位（章）</w:t>
      </w:r>
      <w:bookmarkEnd w:id="206"/>
      <w:r>
        <w:rPr>
          <w:rFonts w:hint="eastAsia" w:ascii="宋体" w:hAnsi="宋体" w:eastAsia="宋体" w:cs="宋体"/>
          <w:color w:val="auto"/>
          <w:highlight w:val="none"/>
        </w:rPr>
        <w:t xml:space="preserve">：                       </w:t>
      </w:r>
      <w:r/>
    </w:p>
    <w:p>
      <w:pPr>
        <w:pStyle w:val="1082"/>
        <w:ind w:firstLine="480"/>
        <w:jc w:val="both"/>
        <w:spacing w:after="181" w:line="360" w:lineRule="auto"/>
        <w:rPr>
          <w:rFonts w:hint="eastAsia" w:ascii="宋体" w:hAnsi="宋体" w:eastAsia="宋体" w:cs="宋体"/>
          <w:color w:val="auto"/>
          <w:highlight w:val="none"/>
          <w:lang w:eastAsia="zh-CN"/>
        </w:rPr>
        <w:outlineLvl w:val="1"/>
      </w:pPr>
      <w:r/>
      <w:bookmarkStart w:id="207" w:name="_Toc15160"/>
      <w:r>
        <w:rPr>
          <w:rFonts w:hint="eastAsia" w:ascii="宋体" w:hAnsi="宋体" w:eastAsia="宋体" w:cs="宋体"/>
          <w:color w:val="auto"/>
          <w:highlight w:val="none"/>
        </w:rPr>
        <w:t xml:space="preserve">投标人法定代表人或被授权人签字：                                 单位：</w:t>
      </w:r>
      <w:bookmarkEnd w:id="207"/>
      <w:r>
        <w:rPr>
          <w:rFonts w:hint="eastAsia" w:ascii="宋体" w:hAnsi="宋体" w:eastAsia="宋体" w:cs="宋体"/>
          <w:color w:val="auto"/>
          <w:highlight w:val="none"/>
          <w:lang w:val="en-US" w:eastAsia="zh-CN"/>
        </w:rPr>
        <w:t xml:space="preserve">元</w:t>
      </w:r>
      <w:r/>
    </w:p>
    <w:tbl>
      <w:tblPr>
        <w:tblStyle w:val="792"/>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744"/>
        <w:gridCol w:w="3896"/>
        <w:gridCol w:w="212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44"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896"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0"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44" w:type="dxa"/>
            <w:vAlign w:val="center"/>
            <w:textDirection w:val="lrTb"/>
            <w:noWrap w:val="false"/>
          </w:tcPr>
          <w:p>
            <w:pPr>
              <w:pStyle w:val="10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896" w:type="dxa"/>
            <w:vAlign w:val="center"/>
            <w:textDirection w:val="lrTb"/>
            <w:noWrap w:val="false"/>
          </w:tcPr>
          <w:p>
            <w:pPr>
              <w:pStyle w:val="10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0" w:type="dxa"/>
            <w:vAlign w:val="center"/>
            <w:textDirection w:val="lrTb"/>
            <w:noWrap w:val="false"/>
          </w:tcPr>
          <w:p>
            <w:pPr>
              <w:pStyle w:val="1016"/>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82"/>
        <w:jc w:val="both"/>
        <w:rPr>
          <w:color w:val="auto"/>
          <w:highlight w:val="none"/>
        </w:rPr>
        <w:outlineLvl w:val="1"/>
      </w:pPr>
      <w:r>
        <w:rPr>
          <w:color w:val="auto"/>
          <w:highlight w:val="none"/>
        </w:rPr>
        <w:t xml:space="preserve"> 注：</w:t>
      </w:r>
      <w:r/>
    </w:p>
    <w:p>
      <w:pPr>
        <w:pStyle w:val="1082"/>
        <w:numPr>
          <w:ilvl w:val="0"/>
          <w:numId w:val="3"/>
        </w:numPr>
        <w:ind w:firstLine="480"/>
        <w:spacing w:after="181" w:line="360" w:lineRule="auto"/>
        <w:rPr>
          <w:color w:val="auto"/>
          <w:highlight w:val="none"/>
        </w:rPr>
        <w:outlineLvl w:val="1"/>
      </w:pPr>
      <w:r>
        <w:rPr>
          <w:color w:val="auto"/>
          <w:highlight w:val="none"/>
        </w:rPr>
        <w:t xml:space="preserve">总价为综合报价，</w:t>
      </w:r>
      <w:r/>
    </w:p>
    <w:p>
      <w:pPr>
        <w:pStyle w:val="1082"/>
        <w:numPr>
          <w:ilvl w:val="0"/>
          <w:numId w:val="3"/>
        </w:numPr>
        <w:ind w:firstLine="480"/>
        <w:spacing w:after="181" w:line="360" w:lineRule="auto"/>
        <w:rPr>
          <w:color w:val="auto"/>
          <w:highlight w:val="none"/>
        </w:rPr>
        <w:outlineLvl w:val="1"/>
      </w:pPr>
      <w:r>
        <w:rPr>
          <w:rFonts w:hint="eastAsia"/>
          <w:color w:val="auto"/>
          <w:highlight w:val="none"/>
        </w:rPr>
        <w:t xml:space="preserve">投标人总报价是根据招标文件所确定的服务管理范围内的全部工作人员和内容的价格体现，是为完成招标文件规定的服务管理工作所涉及到的一切费用。应包括但不限于人员费用（工资、福利、培训、社会保险等）、服务所用设备工具购置及维修费用、通讯费、交通费、资料费、管理费用、中标服务费、利润、税金、政策性文件规定及合同包含的所有风险、责任等完成本项目各项应有费用。</w:t>
      </w:r>
      <w:r/>
    </w:p>
    <w:p>
      <w:pPr>
        <w:pStyle w:val="1082"/>
        <w:ind w:firstLine="480"/>
        <w:spacing w:after="181" w:line="360" w:lineRule="auto"/>
        <w:rPr>
          <w:color w:val="auto"/>
          <w:highlight w:val="none"/>
        </w:rPr>
        <w:outlineLvl w:val="1"/>
      </w:pPr>
      <w:r>
        <w:rPr>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082"/>
        <w:ind w:firstLine="480"/>
        <w:spacing w:after="181" w:line="360" w:lineRule="auto"/>
        <w:rPr>
          <w:color w:val="auto"/>
          <w:highlight w:val="none"/>
        </w:rPr>
        <w:outlineLvl w:val="1"/>
      </w:pPr>
      <w:r>
        <w:rPr>
          <w:rFonts w:hint="eastAsia"/>
          <w:color w:val="auto"/>
          <w:highlight w:val="none"/>
        </w:rPr>
        <w:t xml:space="preserve">3、开标一览表要有投标人法定代表人或被授权人签字（或盖章）并盖投标人公章，否则作无效投标处理。</w:t>
      </w:r>
      <w:r/>
    </w:p>
    <w:p>
      <w:pPr>
        <w:pStyle w:val="1082"/>
        <w:rPr>
          <w:color w:val="auto"/>
          <w:highlight w:val="none"/>
        </w:rPr>
        <w:outlineLvl w:val="1"/>
      </w:pPr>
      <w:r>
        <w:rPr>
          <w:color w:val="auto"/>
          <w:highlight w:val="none"/>
        </w:rPr>
        <w:br w:type="page" w:clear="all"/>
      </w:r>
      <w:bookmarkStart w:id="208" w:name="_Toc9974"/>
      <w:r>
        <w:rPr>
          <w:rFonts w:ascii="宋体" w:hAnsi="宋体" w:eastAsia="宋体" w:cs="宋体"/>
          <w:b/>
          <w:color w:val="auto"/>
          <w:sz w:val="32"/>
          <w:highlight w:val="none"/>
        </w:rPr>
        <w:t xml:space="preserve">四、资格证明文件</w:t>
      </w:r>
      <w:bookmarkEnd w:id="208"/>
      <w:r/>
      <w:r/>
    </w:p>
    <w:p>
      <w:pPr>
        <w:pStyle w:val="1089"/>
        <w:rPr>
          <w:rStyle w:val="983"/>
          <w:rFonts w:hint="eastAsia" w:ascii="宋体" w:hAnsi="宋体" w:eastAsia="宋体" w:cs="宋体"/>
          <w:b/>
          <w:color w:val="auto"/>
          <w:sz w:val="32"/>
          <w:szCs w:val="32"/>
          <w:highlight w:val="none"/>
        </w:rPr>
        <w:outlineLvl w:val="2"/>
      </w:pPr>
      <w:r>
        <w:rPr>
          <w:rFonts w:hint="eastAsia" w:ascii="宋体" w:hAnsi="宋体" w:eastAsia="宋体" w:cs="宋体"/>
          <w:b/>
          <w:color w:val="auto"/>
          <w:sz w:val="32"/>
          <w:szCs w:val="32"/>
          <w:highlight w:val="none"/>
        </w:rPr>
      </w:r>
      <w:r/>
    </w:p>
    <w:p>
      <w:pPr>
        <w:pStyle w:val="1089"/>
        <w:rPr>
          <w:rStyle w:val="983"/>
          <w:rFonts w:hint="eastAsia" w:ascii="宋体" w:hAnsi="宋体" w:eastAsia="宋体" w:cs="宋体"/>
          <w:b/>
          <w:bCs/>
          <w:color w:val="auto"/>
          <w:highlight w:val="none"/>
        </w:rPr>
        <w:outlineLvl w:val="2"/>
      </w:pPr>
      <w:r>
        <w:rPr>
          <w:rStyle w:val="983"/>
          <w:rFonts w:ascii="宋体" w:hAnsi="宋体" w:eastAsia="宋体" w:cs="宋体"/>
          <w:b/>
          <w:color w:val="auto"/>
          <w:highlight w:val="none"/>
        </w:rPr>
        <w:t xml:space="preserve">关于资格证明文件的书面承诺</w:t>
      </w:r>
      <w:r/>
    </w:p>
    <w:p>
      <w:pPr>
        <w:pStyle w:val="1048"/>
        <w:jc w:val="center"/>
        <w:spacing w:before="320" w:after="320"/>
        <w:rPr>
          <w:rStyle w:val="983"/>
          <w:rFonts w:hint="eastAsia" w:ascii="宋体" w:hAnsi="宋体" w:eastAsia="宋体" w:cs="宋体"/>
          <w:b/>
          <w:bCs/>
          <w:color w:val="auto"/>
          <w:highlight w:val="none"/>
        </w:rPr>
      </w:pPr>
      <w:r>
        <w:rPr>
          <w:rStyle w:val="983"/>
          <w:rFonts w:ascii="宋体" w:hAnsi="宋体" w:eastAsia="宋体" w:cs="宋体"/>
          <w:b/>
          <w:bCs/>
          <w:color w:val="auto"/>
          <w:highlight w:val="none"/>
        </w:rPr>
        <w:t xml:space="preserve">关于资格证明文件的书面承诺</w:t>
      </w:r>
      <w:r/>
    </w:p>
    <w:p>
      <w:pPr>
        <w:pStyle w:val="1048"/>
        <w:spacing w:before="240" w:after="240"/>
        <w:rPr>
          <w:rStyle w:val="983"/>
          <w:rFonts w:hint="eastAsia" w:ascii="宋体" w:hAnsi="宋体" w:eastAsia="宋体" w:cs="宋体"/>
          <w:b/>
          <w:bCs/>
          <w:color w:val="auto"/>
          <w:sz w:val="32"/>
          <w:szCs w:val="32"/>
          <w:highlight w:val="none"/>
        </w:rPr>
      </w:pPr>
      <w:r>
        <w:rPr>
          <w:rStyle w:val="983"/>
          <w:rFonts w:ascii="宋体" w:hAnsi="宋体" w:eastAsia="宋体" w:cs="宋体"/>
          <w:color w:val="auto"/>
          <w:highlight w:val="none"/>
        </w:rPr>
        <w:t xml:space="preserve"> </w:t>
      </w:r>
      <w:r>
        <w:rPr>
          <w:rStyle w:val="983"/>
          <w:rFonts w:ascii="宋体" w:hAnsi="宋体" w:eastAsia="宋体" w:cs="宋体"/>
          <w:b/>
          <w:bCs/>
          <w:color w:val="auto"/>
          <w:sz w:val="32"/>
          <w:szCs w:val="32"/>
          <w:highlight w:val="none"/>
        </w:rPr>
        <w:t xml:space="preserve"> </w:t>
      </w:r>
      <w:r/>
    </w:p>
    <w:p>
      <w:pPr>
        <w:pStyle w:val="1048"/>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48"/>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48"/>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48"/>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48"/>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48"/>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48"/>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投标单位（加盖公章）：   </w:t>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rPr>
          <w:rStyle w:val="983"/>
          <w:color w:val="auto"/>
          <w:highlight w:val="none"/>
        </w:rPr>
        <w:outlineLvl w:val="2"/>
      </w:pPr>
      <w:r>
        <w:rPr>
          <w:color w:val="auto"/>
          <w:highlight w:val="none"/>
        </w:rPr>
      </w:r>
      <w:r/>
    </w:p>
    <w:p>
      <w:pPr>
        <w:pStyle w:val="1076"/>
        <w:jc w:val="center"/>
        <w:rPr>
          <w:rStyle w:val="983"/>
          <w:rFonts w:hint="eastAsia" w:ascii="宋体" w:hAnsi="宋体" w:eastAsia="宋体" w:cs="宋体"/>
          <w:color w:val="auto"/>
          <w:highlight w:val="none"/>
        </w:rPr>
        <w:outlineLvl w:val="2"/>
      </w:pPr>
      <w:r>
        <w:rPr>
          <w:rStyle w:val="983"/>
          <w:color w:val="auto"/>
          <w:highlight w:val="none"/>
        </w:rPr>
        <w:br w:type="page" w:clear="all"/>
      </w:r>
      <w:r>
        <w:rPr>
          <w:rStyle w:val="983"/>
          <w:rFonts w:hint="eastAsia" w:ascii="宋体" w:hAnsi="宋体" w:eastAsia="宋体" w:cs="宋体"/>
          <w:b/>
          <w:color w:val="auto"/>
          <w:highlight w:val="none"/>
        </w:rPr>
        <w:t xml:space="preserve">  法人或者其他组织的营业执照等证明文件，自然人的身份证明、授权委托书（若有）及被授权人身份证明</w:t>
      </w:r>
      <w:r/>
    </w:p>
    <w:p>
      <w:pPr>
        <w:pStyle w:val="1019"/>
        <w:jc w:val="center"/>
        <w:spacing w:line="440" w:lineRule="exact"/>
        <w:rPr>
          <w:rStyle w:val="983"/>
          <w:rFonts w:hint="eastAsia" w:ascii="宋体" w:hAnsi="宋体" w:eastAsia="宋体" w:cs="宋体"/>
          <w:color w:val="auto"/>
          <w:spacing w:val="7"/>
          <w:highlight w:val="none"/>
        </w:rPr>
      </w:pPr>
      <w:r>
        <w:rPr>
          <w:rStyle w:val="983"/>
          <w:rFonts w:hint="eastAsia" w:ascii="宋体" w:hAnsi="宋体" w:eastAsia="宋体" w:cs="宋体"/>
          <w:color w:val="auto"/>
          <w:highlight w:val="none"/>
        </w:rPr>
        <w:t xml:space="preserve">﻿</w:t>
      </w:r>
      <w:r/>
    </w:p>
    <w:p>
      <w:pPr>
        <w:pStyle w:val="1019"/>
        <w:spacing w:before="240" w:after="240"/>
        <w:rPr>
          <w:rStyle w:val="983"/>
          <w:rFonts w:hint="eastAsia" w:ascii="宋体" w:hAnsi="宋体" w:eastAsia="宋体" w:cs="宋体"/>
          <w:color w:val="auto"/>
          <w:highlight w:val="none"/>
        </w:rPr>
      </w:pPr>
      <w:r>
        <w:rPr>
          <w:rStyle w:val="983"/>
          <w:rFonts w:hint="eastAsia" w:ascii="宋体" w:hAnsi="宋体" w:eastAsia="宋体" w:cs="宋体"/>
          <w:color w:val="auto"/>
          <w:highlight w:val="none"/>
        </w:rPr>
        <w:t xml:space="preserve">  </w:t>
      </w:r>
      <w:r/>
    </w:p>
    <w:p>
      <w:pPr>
        <w:pStyle w:val="1019"/>
        <w:ind w:firstLine="480"/>
        <w:spacing w:before="240" w:after="240" w:line="360" w:lineRule="auto"/>
        <w:rPr>
          <w:rStyle w:val="983"/>
          <w:color w:val="auto"/>
          <w:highlight w:val="none"/>
        </w:rPr>
      </w:pPr>
      <w:r>
        <w:rPr>
          <w:rStyle w:val="983"/>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19"/>
        <w:jc w:val="center"/>
        <w:spacing w:before="240" w:after="240"/>
        <w:rPr>
          <w:rStyle w:val="983"/>
          <w:color w:val="auto"/>
          <w:highlight w:val="none"/>
        </w:rPr>
      </w:pPr>
      <w:r>
        <w:rPr>
          <w:rStyle w:val="983"/>
          <w:color w:val="auto"/>
          <w:highlight w:val="none"/>
        </w:rPr>
        <w:t xml:space="preserve">  </w:t>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both"/>
        <w:spacing w:after="156"/>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156"/>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p>
    <w:p>
      <w:pPr>
        <w:spacing w:after="156"/>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r>
      <w:r/>
    </w:p>
    <w:p>
      <w:pPr>
        <w:spacing w:after="156"/>
        <w:rPr>
          <w:rFonts w:hint="eastAsia"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（姓名、性别、年龄、身份证号码）在我</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"https://baike.baidu.com/item/%E5%8D%95%E4%BD%8D/32292"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after="156"/>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spacing w:after="156"/>
        <w:rPr>
          <w:rFonts w:hint="eastAsia" w:ascii="宋体" w:hAnsi="宋体" w:cs="宋体"/>
          <w:color w:val="auto"/>
          <w:sz w:val="24"/>
          <w:highlight w:val="none"/>
        </w:rPr>
      </w:pPr>
      <w:r>
        <w:rPr>
          <w:rFonts w:hint="eastAsia" w:ascii="宋体" w:hAnsi="宋体" w:cs="宋体"/>
          <w:color w:val="auto"/>
          <w:sz w:val="24"/>
          <w:highlight w:val="none"/>
        </w:rPr>
      </w:r>
      <w:r/>
    </w:p>
    <w:p>
      <w:pPr>
        <w:pStyle w:val="1100"/>
        <w:ind w:left="-540" w:firstLine="900"/>
        <w:spacing w:after="156"/>
        <w:tabs>
          <w:tab w:val="left" w:pos="558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1100"/>
        <w:ind w:left="269" w:firstLine="120"/>
        <w:spacing w:after="156"/>
        <w:tabs>
          <w:tab w:val="left" w:pos="558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1100"/>
        <w:ind w:firstLine="360"/>
        <w:spacing w:after="156"/>
        <w:tabs>
          <w:tab w:val="left" w:pos="558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1100"/>
        <w:ind w:firstLine="360"/>
        <w:spacing w:after="156"/>
        <w:tabs>
          <w:tab w:val="left" w:pos="558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1100"/>
        <w:ind w:firstLine="360"/>
        <w:spacing w:after="156"/>
        <w:tabs>
          <w:tab w:val="left" w:pos="5580" w:leader="none"/>
        </w:tabs>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1101"/>
        <w:spacing w:before="75" w:beforeAutospacing="0" w:after="156" w:afterAutospacing="0"/>
        <w:widowControl/>
        <w:rPr>
          <w:rFonts w:hint="eastAsia" w:ascii="宋体" w:hAnsi="宋体" w:cs="宋体"/>
          <w:color w:val="auto"/>
          <w:highlight w:val="none"/>
        </w:rPr>
      </w:pPr>
      <w:r>
        <w:rPr>
          <w:rFonts w:hint="eastAsia" w:ascii="宋体" w:hAnsi="宋体" w:cs="宋体"/>
          <w:color w:val="auto"/>
          <w:highlight w:val="none"/>
        </w:rPr>
      </w:r>
      <w:r/>
    </w:p>
    <w:p>
      <w:pPr>
        <w:pStyle w:val="1101"/>
        <w:spacing w:before="75" w:beforeAutospacing="0" w:after="156" w:afterAutospacing="0"/>
        <w:widowControl/>
        <w:rPr>
          <w:rFonts w:hint="eastAsia" w:ascii="宋体" w:hAnsi="宋体" w:cs="宋体"/>
          <w:color w:val="auto"/>
          <w:highlight w:val="none"/>
        </w:rPr>
      </w:pPr>
      <w:r>
        <w:rPr>
          <w:rFonts w:hint="eastAsia" w:ascii="宋体" w:hAnsi="宋体" w:cs="宋体"/>
          <w:color w:val="auto"/>
          <w:highlight w:val="none"/>
        </w:rPr>
        <w:t xml:space="preserve">附：法定代表人的身份证正反面复印件</w:t>
      </w:r>
      <w:r/>
    </w:p>
    <w:p>
      <w:pPr>
        <w:pStyle w:val="809"/>
        <w:rPr>
          <w:rFonts w:hint="eastAsia" w:hAnsi="宋体" w:cs="宋体"/>
          <w:b/>
          <w:bCs/>
          <w:color w:val="auto"/>
          <w:sz w:val="24"/>
          <w:szCs w:val="24"/>
          <w:highlight w:val="none"/>
        </w:rPr>
      </w:pPr>
      <w:r>
        <w:rPr>
          <w:rFonts w:hint="eastAsia" w:hAnsi="宋体" w:cs="宋体"/>
          <w:b/>
          <w:bCs/>
          <w:color w:val="auto"/>
          <w:sz w:val="24"/>
          <w:szCs w:val="24"/>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75"/>
        <w:rPr>
          <w:rStyle w:val="983"/>
          <w:rFonts w:hint="eastAsia" w:ascii="宋体" w:hAnsi="宋体" w:eastAsia="宋体" w:cs="宋体"/>
          <w:b/>
          <w:bCs/>
          <w:color w:val="auto"/>
          <w:highlight w:val="none"/>
        </w:rPr>
        <w:outlineLvl w:val="2"/>
      </w:pPr>
      <w:r>
        <w:rPr>
          <w:rStyle w:val="983"/>
          <w:rFonts w:hint="eastAsia" w:ascii="宋体" w:hAnsi="宋体" w:eastAsia="宋体" w:cs="宋体"/>
          <w:b/>
          <w:color w:val="auto"/>
          <w:highlight w:val="none"/>
        </w:rPr>
        <w:t xml:space="preserve">授权委托书</w:t>
      </w:r>
      <w:r/>
    </w:p>
    <w:p>
      <w:pPr>
        <w:pStyle w:val="1035"/>
        <w:spacing w:line="440" w:lineRule="exact"/>
        <w:rPr>
          <w:rStyle w:val="983"/>
          <w:rFonts w:hint="eastAsia" w:ascii="宋体" w:hAnsi="宋体" w:eastAsia="宋体" w:cs="宋体"/>
          <w:color w:val="auto"/>
          <w:spacing w:val="7"/>
          <w:highlight w:val="none"/>
        </w:rPr>
      </w:pPr>
      <w:r>
        <w:rPr>
          <w:rStyle w:val="983"/>
          <w:rFonts w:hint="eastAsia" w:ascii="宋体" w:hAnsi="宋体" w:eastAsia="宋体" w:cs="宋体"/>
          <w:color w:val="auto"/>
          <w:highlight w:val="none"/>
        </w:rPr>
        <w:t xml:space="preserve">﻿ </w:t>
      </w:r>
      <w:r/>
    </w:p>
    <w:p>
      <w:pPr>
        <w:pStyle w:val="1035"/>
        <w:jc w:val="center"/>
        <w:spacing w:before="320" w:after="320"/>
        <w:rPr>
          <w:rStyle w:val="983"/>
          <w:rFonts w:hint="eastAsia" w:ascii="宋体" w:hAnsi="宋体" w:eastAsia="宋体" w:cs="宋体"/>
          <w:b/>
          <w:bCs/>
          <w:color w:val="auto"/>
          <w:highlight w:val="none"/>
        </w:rPr>
      </w:pPr>
      <w:r>
        <w:rPr>
          <w:rStyle w:val="983"/>
          <w:rFonts w:hint="eastAsia" w:ascii="宋体" w:hAnsi="宋体" w:eastAsia="宋体" w:cs="宋体"/>
          <w:b/>
          <w:bCs/>
          <w:color w:val="auto"/>
          <w:highlight w:val="none"/>
        </w:rPr>
        <w:t xml:space="preserve">授权委托书</w:t>
      </w:r>
      <w:r/>
    </w:p>
    <w:p>
      <w:pPr>
        <w:pStyle w:val="1035"/>
        <w:spacing w:before="240" w:after="240"/>
        <w:rPr>
          <w:rStyle w:val="983"/>
          <w:color w:val="auto"/>
          <w:highlight w:val="none"/>
        </w:rPr>
      </w:pPr>
      <w:r>
        <w:rPr>
          <w:rStyle w:val="983"/>
          <w:color w:val="auto"/>
          <w:highlight w:val="none"/>
        </w:rPr>
        <w:t xml:space="preserve"> </w:t>
      </w:r>
      <w:r/>
    </w:p>
    <w:p>
      <w:pPr>
        <w:pStyle w:val="1035"/>
        <w:ind w:firstLine="500"/>
        <w:spacing w:before="240" w:after="240"/>
        <w:rPr>
          <w:rStyle w:val="983"/>
          <w:color w:val="auto"/>
          <w:highlight w:val="none"/>
        </w:rPr>
      </w:pPr>
      <w:r>
        <w:rPr>
          <w:rStyle w:val="983"/>
          <w:color w:val="auto"/>
          <w:highlight w:val="none"/>
        </w:rPr>
        <w:t xml:space="preserve">本授权书声明：   （</w:t>
      </w:r>
      <w:r>
        <w:rPr>
          <w:rStyle w:val="983"/>
          <w:rFonts w:hint="eastAsia"/>
          <w:color w:val="auto"/>
          <w:highlight w:val="none"/>
        </w:rPr>
        <w:t xml:space="preserve">投标单位</w:t>
      </w:r>
      <w:r>
        <w:rPr>
          <w:rStyle w:val="983"/>
          <w:color w:val="auto"/>
          <w:highlight w:val="none"/>
        </w:rPr>
        <w:t xml:space="preserve">名称）授权(被授权人的姓名)为我方就   项目采购活动的合法代理人，以本单位名义全权处理一切与该项目采购有关的事务。 </w:t>
      </w:r>
      <w:r/>
    </w:p>
    <w:p>
      <w:pPr>
        <w:pStyle w:val="1035"/>
        <w:ind w:firstLine="500"/>
        <w:spacing w:before="240" w:after="240"/>
        <w:rPr>
          <w:rStyle w:val="983"/>
          <w:color w:val="auto"/>
          <w:highlight w:val="none"/>
        </w:rPr>
      </w:pPr>
      <w:r>
        <w:rPr>
          <w:rStyle w:val="983"/>
          <w:color w:val="auto"/>
          <w:highlight w:val="none"/>
        </w:rPr>
        <w:t xml:space="preserve">本授权书于   起生效，特此声明。  </w:t>
      </w:r>
      <w:r/>
    </w:p>
    <w:p>
      <w:pPr>
        <w:pStyle w:val="1035"/>
        <w:spacing w:before="240" w:after="240"/>
        <w:rPr>
          <w:rStyle w:val="983"/>
          <w:color w:val="auto"/>
          <w:highlight w:val="none"/>
        </w:rPr>
      </w:pPr>
      <w:r>
        <w:rPr>
          <w:rStyle w:val="983"/>
          <w:color w:val="auto"/>
          <w:highlight w:val="none"/>
        </w:rPr>
        <w:t xml:space="preserve"> </w:t>
      </w:r>
      <w:r/>
    </w:p>
    <w:p>
      <w:pPr>
        <w:pStyle w:val="1035"/>
        <w:ind w:firstLine="3570"/>
        <w:spacing w:before="240" w:after="240"/>
        <w:rPr>
          <w:rStyle w:val="983"/>
          <w:color w:val="auto"/>
          <w:highlight w:val="none"/>
        </w:rPr>
      </w:pPr>
      <w:r>
        <w:rPr>
          <w:rStyle w:val="983"/>
          <w:color w:val="auto"/>
          <w:highlight w:val="none"/>
        </w:rPr>
        <w:t xml:space="preserve">被授权人身份证号码：   </w:t>
      </w:r>
      <w:r/>
    </w:p>
    <w:p>
      <w:pPr>
        <w:pStyle w:val="1035"/>
        <w:ind w:firstLine="3570"/>
        <w:spacing w:before="240" w:after="240"/>
        <w:rPr>
          <w:rStyle w:val="983"/>
          <w:color w:val="auto"/>
          <w:highlight w:val="none"/>
        </w:rPr>
      </w:pPr>
      <w:r>
        <w:rPr>
          <w:rStyle w:val="983"/>
          <w:color w:val="auto"/>
          <w:highlight w:val="none"/>
        </w:rPr>
        <w:t xml:space="preserve">被授权人联系电话：（手机）   </w:t>
      </w:r>
      <w:r/>
    </w:p>
    <w:p>
      <w:pPr>
        <w:pStyle w:val="1035"/>
        <w:ind w:firstLine="3570"/>
        <w:spacing w:before="240" w:after="240"/>
        <w:rPr>
          <w:rStyle w:val="983"/>
          <w:color w:val="auto"/>
          <w:highlight w:val="none"/>
        </w:rPr>
      </w:pPr>
      <w:r>
        <w:rPr>
          <w:rStyle w:val="983"/>
          <w:color w:val="auto"/>
          <w:highlight w:val="none"/>
        </w:rPr>
        <w:t xml:space="preserve">授权单位名称：   （加盖公章）</w:t>
      </w:r>
      <w:r/>
    </w:p>
    <w:p>
      <w:pPr>
        <w:pStyle w:val="1035"/>
        <w:ind w:firstLine="3570"/>
        <w:spacing w:before="240" w:after="240"/>
        <w:rPr>
          <w:rStyle w:val="983"/>
          <w:color w:val="auto"/>
          <w:highlight w:val="none"/>
        </w:rPr>
      </w:pPr>
      <w:r>
        <w:rPr>
          <w:rStyle w:val="983"/>
          <w:color w:val="auto"/>
          <w:highlight w:val="none"/>
        </w:rPr>
        <w:t xml:space="preserve">单位地址：   </w:t>
      </w:r>
      <w:r/>
    </w:p>
    <w:p>
      <w:pPr>
        <w:pStyle w:val="1035"/>
        <w:ind w:firstLine="4830"/>
        <w:spacing w:before="240" w:after="240"/>
        <w:rPr>
          <w:rStyle w:val="983"/>
          <w:color w:val="auto"/>
          <w:highlight w:val="none"/>
        </w:rPr>
      </w:pPr>
      <w:r>
        <w:rPr>
          <w:rStyle w:val="983"/>
          <w:color w:val="auto"/>
          <w:highlight w:val="none"/>
        </w:rPr>
        <w:t xml:space="preserve">日期：   </w:t>
      </w:r>
      <w:r/>
    </w:p>
    <w:p>
      <w:pPr>
        <w:pStyle w:val="1065"/>
        <w:rPr>
          <w:rStyle w:val="983"/>
          <w:rFonts w:hint="eastAsia" w:ascii="宋体" w:hAnsi="宋体" w:eastAsia="宋体" w:cs="宋体"/>
          <w:color w:val="auto"/>
          <w:highlight w:val="none"/>
        </w:rPr>
        <w:outlineLvl w:val="2"/>
      </w:pPr>
      <w:r>
        <w:rPr>
          <w:rStyle w:val="983"/>
          <w:color w:val="auto"/>
          <w:highlight w:val="none"/>
        </w:rPr>
        <w:br w:type="page" w:clear="all"/>
      </w:r>
      <w:r>
        <w:rPr>
          <w:rStyle w:val="983"/>
          <w:rFonts w:ascii="宋体" w:hAnsi="宋体" w:eastAsia="宋体" w:cs="宋体"/>
          <w:b/>
          <w:color w:val="auto"/>
          <w:highlight w:val="none"/>
        </w:rPr>
        <w:t xml:space="preserve"> </w:t>
      </w:r>
      <w:bookmarkStart w:id="209" w:name="OLE_LINK5"/>
      <w:r>
        <w:rPr>
          <w:rStyle w:val="983"/>
          <w:rFonts w:hint="eastAsia" w:ascii="宋体" w:hAnsi="宋体" w:eastAsia="宋体" w:cs="宋体"/>
          <w:b/>
          <w:color w:val="auto"/>
          <w:highlight w:val="none"/>
        </w:rPr>
        <w:t xml:space="preserve"> 财务状况报告（成立不满一年不需要提供）</w:t>
      </w:r>
      <w:bookmarkEnd w:id="209"/>
      <w:r/>
      <w:r/>
    </w:p>
    <w:p>
      <w:pPr>
        <w:pStyle w:val="1040"/>
        <w:spacing w:line="440" w:lineRule="exact"/>
        <w:rPr>
          <w:rStyle w:val="983"/>
          <w:rFonts w:hint="eastAsia" w:ascii="宋体" w:hAnsi="宋体" w:eastAsia="宋体" w:cs="宋体"/>
          <w:color w:val="auto"/>
          <w:spacing w:val="7"/>
          <w:highlight w:val="none"/>
        </w:rPr>
      </w:pPr>
      <w:r>
        <w:rPr>
          <w:rStyle w:val="983"/>
          <w:rFonts w:hint="eastAsia" w:ascii="宋体" w:hAnsi="宋体" w:eastAsia="宋体" w:cs="宋体"/>
          <w:color w:val="auto"/>
          <w:highlight w:val="none"/>
        </w:rPr>
        <w:t xml:space="preserve">﻿ </w:t>
      </w:r>
      <w:r/>
    </w:p>
    <w:p>
      <w:pPr>
        <w:pStyle w:val="1040"/>
        <w:jc w:val="center"/>
        <w:spacing w:before="360" w:after="360" w:line="300" w:lineRule="auto"/>
        <w:rPr>
          <w:rStyle w:val="983"/>
          <w:rFonts w:hint="eastAsia" w:ascii="宋体" w:hAnsi="宋体" w:eastAsia="宋体" w:cs="宋体"/>
          <w:b/>
          <w:bCs/>
          <w:color w:val="auto"/>
          <w:highlight w:val="none"/>
        </w:rPr>
      </w:pPr>
      <w:r>
        <w:rPr>
          <w:rStyle w:val="983"/>
          <w:rFonts w:hint="eastAsia" w:ascii="宋体" w:hAnsi="宋体" w:eastAsia="宋体" w:cs="宋体"/>
          <w:b/>
          <w:bCs/>
          <w:color w:val="auto"/>
          <w:highlight w:val="none"/>
        </w:rPr>
        <w:t xml:space="preserve">近年财务状况表</w:t>
      </w:r>
      <w:r/>
    </w:p>
    <w:p>
      <w:pPr>
        <w:pStyle w:val="1040"/>
        <w:rPr>
          <w:rStyle w:val="983"/>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1079"/>
        <w:rPr>
          <w:rStyle w:val="983"/>
          <w:color w:val="auto"/>
          <w:highlight w:val="none"/>
        </w:rPr>
        <w:outlineLvl w:val="2"/>
      </w:pPr>
      <w:r>
        <w:rPr>
          <w:rStyle w:val="983"/>
          <w:color w:val="auto"/>
          <w:highlight w:val="none"/>
        </w:rPr>
        <w:br w:type="page" w:clear="all"/>
      </w:r>
      <w:r>
        <w:rPr>
          <w:rStyle w:val="983"/>
          <w:rFonts w:ascii="宋体" w:hAnsi="宋体" w:eastAsia="宋体" w:cs="宋体"/>
          <w:b/>
          <w:color w:val="auto"/>
          <w:highlight w:val="none"/>
        </w:rPr>
        <w:t xml:space="preserve">  依法缴纳税收和社会保障资金的相关材料</w:t>
      </w:r>
      <w:r/>
    </w:p>
    <w:p>
      <w:pPr>
        <w:pStyle w:val="1027"/>
        <w:jc w:val="center"/>
        <w:rPr>
          <w:rStyle w:val="983"/>
          <w:rFonts w:ascii="Calibri" w:hAnsi="Calibri"/>
          <w:b/>
          <w:bCs/>
          <w:color w:val="auto"/>
          <w:sz w:val="24"/>
          <w:szCs w:val="24"/>
          <w:highlight w:val="none"/>
        </w:rPr>
      </w:pPr>
      <w:r>
        <w:rPr>
          <w:rFonts w:ascii="Calibri" w:hAnsi="Calibri"/>
          <w:b/>
          <w:bCs/>
          <w:color w:val="auto"/>
          <w:sz w:val="24"/>
          <w:szCs w:val="24"/>
          <w:highlight w:val="none"/>
        </w:rPr>
      </w:r>
      <w:r/>
    </w:p>
    <w:p>
      <w:pPr>
        <w:pStyle w:val="1027"/>
        <w:jc w:val="center"/>
        <w:rPr>
          <w:rStyle w:val="983"/>
          <w:rFonts w:ascii="Calibri" w:hAnsi="Calibri"/>
          <w:b/>
          <w:bCs/>
          <w:color w:val="auto"/>
          <w:sz w:val="24"/>
          <w:szCs w:val="24"/>
          <w:highlight w:val="none"/>
        </w:rPr>
      </w:pPr>
      <w:r>
        <w:rPr>
          <w:rStyle w:val="983"/>
          <w:rFonts w:hint="eastAsia" w:ascii="Calibri" w:hAnsi="Calibri"/>
          <w:b/>
          <w:bCs/>
          <w:color w:val="auto"/>
          <w:sz w:val="24"/>
          <w:szCs w:val="24"/>
          <w:highlight w:val="none"/>
        </w:rPr>
        <w:t xml:space="preserve">依法缴纳税收和社会保障资金的相关材料</w:t>
      </w:r>
      <w:r/>
    </w:p>
    <w:p>
      <w:pPr>
        <w:pStyle w:val="1039"/>
        <w:rPr>
          <w:rStyle w:val="983"/>
          <w:color w:val="auto"/>
          <w:highlight w:val="none"/>
        </w:rPr>
        <w:outlineLvl w:val="2"/>
      </w:pPr>
      <w:r>
        <w:rPr>
          <w:rStyle w:val="983"/>
          <w:color w:val="auto"/>
          <w:highlight w:val="none"/>
        </w:rPr>
        <w:br w:type="page" w:clear="all"/>
      </w:r>
      <w:r>
        <w:rPr>
          <w:rStyle w:val="983"/>
          <w:rFonts w:ascii="宋体" w:hAnsi="宋体" w:eastAsia="宋体" w:cs="宋体"/>
          <w:b/>
          <w:color w:val="auto"/>
          <w:sz w:val="28"/>
          <w:highlight w:val="none"/>
        </w:rPr>
        <w:t xml:space="preserve"> </w:t>
      </w:r>
      <w:r>
        <w:rPr>
          <w:rStyle w:val="983"/>
          <w:rFonts w:ascii="宋体" w:hAnsi="宋体" w:eastAsia="宋体" w:cs="宋体"/>
          <w:b/>
          <w:color w:val="auto"/>
          <w:highlight w:val="none"/>
        </w:rPr>
        <w:t xml:space="preserve"> 具备履行合同所必需的设备和专业技术能力的书面声明</w:t>
      </w:r>
      <w:r/>
    </w:p>
    <w:p>
      <w:pPr>
        <w:pStyle w:val="1084"/>
        <w:spacing w:line="440" w:lineRule="exact"/>
        <w:rPr>
          <w:rStyle w:val="983"/>
          <w:color w:val="auto"/>
          <w:spacing w:val="7"/>
          <w:highlight w:val="none"/>
        </w:rPr>
      </w:pPr>
      <w:r>
        <w:rPr>
          <w:rStyle w:val="983"/>
          <w:rFonts w:ascii="宋体" w:hAnsi="宋体" w:eastAsia="宋体" w:cs="宋体"/>
          <w:color w:val="auto"/>
          <w:highlight w:val="none"/>
        </w:rPr>
        <w:t xml:space="preserve">﻿ </w:t>
      </w:r>
      <w:r/>
    </w:p>
    <w:p>
      <w:pPr>
        <w:pStyle w:val="1084"/>
        <w:jc w:val="center"/>
        <w:spacing w:before="320" w:after="320"/>
        <w:rPr>
          <w:rStyle w:val="983"/>
          <w:rFonts w:hint="eastAsia" w:ascii="宋体" w:hAnsi="宋体" w:eastAsia="宋体" w:cs="宋体"/>
          <w:b/>
          <w:bCs/>
          <w:color w:val="auto"/>
          <w:highlight w:val="none"/>
        </w:rPr>
      </w:pPr>
      <w:r>
        <w:rPr>
          <w:rStyle w:val="983"/>
          <w:rFonts w:ascii="宋体" w:hAnsi="宋体" w:eastAsia="宋体" w:cs="宋体"/>
          <w:b/>
          <w:bCs/>
          <w:color w:val="auto"/>
          <w:highlight w:val="none"/>
        </w:rPr>
        <w:t xml:space="preserve">具备履行合同所必需的设备和专业技术能力的书面声明</w:t>
      </w:r>
      <w:r/>
    </w:p>
    <w:p>
      <w:pPr>
        <w:pStyle w:val="1084"/>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84"/>
        <w:jc w:val="center"/>
        <w:spacing w:before="320" w:after="320"/>
        <w:rPr>
          <w:rStyle w:val="983"/>
          <w:rFonts w:hint="eastAsia" w:ascii="宋体" w:hAnsi="宋体" w:eastAsia="宋体" w:cs="宋体"/>
          <w:b/>
          <w:bCs/>
          <w:color w:val="auto"/>
          <w:highlight w:val="none"/>
        </w:rPr>
      </w:pPr>
      <w:r>
        <w:rPr>
          <w:rStyle w:val="983"/>
          <w:rFonts w:ascii="宋体" w:hAnsi="宋体" w:eastAsia="宋体" w:cs="宋体"/>
          <w:b/>
          <w:bCs/>
          <w:color w:val="auto"/>
          <w:highlight w:val="none"/>
        </w:rPr>
        <w:t xml:space="preserve"> </w:t>
      </w:r>
      <w:r/>
    </w:p>
    <w:p>
      <w:pPr>
        <w:pStyle w:val="1084"/>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84"/>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我单位郑重声明： 我单位具备履行本项采购合同所必需的设备和专业技术能力。 </w:t>
      </w:r>
      <w:r/>
    </w:p>
    <w:p>
      <w:pPr>
        <w:pStyle w:val="1084"/>
        <w:spacing w:before="360" w:after="360"/>
        <w:rPr>
          <w:rStyle w:val="983"/>
          <w:rFonts w:hint="eastAsia" w:ascii="宋体" w:hAnsi="宋体" w:eastAsia="宋体" w:cs="宋体"/>
          <w:color w:val="auto"/>
          <w:sz w:val="36"/>
          <w:szCs w:val="36"/>
          <w:highlight w:val="none"/>
        </w:rPr>
      </w:pPr>
      <w:r>
        <w:rPr>
          <w:rStyle w:val="983"/>
          <w:rFonts w:ascii="宋体" w:hAnsi="宋体" w:eastAsia="宋体" w:cs="宋体"/>
          <w:color w:val="auto"/>
          <w:sz w:val="36"/>
          <w:szCs w:val="36"/>
          <w:highlight w:val="none"/>
        </w:rPr>
        <w:t xml:space="preserve"> </w:t>
      </w:r>
      <w:r/>
    </w:p>
    <w:p>
      <w:pPr>
        <w:pStyle w:val="1084"/>
        <w:jc w:val="center"/>
        <w:spacing w:before="360" w:after="360"/>
        <w:rPr>
          <w:rStyle w:val="983"/>
          <w:rFonts w:hint="eastAsia" w:ascii="宋体" w:hAnsi="宋体" w:eastAsia="宋体" w:cs="宋体"/>
          <w:color w:val="auto"/>
          <w:sz w:val="36"/>
          <w:szCs w:val="36"/>
          <w:highlight w:val="none"/>
        </w:rPr>
      </w:pPr>
      <w:r>
        <w:rPr>
          <w:rStyle w:val="983"/>
          <w:rFonts w:ascii="宋体" w:hAnsi="宋体" w:eastAsia="宋体" w:cs="宋体"/>
          <w:color w:val="auto"/>
          <w:sz w:val="36"/>
          <w:szCs w:val="36"/>
          <w:highlight w:val="none"/>
        </w:rPr>
        <w:t xml:space="preserve"> </w:t>
      </w:r>
      <w:r/>
    </w:p>
    <w:p>
      <w:pPr>
        <w:pStyle w:val="1084"/>
        <w:jc w:val="center"/>
        <w:spacing w:before="360" w:after="360"/>
        <w:rPr>
          <w:rStyle w:val="983"/>
          <w:rFonts w:hint="eastAsia" w:ascii="宋体" w:hAnsi="宋体" w:eastAsia="宋体" w:cs="宋体"/>
          <w:color w:val="auto"/>
          <w:sz w:val="36"/>
          <w:szCs w:val="36"/>
          <w:highlight w:val="none"/>
        </w:rPr>
      </w:pPr>
      <w:r>
        <w:rPr>
          <w:rStyle w:val="983"/>
          <w:rFonts w:ascii="宋体" w:hAnsi="宋体" w:eastAsia="宋体" w:cs="宋体"/>
          <w:color w:val="auto"/>
          <w:sz w:val="36"/>
          <w:szCs w:val="36"/>
          <w:highlight w:val="none"/>
        </w:rPr>
        <w:t xml:space="preserve"> </w:t>
      </w:r>
      <w:r/>
    </w:p>
    <w:p>
      <w:pPr>
        <w:pStyle w:val="1084"/>
        <w:jc w:val="center"/>
        <w:spacing w:before="360" w:after="360"/>
        <w:rPr>
          <w:rStyle w:val="983"/>
          <w:rFonts w:hint="eastAsia" w:ascii="宋体" w:hAnsi="宋体" w:eastAsia="宋体" w:cs="宋体"/>
          <w:color w:val="auto"/>
          <w:sz w:val="36"/>
          <w:szCs w:val="36"/>
          <w:highlight w:val="none"/>
        </w:rPr>
      </w:pPr>
      <w:r>
        <w:rPr>
          <w:rStyle w:val="983"/>
          <w:rFonts w:ascii="宋体" w:hAnsi="宋体" w:eastAsia="宋体" w:cs="宋体"/>
          <w:color w:val="auto"/>
          <w:sz w:val="36"/>
          <w:szCs w:val="36"/>
          <w:highlight w:val="none"/>
        </w:rPr>
        <w:t xml:space="preserve"> </w:t>
      </w:r>
      <w:r/>
    </w:p>
    <w:p>
      <w:pPr>
        <w:pStyle w:val="1084"/>
        <w:spacing w:before="210" w:after="210"/>
        <w:rPr>
          <w:rStyle w:val="983"/>
          <w:rFonts w:hint="eastAsia" w:ascii="宋体" w:hAnsi="宋体" w:eastAsia="宋体" w:cs="宋体"/>
          <w:color w:val="auto"/>
          <w:sz w:val="21"/>
          <w:szCs w:val="21"/>
          <w:highlight w:val="none"/>
        </w:rPr>
      </w:pPr>
      <w:r>
        <w:rPr>
          <w:rStyle w:val="983"/>
          <w:rFonts w:ascii="宋体" w:hAnsi="宋体" w:eastAsia="宋体" w:cs="宋体"/>
          <w:color w:val="auto"/>
          <w:sz w:val="21"/>
          <w:szCs w:val="21"/>
          <w:highlight w:val="none"/>
        </w:rPr>
        <w:t xml:space="preserve"> 投标单位（加盖公章）：   </w:t>
      </w:r>
      <w:r/>
    </w:p>
    <w:p>
      <w:pPr>
        <w:pStyle w:val="1034"/>
        <w:rPr>
          <w:rStyle w:val="983"/>
          <w:color w:val="auto"/>
          <w:highlight w:val="none"/>
        </w:rPr>
        <w:outlineLvl w:val="2"/>
      </w:pPr>
      <w:r>
        <w:rPr>
          <w:rStyle w:val="983"/>
          <w:color w:val="auto"/>
          <w:highlight w:val="none"/>
        </w:rPr>
        <w:br w:type="page" w:clear="all"/>
      </w:r>
      <w:r>
        <w:rPr>
          <w:rStyle w:val="983"/>
          <w:rFonts w:ascii="宋体" w:hAnsi="宋体" w:eastAsia="宋体" w:cs="宋体"/>
          <w:b/>
          <w:color w:val="auto"/>
          <w:sz w:val="28"/>
          <w:highlight w:val="none"/>
        </w:rPr>
        <w:t xml:space="preserve">  </w:t>
      </w:r>
      <w:r>
        <w:rPr>
          <w:rStyle w:val="983"/>
          <w:rFonts w:ascii="宋体" w:hAnsi="宋体" w:eastAsia="宋体" w:cs="宋体"/>
          <w:b/>
          <w:color w:val="auto"/>
          <w:highlight w:val="none"/>
        </w:rPr>
        <w:t xml:space="preserve">参加政府采购活动前3年内在经营活动中没有重大违法记录的书面声明</w:t>
      </w:r>
      <w:r/>
    </w:p>
    <w:p>
      <w:pPr>
        <w:pStyle w:val="1062"/>
        <w:jc w:val="center"/>
        <w:spacing w:before="320" w:after="320"/>
        <w:rPr>
          <w:rStyle w:val="983"/>
          <w:rFonts w:hint="eastAsia" w:ascii="宋体" w:hAnsi="宋体" w:eastAsia="宋体" w:cs="宋体"/>
          <w:b/>
          <w:bCs/>
          <w:color w:val="auto"/>
          <w:highlight w:val="none"/>
        </w:rPr>
      </w:pPr>
      <w:r>
        <w:rPr>
          <w:rStyle w:val="983"/>
          <w:rFonts w:ascii="宋体" w:hAnsi="宋体" w:eastAsia="宋体" w:cs="宋体"/>
          <w:b/>
          <w:bCs/>
          <w:color w:val="auto"/>
          <w:highlight w:val="none"/>
        </w:rPr>
        <w:t xml:space="preserve">参加政府采购活动前3年内在经营活动中没有重大违法记录的书面声明</w:t>
      </w:r>
      <w:r/>
    </w:p>
    <w:p>
      <w:pPr>
        <w:pStyle w:val="1062"/>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jc w:val="center"/>
        <w:spacing w:before="320" w:after="320"/>
        <w:rPr>
          <w:rStyle w:val="983"/>
          <w:rFonts w:hint="eastAsia" w:ascii="宋体" w:hAnsi="宋体" w:eastAsia="宋体" w:cs="宋体"/>
          <w:b/>
          <w:bCs/>
          <w:color w:val="auto"/>
          <w:sz w:val="32"/>
          <w:szCs w:val="32"/>
          <w:highlight w:val="none"/>
        </w:rPr>
      </w:pPr>
      <w:r>
        <w:rPr>
          <w:rStyle w:val="983"/>
          <w:rFonts w:ascii="宋体" w:hAnsi="宋体" w:eastAsia="宋体" w:cs="宋体"/>
          <w:b/>
          <w:bCs/>
          <w:color w:val="auto"/>
          <w:sz w:val="32"/>
          <w:szCs w:val="32"/>
          <w:highlight w:val="none"/>
        </w:rPr>
        <w:t xml:space="preserve"> </w:t>
      </w:r>
      <w:r/>
    </w:p>
    <w:p>
      <w:pPr>
        <w:pStyle w:val="1062"/>
        <w:jc w:val="center"/>
        <w:spacing w:before="320" w:after="320"/>
        <w:rPr>
          <w:rStyle w:val="983"/>
          <w:rFonts w:hint="eastAsia" w:ascii="宋体" w:hAnsi="宋体" w:eastAsia="宋体" w:cs="宋体"/>
          <w:color w:val="auto"/>
          <w:sz w:val="32"/>
          <w:szCs w:val="32"/>
          <w:highlight w:val="none"/>
        </w:rPr>
      </w:pPr>
      <w:r>
        <w:rPr>
          <w:rStyle w:val="983"/>
          <w:rFonts w:ascii="宋体" w:hAnsi="宋体" w:eastAsia="宋体" w:cs="宋体"/>
          <w:color w:val="auto"/>
          <w:sz w:val="32"/>
          <w:szCs w:val="32"/>
          <w:highlight w:val="none"/>
        </w:rPr>
        <w:t xml:space="preserve">声明</w:t>
      </w:r>
      <w:r/>
    </w:p>
    <w:p>
      <w:pPr>
        <w:pStyle w:val="1062"/>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62"/>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jc w:val="center"/>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62"/>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投标单位（加盖公章）：   </w:t>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109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spacing w:line="279"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分包意向协议及授权委托书（如为协议分包，才须提供）</w:t>
      </w:r>
      <w:r/>
    </w:p>
    <w:p>
      <w:pPr>
        <w:ind w:firstLine="643"/>
        <w:jc w:val="center"/>
        <w:keepLines/>
        <w:keepNext/>
        <w:spacing w:line="440" w:lineRule="exact"/>
        <w:rPr>
          <w:rFonts w:ascii="Times New Roman" w:hAnsi="Times New Roman"/>
          <w:b/>
          <w:bCs/>
          <w:color w:val="auto"/>
          <w:sz w:val="32"/>
          <w:szCs w:val="32"/>
          <w:highlight w:val="none"/>
        </w:rPr>
        <w:outlineLvl w:val="3"/>
      </w:pPr>
      <w:r>
        <w:rPr>
          <w:rFonts w:hint="eastAsia" w:ascii="宋体" w:hAnsi="宋体"/>
          <w:b/>
          <w:bCs/>
          <w:color w:val="auto"/>
          <w:sz w:val="32"/>
          <w:szCs w:val="32"/>
          <w:highlight w:val="none"/>
        </w:rPr>
        <w:t xml:space="preserve">分包意向协议</w:t>
      </w:r>
      <w:r>
        <w:rPr>
          <w:rFonts w:ascii="Times New Roman" w:hAnsi="Times New Roman"/>
          <w:b/>
          <w:bCs/>
          <w:color w:val="auto"/>
          <w:sz w:val="32"/>
          <w:szCs w:val="32"/>
          <w:highlight w:val="none"/>
        </w:rPr>
        <w:t xml:space="preserve">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各方经协商，就响应</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 xml:space="preserve">招标活动协议分包进行投标之事宜，达成如下协议：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一、各方一致决定，以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为总承包方（即投标人代表）进行投标，并按照招标文件的规定提交资格文件。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本次投标过程中，总承包方的法定代表人（负责人）或授权代理人根据招标文件规定及投标内容而对招标采购单位所作的任何合法承诺，包括书面澄清及响应等均对协议投标各方产生约束力。如果中标并签订合同，则协议投标各方将共同履行对招标采购单位所负有的全部义务并就采购合同约定的事项对采购人承担连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三、协议分包投标其余各方保证对总承包方为响应本次招标而提供的产品和服务提供全部质量保证及售后服务支持。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四、本次协议分包投标中：</w:t>
      </w:r>
      <w:r/>
    </w:p>
    <w:p>
      <w:pPr>
        <w:ind w:firstLine="482"/>
        <w:spacing w:line="440" w:lineRule="exact"/>
        <w:rPr>
          <w:rFonts w:hint="eastAsia" w:ascii="Times New Roman" w:hAnsi="Times New Roman"/>
          <w:b w:val="0"/>
          <w:bCs w:val="0"/>
          <w:color w:val="auto"/>
          <w:sz w:val="24"/>
          <w:szCs w:val="24"/>
          <w:highlight w:val="none"/>
          <w:u w:val="none"/>
          <w:lang w:eastAsia="zh-CN"/>
        </w:rPr>
      </w:pPr>
      <w:r>
        <w:rPr>
          <w:rFonts w:hint="eastAsia" w:ascii="Times New Roman" w:hAnsi="Times New Roman"/>
          <w:b/>
          <w:bCs/>
          <w:color w:val="auto"/>
          <w:sz w:val="24"/>
          <w:szCs w:val="24"/>
          <w:highlight w:val="none"/>
        </w:rPr>
        <w:t xml:space="preserve">本次合同分包的份额占预算</w:t>
      </w:r>
      <w:r>
        <w:rPr>
          <w:rFonts w:hint="eastAsia" w:ascii="Times New Roman" w:hAnsi="Times New Roman"/>
          <w:b/>
          <w:bCs/>
          <w:color w:val="auto"/>
          <w:sz w:val="24"/>
          <w:szCs w:val="24"/>
          <w:highlight w:val="none"/>
          <w:lang w:val="en-US" w:eastAsia="zh-CN"/>
        </w:rPr>
        <w:t xml:space="preserve">/合同</w:t>
      </w:r>
      <w:r>
        <w:rPr>
          <w:rFonts w:hint="eastAsia" w:ascii="Times New Roman" w:hAnsi="Times New Roman"/>
          <w:b/>
          <w:bCs/>
          <w:color w:val="auto"/>
          <w:sz w:val="24"/>
          <w:szCs w:val="24"/>
          <w:highlight w:val="none"/>
        </w:rPr>
        <w:t xml:space="preserve">总额的</w:t>
      </w:r>
      <w:r>
        <w:rPr>
          <w:rFonts w:hint="eastAsia" w:ascii="Times New Roman" w:hAnsi="Times New Roman"/>
          <w:b w:val="0"/>
          <w:bCs w:val="0"/>
          <w:color w:val="auto"/>
          <w:sz w:val="24"/>
          <w:szCs w:val="24"/>
          <w:highlight w:val="none"/>
          <w:u w:val="single"/>
          <w:lang w:val="en-US" w:eastAsia="zh-CN"/>
        </w:rPr>
        <w:t xml:space="preserve">    </w:t>
      </w:r>
      <w:r>
        <w:rPr>
          <w:rFonts w:hint="eastAsia" w:ascii="Times New Roman" w:hAnsi="Times New Roman"/>
          <w:b w:val="0"/>
          <w:bCs w:val="0"/>
          <w:color w:val="auto"/>
          <w:sz w:val="24"/>
          <w:szCs w:val="24"/>
          <w:highlight w:val="none"/>
          <w:u w:val="none"/>
        </w:rPr>
        <w:t xml:space="preserve">%</w:t>
      </w:r>
      <w:r>
        <w:rPr>
          <w:rFonts w:hint="eastAsia" w:ascii="Times New Roman" w:hAnsi="Times New Roman"/>
          <w:b w:val="0"/>
          <w:bCs w:val="0"/>
          <w:color w:val="auto"/>
          <w:sz w:val="24"/>
          <w:szCs w:val="24"/>
          <w:highlight w:val="none"/>
          <w:u w:val="none"/>
          <w:lang w:eastAsia="zh-CN"/>
        </w:rPr>
        <w:t xml:space="preserve">（</w:t>
      </w:r>
      <w:r>
        <w:rPr>
          <w:rFonts w:hint="eastAsia" w:ascii="Times New Roman" w:hAnsi="Times New Roman"/>
          <w:b w:val="0"/>
          <w:bCs w:val="0"/>
          <w:color w:val="auto"/>
          <w:sz w:val="24"/>
          <w:szCs w:val="24"/>
          <w:highlight w:val="none"/>
          <w:u w:val="none"/>
          <w:lang w:val="en-US" w:eastAsia="zh-CN"/>
        </w:rPr>
        <w:t xml:space="preserve">注：</w:t>
      </w:r>
      <w:r>
        <w:rPr>
          <w:rFonts w:hint="eastAsia" w:ascii="宋体" w:hAnsi="宋体" w:eastAsia="宋体" w:cs="宋体"/>
          <w:color w:val="auto"/>
          <w:spacing w:val="8"/>
          <w:sz w:val="24"/>
          <w:szCs w:val="22"/>
          <w:highlight w:val="none"/>
          <w:lang w:val="en-US" w:eastAsia="zh-CN" w:bidi="ar-SA"/>
        </w:rPr>
        <w:t xml:space="preserve">采用合同分包形式预留，其中该预留部分预留给小微企业的比例不低于60%。</w:t>
      </w:r>
      <w:r>
        <w:rPr>
          <w:rFonts w:hint="eastAsia" w:ascii="Times New Roman" w:hAnsi="Times New Roman"/>
          <w:b w:val="0"/>
          <w:bCs w:val="0"/>
          <w:color w:val="auto"/>
          <w:sz w:val="24"/>
          <w:szCs w:val="24"/>
          <w:highlight w:val="none"/>
          <w:u w:val="none"/>
          <w:lang w:eastAsia="zh-CN"/>
        </w:rPr>
        <w:t xml:space="preserve">）</w:t>
      </w:r>
      <w:r>
        <w:rPr>
          <w:rFonts w:hint="eastAsia" w:ascii="Times New Roman" w:hAnsi="Times New Roman"/>
          <w:b w:val="0"/>
          <w:bCs w:val="0"/>
          <w:color w:val="auto"/>
          <w:sz w:val="24"/>
          <w:szCs w:val="24"/>
          <w:highlight w:val="none"/>
          <w:u w:val="none"/>
        </w:rPr>
        <w:t xml:space="preserve">，</w:t>
      </w:r>
      <w:r>
        <w:rPr>
          <w:rFonts w:hint="eastAsia" w:ascii="Times New Roman" w:hAnsi="Times New Roman"/>
          <w:b/>
          <w:bCs/>
          <w:color w:val="auto"/>
          <w:sz w:val="24"/>
          <w:szCs w:val="24"/>
          <w:highlight w:val="none"/>
        </w:rPr>
        <w:t xml:space="preserve">即报价</w:t>
      </w:r>
      <w:r>
        <w:rPr>
          <w:rFonts w:hint="eastAsia" w:ascii="Times New Roman" w:hAnsi="Times New Roman"/>
          <w:b w:val="0"/>
          <w:bCs w:val="0"/>
          <w:color w:val="auto"/>
          <w:sz w:val="24"/>
          <w:szCs w:val="24"/>
          <w:highlight w:val="none"/>
          <w:u w:val="none"/>
          <w:lang w:eastAsia="zh-CN"/>
        </w:rPr>
        <w:t xml:space="preserve">（</w:t>
      </w:r>
      <w:r>
        <w:rPr>
          <w:rFonts w:hint="eastAsia" w:ascii="Times New Roman" w:hAnsi="Times New Roman"/>
          <w:b w:val="0"/>
          <w:bCs w:val="0"/>
          <w:color w:val="auto"/>
          <w:sz w:val="24"/>
          <w:szCs w:val="24"/>
          <w:highlight w:val="none"/>
          <w:u w:val="single"/>
          <w:lang w:val="en-US" w:eastAsia="zh-CN"/>
        </w:rPr>
        <w:t xml:space="preserve">              元</w:t>
      </w:r>
      <w:r>
        <w:rPr>
          <w:rFonts w:hint="eastAsia" w:ascii="Times New Roman" w:hAnsi="Times New Roman"/>
          <w:b w:val="0"/>
          <w:bCs w:val="0"/>
          <w:color w:val="auto"/>
          <w:sz w:val="24"/>
          <w:szCs w:val="24"/>
          <w:highlight w:val="none"/>
          <w:u w:val="none"/>
          <w:lang w:eastAsia="zh-CN"/>
        </w:rPr>
        <w:t xml:space="preserve">）</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甲方承担的工作和义务为：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 </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乙方承担的工作和义务为：</w:t>
      </w:r>
      <w:r>
        <w:rPr>
          <w:rFonts w:ascii="Times New Roman" w:hAnsi="Times New Roman"/>
          <w:color w:val="auto"/>
          <w:sz w:val="24"/>
          <w:szCs w:val="24"/>
          <w:highlight w:val="none"/>
          <w:u w:val="single"/>
        </w:rPr>
        <w:t xml:space="preserve">                                               </w:t>
      </w:r>
      <w:r>
        <w:rPr>
          <w:rFonts w:ascii="Times New Roman" w:hAnsi="Times New Roman"/>
          <w:b/>
          <w:bCs/>
          <w:color w:val="auto"/>
          <w:sz w:val="24"/>
          <w:szCs w:val="24"/>
          <w:highlight w:val="none"/>
        </w:rPr>
        <w:t xml:space="preserve">  </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小微型企业（残疾人福利单位、监狱企业）的合同份额占到合同总金额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五、有关本次协议分包投标的其他事宜：</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六、本协议提交招标方后，协议分包投标各方不得以任何形式对上述实质内容进行修改或撤销。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份，签约各方各持一份，中标后交采购人一份备案。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   （公章）                    乙方单位：   （公章）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法定代表人（负责人）：（签章）           法定代表人（负责人）：（签章）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440" w:lineRule="exact"/>
        <w:tabs>
          <w:tab w:val="left" w:pos="46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注：分包协议书须由协议分包各方法定代表人签字或盖章，并加盖协议分包各方公章，否则按无效投标处理。</w:t>
      </w:r>
      <w:r/>
    </w:p>
    <w:p>
      <w:pPr>
        <w:pStyle w:val="1048"/>
        <w:spacing w:before="240" w:after="240"/>
        <w:rPr>
          <w:rFonts w:eastAsia="宋体"/>
          <w:color w:val="auto"/>
          <w:highlight w:val="none"/>
        </w:rPr>
      </w:pPr>
      <w:r>
        <w:rPr>
          <w:rFonts w:eastAsia="宋体"/>
          <w:color w:val="auto"/>
          <w:highlight w:val="none"/>
        </w:rPr>
      </w:r>
      <w:r/>
    </w:p>
    <w:p>
      <w:pPr>
        <w:pStyle w:val="1021"/>
        <w:ind w:firstLine="482"/>
        <w:rPr>
          <w:rFonts w:eastAsia="宋体"/>
          <w:color w:val="auto"/>
          <w:highlight w:val="none"/>
        </w:rPr>
        <w:outlineLvl w:val="1"/>
      </w:pPr>
      <w:r>
        <w:rPr>
          <w:rFonts w:eastAsia="宋体"/>
          <w:color w:val="auto"/>
          <w:highlight w:val="none"/>
        </w:rPr>
        <w:br w:type="page" w:clear="all"/>
      </w:r>
      <w:r/>
    </w:p>
    <w:p>
      <w:pPr>
        <w:pStyle w:val="1093"/>
        <w:jc w:val="left"/>
        <w:spacing w:before="320" w:after="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中小企业声明函（服务） </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 (财库〔2020〕46号)的规定，本公司参加</w:t>
      </w:r>
      <w:r>
        <w:rPr>
          <w:rFonts w:hint="eastAsia" w:ascii="宋体" w:hAnsi="宋体" w:eastAsia="宋体" w:cs="宋体"/>
          <w:color w:val="auto"/>
          <w:sz w:val="24"/>
          <w:szCs w:val="24"/>
          <w:highlight w:val="none"/>
          <w:u w:val="single"/>
        </w:rPr>
        <w:t xml:space="preserve">   （单位名称）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1093"/>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pStyle w:val="1093"/>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pStyle w:val="1093"/>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1093"/>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093"/>
        <w:ind w:firstLine="480"/>
        <w:jc w:val="left"/>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rPr>
        <w:t xml:space="preserve">服务类项目中供应商若使用退休人员，将不享受相应扶持政策。</w:t>
      </w:r>
      <w:r/>
    </w:p>
    <w:p>
      <w:pPr>
        <w:pStyle w:val="1093"/>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3.涉及多个采购标的的项目，供应商应当</w:t>
      </w:r>
      <w:r>
        <w:rPr>
          <w:rFonts w:hint="eastAsia" w:ascii="宋体" w:hAnsi="宋体" w:eastAsia="宋体" w:cs="宋体"/>
          <w:b/>
          <w:bCs/>
          <w:color w:val="auto"/>
          <w:sz w:val="24"/>
          <w:szCs w:val="24"/>
          <w:highlight w:val="none"/>
        </w:rPr>
        <w:t xml:space="preserve">逐一填报与采购项目属性一致的每个采购标的</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主要采购标的，不包括配件、辅料等</w:t>
      </w:r>
      <w:r>
        <w:rPr>
          <w:rFonts w:hint="eastAsia" w:ascii="宋体" w:hAnsi="宋体" w:eastAsia="宋体" w:cs="宋体"/>
          <w:color w:val="auto"/>
          <w:sz w:val="24"/>
          <w:szCs w:val="24"/>
          <w:highlight w:val="none"/>
        </w:rPr>
        <w:t xml:space="preserve">）的制造商或者承建（承接）供应商信息。</w:t>
      </w:r>
      <w:r/>
    </w:p>
    <w:p>
      <w:pPr>
        <w:pStyle w:val="1093"/>
        <w:ind w:firstLine="480"/>
        <w:jc w:val="left"/>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4.采用合同分包形式投标的，还需提供分包商的中小企业申明函。</w:t>
      </w:r>
      <w:r/>
    </w:p>
    <w:p>
      <w:pPr>
        <w:pStyle w:val="1093"/>
        <w:ind w:firstLine="48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5.本项目所属行业：其他未列明行业。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附：中小企业划型标准规定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3"/>
        <w:jc w:val="left"/>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093"/>
        <w:jc w:val="both"/>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ascii="宋体" w:hAnsi="宋体" w:eastAsia="宋体" w:cs="宋体"/>
          <w:color w:val="auto"/>
          <w:highlight w:val="none"/>
        </w:rPr>
      </w:pPr>
      <w:r>
        <w:rPr>
          <w:rFonts w:ascii="宋体" w:hAnsi="宋体" w:eastAsia="宋体" w:cs="宋体"/>
          <w:color w:val="auto"/>
          <w:highlight w:val="none"/>
        </w:rPr>
      </w:r>
      <w:r/>
    </w:p>
    <w:p>
      <w:pPr>
        <w:pStyle w:val="1008"/>
        <w:jc w:val="center"/>
        <w:spacing w:before="320" w:after="320"/>
        <w:rPr>
          <w:rFonts w:hint="eastAsia" w:ascii="宋体" w:hAnsi="宋体" w:eastAsia="宋体" w:cs="宋体"/>
          <w:color w:val="auto"/>
          <w:highlight w:val="none"/>
        </w:rPr>
      </w:pPr>
      <w:r>
        <w:rPr>
          <w:rFonts w:ascii="宋体" w:hAnsi="宋体" w:eastAsia="宋体" w:cs="宋体"/>
          <w:color w:val="auto"/>
          <w:highlight w:val="none"/>
        </w:rPr>
        <w:t xml:space="preserve">﻿ 残疾人福利性单位声明函</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ascii="宋体" w:hAnsi="宋体" w:eastAsia="宋体" w:cs="宋体"/>
          <w:color w:val="auto"/>
          <w:highlight w:val="none"/>
          <w:u w:val="none"/>
        </w:rPr>
        <w:t xml:space="preserve">项目</w:t>
      </w:r>
      <w:r>
        <w:rPr>
          <w:rFonts w:ascii="宋体" w:hAnsi="宋体" w:eastAsia="宋体" w:cs="宋体"/>
          <w:color w:val="auto"/>
          <w:highlight w:val="none"/>
        </w:rPr>
        <w:t xml:space="preserve">采购活动提供本单位制造的货物（由本单位承担工程/提供服务），或者提供其他残疾人福利性单位制造的货物（不包括使用非残疾人福利性单位注册商标的货物）。 </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008"/>
        <w:jc w:val="center"/>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单位名称（盖章）：   </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日期：   </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008"/>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033"/>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w:t>
      </w:r>
      <w:r/>
    </w:p>
    <w:p>
      <w:pPr>
        <w:pStyle w:val="1037"/>
        <w:jc w:val="center"/>
        <w:rPr>
          <w:color w:val="auto"/>
          <w:sz w:val="24"/>
          <w:szCs w:val="24"/>
          <w:highlight w:val="none"/>
        </w:rPr>
      </w:pPr>
      <w:r>
        <w:rPr>
          <w:rFonts w:hint="eastAsia"/>
          <w:color w:val="auto"/>
          <w:sz w:val="24"/>
          <w:szCs w:val="24"/>
          <w:highlight w:val="none"/>
        </w:rPr>
        <w:t xml:space="preserve">监狱企业的证明文件</w:t>
      </w:r>
      <w:r/>
    </w:p>
    <w:p>
      <w:pPr>
        <w:pStyle w:val="1037"/>
        <w:rPr>
          <w:rFonts w:hint="eastAsia" w:ascii="等线" w:hAnsi="等线" w:eastAsia="等线"/>
          <w:color w:val="auto"/>
          <w:sz w:val="24"/>
          <w:szCs w:val="24"/>
          <w:highlight w:val="none"/>
        </w:rPr>
      </w:pPr>
      <w:r>
        <w:rPr>
          <w:rFonts w:hint="eastAsia" w:ascii="等线" w:hAnsi="等线" w:eastAsia="等线"/>
          <w:color w:val="auto"/>
          <w:sz w:val="24"/>
          <w:szCs w:val="24"/>
          <w:highlight w:val="none"/>
        </w:rPr>
      </w:r>
      <w:r/>
    </w:p>
    <w:p>
      <w:pPr>
        <w:pStyle w:val="1037"/>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37"/>
        <w:rPr>
          <w:rFonts w:hint="eastAsia" w:ascii="等线" w:hAnsi="等线" w:eastAsia="等线"/>
          <w:color w:val="auto"/>
          <w:highlight w:val="none"/>
        </w:rPr>
      </w:pPr>
      <w:r>
        <w:rPr>
          <w:rFonts w:hint="eastAsia" w:ascii="等线" w:hAnsi="等线" w:eastAsia="等线"/>
          <w:color w:val="auto"/>
          <w:highlight w:val="none"/>
        </w:rPr>
        <w:t xml:space="preserve">      </w:t>
      </w:r>
      <w:r/>
    </w:p>
    <w:p>
      <w:pPr>
        <w:pStyle w:val="1037"/>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037"/>
        <w:rPr>
          <w:rFonts w:hint="eastAsia" w:ascii="等线" w:hAnsi="等线" w:eastAsia="等线"/>
          <w:color w:val="auto"/>
          <w:highlight w:val="none"/>
        </w:rPr>
      </w:pPr>
      <w:r>
        <w:rPr>
          <w:rFonts w:hint="eastAsia" w:ascii="等线" w:hAnsi="等线" w:eastAsia="等线"/>
          <w:color w:val="auto"/>
          <w:highlight w:val="none"/>
        </w:rPr>
      </w:r>
      <w:r/>
    </w:p>
    <w:p>
      <w:pPr>
        <w:pStyle w:val="1037"/>
        <w:rPr>
          <w:color w:val="auto"/>
          <w:highlight w:val="none"/>
        </w:rPr>
      </w:pPr>
      <w:r>
        <w:rPr>
          <w:rFonts w:hint="eastAsia"/>
          <w:color w:val="auto"/>
          <w:highlight w:val="none"/>
        </w:rPr>
        <w:t xml:space="preserve"> </w:t>
      </w:r>
      <w:r/>
    </w:p>
    <w:p>
      <w:pPr>
        <w:spacing w:line="360" w:lineRule="auto"/>
        <w:rPr>
          <w:rFonts w:hint="eastAsia" w:ascii="宋体" w:hAnsi="宋体"/>
          <w:b/>
          <w:bCs/>
          <w:color w:val="auto"/>
          <w:sz w:val="20"/>
          <w:szCs w:val="32"/>
          <w:highlight w:val="none"/>
        </w:rPr>
      </w:pPr>
      <w:r>
        <w:rPr>
          <w:rFonts w:hint="eastAsia" w:ascii="宋体" w:hAnsi="宋体"/>
          <w:b/>
          <w:bCs/>
          <w:color w:val="auto"/>
          <w:sz w:val="20"/>
          <w:szCs w:val="32"/>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1038"/>
        <w:rPr>
          <w:rStyle w:val="983"/>
          <w:rFonts w:hint="eastAsia" w:ascii="宋体" w:hAnsi="宋体" w:eastAsia="宋体" w:cs="宋体"/>
          <w:b/>
          <w:color w:val="auto"/>
          <w:highlight w:val="none"/>
        </w:rPr>
        <w:outlineLvl w:val="1"/>
      </w:pPr>
      <w:r/>
      <w:bookmarkStart w:id="210" w:name="_Toc23645"/>
      <w:r/>
      <w:bookmarkStart w:id="211" w:name="_Toc5189"/>
      <w:r/>
      <w:bookmarkStart w:id="212" w:name="_Toc256000019"/>
      <w:r/>
      <w:r/>
    </w:p>
    <w:p>
      <w:pPr>
        <w:pStyle w:val="1038"/>
        <w:rPr>
          <w:rStyle w:val="983"/>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1038"/>
        <w:rPr>
          <w:rStyle w:val="983"/>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1038"/>
        <w:rPr>
          <w:rStyle w:val="983"/>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1038"/>
        <w:rPr>
          <w:rStyle w:val="983"/>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1038"/>
        <w:rPr>
          <w:rStyle w:val="983"/>
          <w:rFonts w:hint="eastAsia" w:ascii="宋体" w:hAnsi="宋体" w:eastAsia="宋体" w:cs="宋体"/>
          <w:b/>
          <w:color w:val="auto"/>
          <w:highlight w:val="none"/>
        </w:rPr>
        <w:outlineLvl w:val="1"/>
      </w:pPr>
      <w:r>
        <w:rPr>
          <w:rFonts w:hint="eastAsia" w:ascii="宋体" w:hAnsi="宋体" w:eastAsia="宋体" w:cs="宋体"/>
          <w:b/>
          <w:color w:val="auto"/>
          <w:highlight w:val="none"/>
        </w:rPr>
      </w:r>
      <w:r/>
    </w:p>
    <w:p>
      <w:pPr>
        <w:pStyle w:val="1038"/>
        <w:rPr>
          <w:rStyle w:val="983"/>
          <w:rFonts w:hint="eastAsia" w:ascii="宋体" w:hAnsi="宋体" w:eastAsia="宋体" w:cs="宋体"/>
          <w:color w:val="auto"/>
          <w:highlight w:val="none"/>
        </w:rPr>
        <w:outlineLvl w:val="1"/>
      </w:pPr>
      <w:r>
        <w:rPr>
          <w:rStyle w:val="983"/>
          <w:rFonts w:hint="eastAsia" w:ascii="宋体" w:hAnsi="宋体" w:eastAsia="宋体" w:cs="宋体"/>
          <w:b/>
          <w:color w:val="auto"/>
          <w:highlight w:val="none"/>
        </w:rPr>
        <w:t xml:space="preserve">五、符合性条款响应及偏离表</w:t>
      </w:r>
      <w:bookmarkEnd w:id="210"/>
      <w:r/>
      <w:bookmarkEnd w:id="211"/>
      <w:r/>
      <w:bookmarkEnd w:id="212"/>
      <w:r/>
      <w:r/>
    </w:p>
    <w:p>
      <w:pPr>
        <w:pStyle w:val="1086"/>
        <w:jc w:val="center"/>
        <w:spacing w:before="320" w:after="320" w:line="300" w:lineRule="auto"/>
        <w:rPr>
          <w:rStyle w:val="983"/>
          <w:rFonts w:hint="eastAsia" w:ascii="宋体" w:hAnsi="宋体" w:eastAsia="宋体" w:cs="宋体"/>
          <w:b/>
          <w:bCs/>
          <w:color w:val="auto"/>
          <w:highlight w:val="none"/>
        </w:rPr>
      </w:pPr>
      <w:r>
        <w:rPr>
          <w:rStyle w:val="983"/>
          <w:rFonts w:hint="eastAsia" w:ascii="宋体" w:hAnsi="宋体" w:eastAsia="宋体" w:cs="宋体"/>
          <w:b/>
          <w:bCs/>
          <w:color w:val="auto"/>
          <w:highlight w:val="none"/>
        </w:rPr>
        <w:t xml:space="preserve">符合性条款响应及偏离表 </w:t>
      </w:r>
      <w:r/>
    </w:p>
    <w:p>
      <w:pPr>
        <w:pStyle w:val="1086"/>
        <w:spacing w:before="240" w:after="240"/>
        <w:rPr>
          <w:rStyle w:val="983"/>
          <w:rFonts w:hint="eastAsia" w:ascii="宋体" w:hAnsi="宋体" w:eastAsia="宋体" w:cs="宋体"/>
          <w:color w:val="auto"/>
          <w:highlight w:val="none"/>
        </w:rPr>
      </w:pPr>
      <w:r>
        <w:rPr>
          <w:rStyle w:val="983"/>
          <w:rFonts w:ascii="宋体" w:hAnsi="宋体" w:eastAsia="宋体" w:cs="宋体"/>
          <w:color w:val="auto"/>
          <w:highlight w:val="none"/>
        </w:rPr>
        <w:t xml:space="preserve">  </w:t>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1、技术要求的实质性格式</w:t>
      </w:r>
      <w:r>
        <w:rPr>
          <w:rFonts w:ascii="宋体" w:hAnsi="宋体" w:eastAsia="宋体" w:cs="宋体"/>
          <w:b/>
          <w:bCs/>
          <w:color w:val="auto"/>
          <w:highlight w:val="none"/>
        </w:rPr>
        <w:t xml:space="preserve"> </w:t>
      </w:r>
      <w:r/>
    </w:p>
    <w:tbl>
      <w:tblPr>
        <w:tblStyle w:val="792"/>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682"/>
        <w:gridCol w:w="1170"/>
        <w:gridCol w:w="1295"/>
      </w:tblGrid>
      <w:tr>
        <w:trPr>
          <w:trHeight w:val="686"/>
        </w:trPr>
        <w:tc>
          <w:tcPr>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82"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081"/>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6682" w:type="dxa"/>
            <w:vAlign w:val="center"/>
            <w:textDirection w:val="lrTb"/>
            <w:noWrap w:val="false"/>
          </w:tcPr>
          <w:p>
            <w:pPr>
              <w:pStyle w:val="1001"/>
              <w:jc w:val="left"/>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服务内容：</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1、保洁区域内所有道路（机动车、非机动车道、人行道板）清扫保洁、路面冲洗、洒水除尘；</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2、保洁区域内道路两侧绿化带、道路中间绿化隔离带、绿化景点垃圾捡拾及清理；</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3、保洁区域内所有公交候车亭（牌）保洁及站台、道路两侧小广告（乱涂、乱写、乱贴）的清除；</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4、保洁区域所有垃圾的分类督导及收集清运处置；</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5、保洁区域内产生的建筑装潢垃圾及路面零散建筑装潢垃圾的清运处置；</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6、对保洁区域内所有企业产生的生活垃圾每天分类督导、清运处置；</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7、保洁区域内的病媒防制工作；</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8、镇</w:t>
            </w:r>
            <w:r>
              <w:rPr>
                <w:rFonts w:hint="eastAsia" w:ascii="宋体" w:hAnsi="宋体" w:eastAsia="宋体" w:cs="宋体"/>
                <w:i/>
                <w:iCs/>
                <w:color w:val="auto"/>
                <w:highlight w:val="none"/>
                <w:u w:val="single"/>
                <w:lang w:val="en-US" w:eastAsia="zh-CN"/>
              </w:rPr>
              <w:t xml:space="preserve">环卫工作</w:t>
            </w:r>
            <w:r>
              <w:rPr>
                <w:rFonts w:hint="eastAsia" w:ascii="宋体" w:hAnsi="宋体" w:eastAsia="宋体" w:cs="宋体"/>
                <w:i/>
                <w:iCs/>
                <w:color w:val="auto"/>
                <w:highlight w:val="none"/>
                <w:u w:val="single"/>
                <w:lang w:eastAsia="zh-CN"/>
              </w:rPr>
              <w:t xml:space="preserve">站</w:t>
            </w:r>
            <w:r>
              <w:rPr>
                <w:rFonts w:hint="eastAsia" w:ascii="宋体" w:hAnsi="宋体" w:eastAsia="宋体" w:cs="宋体"/>
                <w:i/>
                <w:iCs/>
                <w:color w:val="auto"/>
                <w:highlight w:val="none"/>
                <w:u w:val="single"/>
                <w:lang w:val="en-US" w:eastAsia="zh-CN"/>
              </w:rPr>
              <w:t xml:space="preserve">的</w:t>
            </w:r>
            <w:r>
              <w:rPr>
                <w:rFonts w:hint="eastAsia" w:ascii="宋体" w:hAnsi="宋体" w:eastAsia="宋体" w:cs="宋体"/>
                <w:i/>
                <w:iCs/>
                <w:color w:val="auto"/>
                <w:highlight w:val="none"/>
                <w:u w:val="single"/>
                <w:lang w:eastAsia="zh-CN"/>
              </w:rPr>
              <w:t xml:space="preserve">管理运行和维护；</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9、镇农林废弃物处置中心管理；</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10、镇区</w:t>
            </w:r>
            <w:r>
              <w:rPr>
                <w:rFonts w:hint="eastAsia" w:ascii="宋体" w:hAnsi="宋体" w:eastAsia="宋体" w:cs="宋体"/>
                <w:i/>
                <w:iCs/>
                <w:color w:val="auto"/>
                <w:highlight w:val="none"/>
                <w:u w:val="single"/>
                <w:lang w:val="en-US" w:eastAsia="zh-CN"/>
              </w:rPr>
              <w:t xml:space="preserve">12座</w:t>
            </w:r>
            <w:r>
              <w:rPr>
                <w:rFonts w:hint="eastAsia" w:ascii="宋体" w:hAnsi="宋体" w:eastAsia="宋体" w:cs="宋体"/>
                <w:i/>
                <w:iCs/>
                <w:color w:val="auto"/>
                <w:highlight w:val="none"/>
                <w:u w:val="single"/>
                <w:lang w:eastAsia="zh-CN"/>
              </w:rPr>
              <w:t xml:space="preserve">公厕、永联片区</w:t>
            </w:r>
            <w:r>
              <w:rPr>
                <w:rFonts w:hint="eastAsia" w:ascii="宋体" w:hAnsi="宋体" w:eastAsia="宋体" w:cs="宋体"/>
                <w:i/>
                <w:iCs/>
                <w:color w:val="auto"/>
                <w:highlight w:val="none"/>
                <w:u w:val="single"/>
                <w:lang w:val="en-US" w:eastAsia="zh-CN"/>
              </w:rPr>
              <w:t xml:space="preserve">3</w:t>
            </w:r>
            <w:r>
              <w:rPr>
                <w:rFonts w:hint="eastAsia" w:ascii="宋体" w:hAnsi="宋体" w:eastAsia="宋体" w:cs="宋体"/>
                <w:i/>
                <w:iCs/>
                <w:color w:val="auto"/>
                <w:highlight w:val="none"/>
                <w:u w:val="single"/>
                <w:lang w:eastAsia="zh-CN"/>
              </w:rPr>
              <w:t xml:space="preserve">座公厕、东沙片区3座公厕管理运行</w:t>
            </w:r>
            <w:r>
              <w:rPr>
                <w:rFonts w:hint="eastAsia" w:ascii="宋体" w:hAnsi="宋体" w:eastAsia="宋体" w:cs="宋体"/>
                <w:i/>
                <w:iCs/>
                <w:color w:val="auto"/>
                <w:highlight w:val="none"/>
                <w:u w:val="single"/>
                <w:lang w:val="en-US" w:eastAsia="zh-CN"/>
              </w:rPr>
              <w:t xml:space="preserve">维护</w:t>
            </w:r>
            <w:r>
              <w:rPr>
                <w:rFonts w:hint="eastAsia" w:ascii="宋体" w:hAnsi="宋体" w:eastAsia="宋体" w:cs="宋体"/>
                <w:i/>
                <w:iCs/>
                <w:color w:val="auto"/>
                <w:highlight w:val="none"/>
                <w:u w:val="single"/>
                <w:lang w:eastAsia="zh-CN"/>
              </w:rPr>
              <w:t xml:space="preserve">；</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11、沿街餐饮门店餐厨垃圾上门收运；</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12、</w:t>
            </w:r>
            <w:r>
              <w:rPr>
                <w:rFonts w:hint="eastAsia" w:ascii="宋体" w:hAnsi="宋体" w:eastAsia="宋体" w:cs="宋体"/>
                <w:i/>
                <w:iCs/>
                <w:color w:val="auto"/>
                <w:highlight w:val="none"/>
                <w:u w:val="single"/>
                <w:lang w:val="en-US" w:eastAsia="zh-CN"/>
              </w:rPr>
              <w:t xml:space="preserve">无条件配合</w:t>
            </w:r>
            <w:r>
              <w:rPr>
                <w:rFonts w:hint="eastAsia" w:ascii="宋体" w:hAnsi="宋体" w:eastAsia="宋体" w:cs="宋体"/>
                <w:i/>
                <w:iCs/>
                <w:color w:val="auto"/>
                <w:highlight w:val="none"/>
                <w:u w:val="single"/>
                <w:lang w:eastAsia="zh-CN"/>
              </w:rPr>
              <w:t xml:space="preserve">镇区内突发性、临时性的有关环境卫生保洁相关应急</w:t>
            </w:r>
            <w:r>
              <w:rPr>
                <w:rFonts w:hint="eastAsia" w:ascii="宋体" w:hAnsi="宋体" w:eastAsia="宋体" w:cs="宋体"/>
                <w:i/>
                <w:iCs/>
                <w:color w:val="auto"/>
                <w:highlight w:val="none"/>
                <w:u w:val="single"/>
                <w:lang w:val="en-US" w:eastAsia="zh-CN"/>
              </w:rPr>
              <w:t xml:space="preserve">、</w:t>
            </w:r>
            <w:r>
              <w:rPr>
                <w:rFonts w:hint="eastAsia" w:ascii="宋体" w:hAnsi="宋体" w:eastAsia="宋体" w:cs="宋体"/>
                <w:i/>
                <w:iCs/>
                <w:color w:val="auto"/>
                <w:highlight w:val="none"/>
                <w:u w:val="single"/>
                <w:lang w:eastAsia="zh-CN"/>
              </w:rPr>
              <w:t xml:space="preserve">保障工作；</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13、全镇有害垃圾及时送至暂存点，处置、管理并按要求做好相关</w:t>
            </w:r>
            <w:r>
              <w:rPr>
                <w:rFonts w:hint="eastAsia" w:ascii="宋体" w:hAnsi="宋体" w:eastAsia="宋体" w:cs="宋体"/>
                <w:i/>
                <w:iCs/>
                <w:color w:val="auto"/>
                <w:highlight w:val="none"/>
                <w:u w:val="single"/>
                <w:lang w:val="en-US" w:eastAsia="zh-CN"/>
              </w:rPr>
              <w:t xml:space="preserve">台账</w:t>
            </w:r>
            <w:r>
              <w:rPr>
                <w:rFonts w:hint="eastAsia" w:ascii="宋体" w:hAnsi="宋体" w:eastAsia="宋体" w:cs="宋体"/>
                <w:i/>
                <w:iCs/>
                <w:color w:val="auto"/>
                <w:highlight w:val="none"/>
                <w:u w:val="single"/>
                <w:lang w:eastAsia="zh-CN"/>
              </w:rPr>
              <w:t xml:space="preserve">；</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14、保洁区域内产生大件垃圾及时清运、处置，按要求做好相关</w:t>
            </w:r>
            <w:r>
              <w:rPr>
                <w:rFonts w:hint="eastAsia" w:ascii="宋体" w:hAnsi="宋体" w:eastAsia="宋体" w:cs="宋体"/>
                <w:i/>
                <w:iCs/>
                <w:color w:val="auto"/>
                <w:highlight w:val="none"/>
                <w:u w:val="single"/>
                <w:lang w:val="en-US" w:eastAsia="zh-CN"/>
              </w:rPr>
              <w:t xml:space="preserve">台账</w:t>
            </w:r>
            <w:r>
              <w:rPr>
                <w:rFonts w:hint="eastAsia" w:ascii="宋体" w:hAnsi="宋体" w:eastAsia="宋体" w:cs="宋体"/>
                <w:i/>
                <w:iCs/>
                <w:color w:val="auto"/>
                <w:highlight w:val="none"/>
                <w:u w:val="single"/>
                <w:lang w:eastAsia="zh-CN"/>
              </w:rPr>
              <w:t xml:space="preserve">；</w:t>
            </w:r>
            <w:r/>
          </w:p>
          <w:p>
            <w:pPr>
              <w:pStyle w:val="1001"/>
              <w:jc w:val="lef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15、按照上级要求做好环卫安全、演练等安全培训和相关台账；</w:t>
            </w:r>
            <w:r/>
          </w:p>
          <w:p>
            <w:pPr>
              <w:pStyle w:val="1001"/>
              <w:jc w:val="left"/>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eastAsia="zh-CN"/>
              </w:rPr>
              <w:t xml:space="preserve">1</w:t>
            </w:r>
            <w:r>
              <w:rPr>
                <w:rFonts w:hint="eastAsia" w:ascii="宋体" w:hAnsi="宋体" w:eastAsia="宋体" w:cs="宋体"/>
                <w:i/>
                <w:iCs/>
                <w:color w:val="auto"/>
                <w:highlight w:val="none"/>
                <w:u w:val="single"/>
                <w:lang w:val="en-US" w:eastAsia="zh-CN"/>
              </w:rPr>
              <w:t xml:space="preserve">6</w:t>
            </w:r>
            <w:r>
              <w:rPr>
                <w:rFonts w:hint="eastAsia" w:ascii="宋体" w:hAnsi="宋体" w:eastAsia="宋体" w:cs="宋体"/>
                <w:i/>
                <w:iCs/>
                <w:color w:val="auto"/>
                <w:highlight w:val="none"/>
                <w:u w:val="single"/>
                <w:lang w:eastAsia="zh-CN"/>
              </w:rPr>
              <w:t xml:space="preserve">、规范运行</w:t>
            </w:r>
            <w:r>
              <w:rPr>
                <w:rFonts w:hint="eastAsia" w:ascii="宋体" w:hAnsi="宋体" w:eastAsia="宋体" w:cs="宋体"/>
                <w:i/>
                <w:iCs/>
                <w:color w:val="auto"/>
                <w:highlight w:val="none"/>
                <w:u w:val="single"/>
                <w:lang w:val="en-US" w:eastAsia="zh-CN"/>
              </w:rPr>
              <w:t xml:space="preserve">可回收物分拣中心</w:t>
            </w:r>
            <w:r>
              <w:rPr>
                <w:rFonts w:hint="eastAsia" w:ascii="宋体" w:hAnsi="宋体" w:eastAsia="宋体" w:cs="宋体"/>
                <w:i/>
                <w:iCs/>
                <w:color w:val="auto"/>
                <w:highlight w:val="none"/>
                <w:u w:val="single"/>
                <w:lang w:eastAsia="zh-CN"/>
              </w:rPr>
              <w:t xml:space="preserve">，按要求配备人员、车辆，确保辖区内可回收垃圾及时收运处</w:t>
            </w:r>
            <w:r>
              <w:rPr>
                <w:rFonts w:hint="eastAsia" w:ascii="宋体" w:hAnsi="宋体" w:eastAsia="宋体" w:cs="宋体"/>
                <w:i/>
                <w:iCs/>
                <w:color w:val="auto"/>
                <w:highlight w:val="none"/>
                <w:u w:val="single"/>
                <w:lang w:val="en-US" w:eastAsia="zh-CN"/>
              </w:rPr>
              <w:t xml:space="preserve">置</w:t>
            </w:r>
            <w:r>
              <w:rPr>
                <w:rFonts w:hint="eastAsia" w:ascii="宋体" w:hAnsi="宋体" w:eastAsia="宋体" w:cs="宋体"/>
                <w:i/>
                <w:iCs/>
                <w:color w:val="auto"/>
                <w:highlight w:val="none"/>
                <w:u w:val="single"/>
                <w:lang w:eastAsia="zh-CN"/>
              </w:rPr>
              <w:t xml:space="preserve">。</w:t>
            </w:r>
            <w:r/>
          </w:p>
          <w:p>
            <w:pPr>
              <w:pStyle w:val="1001"/>
              <w:jc w:val="lef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17、做好项目区域内环卫设施、场所等氛围布置的新增和更换，定期巡查，发现损坏、缺失等情况应及时修复。</w:t>
            </w:r>
            <w:r/>
          </w:p>
          <w:p>
            <w:pPr>
              <w:pStyle w:val="1001"/>
              <w:jc w:val="lef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18、负责项目区域范围内各类偷倒垃圾及无主垃圾的清理、运输及处置。</w:t>
            </w:r>
            <w:r/>
          </w:p>
          <w:p>
            <w:pPr>
              <w:pStyle w:val="1047"/>
              <w:ind w:firstLine="500"/>
              <w:spacing w:line="440" w:lineRule="exact"/>
              <w:rPr>
                <w:rFonts w:hint="eastAsia" w:ascii="宋体" w:hAnsi="宋体" w:eastAsia="宋体" w:cs="宋体"/>
                <w:i/>
                <w:color w:val="auto"/>
                <w:highlight w:val="none"/>
                <w:u w:val="single"/>
              </w:rPr>
            </w:pPr>
            <w:r>
              <w:rPr>
                <w:rFonts w:hint="eastAsia" w:ascii="宋体" w:hAnsi="宋体" w:eastAsia="宋体" w:cs="宋体"/>
                <w:i/>
                <w:iCs/>
                <w:color w:val="auto"/>
                <w:highlight w:val="none"/>
                <w:u w:val="single"/>
                <w:lang w:val="en-US" w:eastAsia="zh-CN"/>
              </w:rPr>
              <w:t xml:space="preserve">19、服务内容包括但不限于上述内容，如项目区域内出现其他属于环境卫生保洁范畴但文件中未列明的内容，投标人在投标时应做相应的风险预测，报价时予以充分考虑。在中标后需要无条件服务采购人安排的工作内容，且采购人不再另行支付服务费。</w:t>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6682" w:type="dxa"/>
            <w:vAlign w:val="center"/>
            <w:textDirection w:val="lrTb"/>
            <w:noWrap w:val="false"/>
          </w:tcPr>
          <w:p>
            <w:pPr>
              <w:pStyle w:val="1047"/>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3、渗滤液处理中心运行和维护要求</w:t>
            </w:r>
            <w:r/>
          </w:p>
          <w:p>
            <w:pPr>
              <w:pStyle w:val="1047"/>
              <w:spacing w:line="440" w:lineRule="exact"/>
              <w:rPr>
                <w:rFonts w:hint="eastAsia" w:ascii="宋体" w:hAnsi="宋体" w:eastAsia="宋体" w:cs="宋体"/>
                <w:color w:val="auto"/>
                <w:highlight w:val="none"/>
              </w:rPr>
            </w:pPr>
            <w:r>
              <w:rPr>
                <w:rFonts w:hint="eastAsia" w:ascii="宋体" w:hAnsi="宋体" w:eastAsia="宋体" w:cs="宋体"/>
                <w:i/>
                <w:iCs/>
                <w:color w:val="auto"/>
                <w:highlight w:val="none"/>
                <w:u w:val="single"/>
                <w:lang w:val="en-US" w:eastAsia="zh-CN"/>
              </w:rPr>
              <w:t xml:space="preserve">3.1渗滤液处理</w:t>
            </w:r>
            <w:r>
              <w:rPr>
                <w:rFonts w:hint="eastAsia" w:ascii="宋体" w:hAnsi="宋体" w:eastAsia="宋体" w:cs="宋体"/>
                <w:i/>
                <w:iCs/>
                <w:color w:val="auto"/>
                <w:highlight w:val="none"/>
                <w:u w:val="single"/>
              </w:rPr>
              <w:t xml:space="preserve">服务方应具有相应资质</w:t>
            </w:r>
            <w:r>
              <w:rPr>
                <w:rFonts w:hint="eastAsia" w:ascii="宋体" w:hAnsi="宋体" w:eastAsia="宋体" w:cs="宋体"/>
                <w:i/>
                <w:iCs/>
                <w:color w:val="auto"/>
                <w:highlight w:val="none"/>
                <w:u w:val="single"/>
                <w:lang w:val="en-US" w:eastAsia="zh-CN"/>
              </w:rPr>
              <w:t xml:space="preserve">以确保正常运维水质在线监测设备，按照有关规定进行日常检验以确保渗滤液处理后达到《污水排入城市下水道水质标准》GB/T31962-2015，A级指标排放标准。水质检测方法按国家相关规范和标准执行，检测结果应登记存档。每季度抽取一次水样送至具有相关资质的水质检测机构进行检测。</w:t>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682" w:type="dxa"/>
            <w:vAlign w:val="center"/>
            <w:textDirection w:val="lrTb"/>
            <w:noWrap w:val="false"/>
          </w:tcPr>
          <w:p>
            <w:pPr>
              <w:pStyle w:val="1001"/>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人员配备及设施配备要求</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注：投标单位需接受采购方原环卫未退休剩余34人员安排方案。总体工资待遇合计不少于267.92万元/年，此部分为不可竞争报价，投标人在投标报价时应一并考虑。</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（一）人员要求：</w:t>
            </w:r>
            <w:r>
              <w:rPr>
                <w:rFonts w:hint="eastAsia" w:ascii="宋体" w:hAnsi="宋体" w:eastAsia="宋体" w:cs="宋体"/>
                <w:i/>
                <w:iCs/>
                <w:color w:val="auto"/>
                <w:highlight w:val="none"/>
                <w:u w:val="single"/>
                <w:lang w:val="en-US" w:eastAsia="zh-CN"/>
              </w:rPr>
              <w:t xml:space="preserve">以下为最低配置且未含轮休（即工作时间为365天）。</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环卫保洁、垃圾分类：设项目经理2人，内勤1人，统计员1人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1、镇区:需配备管理员4人，保洁48人，驾驶员13人，电瓶扫地车驾驶员2人，垃圾分类流动收集督导员26人，清运工10人，中转站管理员4人，门卫2人，维修工1人。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2、老永联片区：需配备管理员2人，保洁员13人，垃圾分类流动收集督导员7人，驾驶员3人，电瓶扫地车驾驶员1人，清运工4人。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3、东沙片区：需配备管理员1人，保洁员8人，垃圾分类流动收集督导员2人，驾驶员4人，清运工4人。</w:t>
            </w:r>
            <w:r/>
          </w:p>
          <w:p>
            <w:pPr>
              <w:pStyle w:val="1001"/>
              <w:jc w:val="both"/>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4、市级道路绿化保洁：保洁员20名，驾驶员1名。</w:t>
            </w:r>
            <w:r/>
          </w:p>
          <w:p>
            <w:pPr>
              <w:pStyle w:val="1047"/>
              <w:spacing w:line="440" w:lineRule="exact"/>
              <w:rPr>
                <w:rFonts w:hint="eastAsia" w:ascii="宋体" w:hAnsi="宋体" w:eastAsia="宋体" w:cs="宋体"/>
                <w:color w:val="auto"/>
                <w:highlight w:val="none"/>
              </w:rPr>
            </w:pPr>
            <w:r>
              <w:rPr>
                <w:rFonts w:hint="eastAsia" w:ascii="宋体" w:hAnsi="宋体" w:eastAsia="宋体" w:cs="宋体"/>
                <w:i/>
                <w:iCs/>
                <w:color w:val="auto"/>
                <w:highlight w:val="none"/>
                <w:u w:val="single"/>
                <w:lang w:val="en-US" w:eastAsia="zh-CN"/>
              </w:rPr>
              <w:t xml:space="preserve">5、振兴社区：需配备管理员1名，保洁员16人，分类亭督导员2人，清运工2人。</w:t>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822"/>
        </w:trPr>
        <w:tc>
          <w:tcPr>
            <w:tcMar>
              <w:left w:w="0" w:type="dxa"/>
              <w:top w:w="0" w:type="dxa"/>
              <w:right w:w="0" w:type="dxa"/>
              <w:bottom w:w="0" w:type="dxa"/>
            </w:tcMar>
            <w:tcW w:w="613" w:type="dxa"/>
            <w:vAlign w:val="center"/>
            <w:textDirection w:val="lrTb"/>
            <w:noWrap w:val="false"/>
          </w:tcPr>
          <w:p>
            <w:pPr>
              <w:pStyle w:val="108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left w:w="0" w:type="dxa"/>
              <w:top w:w="0" w:type="dxa"/>
              <w:right w:w="0" w:type="dxa"/>
              <w:bottom w:w="0" w:type="dxa"/>
            </w:tcMar>
            <w:tcW w:w="6682" w:type="dxa"/>
            <w:vAlign w:val="center"/>
            <w:textDirection w:val="lrTb"/>
            <w:noWrap w:val="false"/>
          </w:tcPr>
          <w:p>
            <w:pPr>
              <w:spacing w:line="28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（二）设施配备要求：</w:t>
            </w:r>
            <w:r/>
          </w:p>
          <w:tbl>
            <w:tblPr>
              <w:tblStyle w:val="792"/>
              <w:tblW w:w="66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1931"/>
              <w:gridCol w:w="2008"/>
              <w:gridCol w:w="813"/>
              <w:gridCol w:w="1417"/>
            </w:tblGrid>
            <w:tr>
              <w:trPr>
                <w:jc w:val="center"/>
                <w:trHeight w:val="874"/>
                <w:tblHeader/>
              </w:trPr>
              <w:tc>
                <w:tcPr>
                  <w:shd w:val="clear" w:color="auto" w:fill="95b3d7"/>
                  <w:tcW w:w="493"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序号</w:t>
                  </w:r>
                  <w:r/>
                </w:p>
              </w:tc>
              <w:tc>
                <w:tcPr>
                  <w:shd w:val="clear" w:color="auto" w:fill="95b3d7"/>
                  <w:tcW w:w="1931"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类型</w:t>
                  </w:r>
                  <w:r/>
                </w:p>
              </w:tc>
              <w:tc>
                <w:tcPr>
                  <w:shd w:val="clear" w:color="auto" w:fill="95b3d7"/>
                  <w:tcW w:w="2008"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最低配置要求</w:t>
                  </w:r>
                  <w:r/>
                </w:p>
              </w:tc>
              <w:tc>
                <w:tcPr>
                  <w:shd w:val="clear" w:color="auto" w:fill="95b3d7"/>
                  <w:tcW w:w="813"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数量</w:t>
                  </w:r>
                  <w:r/>
                </w:p>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（辆/套）</w:t>
                  </w:r>
                  <w:r/>
                </w:p>
              </w:tc>
              <w:tc>
                <w:tcPr>
                  <w:shd w:val="clear" w:color="auto" w:fill="95b3d7"/>
                  <w:tcW w:w="1417" w:type="dxa"/>
                  <w:vAlign w:val="center"/>
                  <w:textDirection w:val="lrTb"/>
                  <w:noWrap w:val="false"/>
                </w:tcPr>
                <w:p>
                  <w:pPr>
                    <w:jc w:val="center"/>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备注</w:t>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1</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洒水车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9吨</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shd w:val="clear" w:color="auto" w:fill="auto"/>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en-US"/>
                    </w:rPr>
                    <w:outlineLvl w:val="9"/>
                  </w:pPr>
                  <w:r>
                    <w:rPr>
                      <w:rFonts w:hint="default" w:ascii="宋体" w:hAnsi="宋体" w:eastAsia="宋体" w:cs="宋体"/>
                      <w:i/>
                      <w:iCs/>
                      <w:color w:val="auto"/>
                      <w:sz w:val="24"/>
                      <w:szCs w:val="24"/>
                      <w:highlight w:val="none"/>
                      <w:u w:val="single"/>
                      <w:lang w:val="en-US" w:eastAsia="en-US"/>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2</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中型扫地车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5吨</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shd w:val="clear" w:color="auto" w:fill="auto"/>
                  <w:tcW w:w="141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en-US"/>
                    </w:rPr>
                    <w:outlineLvl w:val="9"/>
                  </w:pPr>
                  <w:r>
                    <w:rPr>
                      <w:rFonts w:hint="eastAsia" w:ascii="宋体" w:hAnsi="宋体" w:eastAsia="宋体" w:cs="宋体"/>
                      <w:i/>
                      <w:iCs/>
                      <w:color w:val="auto"/>
                      <w:sz w:val="24"/>
                      <w:szCs w:val="24"/>
                      <w:highlight w:val="none"/>
                      <w:u w:val="single"/>
                      <w:lang w:val="en-US" w:eastAsia="en-US"/>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3</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电瓶扫地车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1吨 </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shd w:val="clear" w:color="auto" w:fill="auto"/>
                  <w:tcW w:w="1417" w:type="dxa"/>
                  <w:vAlign w:val="center"/>
                  <w:textDirection w:val="lrTb"/>
                  <w:noWrap w:val="false"/>
                </w:tcPr>
                <w:p>
                  <w:pPr>
                    <w:jc w:val="both"/>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4</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电瓶三轮保洁车</w:t>
                  </w:r>
                  <w:r/>
                </w:p>
              </w:tc>
              <w:tc>
                <w:tcPr>
                  <w:tcW w:w="2008" w:type="dxa"/>
                  <w:vAlign w:val="center"/>
                  <w:textDirection w:val="lrTb"/>
                  <w:noWrap w:val="false"/>
                </w:tcPr>
                <w:p>
                  <w:pPr>
                    <w:jc w:val="left"/>
                    <w:rPr>
                      <w:rFonts w:hint="default" w:ascii="宋体" w:hAnsi="宋体" w:eastAsia="宋体" w:cs="宋体"/>
                      <w:i/>
                      <w:iCs/>
                      <w:color w:val="auto"/>
                      <w:sz w:val="24"/>
                      <w:szCs w:val="24"/>
                      <w:highlight w:val="none"/>
                      <w:u w:val="single"/>
                      <w:lang w:val="en-US"/>
                    </w:rPr>
                    <w:outlineLvl w:val="9"/>
                  </w:pPr>
                  <w:r>
                    <w:rPr>
                      <w:rFonts w:hint="eastAsia" w:ascii="宋体" w:hAnsi="宋体" w:eastAsia="宋体" w:cs="宋体"/>
                      <w:i/>
                      <w:iCs/>
                      <w:color w:val="auto"/>
                      <w:sz w:val="24"/>
                      <w:szCs w:val="24"/>
                      <w:highlight w:val="none"/>
                      <w:u w:val="single"/>
                      <w:lang w:val="en-US" w:eastAsia="zh-CN"/>
                    </w:rPr>
                    <w:t xml:space="preserve">必须安装警示装置</w:t>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90</w:t>
                  </w:r>
                  <w:r/>
                </w:p>
              </w:tc>
              <w:tc>
                <w:tcPr>
                  <w:shd w:val="clear" w:color="auto" w:fill="auto"/>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5</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沿街商铺收运车，</w:t>
                  </w:r>
                  <w:r>
                    <w:rPr>
                      <w:rFonts w:hint="eastAsia" w:ascii="宋体" w:hAnsi="宋体" w:eastAsia="宋体" w:cs="宋体"/>
                      <w:i/>
                      <w:iCs/>
                      <w:color w:val="auto"/>
                      <w:sz w:val="24"/>
                      <w:szCs w:val="24"/>
                      <w:highlight w:val="none"/>
                      <w:u w:val="single"/>
                    </w:rPr>
                    <w:t xml:space="preserve">符合垃圾四分类标准要求</w:t>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10</w:t>
                  </w:r>
                  <w:r/>
                </w:p>
              </w:tc>
              <w:tc>
                <w:tcPr>
                  <w:shd w:val="clear" w:color="auto" w:fill="auto"/>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bidi="en-US"/>
                    </w:rPr>
                    <w:outlineLvl w:val="9"/>
                  </w:pPr>
                  <w:r>
                    <w:rPr>
                      <w:rFonts w:hint="default" w:ascii="宋体" w:hAnsi="宋体" w:eastAsia="宋体" w:cs="宋体"/>
                      <w:i/>
                      <w:iCs/>
                      <w:color w:val="auto"/>
                      <w:sz w:val="24"/>
                      <w:szCs w:val="24"/>
                      <w:highlight w:val="none"/>
                      <w:u w:val="single"/>
                      <w:lang w:val="en-US" w:eastAsia="zh-CN" w:bidi="en-US"/>
                    </w:rPr>
                  </w:r>
                  <w:r/>
                </w:p>
              </w:tc>
            </w:tr>
            <w:tr>
              <w:trPr>
                <w:jc w:val="center"/>
                <w:trHeight w:val="893"/>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6</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008"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四分类流动收集点位，</w:t>
                  </w:r>
                  <w:r>
                    <w:rPr>
                      <w:rFonts w:hint="eastAsia" w:ascii="宋体" w:hAnsi="宋体" w:eastAsia="宋体" w:cs="宋体"/>
                      <w:i/>
                      <w:iCs/>
                      <w:color w:val="auto"/>
                      <w:sz w:val="24"/>
                      <w:szCs w:val="24"/>
                      <w:highlight w:val="none"/>
                      <w:u w:val="single"/>
                    </w:rPr>
                    <w:t xml:space="preserve">符合垃圾四分类标准要求</w:t>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16</w:t>
                  </w:r>
                  <w:r/>
                </w:p>
              </w:tc>
              <w:tc>
                <w:tcPr>
                  <w:shd w:val="clear" w:color="auto" w:fill="auto"/>
                  <w:tcW w:w="141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7</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电瓶四轮八桶垃圾收集车</w:t>
                  </w:r>
                  <w:r/>
                </w:p>
              </w:tc>
              <w:tc>
                <w:tcPr>
                  <w:tcW w:w="2008"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 </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eastAsia="宋体" w:cs="宋体"/>
                      <w:i/>
                      <w:iCs/>
                      <w:color w:val="auto"/>
                      <w:sz w:val="24"/>
                      <w:szCs w:val="24"/>
                      <w:highlight w:val="none"/>
                      <w:u w:val="single"/>
                      <w:lang w:val="en-US" w:eastAsia="zh-CN" w:bidi="en-US"/>
                    </w:rPr>
                    <w:t xml:space="preserve">厨余收运：2辆；餐厨收运：1辆；可回收：1辆；大件垃圾：1辆。备用车：4</w:t>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eastAsia="宋体" w:cs="宋体"/>
                      <w:i/>
                      <w:iCs/>
                      <w:color w:val="auto"/>
                      <w:sz w:val="24"/>
                      <w:szCs w:val="24"/>
                      <w:highlight w:val="none"/>
                      <w:u w:val="single"/>
                      <w:lang w:val="en-US" w:eastAsia="zh-CN"/>
                    </w:rPr>
                    <w:t xml:space="preserve">9</w:t>
                  </w:r>
                  <w:r/>
                </w:p>
              </w:tc>
              <w:tc>
                <w:tcPr>
                  <w:shd w:val="clear" w:color="auto" w:fill="auto"/>
                  <w:tcW w:w="1417"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8</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其他垃圾清运车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吨，GPS定位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9</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农运车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3辆；</w:t>
                  </w:r>
                  <w:r>
                    <w:rPr>
                      <w:rFonts w:hint="eastAsia" w:ascii="宋体" w:hAnsi="宋体" w:eastAsia="宋体" w:cs="宋体"/>
                      <w:i/>
                      <w:iCs/>
                      <w:color w:val="auto"/>
                      <w:sz w:val="24"/>
                      <w:szCs w:val="24"/>
                      <w:highlight w:val="none"/>
                      <w:u w:val="single"/>
                    </w:rPr>
                    <w:t xml:space="preserve">GPS定位</w:t>
                  </w:r>
                  <w:r/>
                </w:p>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1辆</w:t>
                  </w:r>
                  <w:r>
                    <w:rPr>
                      <w:rFonts w:hint="eastAsia" w:ascii="宋体" w:hAnsi="宋体" w:eastAsia="宋体" w:cs="宋体"/>
                      <w:i/>
                      <w:iCs/>
                      <w:color w:val="auto"/>
                      <w:sz w:val="24"/>
                      <w:szCs w:val="24"/>
                      <w:highlight w:val="none"/>
                      <w:u w:val="single"/>
                    </w:rPr>
                    <w:t xml:space="preserve">GPS定位</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w:t>
                  </w:r>
                  <w:r/>
                </w:p>
              </w:tc>
              <w:tc>
                <w:tcPr>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含铲雪装置一套</w:t>
                  </w:r>
                  <w:r>
                    <w:rPr>
                      <w:rFonts w:hint="eastAsia" w:eastAsia="宋体" w:cs="宋体"/>
                      <w:i/>
                      <w:iCs/>
                      <w:color w:val="auto"/>
                      <w:sz w:val="24"/>
                      <w:szCs w:val="24"/>
                      <w:highlight w:val="none"/>
                      <w:u w:val="single"/>
                      <w:lang w:val="en-US" w:eastAsia="zh-CN"/>
                    </w:rPr>
                    <w:t xml:space="preserve">其他垃圾收运车</w:t>
                  </w:r>
                  <w:r/>
                </w:p>
              </w:tc>
            </w:tr>
            <w:tr>
              <w:trPr>
                <w:jc w:val="center"/>
                <w:trHeight w:val="570"/>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10</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垃圾转运车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17</w:t>
                  </w:r>
                  <w:r>
                    <w:rPr>
                      <w:rFonts w:hint="eastAsia" w:ascii="宋体" w:hAnsi="宋体" w:eastAsia="宋体" w:cs="宋体"/>
                      <w:i/>
                      <w:iCs/>
                      <w:color w:val="auto"/>
                      <w:sz w:val="24"/>
                      <w:szCs w:val="24"/>
                      <w:highlight w:val="none"/>
                      <w:u w:val="single"/>
                    </w:rPr>
                    <w:t xml:space="preserve">吨</w:t>
                  </w:r>
                  <w:r>
                    <w:rPr>
                      <w:rFonts w:hint="eastAsia"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2</w:t>
                  </w:r>
                  <w:r/>
                </w:p>
              </w:tc>
              <w:tc>
                <w:tcPr>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甲方提供2辆车辆</w:t>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11</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电瓶压缩车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eastAsia="宋体" w:cs="宋体"/>
                      <w:i/>
                      <w:iCs/>
                      <w:color w:val="auto"/>
                      <w:sz w:val="24"/>
                      <w:szCs w:val="24"/>
                      <w:highlight w:val="none"/>
                      <w:u w:val="single"/>
                      <w:lang w:val="en-US" w:eastAsia="zh-CN"/>
                    </w:rPr>
                    <w:t xml:space="preserve"> 1.5 </w:t>
                  </w:r>
                  <w:r>
                    <w:rPr>
                      <w:rFonts w:hint="eastAsia" w:ascii="宋体" w:hAnsi="宋体" w:eastAsia="宋体" w:cs="宋体"/>
                      <w:i/>
                      <w:iCs/>
                      <w:color w:val="auto"/>
                      <w:sz w:val="24"/>
                      <w:szCs w:val="24"/>
                      <w:highlight w:val="none"/>
                      <w:u w:val="single"/>
                    </w:rPr>
                    <w:t xml:space="preserve">吨</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417" w:type="dxa"/>
                  <w:vAlign w:val="center"/>
                  <w:textDirection w:val="lrTb"/>
                  <w:noWrap w:val="false"/>
                </w:tcPr>
                <w:p>
                  <w:pPr>
                    <w:jc w:val="left"/>
                    <w:rPr>
                      <w:rFonts w:hint="default" w:ascii="宋体" w:hAnsi="宋体" w:eastAsia="宋体" w:cs="宋体"/>
                      <w:b w:val="0"/>
                      <w:bCs w:val="0"/>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其他垃圾收运车</w:t>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12</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建筑垃圾清运车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9 </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eastAsia="宋体" w:cs="宋体"/>
                      <w:i/>
                      <w:iCs/>
                      <w:color w:val="auto"/>
                      <w:sz w:val="24"/>
                      <w:szCs w:val="24"/>
                      <w:highlight w:val="none"/>
                      <w:u w:val="single"/>
                      <w:lang w:val="en-US" w:eastAsia="zh-CN"/>
                    </w:rPr>
                    <w:t xml:space="preserve">13</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装载机</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装载能力≥</w:t>
                  </w:r>
                  <w:r>
                    <w:rPr>
                      <w:rFonts w:hint="eastAsia" w:eastAsia="宋体" w:cs="宋体"/>
                      <w:i/>
                      <w:iCs/>
                      <w:color w:val="auto"/>
                      <w:sz w:val="24"/>
                      <w:szCs w:val="24"/>
                      <w:highlight w:val="none"/>
                      <w:u w:val="single"/>
                      <w:lang w:val="en-US" w:eastAsia="zh-CN"/>
                    </w:rPr>
                    <w:t xml:space="preserve"> 2 </w:t>
                  </w:r>
                  <w:r>
                    <w:rPr>
                      <w:rFonts w:hint="eastAsia" w:ascii="宋体" w:hAnsi="宋体" w:eastAsia="宋体" w:cs="宋体"/>
                      <w:i/>
                      <w:iCs/>
                      <w:color w:val="auto"/>
                      <w:sz w:val="24"/>
                      <w:szCs w:val="24"/>
                      <w:highlight w:val="none"/>
                      <w:u w:val="single"/>
                    </w:rPr>
                    <w:t xml:space="preserve">吨</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b w:val="0"/>
                      <w:bCs w:val="0"/>
                      <w:i/>
                      <w:iCs/>
                      <w:color w:val="auto"/>
                      <w:sz w:val="24"/>
                      <w:szCs w:val="24"/>
                      <w:highlight w:val="none"/>
                      <w:u w:val="single"/>
                      <w:lang w:val="en-US" w:eastAsia="zh-CN"/>
                    </w:rPr>
                    <w:t xml:space="preserve">驾驶员持证上岗</w:t>
                  </w:r>
                  <w:r/>
                </w:p>
              </w:tc>
            </w:tr>
            <w:tr>
              <w:trPr>
                <w:jc w:val="center"/>
                <w:trHeight w:val="567"/>
              </w:trPr>
              <w:tc>
                <w:tcPr>
                  <w:tcW w:w="49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14</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电瓶三轮高压冲洗车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shd w:val="clear" w:color="auto" w:fill="auto"/>
                      <w:lang w:val="en-US" w:eastAsia="en-US" w:bidi="en-US"/>
                    </w:rPr>
                    <w:outlineLvl w:val="9"/>
                  </w:pPr>
                  <w:r>
                    <w:rPr>
                      <w:rFonts w:hint="eastAsia" w:eastAsia="宋体" w:cs="宋体"/>
                      <w:i/>
                      <w:iCs/>
                      <w:color w:val="auto"/>
                      <w:sz w:val="24"/>
                      <w:szCs w:val="24"/>
                      <w:highlight w:val="none"/>
                      <w:u w:val="single"/>
                      <w:shd w:val="clear" w:color="auto" w:fill="auto"/>
                      <w:lang w:val="en-US" w:eastAsia="zh-CN"/>
                    </w:rPr>
                    <w:t xml:space="preserve">水箱容量</w:t>
                  </w:r>
                  <w:r>
                    <w:rPr>
                      <w:rFonts w:hint="eastAsia" w:ascii="宋体" w:hAnsi="宋体" w:eastAsia="宋体" w:cs="宋体"/>
                      <w:i/>
                      <w:iCs/>
                      <w:color w:val="auto"/>
                      <w:sz w:val="24"/>
                      <w:szCs w:val="24"/>
                      <w:highlight w:val="none"/>
                      <w:u w:val="single"/>
                      <w:shd w:val="clear" w:color="auto" w:fill="auto"/>
                    </w:rPr>
                    <w:t xml:space="preserve">≥</w:t>
                  </w:r>
                  <w:r>
                    <w:rPr>
                      <w:rFonts w:hint="eastAsia" w:eastAsia="宋体" w:cs="宋体"/>
                      <w:i/>
                      <w:iCs/>
                      <w:color w:val="auto"/>
                      <w:sz w:val="24"/>
                      <w:szCs w:val="24"/>
                      <w:highlight w:val="none"/>
                      <w:u w:val="single"/>
                      <w:shd w:val="clear" w:color="auto" w:fill="auto"/>
                      <w:lang w:val="en-US" w:eastAsia="zh-CN"/>
                    </w:rPr>
                    <w:t xml:space="preserve">500L</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3</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15</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道路养护车</w:t>
                  </w:r>
                  <w:r/>
                </w:p>
              </w:tc>
              <w:tc>
                <w:tcPr>
                  <w:tcW w:w="2008" w:type="dxa"/>
                  <w:vAlign w:val="center"/>
                  <w:textDirection w:val="lrTb"/>
                  <w:noWrap w:val="false"/>
                </w:tcPr>
                <w:p>
                  <w:pPr>
                    <w:jc w:val="left"/>
                    <w:rPr>
                      <w:rFonts w:hint="default" w:ascii="宋体" w:hAnsi="宋体" w:eastAsia="宋体" w:cs="宋体"/>
                      <w:i/>
                      <w:iCs/>
                      <w:color w:val="auto"/>
                      <w:sz w:val="24"/>
                      <w:szCs w:val="24"/>
                      <w:highlight w:val="none"/>
                      <w:u w:val="single"/>
                      <w:shd w:val="clear" w:color="auto" w:fill="auto"/>
                      <w:lang w:val="en-US" w:eastAsia="zh-CN"/>
                    </w:rPr>
                    <w:outlineLvl w:val="9"/>
                  </w:pPr>
                  <w:r>
                    <w:rPr>
                      <w:rFonts w:hint="eastAsia" w:eastAsia="宋体" w:cs="宋体"/>
                      <w:i/>
                      <w:iCs/>
                      <w:color w:val="auto"/>
                      <w:sz w:val="24"/>
                      <w:szCs w:val="24"/>
                      <w:highlight w:val="none"/>
                      <w:u w:val="single"/>
                      <w:shd w:val="clear" w:color="auto" w:fill="auto"/>
                      <w:lang w:val="en-US" w:eastAsia="zh-CN"/>
                    </w:rPr>
                    <w:t xml:space="preserve">总质</w:t>
                  </w:r>
                  <w:r>
                    <w:rPr>
                      <w:rFonts w:hint="eastAsia" w:ascii="宋体" w:hAnsi="宋体" w:eastAsia="宋体" w:cs="宋体"/>
                      <w:i/>
                      <w:iCs/>
                      <w:color w:val="auto"/>
                      <w:sz w:val="24"/>
                      <w:szCs w:val="24"/>
                      <w:highlight w:val="none"/>
                      <w:u w:val="single"/>
                      <w:shd w:val="clear" w:color="auto" w:fill="auto"/>
                    </w:rPr>
                    <w:t xml:space="preserve">量≥</w:t>
                  </w:r>
                  <w:r>
                    <w:rPr>
                      <w:rFonts w:hint="eastAsia" w:eastAsia="宋体" w:cs="宋体"/>
                      <w:i/>
                      <w:iCs/>
                      <w:color w:val="auto"/>
                      <w:sz w:val="24"/>
                      <w:szCs w:val="24"/>
                      <w:highlight w:val="none"/>
                      <w:u w:val="single"/>
                      <w:shd w:val="clear" w:color="auto" w:fill="auto"/>
                      <w:lang w:val="en-US" w:eastAsia="zh-CN"/>
                    </w:rPr>
                    <w:t xml:space="preserve">1.5</w:t>
                  </w:r>
                  <w:r>
                    <w:rPr>
                      <w:rFonts w:hint="eastAsia" w:ascii="宋体" w:hAnsi="宋体" w:eastAsia="宋体" w:cs="宋体"/>
                      <w:i/>
                      <w:iCs/>
                      <w:color w:val="auto"/>
                      <w:sz w:val="24"/>
                      <w:szCs w:val="24"/>
                      <w:highlight w:val="none"/>
                      <w:u w:val="single"/>
                      <w:shd w:val="clear" w:color="auto" w:fill="auto"/>
                    </w:rPr>
                    <w:t xml:space="preserve">吨</w:t>
                  </w:r>
                  <w:r>
                    <w:rPr>
                      <w:rFonts w:hint="eastAsia" w:eastAsia="宋体" w:cs="宋体"/>
                      <w:i/>
                      <w:iCs/>
                      <w:color w:val="auto"/>
                      <w:sz w:val="24"/>
                      <w:szCs w:val="24"/>
                      <w:highlight w:val="none"/>
                      <w:u w:val="single"/>
                      <w:shd w:val="clear" w:color="auto" w:fill="auto"/>
                      <w:lang w:eastAsia="zh-CN"/>
                    </w:rPr>
                    <w:t xml:space="preserve">，</w:t>
                  </w:r>
                  <w:r>
                    <w:rPr>
                      <w:rFonts w:hint="eastAsia" w:eastAsia="宋体" w:cs="宋体"/>
                      <w:i/>
                      <w:iCs/>
                      <w:color w:val="auto"/>
                      <w:sz w:val="24"/>
                      <w:szCs w:val="24"/>
                      <w:highlight w:val="none"/>
                      <w:u w:val="single"/>
                      <w:shd w:val="clear" w:color="auto" w:fill="auto"/>
                      <w:lang w:val="en-US" w:eastAsia="zh-CN"/>
                    </w:rPr>
                    <w:t xml:space="preserve">水箱容量</w:t>
                  </w:r>
                  <w:r>
                    <w:rPr>
                      <w:rFonts w:hint="eastAsia" w:ascii="宋体" w:hAnsi="宋体" w:eastAsia="宋体" w:cs="宋体"/>
                      <w:i/>
                      <w:iCs/>
                      <w:color w:val="auto"/>
                      <w:sz w:val="24"/>
                      <w:szCs w:val="24"/>
                      <w:highlight w:val="none"/>
                      <w:u w:val="single"/>
                      <w:shd w:val="clear" w:color="auto" w:fill="auto"/>
                    </w:rPr>
                    <w:t xml:space="preserve">≥</w:t>
                  </w:r>
                  <w:r>
                    <w:rPr>
                      <w:rFonts w:hint="eastAsia" w:eastAsia="宋体" w:cs="宋体"/>
                      <w:i/>
                      <w:iCs/>
                      <w:color w:val="auto"/>
                      <w:sz w:val="24"/>
                      <w:szCs w:val="24"/>
                      <w:highlight w:val="none"/>
                      <w:u w:val="single"/>
                      <w:shd w:val="clear" w:color="auto" w:fill="auto"/>
                      <w:lang w:val="en-US" w:eastAsia="zh-CN"/>
                    </w:rPr>
                    <w:t xml:space="preserve">800L</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16</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抽粪车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w:t>
                  </w:r>
                  <w:r>
                    <w:rPr>
                      <w:rFonts w:hint="eastAsia"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rPr>
                    <w:t xml:space="preserve">吨</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417"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default"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eastAsia="宋体" w:cs="宋体"/>
                      <w:i/>
                      <w:iCs/>
                      <w:color w:val="auto"/>
                      <w:sz w:val="24"/>
                      <w:szCs w:val="24"/>
                      <w:highlight w:val="none"/>
                      <w:u w:val="single"/>
                      <w:lang w:val="en-US" w:eastAsia="zh-CN"/>
                    </w:rPr>
                    <w:t xml:space="preserve">17</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新能源扫地车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 2 </w:t>
                  </w:r>
                  <w:r>
                    <w:rPr>
                      <w:rFonts w:hint="eastAsia" w:ascii="宋体" w:hAnsi="宋体" w:eastAsia="宋体" w:cs="宋体"/>
                      <w:i/>
                      <w:iCs/>
                      <w:color w:val="auto"/>
                      <w:sz w:val="24"/>
                      <w:szCs w:val="24"/>
                      <w:highlight w:val="none"/>
                      <w:u w:val="single"/>
                    </w:rPr>
                    <w:t xml:space="preserve">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GPS定位，车载智能一体机，车载硬盘录像机，摄像头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18</w:t>
                  </w:r>
                  <w:r/>
                </w:p>
              </w:tc>
              <w:tc>
                <w:tcPr>
                  <w:tcW w:w="1931"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新能源厨余垃圾清运车</w:t>
                  </w:r>
                  <w:r/>
                </w:p>
              </w:tc>
              <w:tc>
                <w:tcPr>
                  <w:tcW w:w="2008" w:type="dxa"/>
                  <w:vAlign w:val="center"/>
                  <w:textDirection w:val="lrTb"/>
                  <w:noWrap w:val="false"/>
                </w:tcPr>
                <w:p>
                  <w:pP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垃圾收集容量≥</w:t>
                  </w:r>
                  <w:r>
                    <w:rPr>
                      <w:rFonts w:hint="eastAsia" w:ascii="宋体" w:hAnsi="宋体" w:eastAsia="宋体" w:cs="宋体"/>
                      <w:i/>
                      <w:iCs/>
                      <w:color w:val="auto"/>
                      <w:sz w:val="24"/>
                      <w:szCs w:val="24"/>
                      <w:highlight w:val="none"/>
                      <w:u w:val="single"/>
                      <w:lang w:val="en-US" w:eastAsia="zh-CN"/>
                    </w:rPr>
                    <w:t xml:space="preserve">5m³</w:t>
                  </w:r>
                  <w:r>
                    <w:rPr>
                      <w:rFonts w:hint="eastAsia" w:ascii="宋体" w:hAnsi="宋体" w:eastAsia="宋体" w:cs="宋体"/>
                      <w:i/>
                      <w:iCs/>
                      <w:color w:val="auto"/>
                      <w:sz w:val="24"/>
                      <w:szCs w:val="24"/>
                      <w:highlight w:val="none"/>
                      <w:u w:val="single"/>
                    </w:rPr>
                    <w:t xml:space="preserve">，水箱容量≥</w:t>
                  </w:r>
                  <w:r>
                    <w:rPr>
                      <w:rFonts w:hint="eastAsia" w:ascii="宋体" w:hAnsi="宋体" w:eastAsia="宋体" w:cs="宋体"/>
                      <w:i/>
                      <w:iCs/>
                      <w:color w:val="auto"/>
                      <w:sz w:val="24"/>
                      <w:szCs w:val="24"/>
                      <w:highlight w:val="none"/>
                      <w:u w:val="single"/>
                      <w:lang w:val="en-US" w:eastAsia="zh-CN"/>
                    </w:rPr>
                    <w:t xml:space="preserve"> 250</w:t>
                  </w:r>
                  <w:r>
                    <w:rPr>
                      <w:rFonts w:hint="eastAsia" w:ascii="宋体" w:hAnsi="宋体" w:eastAsia="宋体" w:cs="宋体"/>
                      <w:i/>
                      <w:iCs/>
                      <w:color w:val="auto"/>
                      <w:sz w:val="24"/>
                      <w:szCs w:val="24"/>
                      <w:highlight w:val="none"/>
                      <w:u w:val="single"/>
                    </w:rPr>
                    <w:t xml:space="preserve">升</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GPS定位，车载智能一体机，车载硬盘录像机，摄像头</w:t>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19</w:t>
                  </w:r>
                  <w:r/>
                </w:p>
              </w:tc>
              <w:tc>
                <w:tcPr>
                  <w:tcW w:w="1931"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新能源其他垃圾清运车</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核定载重量≥</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吨，GPS定位</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车载智能一体机，车载硬盘录像机，摄像头</w:t>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20</w:t>
                  </w:r>
                  <w:r/>
                </w:p>
              </w:tc>
              <w:tc>
                <w:tcPr>
                  <w:tcW w:w="1931"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手持式（背负式）风管机</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tcW w:w="493" w:type="dxa"/>
                  <w:vAlign w:val="center"/>
                  <w:textDirection w:val="lrTb"/>
                  <w:noWrap w:val="false"/>
                </w:tcPr>
                <w:p>
                  <w:pPr>
                    <w:jc w:val="center"/>
                    <w:rPr>
                      <w:rFonts w:hint="default" w:ascii="宋体" w:hAnsi="宋体" w:eastAsia="宋体" w:cs="宋体"/>
                      <w:i/>
                      <w:iCs/>
                      <w:color w:val="auto"/>
                      <w:sz w:val="24"/>
                      <w:szCs w:val="24"/>
                      <w:highlight w:val="none"/>
                      <w:u w:val="single"/>
                      <w:lang w:val="en-US" w:eastAsia="zh-CN"/>
                    </w:rPr>
                    <w:outlineLvl w:val="9"/>
                  </w:pPr>
                  <w:r>
                    <w:rPr>
                      <w:rFonts w:hint="eastAsia" w:eastAsia="宋体" w:cs="宋体"/>
                      <w:i/>
                      <w:iCs/>
                      <w:color w:val="auto"/>
                      <w:sz w:val="24"/>
                      <w:szCs w:val="24"/>
                      <w:highlight w:val="none"/>
                      <w:u w:val="single"/>
                      <w:lang w:val="en-US" w:eastAsia="zh-CN"/>
                    </w:rPr>
                    <w:t xml:space="preserve">21</w:t>
                  </w:r>
                  <w:r/>
                </w:p>
              </w:tc>
              <w:tc>
                <w:tcPr>
                  <w:tcW w:w="1931"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弥雾机（消杀药品喷洒设备）</w:t>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813"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val="en-US" w:eastAsia="zh-CN"/>
                    </w:rPr>
                    <w:t xml:space="preserve">≥2</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r>
                  <w:r/>
                </w:p>
              </w:tc>
            </w:tr>
            <w:tr>
              <w:trPr>
                <w:jc w:val="center"/>
                <w:trHeight w:val="567"/>
              </w:trPr>
              <w:tc>
                <w:tcPr>
                  <w:tcW w:w="493" w:type="dxa"/>
                  <w:vAlign w:val="center"/>
                  <w:textDirection w:val="lrTb"/>
                  <w:noWrap w:val="false"/>
                </w:tcPr>
                <w:p>
                  <w:pPr>
                    <w:jc w:val="center"/>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lang w:val="en-US" w:eastAsia="zh-CN"/>
                    </w:rPr>
                    <w:t xml:space="preserve">合计</w:t>
                  </w:r>
                  <w:r/>
                </w:p>
              </w:tc>
              <w:tc>
                <w:tcPr>
                  <w:tcW w:w="1931" w:type="dxa"/>
                  <w:vAlign w:val="center"/>
                  <w:textDirection w:val="lrTb"/>
                  <w:noWrap w:val="false"/>
                </w:tcPr>
                <w:p>
                  <w:pPr>
                    <w:jc w:val="center"/>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2008"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c>
                <w:tcPr>
                  <w:tcW w:w="813" w:type="dxa"/>
                  <w:vAlign w:val="center"/>
                  <w:textDirection w:val="lrTb"/>
                  <w:noWrap w:val="false"/>
                </w:tcPr>
                <w:p>
                  <w:pPr>
                    <w:jc w:val="center"/>
                    <w:rPr>
                      <w:rFonts w:hint="default" w:ascii="宋体" w:hAnsi="宋体" w:eastAsia="宋体" w:cs="宋体"/>
                      <w:i/>
                      <w:iCs/>
                      <w:color w:val="auto"/>
                      <w:sz w:val="24"/>
                      <w:szCs w:val="24"/>
                      <w:highlight w:val="none"/>
                      <w:u w:val="single"/>
                      <w:lang w:val="en-US"/>
                    </w:rPr>
                    <w:outlineLvl w:val="9"/>
                  </w:pPr>
                  <w:r>
                    <w:rPr>
                      <w:rFonts w:hint="eastAsia" w:ascii="宋体" w:hAnsi="宋体" w:eastAsia="宋体" w:cs="宋体"/>
                      <w:i/>
                      <w:iCs/>
                      <w:color w:val="auto"/>
                      <w:sz w:val="24"/>
                      <w:szCs w:val="24"/>
                      <w:highlight w:val="none"/>
                      <w:u w:val="single"/>
                      <w:lang w:val="en-US" w:eastAsia="zh-CN"/>
                    </w:rPr>
                    <w:t xml:space="preserve">158</w:t>
                  </w:r>
                  <w:r/>
                </w:p>
              </w:tc>
              <w:tc>
                <w:tcPr>
                  <w:tcW w:w="1417" w:type="dxa"/>
                  <w:vAlign w:val="center"/>
                  <w:textDirection w:val="lrTb"/>
                  <w:noWrap w:val="false"/>
                </w:tcPr>
                <w:p>
                  <w:pPr>
                    <w:jc w:val="left"/>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r>
                  <w:r/>
                </w:p>
              </w:tc>
            </w:tr>
            <w:tr>
              <w:trPr>
                <w:jc w:val="center"/>
                <w:trHeight w:val="567"/>
              </w:trPr>
              <w:tc>
                <w:tcPr>
                  <w:gridSpan w:val="5"/>
                  <w:tcW w:w="6662" w:type="dxa"/>
                  <w:vAlign w:val="center"/>
                  <w:textDirection w:val="lrTb"/>
                  <w:noWrap w:val="false"/>
                </w:tcPr>
                <w:p>
                  <w:pPr>
                    <w:jc w:val="left"/>
                    <w:rPr>
                      <w:rFonts w:hint="default"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注：目前有15辆车按上级要求安装GPS定位且接入市级平台，如在合同履行期内上级监管部门要求作业车辆加装GPS定位或接入市级平台的，中标单位应无条件配合，甲方不再另行支付费用。</w:t>
                  </w:r>
                  <w:r/>
                </w:p>
              </w:tc>
            </w:tr>
          </w:tbl>
          <w:p>
            <w:pPr>
              <w:pStyle w:val="1047"/>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012"/>
        </w:trPr>
        <w:tc>
          <w:tcPr>
            <w:tcMar>
              <w:left w:w="0" w:type="dxa"/>
              <w:top w:w="0" w:type="dxa"/>
              <w:right w:w="0" w:type="dxa"/>
              <w:bottom w:w="0" w:type="dxa"/>
            </w:tcMar>
            <w:tcW w:w="613" w:type="dxa"/>
            <w:vAlign w:val="center"/>
            <w:textDirection w:val="lrTb"/>
            <w:noWrap w:val="false"/>
          </w:tcPr>
          <w:p>
            <w:pPr>
              <w:pStyle w:val="1081"/>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left w:w="0" w:type="dxa"/>
              <w:top w:w="0" w:type="dxa"/>
              <w:right w:w="0" w:type="dxa"/>
              <w:bottom w:w="0" w:type="dxa"/>
            </w:tcMar>
            <w:tcW w:w="6682" w:type="dxa"/>
            <w:vAlign w:val="center"/>
            <w:textDirection w:val="lrTb"/>
            <w:noWrap w:val="false"/>
          </w:tcPr>
          <w:p>
            <w:pPr>
              <w:pStyle w:val="1047"/>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规范用工和安全责任事故</w:t>
            </w:r>
            <w:r/>
          </w:p>
          <w:p>
            <w:pPr>
              <w:pStyle w:val="1047"/>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中标企业作业人员每天到岗，并保持各岗位人员相对稳定；人员岗位分配由投标企业勘察现场自行确定。一线保洁作业人员男（60周岁含）、女（50周岁含）以内人员数量占承担本项目作业人员总数的比例≥60%，男女作业人员年龄不得高于65周岁，应按时上、下岗，上岗期间应穿戴印有统一字样的服装或标志着装。</w:t>
            </w:r>
            <w:r/>
          </w:p>
          <w:p>
            <w:pPr>
              <w:pStyle w:val="1047"/>
              <w:spacing w:line="440" w:lineRule="exact"/>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根据《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 (经费测算明细表中应载明社会保险、住房公积金缴存金额及员工工资) 。</w:t>
            </w:r>
            <w:r/>
          </w:p>
        </w:tc>
        <w:tc>
          <w:tcPr>
            <w:tcMar>
              <w:left w:w="0" w:type="dxa"/>
              <w:top w:w="0" w:type="dxa"/>
              <w:right w:w="0" w:type="dxa"/>
              <w:bottom w:w="0" w:type="dxa"/>
            </w:tcMar>
            <w:tcW w:w="1170"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81"/>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w:t>
      </w:r>
      <w:r>
        <w:rPr>
          <w:rFonts w:ascii="宋体" w:hAnsi="宋体" w:eastAsia="宋体" w:cs="宋体"/>
          <w:b/>
          <w:bCs/>
          <w:color w:val="auto"/>
          <w:highlight w:val="none"/>
        </w:rPr>
        <w:t xml:space="preserve"> </w:t>
      </w:r>
      <w:r/>
    </w:p>
    <w:tbl>
      <w:tblPr>
        <w:tblStyle w:val="792"/>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3"/>
        <w:gridCol w:w="5409"/>
        <w:gridCol w:w="2023"/>
        <w:gridCol w:w="1715"/>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09"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081"/>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09" w:type="dxa"/>
            <w:vAlign w:val="center"/>
            <w:textDirection w:val="lrTb"/>
            <w:noWrap w:val="false"/>
          </w:tcPr>
          <w:p>
            <w:pPr>
              <w:pStyle w:val="1047"/>
              <w:ind w:firstLine="500"/>
              <w:spacing w:line="44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09" w:type="dxa"/>
            <w:vAlign w:val="center"/>
            <w:textDirection w:val="lrTb"/>
            <w:noWrap w:val="false"/>
          </w:tcPr>
          <w:p>
            <w:pPr>
              <w:pStyle w:val="1047"/>
              <w:ind w:firstLine="50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09" w:type="dxa"/>
            <w:vAlign w:val="center"/>
            <w:textDirection w:val="lrTb"/>
            <w:noWrap w:val="false"/>
          </w:tcPr>
          <w:p>
            <w:pPr>
              <w:pStyle w:val="1047"/>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5" w:type="dxa"/>
            <w:vAlign w:val="center"/>
            <w:textDirection w:val="lrTb"/>
            <w:noWrap w:val="false"/>
          </w:tcPr>
          <w:p>
            <w:pPr>
              <w:pStyle w:val="1081"/>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793"/>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1009"/>
        <w:jc w:val="center"/>
        <w:keepLines w:val="0"/>
        <w:keepNext w:val="0"/>
        <w:pageBreakBefore/>
        <w:spacing w:before="240" w:after="240" w:line="279" w:lineRule="auto"/>
        <w:widowControl/>
        <w:rPr>
          <w:rFonts w:hint="eastAsia" w:ascii="宋体" w:hAnsi="宋体" w:eastAsia="宋体" w:cs="宋体"/>
          <w:color w:val="auto"/>
          <w:highlight w:val="none"/>
        </w:rPr>
        <w:outlineLvl w:val="9"/>
      </w:pPr>
      <w:r>
        <w:rPr>
          <w:rFonts w:ascii="宋体" w:hAnsi="宋体" w:eastAsia="宋体" w:cs="宋体"/>
          <w:b/>
          <w:color w:val="auto"/>
          <w:sz w:val="28"/>
          <w:highlight w:val="none"/>
        </w:rPr>
        <w:t xml:space="preserve"> </w:t>
      </w:r>
      <w:r>
        <w:rPr>
          <w:rFonts w:ascii="宋体" w:hAnsi="宋体" w:eastAsia="宋体" w:cs="宋体"/>
          <w:color w:val="auto"/>
          <w:highlight w:val="none"/>
        </w:rPr>
        <w:t xml:space="preserve">公开分项报价</w:t>
      </w:r>
      <w:r>
        <w:rPr>
          <w:rFonts w:hint="eastAsia" w:ascii="宋体" w:hAnsi="宋体" w:eastAsia="宋体" w:cs="宋体"/>
          <w:color w:val="auto"/>
          <w:highlight w:val="none"/>
        </w:rPr>
        <w:t xml:space="preserve">表</w:t>
      </w:r>
      <w:r/>
    </w:p>
    <w:tbl>
      <w:tblPr>
        <w:tblStyle w:val="792"/>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0"/>
        <w:gridCol w:w="2213"/>
        <w:gridCol w:w="2985"/>
        <w:gridCol w:w="1249"/>
        <w:gridCol w:w="1227"/>
        <w:gridCol w:w="155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5"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49" w:type="dxa"/>
            <w:vAlign w:val="center"/>
            <w:textDirection w:val="lrTb"/>
            <w:noWrap w:val="false"/>
          </w:tcPr>
          <w:p>
            <w:pPr>
              <w:pStyle w:val="1009"/>
              <w:jc w:val="both"/>
              <w:rPr>
                <w:rFonts w:hint="eastAsia" w:ascii="宋体" w:hAnsi="宋体" w:eastAsia="宋体" w:cs="宋体"/>
                <w:color w:val="auto"/>
                <w:highlight w:val="none"/>
              </w:rPr>
            </w:pPr>
            <w:r>
              <w:rPr>
                <w:rFonts w:ascii="宋体" w:hAnsi="宋体" w:eastAsia="宋体" w:cs="宋体"/>
                <w:color w:val="auto"/>
                <w:highlight w:val="none"/>
              </w:rPr>
              <w:t xml:space="preserve">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5"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49"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100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5"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49"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1009"/>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5"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49"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100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税金</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5"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49"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r>
    </w:tbl>
    <w:p>
      <w:pPr>
        <w:pStyle w:val="1009"/>
        <w:rPr>
          <w:vanish/>
          <w:color w:val="auto"/>
          <w:highlight w:val="none"/>
        </w:rPr>
      </w:pPr>
      <w:r>
        <w:rPr>
          <w:vanish/>
          <w:color w:val="auto"/>
          <w:highlight w:val="none"/>
        </w:rPr>
      </w:r>
      <w:r/>
    </w:p>
    <w:tbl>
      <w:tblPr>
        <w:tblStyle w:val="792"/>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34"/>
        <w:gridCol w:w="1140"/>
        <w:gridCol w:w="1230"/>
        <w:gridCol w:w="155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34"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30"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1009"/>
              <w:jc w:val="center"/>
              <w:rPr>
                <w:rFonts w:hint="eastAsia" w:ascii="宋体" w:hAnsi="宋体" w:eastAsia="宋体" w:cs="宋体"/>
                <w:color w:val="auto"/>
                <w:highlight w:val="none"/>
              </w:rPr>
            </w:pPr>
            <w:r>
              <w:rPr>
                <w:rFonts w:ascii="宋体" w:hAnsi="宋体" w:eastAsia="宋体" w:cs="宋体"/>
                <w:color w:val="auto"/>
                <w:highlight w:val="none"/>
              </w:rPr>
              <w:t xml:space="preserve"> </w:t>
            </w:r>
            <w:r/>
          </w:p>
        </w:tc>
      </w:tr>
    </w:tbl>
    <w:p>
      <w:pPr>
        <w:pStyle w:val="1009"/>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注：以上表格必须如实提供，内容表述不全的可自行添加。 </w:t>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highlight w:val="none"/>
        </w:rPr>
      </w:pPr>
      <w:r>
        <w:rPr>
          <w:rFonts w:hint="eastAsia" w:ascii="宋体" w:hAnsi="宋体" w:eastAsia="宋体"/>
          <w:b/>
          <w:color w:val="auto"/>
          <w:highlight w:val="none"/>
        </w:rPr>
      </w:r>
      <w:r/>
    </w:p>
    <w:p>
      <w:pPr>
        <w:pStyle w:val="805"/>
        <w:ind w:firstLine="0"/>
        <w:jc w:val="left"/>
        <w:rPr>
          <w:rStyle w:val="983"/>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05"/>
        <w:ind w:firstLine="0"/>
        <w:jc w:val="left"/>
        <w:rPr>
          <w:rStyle w:val="983"/>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05"/>
        <w:ind w:firstLine="0"/>
        <w:jc w:val="left"/>
        <w:keepLines w:val="0"/>
        <w:keepNext w:val="0"/>
        <w:pageBreakBefore/>
        <w:spacing w:line="279" w:lineRule="auto"/>
        <w:widowControl w:val="off"/>
        <w:rPr>
          <w:rStyle w:val="983"/>
          <w:rFonts w:hint="eastAsia" w:ascii="宋体" w:hAnsi="宋体" w:eastAsia="宋体"/>
          <w:b/>
          <w:color w:val="auto"/>
          <w:sz w:val="24"/>
          <w:szCs w:val="24"/>
          <w:highlight w:val="none"/>
        </w:rPr>
        <w:outlineLvl w:val="9"/>
      </w:pPr>
      <w:r>
        <w:rPr>
          <w:rStyle w:val="983"/>
          <w:rFonts w:hint="eastAsia" w:ascii="宋体" w:hAnsi="宋体" w:eastAsia="宋体"/>
          <w:b/>
          <w:color w:val="auto"/>
          <w:sz w:val="24"/>
          <w:szCs w:val="24"/>
          <w:highlight w:val="none"/>
        </w:rPr>
        <w:t xml:space="preserve">六、技术服务方案</w:t>
      </w:r>
      <w:r/>
    </w:p>
    <w:p>
      <w:pPr>
        <w:pStyle w:val="805"/>
        <w:ind w:firstLine="0"/>
        <w:jc w:val="center"/>
        <w:rPr>
          <w:rStyle w:val="983"/>
          <w:rFonts w:hint="eastAsia" w:ascii="宋体" w:hAnsi="宋体" w:eastAsia="宋体" w:cs="Arial"/>
          <w:color w:val="auto"/>
          <w:sz w:val="24"/>
          <w:szCs w:val="24"/>
          <w:highlight w:val="none"/>
        </w:rPr>
      </w:pPr>
      <w:r>
        <w:rPr>
          <w:rStyle w:val="983"/>
          <w:rFonts w:hint="eastAsia" w:ascii="宋体" w:hAnsi="宋体" w:eastAsia="宋体" w:cs="Arial"/>
          <w:color w:val="auto"/>
          <w:sz w:val="24"/>
          <w:szCs w:val="24"/>
          <w:highlight w:val="none"/>
        </w:rPr>
        <w:t xml:space="preserve">技术服务方案</w:t>
      </w:r>
      <w:r/>
    </w:p>
    <w:p>
      <w:pPr>
        <w:pStyle w:val="832"/>
        <w:jc w:val="center"/>
        <w:rPr>
          <w:rFonts w:hint="eastAsia" w:cs="宋体"/>
          <w:color w:val="auto"/>
          <w:szCs w:val="24"/>
          <w:highlight w:val="none"/>
        </w:rPr>
      </w:pPr>
      <w:r>
        <w:rPr>
          <w:rFonts w:hint="eastAsia" w:cs="宋体"/>
          <w:color w:val="auto"/>
          <w:szCs w:val="24"/>
          <w:highlight w:val="none"/>
        </w:rPr>
      </w:r>
      <w:r/>
    </w:p>
    <w:p>
      <w:pPr>
        <w:pStyle w:val="832"/>
        <w:ind w:firstLine="0"/>
        <w:rPr>
          <w:rFonts w:hint="eastAsia" w:cs="宋体"/>
          <w:color w:val="auto"/>
          <w:szCs w:val="24"/>
          <w:highlight w:val="none"/>
        </w:rPr>
      </w:pPr>
      <w:r>
        <w:rPr>
          <w:rFonts w:hint="eastAsia" w:cs="宋体"/>
          <w:color w:val="auto"/>
          <w:szCs w:val="24"/>
          <w:highlight w:val="none"/>
        </w:rPr>
      </w:r>
      <w:r/>
    </w:p>
    <w:p>
      <w:pPr>
        <w:pStyle w:val="1005"/>
        <w:jc w:val="center"/>
        <w:spacing w:line="360" w:lineRule="auto"/>
        <w:rPr>
          <w:rStyle w:val="983"/>
          <w:rFonts w:hint="eastAsia" w:ascii="宋体" w:hAnsi="宋体" w:cs="Arial"/>
          <w:color w:val="auto"/>
          <w:sz w:val="24"/>
          <w:szCs w:val="24"/>
          <w:highlight w:val="none"/>
        </w:rPr>
      </w:pPr>
      <w:r>
        <w:rPr>
          <w:rStyle w:val="983"/>
          <w:rFonts w:hint="eastAsia" w:ascii="宋体" w:hAnsi="宋体" w:cs="Arial"/>
          <w:color w:val="auto"/>
          <w:sz w:val="24"/>
          <w:szCs w:val="24"/>
          <w:highlight w:val="none"/>
        </w:rPr>
        <w:t xml:space="preserve">（技术方案及服务方案的内容编排等由投标单位按招标文件需求自定，请按需提供）</w:t>
      </w:r>
      <w:r/>
    </w:p>
    <w:p>
      <w:pPr>
        <w:pStyle w:val="1093"/>
        <w:spacing w:before="320" w:after="32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05"/>
        <w:ind w:firstLine="0"/>
        <w:jc w:val="left"/>
        <w:rPr>
          <w:rStyle w:val="983"/>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05"/>
        <w:ind w:firstLine="0"/>
        <w:jc w:val="left"/>
        <w:rPr>
          <w:rStyle w:val="983"/>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05"/>
        <w:ind w:firstLine="0"/>
        <w:jc w:val="left"/>
        <w:keepLines w:val="0"/>
        <w:keepNext w:val="0"/>
        <w:pageBreakBefore/>
        <w:spacing w:line="279" w:lineRule="auto"/>
        <w:widowControl w:val="off"/>
        <w:rPr>
          <w:rStyle w:val="983"/>
          <w:rFonts w:hint="eastAsia" w:ascii="宋体" w:hAnsi="宋体" w:eastAsia="宋体"/>
          <w:b/>
          <w:color w:val="auto"/>
          <w:sz w:val="24"/>
          <w:szCs w:val="24"/>
          <w:highlight w:val="none"/>
        </w:rPr>
        <w:outlineLvl w:val="9"/>
      </w:pPr>
      <w:r>
        <w:rPr>
          <w:rStyle w:val="983"/>
          <w:rFonts w:hint="eastAsia" w:ascii="宋体" w:hAnsi="宋体" w:eastAsia="宋体"/>
          <w:b/>
          <w:color w:val="auto"/>
          <w:sz w:val="24"/>
          <w:szCs w:val="24"/>
          <w:highlight w:val="none"/>
        </w:rPr>
        <w:t xml:space="preserve">七、针对本项目提供的人员一览表</w:t>
      </w:r>
      <w:r/>
    </w:p>
    <w:p>
      <w:pPr>
        <w:ind w:left="1050" w:right="775"/>
        <w:jc w:val="center"/>
        <w:spacing w:line="400" w:lineRule="exact"/>
        <w:rPr>
          <w:rFonts w:hint="eastAsia" w:ascii="宋体" w:hAnsi="宋体" w:cs="宋体"/>
          <w:b/>
          <w:color w:val="auto"/>
          <w:sz w:val="24"/>
          <w:szCs w:val="24"/>
          <w:highlight w:val="none"/>
        </w:rPr>
        <w:outlineLvl w:val="0"/>
      </w:pPr>
      <w:r/>
      <w:bookmarkStart w:id="213" w:name="_Toc2986"/>
      <w:r/>
      <w:bookmarkStart w:id="214" w:name="_Toc15809"/>
      <w:r/>
      <w:bookmarkStart w:id="215" w:name="_Toc20890"/>
      <w:r/>
      <w:bookmarkStart w:id="216" w:name="_Toc32526"/>
      <w:r>
        <w:rPr>
          <w:rFonts w:hint="eastAsia" w:ascii="宋体" w:hAnsi="宋体" w:cs="宋体"/>
          <w:b/>
          <w:color w:val="auto"/>
          <w:sz w:val="24"/>
          <w:szCs w:val="24"/>
          <w:highlight w:val="none"/>
        </w:rPr>
        <w:t xml:space="preserve">针对本项目提供的人员一览表</w:t>
      </w:r>
      <w:bookmarkEnd w:id="213"/>
      <w:r/>
      <w:bookmarkEnd w:id="214"/>
      <w:r/>
      <w:bookmarkEnd w:id="215"/>
      <w:r/>
      <w:bookmarkEnd w:id="216"/>
      <w:r/>
      <w:r/>
    </w:p>
    <w:p>
      <w:pPr>
        <w:spacing w:line="400" w:lineRule="exact"/>
        <w:rPr>
          <w:rFonts w:hint="eastAsia" w:ascii="宋体" w:hAnsi="宋体" w:cs="宋体"/>
          <w:color w:val="auto"/>
          <w:sz w:val="24"/>
          <w:szCs w:val="24"/>
          <w:highlight w:val="none"/>
        </w:rPr>
        <w:outlineLvl w:val="0"/>
      </w:pPr>
      <w:r/>
      <w:bookmarkStart w:id="217" w:name="_Toc13599"/>
      <w:r/>
      <w:bookmarkStart w:id="218" w:name="_Toc26310"/>
      <w:r>
        <w:rPr>
          <w:rFonts w:hint="eastAsia" w:ascii="宋体" w:hAnsi="宋体" w:cs="宋体"/>
          <w:color w:val="auto"/>
          <w:sz w:val="24"/>
          <w:szCs w:val="24"/>
          <w:highlight w:val="none"/>
        </w:rPr>
        <w:t xml:space="preserve">投标单位（章）</w:t>
      </w:r>
      <w:bookmarkEnd w:id="217"/>
      <w:r/>
      <w:bookmarkEnd w:id="218"/>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801"/>
        <w:rPr>
          <w:rFonts w:hint="eastAsia" w:ascii="宋体" w:eastAsia="宋体" w:cs="宋体"/>
          <w:color w:val="auto"/>
          <w:sz w:val="24"/>
          <w:szCs w:val="24"/>
          <w:highlight w:val="none"/>
        </w:rPr>
      </w:pPr>
      <w:r>
        <w:rPr>
          <w:rFonts w:hint="eastAsia" w:ascii="宋体" w:eastAsia="宋体" w:cs="宋体"/>
          <w:color w:val="auto"/>
          <w:sz w:val="24"/>
          <w:szCs w:val="24"/>
          <w:highlight w:val="none"/>
        </w:rPr>
      </w:r>
      <w:r/>
    </w:p>
    <w:p>
      <w:pPr>
        <w:pStyle w:val="801"/>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投标人法定代表人或被授权人签字：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01"/>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人员配备明细一览表</w:t>
      </w:r>
      <w:r/>
    </w:p>
    <w:tbl>
      <w:tblPr>
        <w:tblStyle w:val="79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5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W w:w="96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82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8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101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21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具有的相关岗位证书或职业资格证书</w:t>
            </w:r>
            <w:r/>
          </w:p>
        </w:tc>
        <w:tc>
          <w:tcPr>
            <w:tcW w:w="2347" w:type="dxa"/>
            <w:vAlign w:val="center"/>
            <w:textDirection w:val="lrTb"/>
            <w:noWrap w:val="false"/>
          </w:tcPr>
          <w:p>
            <w:pPr>
              <w:jc w:val="center"/>
              <w:spacing w:before="4"/>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主要资历、经验</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及承担过的管理项目</w:t>
            </w:r>
            <w:r/>
          </w:p>
        </w:tc>
      </w:tr>
      <w:tr>
        <w:trPr>
          <w:cantSplit/>
          <w:trHeight w:val="495"/>
        </w:trPr>
        <w:tc>
          <w:tcPr>
            <w:tcW w:w="503"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56"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3"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1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68"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503"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5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5"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1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68"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503"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5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5"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1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68"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503"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5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5"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2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8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1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68"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315" w:right="775" w:firstLine="422"/>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1、以上表格由投标人根据人员岗位自行调整；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2、请投标单位根据现场情况自行考虑配备人员的岗位安排且满足招标文件要求。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3、各类人员的数量（按人员配置要求及项目情况自行配置）、拟定接管该项目的主要管理人员名单，提供岗位证书或职业资格证书、身份证复印件等。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4、投标单位中标后人员总数不得减少，且主要管理人员人事不作变动，如确需变动应征得采购单位书面同意。</w:t>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ind w:right="775"/>
        <w:jc w:val="both"/>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ind w:right="775"/>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r>
      <w:r/>
    </w:p>
    <w:p>
      <w:pPr>
        <w:ind w:right="777"/>
        <w:jc w:val="left"/>
        <w:keepLines w:val="0"/>
        <w:keepNext w:val="0"/>
        <w:pageBreakBefore/>
        <w:spacing w:line="360" w:lineRule="auto"/>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八、类似业绩一览表</w:t>
      </w:r>
      <w:r/>
    </w:p>
    <w:p>
      <w:pPr>
        <w:ind w:right="775"/>
        <w:jc w:val="cente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类似业绩一览表</w:t>
      </w:r>
      <w:r/>
    </w:p>
    <w:tbl>
      <w:tblPr>
        <w:tblStyle w:val="792"/>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266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合同金额</w:t>
            </w:r>
            <w:r/>
          </w:p>
        </w:tc>
        <w:tc>
          <w:tcPr>
            <w:tcW w:w="17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hint="eastAsia" w:ascii="宋体" w:hAnsi="宋体"/>
                <w:color w:val="auto"/>
                <w:sz w:val="24"/>
                <w:highlight w:val="none"/>
              </w:rPr>
            </w:pPr>
            <w:r>
              <w:rPr>
                <w:rFonts w:hint="eastAsia" w:ascii="宋体" w:hAnsi="宋体"/>
                <w:color w:val="auto"/>
                <w:sz w:val="24"/>
                <w:highlight w:val="none"/>
              </w:rPr>
            </w:r>
            <w:r/>
          </w:p>
        </w:tc>
        <w:tc>
          <w:tcPr>
            <w:tcW w:w="2661"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left="420" w:firstLine="480"/>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W w:w="2661"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right w:val="single" w:color="auto" w:sz="4" w:space="0"/>
            </w:tcBorders>
            <w:tcW w:w="2322"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c>
          <w:tcPr>
            <w:tcW w:w="1792" w:type="dxa"/>
            <w:vAlign w:val="center"/>
            <w:textDirection w:val="lrTb"/>
            <w:noWrap w:val="false"/>
          </w:tcPr>
          <w:p>
            <w:pPr>
              <w:ind w:firstLine="480"/>
              <w:jc w:val="center"/>
              <w:rPr>
                <w:rFonts w:hint="eastAsia" w:ascii="宋体" w:hAnsi="宋体"/>
                <w:color w:val="auto"/>
                <w:sz w:val="24"/>
                <w:highlight w:val="none"/>
              </w:rPr>
            </w:pPr>
            <w:r>
              <w:rPr>
                <w:rFonts w:hint="eastAsia" w:ascii="宋体" w:hAnsi="宋体"/>
                <w:color w:val="auto"/>
                <w:sz w:val="24"/>
                <w:highlight w:val="none"/>
              </w:rPr>
            </w:r>
            <w:r/>
          </w:p>
        </w:tc>
      </w:tr>
    </w:tbl>
    <w:p>
      <w:pPr>
        <w:ind w:right="775"/>
        <w:jc w:val="left"/>
        <w:spacing w:line="360" w:lineRule="auto"/>
        <w:rPr>
          <w:b/>
          <w:bCs/>
          <w:color w:val="auto"/>
          <w:sz w:val="24"/>
          <w:highlight w:val="none"/>
        </w:rPr>
      </w:pPr>
      <w:r>
        <w:rPr>
          <w:b/>
          <w:bCs/>
          <w:color w:val="auto"/>
          <w:sz w:val="24"/>
          <w:highlight w:val="none"/>
        </w:rPr>
      </w:r>
      <w:r/>
    </w:p>
    <w:p>
      <w:pPr>
        <w:ind w:right="775"/>
        <w:jc w:val="left"/>
        <w:spacing w:line="360" w:lineRule="auto"/>
        <w:rPr>
          <w:rFonts w:hint="eastAsia" w:ascii="宋体" w:hAnsi="宋体"/>
          <w:b/>
          <w:color w:val="auto"/>
          <w:sz w:val="32"/>
          <w:szCs w:val="32"/>
          <w:highlight w:val="none"/>
        </w:rPr>
      </w:pPr>
      <w:r>
        <w:rPr>
          <w:b/>
          <w:bCs/>
          <w:color w:val="auto"/>
          <w:sz w:val="24"/>
          <w:highlight w:val="none"/>
        </w:rPr>
        <w:t xml:space="preserve">注：</w:t>
      </w:r>
      <w:r>
        <w:rPr>
          <w:rFonts w:hint="eastAsia"/>
          <w:color w:val="auto"/>
          <w:sz w:val="24"/>
          <w:highlight w:val="none"/>
        </w:rPr>
        <w:t xml:space="preserve">按评分标准要求提供证明材料。</w:t>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bookmarkEnd w:id="145"/>
      <w:r/>
      <w:bookmarkEnd w:id="146"/>
      <w:r/>
      <w:bookmarkEnd w:id="202"/>
      <w:r/>
      <w:bookmarkEnd w:id="203"/>
      <w:r/>
      <w:r/>
    </w:p>
    <w:p>
      <w:pPr>
        <w:pStyle w:val="1021"/>
        <w:rPr>
          <w:rFonts w:hint="eastAsia" w:ascii="宋体" w:hAnsi="宋体" w:eastAsia="宋体" w:cs="宋体"/>
          <w:b/>
          <w:color w:val="auto"/>
          <w:sz w:val="28"/>
          <w:highlight w:val="none"/>
        </w:rPr>
        <w:outlineLvl w:val="2"/>
      </w:pPr>
      <w:r>
        <w:rPr>
          <w:rFonts w:hint="eastAsia" w:ascii="宋体" w:hAnsi="宋体" w:eastAsia="宋体" w:cs="宋体"/>
          <w:b/>
          <w:color w:val="auto"/>
          <w:sz w:val="28"/>
          <w:highlight w:val="none"/>
        </w:rPr>
      </w:r>
      <w:r/>
    </w:p>
    <w:sectPr>
      <w:headerReference w:type="defaul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Calibri">
    <w:panose1 w:val="020F0502020204030204"/>
  </w:font>
  <w:font w:name="方正仿宋简体">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94"/>
      </w:rPr>
      <w:framePr w:wrap="around" w:vAnchor="text" w:hAnchor="margin" w:xAlign="center" w:y="1"/>
    </w:pPr>
    <w:r>
      <w:fldChar w:fldCharType="begin"/>
    </w:r>
    <w:r>
      <w:rPr>
        <w:rStyle w:val="994"/>
        <w:highlight w:val="white"/>
      </w:rPr>
      <w:instrText xml:space="preserve">PAGE  </w:instrText>
    </w:r>
    <w:r>
      <w:fldChar w:fldCharType="separate"/>
    </w:r>
    <w:r>
      <w:rPr>
        <w:rStyle w:val="994"/>
        <w:highlight w:val="white"/>
      </w:rPr>
      <w:t xml:space="preserve">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94"/>
      </w:rPr>
      <w:framePr w:wrap="around" w:vAnchor="text" w:hAnchor="margin" w:xAlign="center" w:y="1"/>
    </w:pPr>
    <w:r>
      <w:fldChar w:fldCharType="begin"/>
    </w:r>
    <w:r>
      <w:rPr>
        <w:rStyle w:val="994"/>
        <w:highlight w:val="white"/>
      </w:rPr>
      <w:instrText xml:space="preserve">PAGE  </w:instrText>
    </w:r>
    <w:r>
      <w:fldChar w:fldCharType="separate"/>
    </w:r>
    <w:r>
      <w:fldChar w:fldCharType="end"/>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rPr>
        <w:rStyle w:val="994"/>
      </w:rPr>
      <w:framePr w:wrap="around" w:vAnchor="text" w:hAnchor="margin" w:xAlign="right" w:y="1"/>
    </w:pPr>
    <w:r>
      <w:fldChar w:fldCharType="begin"/>
    </w:r>
    <w:r>
      <w:rPr>
        <w:rStyle w:val="994"/>
        <w:color w:val="000000"/>
        <w:highlight w:val="white"/>
      </w:rPr>
      <w:instrText xml:space="preserve">PAGE  </w:instrText>
    </w:r>
    <w:r>
      <w:fldChar w:fldCharType="separate"/>
    </w:r>
    <w:r>
      <w:fldChar w:fldCharType="end"/>
    </w:r>
    <w:r/>
  </w:p>
  <w:p>
    <w:pPr>
      <w:pStyle w:val="989"/>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791"/>
    <w:link w:val="782"/>
    <w:uiPriority w:val="9"/>
    <w:rPr>
      <w:rFonts w:ascii="Arial" w:hAnsi="Arial" w:eastAsia="Arial" w:cs="Arial"/>
      <w:sz w:val="40"/>
      <w:szCs w:val="40"/>
    </w:rPr>
  </w:style>
  <w:style w:type="character" w:styleId="745">
    <w:name w:val="Heading 2 Char"/>
    <w:basedOn w:val="791"/>
    <w:link w:val="783"/>
    <w:uiPriority w:val="9"/>
    <w:rPr>
      <w:rFonts w:ascii="Arial" w:hAnsi="Arial" w:eastAsia="Arial" w:cs="Arial"/>
      <w:sz w:val="34"/>
    </w:rPr>
  </w:style>
  <w:style w:type="character" w:styleId="746">
    <w:name w:val="Heading 3 Char"/>
    <w:basedOn w:val="791"/>
    <w:link w:val="784"/>
    <w:uiPriority w:val="9"/>
    <w:rPr>
      <w:rFonts w:ascii="Arial" w:hAnsi="Arial" w:eastAsia="Arial" w:cs="Arial"/>
      <w:sz w:val="30"/>
      <w:szCs w:val="30"/>
    </w:rPr>
  </w:style>
  <w:style w:type="character" w:styleId="747">
    <w:name w:val="Heading 4 Char"/>
    <w:basedOn w:val="791"/>
    <w:link w:val="785"/>
    <w:uiPriority w:val="9"/>
    <w:rPr>
      <w:rFonts w:ascii="Arial" w:hAnsi="Arial" w:eastAsia="Arial" w:cs="Arial"/>
      <w:b/>
      <w:bCs/>
      <w:sz w:val="26"/>
      <w:szCs w:val="26"/>
    </w:rPr>
  </w:style>
  <w:style w:type="character" w:styleId="748">
    <w:name w:val="Heading 5 Char"/>
    <w:basedOn w:val="791"/>
    <w:link w:val="786"/>
    <w:uiPriority w:val="9"/>
    <w:rPr>
      <w:rFonts w:ascii="Arial" w:hAnsi="Arial" w:eastAsia="Arial" w:cs="Arial"/>
      <w:b/>
      <w:bCs/>
      <w:sz w:val="24"/>
      <w:szCs w:val="24"/>
    </w:rPr>
  </w:style>
  <w:style w:type="character" w:styleId="749">
    <w:name w:val="Heading 6 Char"/>
    <w:basedOn w:val="791"/>
    <w:link w:val="787"/>
    <w:uiPriority w:val="9"/>
    <w:rPr>
      <w:rFonts w:ascii="Arial" w:hAnsi="Arial" w:eastAsia="Arial" w:cs="Arial"/>
      <w:b/>
      <w:bCs/>
      <w:sz w:val="22"/>
      <w:szCs w:val="22"/>
    </w:rPr>
  </w:style>
  <w:style w:type="character" w:styleId="750">
    <w:name w:val="Heading 7 Char"/>
    <w:basedOn w:val="791"/>
    <w:link w:val="788"/>
    <w:uiPriority w:val="9"/>
    <w:rPr>
      <w:rFonts w:ascii="Arial" w:hAnsi="Arial" w:eastAsia="Arial" w:cs="Arial"/>
      <w:b/>
      <w:bCs/>
      <w:i/>
      <w:iCs/>
      <w:sz w:val="22"/>
      <w:szCs w:val="22"/>
    </w:rPr>
  </w:style>
  <w:style w:type="character" w:styleId="751">
    <w:name w:val="Heading 8 Char"/>
    <w:basedOn w:val="791"/>
    <w:link w:val="789"/>
    <w:uiPriority w:val="9"/>
    <w:rPr>
      <w:rFonts w:ascii="Arial" w:hAnsi="Arial" w:eastAsia="Arial" w:cs="Arial"/>
      <w:i/>
      <w:iCs/>
      <w:sz w:val="22"/>
      <w:szCs w:val="22"/>
    </w:rPr>
  </w:style>
  <w:style w:type="character" w:styleId="752">
    <w:name w:val="Heading 9 Char"/>
    <w:basedOn w:val="791"/>
    <w:link w:val="790"/>
    <w:uiPriority w:val="9"/>
    <w:rPr>
      <w:rFonts w:ascii="Arial" w:hAnsi="Arial" w:eastAsia="Arial" w:cs="Arial"/>
      <w:i/>
      <w:iCs/>
      <w:sz w:val="21"/>
      <w:szCs w:val="21"/>
    </w:rPr>
  </w:style>
  <w:style w:type="character" w:styleId="753">
    <w:name w:val="Title Char"/>
    <w:basedOn w:val="791"/>
    <w:link w:val="824"/>
    <w:uiPriority w:val="10"/>
    <w:rPr>
      <w:sz w:val="48"/>
      <w:szCs w:val="48"/>
    </w:rPr>
  </w:style>
  <w:style w:type="character" w:styleId="754">
    <w:name w:val="Subtitle Char"/>
    <w:basedOn w:val="791"/>
    <w:link w:val="818"/>
    <w:uiPriority w:val="11"/>
    <w:rPr>
      <w:sz w:val="24"/>
      <w:szCs w:val="24"/>
    </w:rPr>
  </w:style>
  <w:style w:type="character" w:styleId="755">
    <w:name w:val="Quote Char"/>
    <w:link w:val="846"/>
    <w:uiPriority w:val="29"/>
    <w:rPr>
      <w:i/>
    </w:rPr>
  </w:style>
  <w:style w:type="character" w:styleId="756">
    <w:name w:val="Intense Quote Char"/>
    <w:link w:val="848"/>
    <w:uiPriority w:val="30"/>
    <w:rPr>
      <w:i/>
    </w:rPr>
  </w:style>
  <w:style w:type="character" w:styleId="757">
    <w:name w:val="Header Char"/>
    <w:basedOn w:val="791"/>
    <w:link w:val="815"/>
    <w:uiPriority w:val="99"/>
  </w:style>
  <w:style w:type="character" w:styleId="758">
    <w:name w:val="Caption Char"/>
    <w:basedOn w:val="798"/>
    <w:link w:val="813"/>
    <w:uiPriority w:val="99"/>
  </w:style>
  <w:style w:type="table" w:styleId="75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819"/>
    <w:uiPriority w:val="99"/>
    <w:rPr>
      <w:sz w:val="18"/>
    </w:rPr>
  </w:style>
  <w:style w:type="character" w:styleId="779">
    <w:name w:val="Endnote Text Char"/>
    <w:link w:val="811"/>
    <w:uiPriority w:val="99"/>
    <w:rPr>
      <w:sz w:val="20"/>
    </w:rPr>
  </w:style>
  <w:style w:type="paragraph" w:styleId="780">
    <w:name w:val="TOC Heading"/>
    <w:uiPriority w:val="39"/>
    <w:unhideWhenUsed/>
  </w:style>
  <w:style w:type="paragraph" w:styleId="781" w:default="1">
    <w:name w:val="Normal"/>
    <w:next w:val="79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82">
    <w:name w:val="Heading 1"/>
    <w:basedOn w:val="781"/>
    <w:next w:val="781"/>
    <w:link w:val="833"/>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link w:val="834"/>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35"/>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36"/>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37"/>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38"/>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link w:val="839"/>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link w:val="840"/>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link w:val="841"/>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Layout w:type="fixed"/>
      <w:tblCellMar>
        <w:left w:w="108" w:type="dxa"/>
        <w:top w:w="0" w:type="dxa"/>
        <w:right w:w="108" w:type="dxa"/>
        <w:bottom w:w="0" w:type="dxa"/>
      </w:tblCellMar>
    </w:tblPr>
  </w:style>
  <w:style w:type="paragraph" w:styleId="793" w:customStyle="1">
    <w:name w:val="正文文本首行缩进 21"/>
    <w:basedOn w:val="794"/>
    <w:uiPriority w:val="0"/>
    <w:qFormat/>
    <w:pPr>
      <w:ind w:firstLine="420"/>
    </w:pPr>
  </w:style>
  <w:style w:type="paragraph" w:styleId="794" w:customStyle="1">
    <w:name w:val="正文文本缩进11"/>
    <w:basedOn w:val="781"/>
    <w:next w:val="795"/>
    <w:uiPriority w:val="0"/>
    <w:qFormat/>
    <w:pPr>
      <w:ind w:firstLine="645"/>
    </w:pPr>
    <w:rPr>
      <w:rFonts w:ascii="楷体_GB2312" w:eastAsia="楷体_GB2312" w:cs="宋体"/>
      <w:sz w:val="32"/>
      <w:szCs w:val="32"/>
    </w:rPr>
  </w:style>
  <w:style w:type="paragraph" w:styleId="795" w:customStyle="1">
    <w:name w:val="寄信人地址11"/>
    <w:basedOn w:val="781"/>
    <w:uiPriority w:val="0"/>
    <w:unhideWhenUsed/>
    <w:qFormat/>
    <w:pPr>
      <w:ind w:firstLine="480"/>
      <w:spacing w:line="360" w:lineRule="auto"/>
    </w:pPr>
    <w:rPr>
      <w:rFonts w:ascii="Arial" w:hAnsi="Arial" w:cs="Arial"/>
    </w:rPr>
  </w:style>
  <w:style w:type="paragraph" w:styleId="796">
    <w:name w:val="toc 7"/>
    <w:basedOn w:val="781"/>
    <w:next w:val="781"/>
    <w:uiPriority w:val="39"/>
    <w:unhideWhenUsed/>
    <w:qFormat/>
    <w:pPr>
      <w:ind w:left="1701"/>
      <w:spacing w:after="57"/>
    </w:pPr>
  </w:style>
  <w:style w:type="paragraph" w:styleId="797">
    <w:name w:val="Normal Indent"/>
    <w:basedOn w:val="781"/>
    <w:next w:val="781"/>
    <w:uiPriority w:val="0"/>
    <w:qFormat/>
    <w:pPr>
      <w:ind w:left="420" w:firstLine="4772"/>
    </w:pPr>
  </w:style>
  <w:style w:type="paragraph" w:styleId="798">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index 5"/>
    <w:basedOn w:val="781"/>
    <w:next w:val="781"/>
    <w:uiPriority w:val="99"/>
    <w:qFormat/>
    <w:pPr>
      <w:ind w:left="800"/>
    </w:pPr>
  </w:style>
  <w:style w:type="paragraph" w:styleId="800">
    <w:name w:val="annotation text"/>
    <w:basedOn w:val="781"/>
    <w:uiPriority w:val="99"/>
    <w:semiHidden/>
    <w:unhideWhenUsed/>
    <w:qFormat/>
    <w:pPr>
      <w:jc w:val="left"/>
    </w:pPr>
  </w:style>
  <w:style w:type="paragraph" w:styleId="801">
    <w:name w:val="Body Text"/>
    <w:basedOn w:val="781"/>
    <w:next w:val="802"/>
    <w:uiPriority w:val="99"/>
    <w:qFormat/>
    <w:rPr>
      <w:rFonts w:ascii="楷体_GB2312" w:hAnsi="宋体" w:eastAsia="楷体_GB2312"/>
      <w:sz w:val="28"/>
      <w:szCs w:val="28"/>
    </w:rPr>
  </w:style>
  <w:style w:type="paragraph" w:styleId="802" w:customStyle="1">
    <w:name w:val="一级条标题"/>
    <w:basedOn w:val="803"/>
    <w:next w:val="804"/>
    <w:uiPriority w:val="99"/>
    <w:qFormat/>
    <w:pPr>
      <w:ind w:left="907" w:hanging="907"/>
      <w:spacing w:before="0" w:after="0"/>
      <w:outlineLvl w:val="2"/>
    </w:pPr>
    <w:rPr>
      <w:rFonts w:hAnsi="宋体"/>
      <w:sz w:val="20"/>
      <w:szCs w:val="20"/>
    </w:rPr>
  </w:style>
  <w:style w:type="paragraph" w:styleId="803" w:customStyle="1">
    <w:name w:val="章标题"/>
    <w:next w:val="781"/>
    <w:uiPriority w:val="99"/>
    <w:qFormat/>
    <w:pPr>
      <w:ind w:left="810" w:hanging="810"/>
      <w:jc w:val="both"/>
      <w:spacing w:before="50" w:after="50" w:line="278" w:lineRule="auto"/>
      <w:outlineLvl w:val="1"/>
    </w:pPr>
    <w:rPr>
      <w:rFonts w:ascii="黑体" w:hAnsi="Times New Roman" w:eastAsia="黑体" w:cs="Times New Roman"/>
      <w:sz w:val="21"/>
      <w:szCs w:val="22"/>
      <w:lang w:val="en-US" w:eastAsia="zh-CN" w:bidi="ar-SA"/>
    </w:rPr>
  </w:style>
  <w:style w:type="paragraph" w:styleId="804" w:customStyle="1">
    <w:name w:val="段"/>
    <w:next w:val="781"/>
    <w:uiPriority w:val="0"/>
    <w:qFormat/>
    <w:pPr>
      <w:ind w:firstLine="200"/>
      <w:jc w:val="both"/>
      <w:spacing w:after="160" w:line="278" w:lineRule="auto"/>
    </w:pPr>
    <w:rPr>
      <w:rFonts w:ascii="宋体" w:hAnsi="Times New Roman" w:eastAsia="Times New Roman" w:cs="Times New Roman"/>
      <w:sz w:val="21"/>
      <w:szCs w:val="22"/>
      <w:lang w:val="en-US" w:eastAsia="zh-CN" w:bidi="ar-SA"/>
    </w:rPr>
  </w:style>
  <w:style w:type="paragraph" w:styleId="805">
    <w:name w:val="Body Text Indent"/>
    <w:basedOn w:val="781"/>
    <w:next w:val="806"/>
    <w:uiPriority w:val="0"/>
    <w:qFormat/>
    <w:pPr>
      <w:ind w:firstLine="645"/>
    </w:pPr>
    <w:rPr>
      <w:rFonts w:ascii="楷体_GB2312" w:eastAsia="楷体_GB2312" w:cs="宋体"/>
      <w:sz w:val="32"/>
      <w:szCs w:val="32"/>
    </w:rPr>
  </w:style>
  <w:style w:type="paragraph" w:styleId="806">
    <w:name w:val="envelope return"/>
    <w:basedOn w:val="781"/>
    <w:uiPriority w:val="0"/>
    <w:unhideWhenUsed/>
    <w:qFormat/>
    <w:pPr>
      <w:ind w:firstLine="480"/>
      <w:spacing w:line="360" w:lineRule="auto"/>
    </w:pPr>
    <w:rPr>
      <w:rFonts w:ascii="Arial" w:hAnsi="Arial" w:cs="Arial"/>
    </w:rPr>
  </w:style>
  <w:style w:type="paragraph" w:styleId="807">
    <w:name w:val="toc 5"/>
    <w:basedOn w:val="781"/>
    <w:next w:val="781"/>
    <w:uiPriority w:val="39"/>
    <w:unhideWhenUsed/>
    <w:qFormat/>
    <w:pPr>
      <w:ind w:left="1134"/>
      <w:spacing w:after="57"/>
    </w:pPr>
  </w:style>
  <w:style w:type="paragraph" w:styleId="808">
    <w:name w:val="toc 3"/>
    <w:basedOn w:val="781"/>
    <w:next w:val="781"/>
    <w:uiPriority w:val="39"/>
    <w:unhideWhenUsed/>
    <w:qFormat/>
    <w:pPr>
      <w:ind w:left="567"/>
      <w:spacing w:after="57"/>
    </w:pPr>
  </w:style>
  <w:style w:type="paragraph" w:styleId="809">
    <w:name w:val="Plain Text"/>
    <w:basedOn w:val="781"/>
    <w:uiPriority w:val="0"/>
    <w:qFormat/>
    <w:rPr>
      <w:rFonts w:hAnsiTheme="minorHAnsi" w:cstheme="minorBidi"/>
    </w:rPr>
  </w:style>
  <w:style w:type="paragraph" w:styleId="810">
    <w:name w:val="toc 8"/>
    <w:basedOn w:val="781"/>
    <w:next w:val="781"/>
    <w:uiPriority w:val="39"/>
    <w:unhideWhenUsed/>
    <w:qFormat/>
    <w:pPr>
      <w:ind w:left="1984"/>
      <w:spacing w:after="57"/>
    </w:pPr>
  </w:style>
  <w:style w:type="paragraph" w:styleId="811">
    <w:name w:val="endnote text"/>
    <w:basedOn w:val="781"/>
    <w:link w:val="979"/>
    <w:uiPriority w:val="99"/>
    <w:semiHidden/>
    <w:unhideWhenUsed/>
    <w:qFormat/>
    <w:pPr>
      <w:spacing w:after="0" w:line="240" w:lineRule="auto"/>
    </w:pPr>
    <w:rPr>
      <w:sz w:val="20"/>
    </w:rPr>
  </w:style>
  <w:style w:type="paragraph" w:styleId="812">
    <w:name w:val="Balloon Text"/>
    <w:basedOn w:val="781"/>
    <w:uiPriority w:val="0"/>
    <w:qFormat/>
    <w:rPr>
      <w:sz w:val="18"/>
      <w:szCs w:val="18"/>
    </w:rPr>
  </w:style>
  <w:style w:type="paragraph" w:styleId="813">
    <w:name w:val="Footer"/>
    <w:basedOn w:val="781"/>
    <w:link w:val="852"/>
    <w:uiPriority w:val="99"/>
    <w:unhideWhenUsed/>
    <w:qFormat/>
    <w:pPr>
      <w:spacing w:after="0" w:line="240" w:lineRule="auto"/>
      <w:tabs>
        <w:tab w:val="center" w:pos="7143" w:leader="none"/>
        <w:tab w:val="right" w:pos="14287" w:leader="none"/>
      </w:tabs>
    </w:pPr>
  </w:style>
  <w:style w:type="paragraph" w:styleId="814">
    <w:name w:val="Body Text First Indent 2"/>
    <w:basedOn w:val="805"/>
    <w:uiPriority w:val="0"/>
    <w:qFormat/>
    <w:pPr>
      <w:ind w:firstLine="420"/>
    </w:pPr>
    <w:rPr>
      <w:rFonts w:ascii="宋体" w:eastAsia="宋体"/>
    </w:rPr>
  </w:style>
  <w:style w:type="paragraph" w:styleId="815">
    <w:name w:val="Header"/>
    <w:basedOn w:val="781"/>
    <w:link w:val="850"/>
    <w:uiPriority w:val="99"/>
    <w:unhideWhenUsed/>
    <w:qFormat/>
    <w:pPr>
      <w:spacing w:after="0" w:line="240" w:lineRule="auto"/>
      <w:tabs>
        <w:tab w:val="center" w:pos="7143" w:leader="none"/>
        <w:tab w:val="right" w:pos="14287" w:leader="none"/>
      </w:tabs>
    </w:pPr>
  </w:style>
  <w:style w:type="paragraph" w:styleId="816">
    <w:name w:val="toc 1"/>
    <w:basedOn w:val="781"/>
    <w:next w:val="781"/>
    <w:uiPriority w:val="39"/>
    <w:unhideWhenUsed/>
    <w:qFormat/>
    <w:pPr>
      <w:spacing w:after="57"/>
    </w:pPr>
  </w:style>
  <w:style w:type="paragraph" w:styleId="817">
    <w:name w:val="toc 4"/>
    <w:basedOn w:val="781"/>
    <w:next w:val="781"/>
    <w:uiPriority w:val="39"/>
    <w:unhideWhenUsed/>
    <w:qFormat/>
    <w:pPr>
      <w:ind w:left="850"/>
      <w:spacing w:after="57"/>
    </w:pPr>
  </w:style>
  <w:style w:type="paragraph" w:styleId="818">
    <w:name w:val="Subtitle"/>
    <w:basedOn w:val="781"/>
    <w:next w:val="781"/>
    <w:link w:val="845"/>
    <w:uiPriority w:val="11"/>
    <w:qFormat/>
    <w:pPr>
      <w:spacing w:before="200" w:after="200"/>
    </w:pPr>
    <w:rPr>
      <w:sz w:val="24"/>
      <w:szCs w:val="24"/>
    </w:rPr>
  </w:style>
  <w:style w:type="paragraph" w:styleId="819">
    <w:name w:val="footnote text"/>
    <w:basedOn w:val="781"/>
    <w:next w:val="799"/>
    <w:link w:val="978"/>
    <w:uiPriority w:val="99"/>
    <w:semiHidden/>
    <w:unhideWhenUsed/>
    <w:qFormat/>
    <w:pPr>
      <w:spacing w:after="40" w:line="240" w:lineRule="auto"/>
    </w:pPr>
    <w:rPr>
      <w:sz w:val="18"/>
    </w:rPr>
  </w:style>
  <w:style w:type="paragraph" w:styleId="820">
    <w:name w:val="toc 6"/>
    <w:basedOn w:val="781"/>
    <w:next w:val="781"/>
    <w:uiPriority w:val="39"/>
    <w:unhideWhenUsed/>
    <w:qFormat/>
    <w:pPr>
      <w:ind w:left="1417"/>
      <w:spacing w:after="57"/>
    </w:pPr>
  </w:style>
  <w:style w:type="paragraph" w:styleId="821">
    <w:name w:val="table of figures"/>
    <w:basedOn w:val="781"/>
    <w:next w:val="781"/>
    <w:uiPriority w:val="99"/>
    <w:unhideWhenUsed/>
    <w:qFormat/>
    <w:pPr>
      <w:spacing w:after="0"/>
    </w:pPr>
  </w:style>
  <w:style w:type="paragraph" w:styleId="822">
    <w:name w:val="toc 2"/>
    <w:basedOn w:val="781"/>
    <w:next w:val="781"/>
    <w:uiPriority w:val="39"/>
    <w:unhideWhenUsed/>
    <w:qFormat/>
    <w:pPr>
      <w:ind w:left="283"/>
      <w:spacing w:after="57"/>
    </w:pPr>
  </w:style>
  <w:style w:type="paragraph" w:styleId="823">
    <w:name w:val="toc 9"/>
    <w:basedOn w:val="781"/>
    <w:next w:val="781"/>
    <w:uiPriority w:val="39"/>
    <w:unhideWhenUsed/>
    <w:qFormat/>
    <w:pPr>
      <w:ind w:left="2268"/>
      <w:spacing w:after="57"/>
    </w:pPr>
  </w:style>
  <w:style w:type="paragraph" w:styleId="824">
    <w:name w:val="Title"/>
    <w:basedOn w:val="781"/>
    <w:next w:val="781"/>
    <w:link w:val="844"/>
    <w:uiPriority w:val="10"/>
    <w:qFormat/>
    <w:pPr>
      <w:contextualSpacing/>
      <w:spacing w:before="300" w:after="200"/>
    </w:pPr>
    <w:rPr>
      <w:sz w:val="48"/>
      <w:szCs w:val="48"/>
    </w:r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91"/>
    <w:uiPriority w:val="99"/>
    <w:semiHidden/>
    <w:unhideWhenUsed/>
    <w:qFormat/>
    <w:rPr>
      <w:sz w:val="21"/>
      <w:szCs w:val="21"/>
    </w:rPr>
  </w:style>
  <w:style w:type="character" w:styleId="828">
    <w:name w:val="footnote reference"/>
    <w:uiPriority w:val="99"/>
    <w:unhideWhenUsed/>
    <w:qFormat/>
    <w:rPr>
      <w:vertAlign w:val="superscript"/>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30" w:customStyle="1">
    <w:name w:val="正文文本缩进1"/>
    <w:next w:val="831"/>
    <w:uiPriority w:val="0"/>
    <w:qFormat/>
    <w:pPr>
      <w:ind w:left="570"/>
      <w:jc w:val="both"/>
      <w:spacing w:after="160" w:line="520" w:lineRule="exact"/>
      <w:widowControl w:val="off"/>
    </w:pPr>
    <w:rPr>
      <w:rFonts w:ascii="方正仿宋简体" w:hAnsi="创艺简仿宋" w:eastAsia="方正仿宋简体" w:cs="Times New Roman"/>
      <w:sz w:val="24"/>
      <w:lang w:val="en-US" w:eastAsia="zh-CN" w:bidi="ar-SA"/>
    </w:rPr>
  </w:style>
  <w:style w:type="paragraph" w:styleId="831" w:customStyle="1">
    <w:name w:val="寄信人地址1"/>
    <w:uiPriority w:val="0"/>
    <w:qFormat/>
    <w:pPr>
      <w:jc w:val="both"/>
      <w:spacing w:after="160" w:line="278" w:lineRule="auto"/>
      <w:widowControl w:val="off"/>
    </w:pPr>
    <w:rPr>
      <w:rFonts w:ascii="Arial" w:hAnsi="Arial" w:eastAsia="楷体_GB2312" w:cs="Times New Roman"/>
      <w:sz w:val="26"/>
      <w:lang w:val="en-US" w:eastAsia="zh-CN" w:bidi="ar-SA"/>
    </w:rPr>
  </w:style>
  <w:style w:type="paragraph" w:styleId="832" w:customStyle="1">
    <w:name w:val="首行缩进"/>
    <w:basedOn w:val="781"/>
    <w:next w:val="781"/>
    <w:uiPriority w:val="0"/>
    <w:qFormat/>
    <w:pPr>
      <w:ind w:firstLine="480"/>
      <w:jc w:val="left"/>
      <w:spacing w:line="360" w:lineRule="auto"/>
    </w:pPr>
    <w:rPr>
      <w:rFonts w:ascii="宋体" w:hAnsi="宋体"/>
      <w:sz w:val="24"/>
    </w:rPr>
  </w:style>
  <w:style w:type="character" w:styleId="833" w:customStyle="1">
    <w:name w:val="标题 1 字符"/>
    <w:link w:val="782"/>
    <w:uiPriority w:val="9"/>
    <w:qFormat/>
    <w:rPr>
      <w:rFonts w:ascii="Arial" w:hAnsi="Arial" w:eastAsia="Arial" w:cs="Arial"/>
      <w:sz w:val="40"/>
      <w:szCs w:val="40"/>
    </w:rPr>
  </w:style>
  <w:style w:type="character" w:styleId="834" w:customStyle="1">
    <w:name w:val="标题 2 字符"/>
    <w:link w:val="783"/>
    <w:uiPriority w:val="9"/>
    <w:qFormat/>
    <w:rPr>
      <w:rFonts w:ascii="Arial" w:hAnsi="Arial" w:eastAsia="Arial" w:cs="Arial"/>
      <w:sz w:val="34"/>
    </w:rPr>
  </w:style>
  <w:style w:type="character" w:styleId="835" w:customStyle="1">
    <w:name w:val="标题 3 字符1"/>
    <w:link w:val="784"/>
    <w:uiPriority w:val="9"/>
    <w:qFormat/>
    <w:rPr>
      <w:rFonts w:ascii="Arial" w:hAnsi="Arial" w:eastAsia="Arial" w:cs="Arial"/>
      <w:sz w:val="30"/>
      <w:szCs w:val="30"/>
    </w:rPr>
  </w:style>
  <w:style w:type="character" w:styleId="836" w:customStyle="1">
    <w:name w:val="标题 4 字符"/>
    <w:link w:val="785"/>
    <w:uiPriority w:val="9"/>
    <w:qFormat/>
    <w:rPr>
      <w:rFonts w:ascii="Arial" w:hAnsi="Arial" w:eastAsia="Arial" w:cs="Arial"/>
      <w:b/>
      <w:bCs/>
      <w:sz w:val="26"/>
      <w:szCs w:val="26"/>
    </w:rPr>
  </w:style>
  <w:style w:type="character" w:styleId="837" w:customStyle="1">
    <w:name w:val="标题 5 字符"/>
    <w:link w:val="786"/>
    <w:uiPriority w:val="9"/>
    <w:qFormat/>
    <w:rPr>
      <w:rFonts w:ascii="Arial" w:hAnsi="Arial" w:eastAsia="Arial" w:cs="Arial"/>
      <w:b/>
      <w:bCs/>
      <w:sz w:val="24"/>
      <w:szCs w:val="24"/>
    </w:rPr>
  </w:style>
  <w:style w:type="character" w:styleId="838" w:customStyle="1">
    <w:name w:val="标题 6 字符"/>
    <w:link w:val="787"/>
    <w:uiPriority w:val="9"/>
    <w:qFormat/>
    <w:rPr>
      <w:rFonts w:ascii="Arial" w:hAnsi="Arial" w:eastAsia="Arial" w:cs="Arial"/>
      <w:b/>
      <w:bCs/>
      <w:sz w:val="22"/>
      <w:szCs w:val="22"/>
    </w:rPr>
  </w:style>
  <w:style w:type="character" w:styleId="839" w:customStyle="1">
    <w:name w:val="标题 7 字符"/>
    <w:link w:val="788"/>
    <w:uiPriority w:val="9"/>
    <w:qFormat/>
    <w:rPr>
      <w:rFonts w:ascii="Arial" w:hAnsi="Arial" w:eastAsia="Arial" w:cs="Arial"/>
      <w:b/>
      <w:bCs/>
      <w:i/>
      <w:iCs/>
      <w:sz w:val="22"/>
      <w:szCs w:val="22"/>
    </w:rPr>
  </w:style>
  <w:style w:type="character" w:styleId="840" w:customStyle="1">
    <w:name w:val="标题 8 字符"/>
    <w:basedOn w:val="791"/>
    <w:link w:val="789"/>
    <w:uiPriority w:val="9"/>
    <w:qFormat/>
    <w:rPr>
      <w:rFonts w:ascii="Arial" w:hAnsi="Arial" w:eastAsia="Arial" w:cs="Arial"/>
      <w:i/>
      <w:iCs/>
      <w:sz w:val="22"/>
      <w:szCs w:val="22"/>
    </w:rPr>
  </w:style>
  <w:style w:type="character" w:styleId="841" w:customStyle="1">
    <w:name w:val="标题 9 字符"/>
    <w:link w:val="790"/>
    <w:uiPriority w:val="9"/>
    <w:qFormat/>
    <w:rPr>
      <w:rFonts w:ascii="Arial" w:hAnsi="Arial" w:eastAsia="Arial" w:cs="Arial"/>
      <w:i/>
      <w:iCs/>
      <w:sz w:val="21"/>
      <w:szCs w:val="21"/>
    </w:rPr>
  </w:style>
  <w:style w:type="paragraph" w:styleId="842">
    <w:name w:val="List Paragraph"/>
    <w:basedOn w:val="781"/>
    <w:uiPriority w:val="34"/>
    <w:qFormat/>
    <w:pPr>
      <w:contextualSpacing/>
      <w:ind w:left="720"/>
    </w:pPr>
  </w:style>
  <w:style w:type="paragraph" w:styleId="843">
    <w:name w:val="No Spacing"/>
    <w:uiPriority w:val="1"/>
    <w:qFormat/>
    <w:pPr>
      <w:spacing w:after="0" w:line="240" w:lineRule="auto"/>
    </w:pPr>
    <w:rPr>
      <w:rFonts w:ascii="Times New Roman" w:hAnsi="Times New Roman" w:eastAsia="宋体" w:cs="Times New Roman"/>
      <w:lang w:val="en-US" w:eastAsia="zh-CN" w:bidi="ar-SA"/>
    </w:rPr>
  </w:style>
  <w:style w:type="character" w:styleId="844" w:customStyle="1">
    <w:name w:val="标题 字符"/>
    <w:link w:val="824"/>
    <w:uiPriority w:val="10"/>
    <w:qFormat/>
    <w:rPr>
      <w:sz w:val="48"/>
      <w:szCs w:val="48"/>
    </w:rPr>
  </w:style>
  <w:style w:type="character" w:styleId="845" w:customStyle="1">
    <w:name w:val="副标题 字符"/>
    <w:link w:val="818"/>
    <w:uiPriority w:val="11"/>
    <w:qFormat/>
    <w:rPr>
      <w:sz w:val="24"/>
      <w:szCs w:val="24"/>
    </w:rPr>
  </w:style>
  <w:style w:type="paragraph" w:styleId="846">
    <w:name w:val="Quote"/>
    <w:basedOn w:val="781"/>
    <w:next w:val="781"/>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81"/>
    <w:next w:val="781"/>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
    <w:link w:val="815"/>
    <w:uiPriority w:val="99"/>
    <w:qFormat/>
  </w:style>
  <w:style w:type="character" w:styleId="851" w:customStyle="1">
    <w:name w:val="Footer Char"/>
    <w:uiPriority w:val="99"/>
    <w:qFormat/>
  </w:style>
  <w:style w:type="character" w:styleId="852" w:customStyle="1">
    <w:name w:val="页脚 字符"/>
    <w:link w:val="813"/>
    <w:uiPriority w:val="99"/>
    <w:qFormat/>
  </w:style>
  <w:style w:type="table" w:styleId="8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4"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pPr>
      <w:spacing w:after="0" w:line="240" w:lineRule="auto"/>
    </w:pPr>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pPr>
      <w:spacing w:after="0" w:line="240" w:lineRule="auto"/>
    </w:pPr>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pPr>
      <w:spacing w:after="0" w:line="240" w:lineRule="auto"/>
    </w:pPr>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pPr>
      <w:spacing w:after="0" w:line="240" w:lineRule="auto"/>
    </w:pPr>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pPr>
      <w:spacing w:after="0" w:line="240" w:lineRule="auto"/>
    </w:pPr>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pPr>
      <w:spacing w:after="0" w:line="240" w:lineRule="auto"/>
    </w:pPr>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pPr>
      <w:spacing w:after="0" w:line="240" w:lineRule="auto"/>
    </w:pPr>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清单表 7 彩色1"/>
    <w:uiPriority w:val="99"/>
    <w:qFormat/>
    <w:pPr>
      <w:spacing w:after="0" w:line="240" w:lineRule="auto"/>
    </w:pPr>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pPr>
      <w:spacing w:after="0" w:line="240" w:lineRule="auto"/>
    </w:pPr>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pPr>
      <w:spacing w:after="0" w:line="240" w:lineRule="auto"/>
    </w:pPr>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pPr>
      <w:spacing w:after="0" w:line="240" w:lineRule="auto"/>
    </w:pPr>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pPr>
      <w:spacing w:after="0" w:line="240" w:lineRule="auto"/>
    </w:pPr>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pPr>
      <w:spacing w:after="0" w:line="240" w:lineRule="auto"/>
    </w:pPr>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pPr>
      <w:spacing w:after="0" w:line="240" w:lineRule="auto"/>
    </w:pPr>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字符"/>
    <w:link w:val="819"/>
    <w:uiPriority w:val="99"/>
    <w:qFormat/>
    <w:rPr>
      <w:sz w:val="18"/>
    </w:rPr>
  </w:style>
  <w:style w:type="character" w:styleId="979" w:customStyle="1">
    <w:name w:val="尾注文本 字符"/>
    <w:link w:val="811"/>
    <w:uiPriority w:val="99"/>
    <w:qFormat/>
    <w:rPr>
      <w:sz w:val="20"/>
    </w:rPr>
  </w:style>
  <w:style w:type="paragraph" w:styleId="980"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1" w:customStyle="1">
    <w:name w:val="标题 21"/>
    <w:basedOn w:val="781"/>
    <w:next w:val="781"/>
    <w:uiPriority w:val="0"/>
    <w:qFormat/>
    <w:pPr>
      <w:jc w:val="center"/>
      <w:keepLines/>
      <w:keepNext/>
      <w:spacing w:before="260" w:after="260" w:line="415" w:lineRule="auto"/>
      <w:outlineLvl w:val="1"/>
    </w:pPr>
    <w:rPr>
      <w:rFonts w:ascii="Arial" w:hAnsi="Arial" w:eastAsia="幼圆"/>
      <w:b/>
      <w:bCs/>
      <w:sz w:val="44"/>
      <w:szCs w:val="44"/>
    </w:rPr>
  </w:style>
  <w:style w:type="paragraph" w:styleId="982" w:customStyle="1">
    <w:name w:val="标题 31"/>
    <w:basedOn w:val="781"/>
    <w:next w:val="781"/>
    <w:link w:val="985"/>
    <w:uiPriority w:val="0"/>
    <w:qFormat/>
    <w:pPr>
      <w:keepLines/>
      <w:keepNext/>
      <w:spacing w:before="260" w:after="260" w:line="416" w:lineRule="auto"/>
      <w:outlineLvl w:val="2"/>
    </w:pPr>
    <w:rPr>
      <w:b/>
      <w:bCs/>
      <w:sz w:val="32"/>
      <w:szCs w:val="32"/>
    </w:rPr>
  </w:style>
  <w:style w:type="character" w:styleId="983" w:customStyle="1">
    <w:name w:val="默认段落字体11"/>
    <w:uiPriority w:val="0"/>
    <w:semiHidden/>
    <w:qFormat/>
  </w:style>
  <w:style w:type="table" w:styleId="984" w:customStyle="1">
    <w:name w:val="普通表格1"/>
    <w:uiPriority w:val="0"/>
    <w:semiHidden/>
    <w:qFormat/>
    <w:tblPr>
      <w:tblLayout w:type="fixed"/>
      <w:tblCellMar>
        <w:left w:w="0" w:type="dxa"/>
        <w:top w:w="0" w:type="dxa"/>
        <w:right w:w="0" w:type="dxa"/>
        <w:bottom w:w="0" w:type="dxa"/>
      </w:tblCellMar>
    </w:tblPr>
  </w:style>
  <w:style w:type="character" w:styleId="985" w:customStyle="1">
    <w:name w:val="标题 3 字符"/>
    <w:link w:val="982"/>
    <w:uiPriority w:val="0"/>
    <w:semiHidden/>
    <w:qFormat/>
    <w:rPr>
      <w:b/>
      <w:bCs/>
      <w:sz w:val="32"/>
      <w:szCs w:val="32"/>
    </w:rPr>
  </w:style>
  <w:style w:type="paragraph" w:styleId="986" w:customStyle="1">
    <w:name w:val="批注文字1"/>
    <w:basedOn w:val="781"/>
    <w:uiPriority w:val="0"/>
    <w:qFormat/>
    <w:pPr>
      <w:jc w:val="left"/>
    </w:pPr>
  </w:style>
  <w:style w:type="paragraph" w:styleId="987" w:customStyle="1">
    <w:name w:val="正文文本1"/>
    <w:basedOn w:val="781"/>
    <w:uiPriority w:val="99"/>
    <w:qFormat/>
    <w:rPr>
      <w:rFonts w:ascii="楷体_GB2312" w:hAnsi="宋体" w:eastAsia="楷体_GB2312"/>
      <w:sz w:val="28"/>
      <w:szCs w:val="28"/>
    </w:rPr>
  </w:style>
  <w:style w:type="paragraph" w:styleId="988" w:customStyle="1">
    <w:name w:val="日期1"/>
    <w:basedOn w:val="781"/>
    <w:next w:val="781"/>
    <w:uiPriority w:val="0"/>
    <w:qFormat/>
    <w:rPr>
      <w:sz w:val="24"/>
    </w:rPr>
  </w:style>
  <w:style w:type="paragraph" w:styleId="989" w:customStyle="1">
    <w:name w:val="页脚1"/>
    <w:basedOn w:val="781"/>
    <w:uiPriority w:val="99"/>
    <w:qFormat/>
    <w:pPr>
      <w:jc w:val="left"/>
      <w:tabs>
        <w:tab w:val="center" w:pos="4153" w:leader="none"/>
        <w:tab w:val="right" w:pos="8306" w:leader="none"/>
      </w:tabs>
    </w:pPr>
    <w:rPr>
      <w:sz w:val="18"/>
      <w:szCs w:val="18"/>
    </w:rPr>
  </w:style>
  <w:style w:type="paragraph" w:styleId="990" w:customStyle="1">
    <w:name w:val="页眉1"/>
    <w:basedOn w:val="781"/>
    <w:uiPriority w:val="99"/>
    <w:qFormat/>
    <w:pPr>
      <w:jc w:val="center"/>
      <w:tabs>
        <w:tab w:val="center" w:pos="4153" w:leader="none"/>
        <w:tab w:val="right" w:pos="8306" w:leader="none"/>
      </w:tabs>
      <w:pBdr>
        <w:bottom w:val="single" w:color="000000" w:sz="6" w:space="1"/>
      </w:pBdr>
    </w:pPr>
    <w:rPr>
      <w:sz w:val="18"/>
      <w:szCs w:val="18"/>
    </w:rPr>
  </w:style>
  <w:style w:type="paragraph" w:styleId="991" w:customStyle="1">
    <w:name w:val="目录 11"/>
    <w:basedOn w:val="781"/>
    <w:next w:val="781"/>
    <w:uiPriority w:val="39"/>
    <w:qFormat/>
    <w:pPr>
      <w:jc w:val="left"/>
      <w:spacing w:before="120" w:after="120"/>
    </w:pPr>
    <w:rPr>
      <w:rFonts w:ascii="Calibri" w:hAnsi="Calibri" w:cs="Calibri"/>
      <w:b/>
      <w:bCs/>
      <w:caps/>
      <w:sz w:val="20"/>
      <w:szCs w:val="20"/>
    </w:rPr>
  </w:style>
  <w:style w:type="paragraph" w:styleId="992" w:customStyle="1">
    <w:name w:val="目录 21"/>
    <w:basedOn w:val="781"/>
    <w:next w:val="781"/>
    <w:uiPriority w:val="39"/>
    <w:qFormat/>
    <w:pPr>
      <w:ind w:left="210"/>
      <w:jc w:val="left"/>
    </w:pPr>
    <w:rPr>
      <w:rFonts w:ascii="Calibri" w:hAnsi="Calibri" w:cs="Calibri"/>
      <w:smallCaps/>
      <w:sz w:val="20"/>
      <w:szCs w:val="20"/>
    </w:rPr>
  </w:style>
  <w:style w:type="paragraph" w:styleId="993" w:customStyle="1">
    <w:name w:val="标题1"/>
    <w:basedOn w:val="781"/>
    <w:uiPriority w:val="0"/>
    <w:qFormat/>
    <w:pPr>
      <w:jc w:val="center"/>
      <w:spacing w:before="240" w:after="60"/>
      <w:outlineLvl w:val="0"/>
    </w:pPr>
    <w:rPr>
      <w:rFonts w:ascii="Arial" w:hAnsi="Arial" w:eastAsia="黑体"/>
      <w:b/>
      <w:bCs/>
      <w:sz w:val="44"/>
      <w:szCs w:val="32"/>
    </w:rPr>
  </w:style>
  <w:style w:type="character" w:styleId="994" w:customStyle="1">
    <w:name w:val="页码1"/>
    <w:uiPriority w:val="0"/>
    <w:qFormat/>
  </w:style>
  <w:style w:type="character" w:styleId="995" w:customStyle="1">
    <w:name w:val="超链接1"/>
    <w:uiPriority w:val="99"/>
    <w:qFormat/>
    <w:rPr>
      <w:color w:val="0000ff"/>
      <w:u w:val="single"/>
    </w:rPr>
  </w:style>
  <w:style w:type="character" w:styleId="996" w:customStyle="1">
    <w:name w:val="默认段落字体1"/>
    <w:uiPriority w:val="0"/>
    <w:semiHidden/>
    <w:qFormat/>
    <w:rPr>
      <w:sz w:val="21"/>
      <w:szCs w:val="22"/>
      <w:lang w:val="en-US" w:eastAsia="zh-CN" w:bidi="ar-SA"/>
    </w:rPr>
  </w:style>
  <w:style w:type="character" w:styleId="997" w:customStyle="1">
    <w:name w:val="标题 4 Char"/>
    <w:uiPriority w:val="0"/>
    <w:qFormat/>
    <w:rPr>
      <w:rFonts w:ascii="Cambria" w:hAnsi="Cambria" w:eastAsia="宋体" w:cs="Times New Roman"/>
      <w:b/>
      <w:bCs/>
      <w:sz w:val="28"/>
      <w:szCs w:val="28"/>
    </w:rPr>
  </w:style>
  <w:style w:type="paragraph" w:styleId="998" w:customStyle="1">
    <w:name w:val="Normal_1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99" w:customStyle="1">
    <w:name w:val="Normal_4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0" w:customStyle="1">
    <w:name w:val="Normal_4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1" w:customStyle="1">
    <w:name w:val="Normal_0_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2" w:customStyle="1">
    <w:name w:val="Normal_3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3" w:customStyle="1">
    <w:name w:val="Normal_1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4" w:customStyle="1">
    <w:name w:val="Normal_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5" w:customStyle="1">
    <w:name w:val="正文_1"/>
    <w:next w:val="1006"/>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06" w:customStyle="1">
    <w:name w:val="正文文本_0"/>
    <w:basedOn w:val="1005"/>
    <w:uiPriority w:val="0"/>
    <w:qFormat/>
    <w:pPr>
      <w:spacing w:line="400" w:lineRule="exact"/>
    </w:pPr>
    <w:rPr>
      <w:sz w:val="24"/>
    </w:rPr>
  </w:style>
  <w:style w:type="paragraph" w:styleId="1007" w:customStyle="1">
    <w:name w:val="Normal_3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8" w:customStyle="1">
    <w:name w:val="Normal_2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09" w:customStyle="1">
    <w:name w:val="Normal_3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10" w:customStyle="1">
    <w:name w:val="Normal_0"/>
    <w:next w:val="1011"/>
    <w:uiPriority w:val="0"/>
    <w:qFormat/>
    <w:pPr>
      <w:jc w:val="both"/>
      <w:spacing w:after="160" w:line="278" w:lineRule="auto"/>
      <w:widowControl w:val="off"/>
    </w:pPr>
    <w:rPr>
      <w:rFonts w:ascii="Times New Roman" w:hAnsi="Times New Roman" w:eastAsia="Times New Roman" w:cs="Times New Roman"/>
      <w:sz w:val="21"/>
      <w:szCs w:val="24"/>
      <w:lang w:val="en-US" w:eastAsia="zh-CN" w:bidi="ar-SA"/>
    </w:rPr>
  </w:style>
  <w:style w:type="paragraph" w:styleId="1011" w:customStyle="1">
    <w:name w:val="段_0"/>
    <w:next w:val="1012"/>
    <w:uiPriority w:val="0"/>
    <w:qFormat/>
    <w:pPr>
      <w:ind w:firstLine="200"/>
      <w:jc w:val="both"/>
      <w:spacing w:after="200" w:line="276" w:lineRule="auto"/>
    </w:pPr>
    <w:rPr>
      <w:rFonts w:ascii="宋体" w:hAnsi="Calibri" w:eastAsia="宋体" w:cs="Times New Roman"/>
      <w:sz w:val="21"/>
      <w:szCs w:val="22"/>
      <w:lang w:val="en-US" w:eastAsia="zh-CN" w:bidi="ar-SA"/>
    </w:rPr>
  </w:style>
  <w:style w:type="paragraph" w:styleId="1012" w:customStyle="1">
    <w:name w:val="正文 A_0"/>
    <w:next w:val="1011"/>
    <w:uiPriority w:val="0"/>
    <w:qFormat/>
    <w:pPr>
      <w:jc w:val="both"/>
      <w:spacing w:after="200" w:line="276" w:lineRule="auto"/>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1013" w:customStyle="1">
    <w:name w:val="首行缩进_0"/>
    <w:basedOn w:val="1010"/>
    <w:uiPriority w:val="0"/>
    <w:qFormat/>
    <w:pPr>
      <w:ind w:firstLine="480"/>
      <w:jc w:val="left"/>
      <w:spacing w:line="360" w:lineRule="auto"/>
    </w:pPr>
    <w:rPr>
      <w:rFonts w:ascii="宋体" w:hAnsi="宋体"/>
      <w:sz w:val="24"/>
    </w:rPr>
  </w:style>
  <w:style w:type="paragraph" w:styleId="1014" w:customStyle="1">
    <w:name w:val="首行缩进_0_0"/>
    <w:basedOn w:val="1010"/>
    <w:uiPriority w:val="0"/>
    <w:qFormat/>
    <w:pPr>
      <w:ind w:firstLine="480"/>
      <w:jc w:val="left"/>
      <w:spacing w:line="360" w:lineRule="auto"/>
    </w:pPr>
    <w:rPr>
      <w:rFonts w:ascii="宋体" w:hAnsi="宋体"/>
      <w:sz w:val="24"/>
    </w:rPr>
  </w:style>
  <w:style w:type="paragraph" w:styleId="1015" w:customStyle="1">
    <w:name w:val="Normal_1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16" w:customStyle="1">
    <w:name w:val="Normal_6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17" w:customStyle="1">
    <w:name w:val="正文_3"/>
    <w:next w:val="1018"/>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18" w:customStyle="1">
    <w:name w:val="正文文本_1"/>
    <w:basedOn w:val="1017"/>
    <w:uiPriority w:val="0"/>
    <w:qFormat/>
    <w:pPr>
      <w:spacing w:line="400" w:lineRule="exact"/>
    </w:pPr>
    <w:rPr>
      <w:sz w:val="24"/>
    </w:rPr>
  </w:style>
  <w:style w:type="paragraph" w:styleId="1019" w:customStyle="1">
    <w:name w:val="Normal_9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0" w:customStyle="1">
    <w:name w:val="Normal_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1" w:customStyle="1">
    <w:name w:val="Normal_2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2" w:customStyle="1">
    <w:name w:val="Normal_5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3" w:customStyle="1">
    <w:name w:val="Normal_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4" w:customStyle="1">
    <w:name w:val="Normal_0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5" w:customStyle="1">
    <w:name w:val="Normal_5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6" w:customStyle="1">
    <w:name w:val="普通正文"/>
    <w:basedOn w:val="781"/>
    <w:uiPriority w:val="0"/>
    <w:qFormat/>
    <w:pPr>
      <w:ind w:firstLine="480"/>
      <w:jc w:val="left"/>
      <w:spacing w:before="120" w:after="120" w:line="360" w:lineRule="auto"/>
    </w:pPr>
    <w:rPr>
      <w:rFonts w:ascii="Arial" w:hAnsi="Arial"/>
      <w:sz w:val="24"/>
    </w:rPr>
  </w:style>
  <w:style w:type="paragraph" w:styleId="1027"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028" w:customStyle="1">
    <w:name w:val="Normal_4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29" w:customStyle="1">
    <w:name w:val="Normal_0_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0" w:customStyle="1">
    <w:name w:val="Normal_0_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1" w:customStyle="1">
    <w:name w:val="Normal_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2" w:customStyle="1">
    <w:name w:val="Normal_5_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3" w:customStyle="1">
    <w:name w:val="Normal_2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4" w:customStyle="1">
    <w:name w:val="Normal_15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5" w:customStyle="1">
    <w:name w:val="Normal_18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6" w:customStyle="1">
    <w:name w:val="Normal_5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7" w:customStyle="1">
    <w:name w:val="正文_0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038" w:customStyle="1">
    <w:name w:val="Normal_3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39" w:customStyle="1">
    <w:name w:val="Normal_13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0" w:customStyle="1">
    <w:name w:val="Normal_11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1" w:customStyle="1">
    <w:name w:val="Normal_4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2" w:customStyle="1">
    <w:name w:val="Normal_1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3" w:customStyle="1">
    <w:name w:val="Normal_2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4" w:customStyle="1">
    <w:name w:val="Normal_3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5" w:customStyle="1">
    <w:name w:val="Normal_3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6" w:customStyle="1">
    <w:name w:val="Normal_1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7" w:customStyle="1">
    <w:name w:val="Normal_0_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8" w:customStyle="1">
    <w:name w:val="Normal_2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49" w:customStyle="1">
    <w:name w:val="Normal_3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0" w:customStyle="1">
    <w:name w:val="Normal_1_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1" w:customStyle="1">
    <w:name w:val="Normal_4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2" w:customStyle="1">
    <w:name w:val="Normal_1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3" w:customStyle="1">
    <w:name w:val="Normal_4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4" w:customStyle="1">
    <w:name w:val="Normal_2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5" w:customStyle="1">
    <w:name w:val="Normal_2_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6" w:customStyle="1">
    <w:name w:val="Normal_2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7" w:customStyle="1">
    <w:name w:val="Normal_1"/>
    <w:next w:val="101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8" w:customStyle="1">
    <w:name w:val="Normal_1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59" w:customStyle="1">
    <w:name w:val="Normal_1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0" w:customStyle="1">
    <w:name w:val="正文文本_0_0"/>
    <w:basedOn w:val="1061"/>
    <w:uiPriority w:val="0"/>
    <w:qFormat/>
    <w:pPr>
      <w:spacing w:line="400" w:lineRule="exact"/>
    </w:pPr>
    <w:rPr>
      <w:sz w:val="24"/>
    </w:rPr>
  </w:style>
  <w:style w:type="paragraph" w:styleId="1061" w:customStyle="1">
    <w:name w:val="正文_2"/>
    <w:next w:val="1060"/>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62" w:customStyle="1">
    <w:name w:val="Normal_16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3" w:customStyle="1">
    <w:name w:val="Normal_2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4" w:customStyle="1">
    <w:name w:val="Normal_1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5" w:customStyle="1">
    <w:name w:val="Normal_10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6" w:customStyle="1">
    <w:name w:val="Normal_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7" w:customStyle="1">
    <w:name w:val="Normal_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8" w:customStyle="1">
    <w:name w:val="Normal_5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9" w:customStyle="1">
    <w:name w:val="Normal_2"/>
    <w:next w:val="101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0" w:customStyle="1">
    <w:name w:val="p0"/>
    <w:basedOn w:val="781"/>
    <w:uiPriority w:val="99"/>
    <w:qFormat/>
    <w:pPr>
      <w:widowControl/>
    </w:pPr>
    <w:rPr>
      <w:rFonts w:ascii="Calibri" w:hAnsi="Calibri" w:cs="宋体"/>
      <w:szCs w:val="21"/>
    </w:rPr>
  </w:style>
  <w:style w:type="paragraph" w:styleId="1071" w:customStyle="1">
    <w:name w:val="Normal_3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2" w:customStyle="1">
    <w:name w:val="Normal_4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3" w:customStyle="1">
    <w:name w:val="Normal_1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4" w:customStyle="1">
    <w:name w:val="Normal_4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5" w:customStyle="1">
    <w:name w:val="Normal_17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6" w:customStyle="1">
    <w:name w:val="Normal_8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7" w:customStyle="1">
    <w:name w:val="Normal_0_0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8" w:customStyle="1">
    <w:name w:val="Normal_2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9" w:customStyle="1">
    <w:name w:val="Normal_12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0" w:customStyle="1">
    <w:name w:val="列表段落1"/>
    <w:basedOn w:val="781"/>
    <w:uiPriority w:val="34"/>
    <w:qFormat/>
    <w:pPr>
      <w:contextualSpacing/>
      <w:ind w:left="720"/>
      <w:jc w:val="left"/>
      <w:widowControl/>
    </w:pPr>
    <w:rPr>
      <w:rFonts w:ascii="Calibri" w:hAnsi="Calibri" w:cs="宋体"/>
      <w:sz w:val="24"/>
      <w:lang w:eastAsia="en-US"/>
    </w:rPr>
  </w:style>
  <w:style w:type="paragraph" w:styleId="1081" w:customStyle="1">
    <w:name w:val="Normal_2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2" w:customStyle="1">
    <w:name w:val="Normal_7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3" w:customStyle="1">
    <w:name w:val="Normal_4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4" w:customStyle="1">
    <w:name w:val="Normal_14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5" w:customStyle="1">
    <w:name w:val="Normal_4_1"/>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6" w:customStyle="1">
    <w:name w:val="Normal_3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7"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088" w:customStyle="1">
    <w:name w:val="Normal_3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89" w:customStyle="1">
    <w:name w:val="Normal_1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0" w:customStyle="1">
    <w:name w:val="Normal_5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1" w:customStyle="1">
    <w:name w:val="Normal_3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2" w:customStyle="1">
    <w:name w:val="Normal_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3" w:customStyle="1">
    <w:name w:val="Normal_2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4" w:customStyle="1">
    <w:name w:val="Normal_4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95" w:customStyle="1">
    <w:name w:val="Normal_42"/>
    <w:uiPriority w:val="0"/>
    <w:qFormat/>
    <w:pPr>
      <w:spacing w:after="160" w:line="278" w:lineRule="auto"/>
    </w:pPr>
    <w:rPr>
      <w:rFonts w:ascii="Times New Roman" w:hAnsi="Times New Roman" w:eastAsia="Times New Roman" w:cs="Times New Roman"/>
      <w:sz w:val="24"/>
      <w:szCs w:val="24"/>
      <w:lang w:val="en-US" w:eastAsia="zh-CN" w:bidi="ar-SA"/>
    </w:rPr>
  </w:style>
  <w:style w:type="table" w:styleId="1096" w:customStyle="1">
    <w:name w:val="TableGrid1"/>
    <w:uiPriority w:val="0"/>
    <w:qFormat/>
    <w:rPr>
      <w:rFonts w:ascii="等线" w:hAnsi="等线" w:eastAsia="等线"/>
      <w:sz w:val="21"/>
      <w:szCs w:val="22"/>
    </w:rPr>
    <w:tblPr>
      <w:tblLayout w:type="fixed"/>
      <w:tblCellMar>
        <w:left w:w="0" w:type="dxa"/>
        <w:top w:w="0" w:type="dxa"/>
        <w:right w:w="0" w:type="dxa"/>
        <w:bottom w:w="0" w:type="dxa"/>
      </w:tblCellMar>
    </w:tblPr>
  </w:style>
  <w:style w:type="paragraph" w:styleId="1097" w:customStyle="1">
    <w:name w:val="列出段落"/>
    <w:basedOn w:val="781"/>
    <w:uiPriority w:val="34"/>
    <w:qFormat/>
    <w:pPr>
      <w:contextualSpacing/>
      <w:ind w:left="720"/>
      <w:jc w:val="left"/>
      <w:widowControl/>
    </w:pPr>
    <w:rPr>
      <w:rFonts w:ascii="Calibri" w:hAnsi="Calibri" w:cs="宋体"/>
      <w:sz w:val="24"/>
      <w:lang w:eastAsia="en-US"/>
    </w:rPr>
  </w:style>
  <w:style w:type="paragraph" w:styleId="1098" w:customStyle="1">
    <w:name w:val="p0_0"/>
    <w:basedOn w:val="1057"/>
    <w:uiPriority w:val="0"/>
    <w:qFormat/>
    <w:rPr>
      <w:szCs w:val="21"/>
    </w:rPr>
  </w:style>
  <w:style w:type="table" w:styleId="1099" w:customStyle="1">
    <w:name w:val="Table Normal"/>
    <w:uiPriority w:val="0"/>
    <w:unhideWhenUsed/>
    <w:qFormat/>
    <w:tblPr>
      <w:tblLayout w:type="fixed"/>
      <w:tblCellMar>
        <w:left w:w="0" w:type="dxa"/>
        <w:top w:w="0" w:type="dxa"/>
        <w:right w:w="0" w:type="dxa"/>
        <w:bottom w:w="0" w:type="dxa"/>
      </w:tblCellMar>
    </w:tblPr>
  </w:style>
  <w:style w:type="paragraph" w:styleId="1100" w:customStyle="1">
    <w:name w:val="纯文本11"/>
    <w:basedOn w:val="781"/>
    <w:uiPriority w:val="0"/>
    <w:qFormat/>
    <w:rPr>
      <w:rFonts w:ascii="宋体" w:hAnsi="Courier New" w:eastAsia="楷体_GB2312"/>
      <w:sz w:val="26"/>
    </w:rPr>
  </w:style>
  <w:style w:type="paragraph" w:styleId="1101" w:customStyle="1">
    <w:name w:val="普通(网站)1"/>
    <w:basedOn w:val="781"/>
    <w:uiPriority w:val="99"/>
    <w:qFormat/>
    <w:pPr>
      <w:jc w:val="left"/>
      <w:spacing w:beforeAutospacing="1" w:afterAutospacing="1"/>
    </w:pPr>
    <w:rPr>
      <w:sz w:val="24"/>
    </w:rPr>
  </w:style>
  <w:style w:type="paragraph" w:styleId="1102" w:customStyle="1">
    <w:name w:val="font7"/>
    <w:basedOn w:val="781"/>
    <w:uiPriority w:val="0"/>
    <w:qFormat/>
    <w:pPr>
      <w:jc w:val="left"/>
      <w:spacing w:before="100" w:beforeAutospacing="1" w:after="100" w:afterAutospacing="1"/>
      <w:widowControl/>
    </w:pPr>
    <w:rPr>
      <w:rFonts w:ascii="Verdana" w:hAnsi="Verdana"/>
      <w:sz w:val="20"/>
      <w:szCs w:val="20"/>
    </w:rPr>
  </w:style>
  <w:style w:type="paragraph" w:styleId="1103" w:customStyle="1">
    <w:name w:val="正文 A"/>
    <w:next w:val="804"/>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104" w:customStyle="1">
    <w:name w:val="WPSOffice手动目录 1"/>
    <w:uiPriority w:val="0"/>
    <w:qFormat/>
    <w:pPr>
      <w:spacing w:after="160" w:line="278" w:lineRule="auto"/>
    </w:pPr>
    <w:rPr>
      <w:rFonts w:ascii="Times New Roman" w:hAnsi="Times New Roman" w:eastAsia="宋体" w:cs="Times New Roman"/>
      <w:lang w:val="en-US" w:eastAsia="zh-CN" w:bidi="ar-SA"/>
    </w:rPr>
  </w:style>
  <w:style w:type="character" w:styleId="1105" w:customStyle="1">
    <w:name w:val="font21"/>
    <w:basedOn w:val="791"/>
    <w:uiPriority w:val="0"/>
    <w:qFormat/>
    <w:rPr>
      <w:rFonts w:hint="eastAsia" w:ascii="宋体" w:hAnsi="宋体" w:eastAsia="宋体" w:cs="宋体"/>
      <w:color w:val="000000"/>
      <w:sz w:val="24"/>
      <w:szCs w:val="24"/>
      <w:u w:val="none"/>
    </w:rPr>
  </w:style>
  <w:style w:type="paragraph" w:styleId="1106" w:customStyle="1">
    <w:name w:val="表格文字"/>
    <w:basedOn w:val="781"/>
    <w:next w:val="801"/>
    <w:uiPriority w:val="0"/>
    <w:qFormat/>
    <w:pPr>
      <w:jc w:val="left"/>
      <w:spacing w:before="25" w:after="25"/>
    </w:pPr>
    <w:rPr>
      <w:bCs/>
      <w:spacing w:val="10"/>
      <w:sz w:val="24"/>
      <w:szCs w:val="20"/>
    </w:rPr>
  </w:style>
  <w:style w:type="paragraph" w:styleId="1107" w:customStyle="1">
    <w:name w:val="正文1"/>
    <w:basedOn w:val="781"/>
    <w:next w:val="781"/>
    <w:uiPriority w:val="0"/>
    <w:qFormat/>
    <w:pPr>
      <w:ind w:left="420" w:firstLine="527"/>
      <w:spacing w:before="120" w:line="360" w:lineRule="auto"/>
    </w:pPr>
    <w:rPr>
      <w:rFonts w:ascii="宋体" w:hAnsi="宋体"/>
      <w:szCs w:val="20"/>
    </w:rPr>
  </w:style>
  <w:style w:type="character" w:styleId="1108" w:customStyle="1">
    <w:name w:val="NormalCharacter"/>
    <w:uiPriority w:val="0"/>
    <w:semiHidden/>
    <w:qFormat/>
  </w:style>
  <w:style w:type="paragraph" w:styleId="1109" w:customStyle="1">
    <w:name w:val="正文缩进1"/>
    <w:basedOn w:val="781"/>
    <w:uiPriority w:val="0"/>
    <w:qFormat/>
    <w:pPr>
      <w:ind w:firstLine="420"/>
      <w:jc w:val="left"/>
      <w:widowControl/>
    </w:pPr>
    <w:rPr>
      <w:rFonts w:eastAsia="楷体_GB2312"/>
      <w:sz w:val="24"/>
      <w:szCs w:val="20"/>
    </w:rPr>
  </w:style>
  <w:style w:type="paragraph" w:styleId="1110" w:customStyle="1">
    <w:name w:val="列出段落1"/>
    <w:basedOn w:val="781"/>
    <w:uiPriority w:val="34"/>
    <w:qFormat/>
    <w:pPr>
      <w:ind w:firstLine="420"/>
    </w:pPr>
  </w:style>
  <w:style w:type="character" w:styleId="1111" w:customStyle="1">
    <w:name w:val="ca-11"/>
    <w:uiPriority w:val="0"/>
    <w:qFormat/>
    <w:rPr>
      <w:rFonts w:hint="eastAsia" w:ascii="仿宋_GB2312" w:eastAsia="仿宋_GB2312"/>
      <w:sz w:val="30"/>
      <w:szCs w:val="30"/>
    </w:rPr>
  </w:style>
  <w:style w:type="paragraph" w:styleId="1112" w:customStyle="1">
    <w:name w:val="pa-2"/>
    <w:basedOn w:val="781"/>
    <w:uiPriority w:val="0"/>
    <w:qFormat/>
    <w:pPr>
      <w:ind w:firstLine="600"/>
      <w:spacing w:line="340" w:lineRule="atLeast"/>
      <w:widowControl/>
    </w:pPr>
    <w:rPr>
      <w:rFonts w:ascii="宋体" w:hAnsi="宋体" w:eastAsia="宋体" w:cs="宋体"/>
    </w:rPr>
  </w:style>
  <w:style w:type="character" w:styleId="1113" w:customStyle="1">
    <w:name w:val="10"/>
    <w:basedOn w:val="791"/>
    <w:uiPriority w:val="0"/>
    <w:qFormat/>
    <w:rPr>
      <w:rFonts w:hint="default" w:ascii="Times New Roman" w:hAnsi="Times New Roman" w:cs="Times New Roman"/>
    </w:rPr>
  </w:style>
  <w:style w:type="paragraph" w:styleId="1114" w:customStyle="1">
    <w:name w:val="Normal_0_5"/>
    <w:uiPriority w:val="0"/>
    <w:qFormat/>
    <w:rPr>
      <w:rFonts w:ascii="Times New Roman" w:hAnsi="Times New Roman" w:eastAsia="Times New Roman" w:cs="Times New Roman"/>
      <w:sz w:val="24"/>
      <w:szCs w:val="24"/>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b99237d-42b2-4625-adaa-cdcb20bdbc17}"/>
        <w:description w:val=""/>
        <w:category>
          <w:name w:val="常规"/>
          <w:gallery w:val="placeholder"/>
        </w:category>
        <w:types>
          <w:type w:val="bbPlcHdr"/>
        </w:types>
        <w:behaviors>
          <w:behavior w:val="content"/>
        </w:behaviors>
        <w:guid w:val="{db99237d-42b2-4625-adaa-cdcb20bdbc17}"/>
      </w:docPartPr>
      <w:docPartBody>
        <w:p>
          <w:r>
            <w:rPr>
              <w:color w:val="808080"/>
            </w:rPr>
            <w:t xml:space="preserve">单击此处输入文字。</w:t>
          </w:r>
          <w:r/>
        </w:p>
      </w:docPartBody>
    </w:docPart>
    <w:docPart>
      <w:docPartPr>
        <w:name w:val="{3db1153b-a313-4cdb-8e01-1361fe21f933}"/>
        <w:description w:val=""/>
        <w:category>
          <w:name w:val="常规"/>
          <w:gallery w:val="placeholder"/>
        </w:category>
        <w:types>
          <w:type w:val="bbPlcHdr"/>
        </w:types>
        <w:behaviors>
          <w:behavior w:val="content"/>
        </w:behaviors>
        <w:guid w:val="{3db1153b-a313-4cdb-8e01-1361fe21f933}"/>
      </w:docPartPr>
      <w:docPartBody>
        <w:p>
          <w:r>
            <w:rPr>
              <w:color w:val="808080"/>
            </w:rPr>
            <w:t xml:space="preserve">单击此处输入文字。</w:t>
          </w:r>
          <w:r/>
        </w:p>
      </w:docPartBody>
    </w:docPart>
    <w:docPart>
      <w:docPartPr>
        <w:name w:val="{4d4edb2b-7f03-4d36-9ea1-64a6a7230317}"/>
        <w:description w:val=""/>
        <w:category>
          <w:name w:val="常规"/>
          <w:gallery w:val="placeholder"/>
        </w:category>
        <w:types>
          <w:type w:val="bbPlcHdr"/>
        </w:types>
        <w:behaviors>
          <w:behavior w:val="content"/>
        </w:behaviors>
        <w:guid w:val="{4d4edb2b-7f03-4d36-9ea1-64a6a7230317}"/>
      </w:docPartPr>
      <w:docPartBody>
        <w:p>
          <w:r>
            <w:rPr>
              <w:color w:val="808080"/>
            </w:rPr>
            <w:t xml:space="preserve">单击此处输入文字。</w:t>
          </w:r>
          <w:r/>
        </w:p>
      </w:docPartBody>
    </w:docPart>
    <w:docPart>
      <w:docPartPr>
        <w:name w:val="{9f851f9d-07d5-4d15-a69b-c3297c99684e}"/>
        <w:description w:val=""/>
        <w:category>
          <w:name w:val="常规"/>
          <w:gallery w:val="placeholder"/>
        </w:category>
        <w:types>
          <w:type w:val="bbPlcHdr"/>
        </w:types>
        <w:behaviors>
          <w:behavior w:val="content"/>
        </w:behaviors>
        <w:guid w:val="{9f851f9d-07d5-4d15-a69b-c3297c99684e}"/>
      </w:docPartPr>
      <w:docPartBody>
        <w:p>
          <w:r>
            <w:rPr>
              <w:color w:val="808080"/>
            </w:rPr>
            <w:t xml:space="preserve">单击此处输入文字。</w:t>
          </w:r>
          <w:r/>
        </w:p>
      </w:docPartBody>
    </w:docPart>
    <w:docPart>
      <w:docPartPr>
        <w:name w:val="{505733db-f56d-4b60-8e9f-efcc0a81aeb9}"/>
        <w:description w:val=""/>
        <w:category>
          <w:name w:val="常规"/>
          <w:gallery w:val="placeholder"/>
        </w:category>
        <w:types>
          <w:type w:val="bbPlcHdr"/>
        </w:types>
        <w:behaviors>
          <w:behavior w:val="content"/>
        </w:behaviors>
        <w:guid w:val="{505733db-f56d-4b60-8e9f-efcc0a81aeb9}"/>
      </w:docPartPr>
      <w:docPartBody>
        <w:p>
          <w:r>
            <w:rPr>
              <w:color w:val="808080"/>
            </w:rPr>
            <w:t xml:space="preserve">单击此处输入文字。</w:t>
          </w:r>
          <w:r/>
        </w:p>
      </w:docPartBody>
    </w:docPart>
    <w:docPart>
      <w:docPartPr>
        <w:name w:val="{a973bf35-792b-41a5-8533-373bfb04a253}"/>
        <w:description w:val=""/>
        <w:category>
          <w:name w:val="常规"/>
          <w:gallery w:val="placeholder"/>
        </w:category>
        <w:types>
          <w:type w:val="bbPlcHdr"/>
        </w:types>
        <w:behaviors>
          <w:behavior w:val="content"/>
        </w:behaviors>
        <w:guid w:val="{a973bf35-792b-41a5-8533-373bfb04a253}"/>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64">
    <w:name w:val="Heading 1 Char"/>
    <w:basedOn w:val="1612"/>
    <w:link w:val="1603"/>
    <w:uiPriority w:val="9"/>
    <w:rPr>
      <w:rFonts w:ascii="Arial" w:hAnsi="Arial" w:eastAsia="Arial" w:cs="Arial"/>
      <w:sz w:val="40"/>
      <w:szCs w:val="40"/>
    </w:rPr>
  </w:style>
  <w:style w:type="character" w:styleId="1565">
    <w:name w:val="Heading 2 Char"/>
    <w:basedOn w:val="1612"/>
    <w:link w:val="1604"/>
    <w:uiPriority w:val="9"/>
    <w:rPr>
      <w:rFonts w:ascii="Arial" w:hAnsi="Arial" w:eastAsia="Arial" w:cs="Arial"/>
      <w:sz w:val="34"/>
    </w:rPr>
  </w:style>
  <w:style w:type="character" w:styleId="1566">
    <w:name w:val="Heading 3 Char"/>
    <w:basedOn w:val="1612"/>
    <w:link w:val="1605"/>
    <w:uiPriority w:val="9"/>
    <w:rPr>
      <w:rFonts w:ascii="Arial" w:hAnsi="Arial" w:eastAsia="Arial" w:cs="Arial"/>
      <w:sz w:val="30"/>
      <w:szCs w:val="30"/>
    </w:rPr>
  </w:style>
  <w:style w:type="character" w:styleId="1567">
    <w:name w:val="Heading 4 Char"/>
    <w:basedOn w:val="1612"/>
    <w:link w:val="1606"/>
    <w:uiPriority w:val="9"/>
    <w:rPr>
      <w:rFonts w:ascii="Arial" w:hAnsi="Arial" w:eastAsia="Arial" w:cs="Arial"/>
      <w:b/>
      <w:bCs/>
      <w:sz w:val="26"/>
      <w:szCs w:val="26"/>
    </w:rPr>
  </w:style>
  <w:style w:type="character" w:styleId="1568">
    <w:name w:val="Heading 5 Char"/>
    <w:basedOn w:val="1612"/>
    <w:link w:val="1607"/>
    <w:uiPriority w:val="9"/>
    <w:rPr>
      <w:rFonts w:ascii="Arial" w:hAnsi="Arial" w:eastAsia="Arial" w:cs="Arial"/>
      <w:b/>
      <w:bCs/>
      <w:sz w:val="24"/>
      <w:szCs w:val="24"/>
    </w:rPr>
  </w:style>
  <w:style w:type="character" w:styleId="1569">
    <w:name w:val="Heading 6 Char"/>
    <w:basedOn w:val="1612"/>
    <w:link w:val="1608"/>
    <w:uiPriority w:val="9"/>
    <w:rPr>
      <w:rFonts w:ascii="Arial" w:hAnsi="Arial" w:eastAsia="Arial" w:cs="Arial"/>
      <w:b/>
      <w:bCs/>
      <w:sz w:val="22"/>
      <w:szCs w:val="22"/>
    </w:rPr>
  </w:style>
  <w:style w:type="character" w:styleId="1570">
    <w:name w:val="Heading 7 Char"/>
    <w:basedOn w:val="1612"/>
    <w:link w:val="1609"/>
    <w:uiPriority w:val="9"/>
    <w:rPr>
      <w:rFonts w:ascii="Arial" w:hAnsi="Arial" w:eastAsia="Arial" w:cs="Arial"/>
      <w:b/>
      <w:bCs/>
      <w:i/>
      <w:iCs/>
      <w:sz w:val="22"/>
      <w:szCs w:val="22"/>
    </w:rPr>
  </w:style>
  <w:style w:type="character" w:styleId="1571">
    <w:name w:val="Heading 8 Char"/>
    <w:basedOn w:val="1612"/>
    <w:link w:val="1610"/>
    <w:uiPriority w:val="9"/>
    <w:rPr>
      <w:rFonts w:ascii="Arial" w:hAnsi="Arial" w:eastAsia="Arial" w:cs="Arial"/>
      <w:i/>
      <w:iCs/>
      <w:sz w:val="22"/>
      <w:szCs w:val="22"/>
    </w:rPr>
  </w:style>
  <w:style w:type="character" w:styleId="1572">
    <w:name w:val="Heading 9 Char"/>
    <w:basedOn w:val="1612"/>
    <w:link w:val="1611"/>
    <w:uiPriority w:val="9"/>
    <w:rPr>
      <w:rFonts w:ascii="Arial" w:hAnsi="Arial" w:eastAsia="Arial" w:cs="Arial"/>
      <w:i/>
      <w:iCs/>
      <w:sz w:val="21"/>
      <w:szCs w:val="21"/>
    </w:rPr>
  </w:style>
  <w:style w:type="character" w:styleId="1573">
    <w:name w:val="Title Char"/>
    <w:basedOn w:val="1612"/>
    <w:link w:val="1625"/>
    <w:uiPriority w:val="10"/>
    <w:rPr>
      <w:sz w:val="48"/>
      <w:szCs w:val="48"/>
    </w:rPr>
  </w:style>
  <w:style w:type="character" w:styleId="1574">
    <w:name w:val="Subtitle Char"/>
    <w:basedOn w:val="1612"/>
    <w:link w:val="1627"/>
    <w:uiPriority w:val="11"/>
    <w:rPr>
      <w:sz w:val="24"/>
      <w:szCs w:val="24"/>
    </w:rPr>
  </w:style>
  <w:style w:type="character" w:styleId="1575">
    <w:name w:val="Quote Char"/>
    <w:link w:val="1629"/>
    <w:uiPriority w:val="29"/>
    <w:rPr>
      <w:i/>
    </w:rPr>
  </w:style>
  <w:style w:type="character" w:styleId="1576">
    <w:name w:val="Intense Quote Char"/>
    <w:link w:val="1631"/>
    <w:uiPriority w:val="30"/>
    <w:rPr>
      <w:i/>
    </w:rPr>
  </w:style>
  <w:style w:type="character" w:styleId="1577">
    <w:name w:val="Header Char"/>
    <w:basedOn w:val="1612"/>
    <w:link w:val="1633"/>
    <w:uiPriority w:val="99"/>
  </w:style>
  <w:style w:type="character" w:styleId="1578">
    <w:name w:val="Footer Char"/>
    <w:basedOn w:val="1612"/>
    <w:link w:val="1635"/>
    <w:uiPriority w:val="99"/>
  </w:style>
  <w:style w:type="character" w:styleId="1579">
    <w:name w:val="Caption Char"/>
    <w:basedOn w:val="1636"/>
    <w:link w:val="1635"/>
    <w:uiPriority w:val="99"/>
  </w:style>
  <w:style w:type="table" w:styleId="1580">
    <w:name w:val="Plain Table 1"/>
    <w:basedOn w:val="16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1">
    <w:name w:val="Plain Table 2"/>
    <w:basedOn w:val="16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2">
    <w:name w:val="Plain Table 3"/>
    <w:basedOn w:val="1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3">
    <w:name w:val="Plain Table 4"/>
    <w:basedOn w:val="1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4">
    <w:name w:val="Plain Table 5"/>
    <w:basedOn w:val="1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85">
    <w:name w:val="Grid Table 1 Light"/>
    <w:basedOn w:val="16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86">
    <w:name w:val="Grid Table 2"/>
    <w:basedOn w:val="16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87">
    <w:name w:val="Grid Table 3"/>
    <w:basedOn w:val="16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8">
    <w:name w:val="Grid Table 4"/>
    <w:basedOn w:val="16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9">
    <w:name w:val="Grid Table 5 Dark"/>
    <w:basedOn w:val="1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0">
    <w:name w:val="Grid Table 6 Colorful"/>
    <w:basedOn w:val="16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91">
    <w:name w:val="Grid Table 7 Colorful"/>
    <w:basedOn w:val="16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92">
    <w:name w:val="List Table 1 Light"/>
    <w:basedOn w:val="16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3">
    <w:name w:val="List Table 2"/>
    <w:basedOn w:val="16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94">
    <w:name w:val="List Table 3"/>
    <w:basedOn w:val="16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5">
    <w:name w:val="List Table 4"/>
    <w:basedOn w:val="16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6">
    <w:name w:val="List Table 5 Dark"/>
    <w:basedOn w:val="16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7">
    <w:name w:val="List Table 6 Colorful"/>
    <w:basedOn w:val="16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98">
    <w:name w:val="List Table 7 Colorful"/>
    <w:basedOn w:val="16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99">
    <w:name w:val="Footnote Text Char"/>
    <w:link w:val="1765"/>
    <w:uiPriority w:val="99"/>
    <w:rPr>
      <w:sz w:val="18"/>
    </w:rPr>
  </w:style>
  <w:style w:type="character" w:styleId="1600">
    <w:name w:val="Endnote Text Char"/>
    <w:link w:val="1768"/>
    <w:uiPriority w:val="99"/>
    <w:rPr>
      <w:sz w:val="20"/>
    </w:rPr>
  </w:style>
  <w:style w:type="paragraph" w:styleId="1601">
    <w:name w:val="TOC Heading"/>
    <w:uiPriority w:val="39"/>
    <w:unhideWhenUsed/>
  </w:style>
  <w:style w:type="paragraph" w:styleId="1602" w:default="1">
    <w:name w:val="Normal"/>
    <w:uiPriority w:val="0"/>
    <w:qFormat/>
    <w:pPr>
      <w:spacing w:after="160" w:line="278" w:lineRule="auto"/>
    </w:pPr>
    <w:rPr>
      <w:rFonts w:asciiTheme="minorHAnsi" w:hAnsiTheme="minorHAnsi" w:eastAsiaTheme="minorEastAsia" w:cstheme="minorBidi"/>
      <w:lang w:val="en-US" w:eastAsia="zh-CN" w:bidi="ar-SA"/>
    </w:rPr>
  </w:style>
  <w:style w:type="paragraph" w:styleId="1603">
    <w:name w:val="Heading 1"/>
    <w:link w:val="1614"/>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1604">
    <w:name w:val="Heading 2"/>
    <w:link w:val="1615"/>
    <w:uiPriority w:val="9"/>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1605">
    <w:name w:val="Heading 3"/>
    <w:link w:val="1616"/>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1606">
    <w:name w:val="Heading 4"/>
    <w:link w:val="1617"/>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1607">
    <w:name w:val="Heading 5"/>
    <w:link w:val="1618"/>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1608">
    <w:name w:val="Heading 6"/>
    <w:link w:val="1619"/>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1609">
    <w:name w:val="Heading 7"/>
    <w:link w:val="1620"/>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1610">
    <w:name w:val="Heading 8"/>
    <w:link w:val="1621"/>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1611">
    <w:name w:val="Heading 9"/>
    <w:link w:val="1622"/>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1612" w:default="1">
    <w:name w:val="Default Paragraph Font"/>
    <w:uiPriority w:val="1"/>
    <w:semiHidden/>
    <w:unhideWhenUsed/>
    <w:qFormat/>
  </w:style>
  <w:style w:type="table" w:styleId="1613" w:default="1">
    <w:name w:val="Normal Table"/>
    <w:uiPriority w:val="99"/>
    <w:semiHidden/>
    <w:unhideWhenUsed/>
    <w:qFormat/>
    <w:tblPr>
      <w:tblLayout w:type="fixed"/>
      <w:tblCellMar>
        <w:left w:w="108" w:type="dxa"/>
        <w:top w:w="0" w:type="dxa"/>
        <w:right w:w="108" w:type="dxa"/>
        <w:bottom w:w="0" w:type="dxa"/>
      </w:tblCellMar>
    </w:tblPr>
  </w:style>
  <w:style w:type="character" w:styleId="1614" w:customStyle="1">
    <w:name w:val="标题 1 字符"/>
    <w:link w:val="1603"/>
    <w:uiPriority w:val="9"/>
    <w:qFormat/>
    <w:rPr>
      <w:rFonts w:ascii="Arial" w:hAnsi="Arial" w:eastAsia="Arial" w:cs="Arial"/>
      <w:sz w:val="40"/>
      <w:szCs w:val="40"/>
    </w:rPr>
  </w:style>
  <w:style w:type="character" w:styleId="1615" w:customStyle="1">
    <w:name w:val="标题 2 字符"/>
    <w:link w:val="1604"/>
    <w:uiPriority w:val="9"/>
    <w:qFormat/>
    <w:rPr>
      <w:rFonts w:ascii="Arial" w:hAnsi="Arial" w:eastAsia="Arial" w:cs="Arial"/>
      <w:sz w:val="34"/>
    </w:rPr>
  </w:style>
  <w:style w:type="character" w:styleId="1616" w:customStyle="1">
    <w:name w:val="标题 3 字符"/>
    <w:link w:val="1605"/>
    <w:uiPriority w:val="9"/>
    <w:qFormat/>
    <w:rPr>
      <w:rFonts w:ascii="Arial" w:hAnsi="Arial" w:eastAsia="Arial" w:cs="Arial"/>
      <w:sz w:val="30"/>
      <w:szCs w:val="30"/>
    </w:rPr>
  </w:style>
  <w:style w:type="character" w:styleId="1617" w:customStyle="1">
    <w:name w:val="标题 4 字符"/>
    <w:link w:val="1606"/>
    <w:uiPriority w:val="9"/>
    <w:qFormat/>
    <w:rPr>
      <w:rFonts w:ascii="Arial" w:hAnsi="Arial" w:eastAsia="Arial" w:cs="Arial"/>
      <w:b/>
      <w:bCs/>
      <w:sz w:val="26"/>
      <w:szCs w:val="26"/>
    </w:rPr>
  </w:style>
  <w:style w:type="character" w:styleId="1618" w:customStyle="1">
    <w:name w:val="标题 5 字符"/>
    <w:link w:val="1607"/>
    <w:uiPriority w:val="9"/>
    <w:qFormat/>
    <w:rPr>
      <w:rFonts w:ascii="Arial" w:hAnsi="Arial" w:eastAsia="Arial" w:cs="Arial"/>
      <w:b/>
      <w:bCs/>
      <w:sz w:val="24"/>
      <w:szCs w:val="24"/>
    </w:rPr>
  </w:style>
  <w:style w:type="character" w:styleId="1619" w:customStyle="1">
    <w:name w:val="标题 6 字符"/>
    <w:link w:val="1608"/>
    <w:uiPriority w:val="9"/>
    <w:qFormat/>
    <w:rPr>
      <w:rFonts w:ascii="Arial" w:hAnsi="Arial" w:eastAsia="Arial" w:cs="Arial"/>
      <w:b/>
      <w:bCs/>
      <w:sz w:val="22"/>
      <w:szCs w:val="22"/>
    </w:rPr>
  </w:style>
  <w:style w:type="character" w:styleId="1620" w:customStyle="1">
    <w:name w:val="标题 7 字符"/>
    <w:link w:val="1609"/>
    <w:uiPriority w:val="9"/>
    <w:qFormat/>
    <w:rPr>
      <w:rFonts w:ascii="Arial" w:hAnsi="Arial" w:eastAsia="Arial" w:cs="Arial"/>
      <w:b/>
      <w:bCs/>
      <w:i/>
      <w:iCs/>
      <w:sz w:val="22"/>
      <w:szCs w:val="22"/>
    </w:rPr>
  </w:style>
  <w:style w:type="character" w:styleId="1621" w:customStyle="1">
    <w:name w:val="标题 8 字符"/>
    <w:link w:val="1610"/>
    <w:uiPriority w:val="9"/>
    <w:qFormat/>
    <w:rPr>
      <w:rFonts w:ascii="Arial" w:hAnsi="Arial" w:eastAsia="Arial" w:cs="Arial"/>
      <w:i/>
      <w:iCs/>
      <w:sz w:val="22"/>
      <w:szCs w:val="22"/>
    </w:rPr>
  </w:style>
  <w:style w:type="character" w:styleId="1622" w:customStyle="1">
    <w:name w:val="标题 9 字符"/>
    <w:link w:val="1611"/>
    <w:uiPriority w:val="9"/>
    <w:qFormat/>
    <w:rPr>
      <w:rFonts w:ascii="Arial" w:hAnsi="Arial" w:eastAsia="Arial" w:cs="Arial"/>
      <w:i/>
      <w:iCs/>
      <w:sz w:val="21"/>
      <w:szCs w:val="21"/>
    </w:rPr>
  </w:style>
  <w:style w:type="paragraph" w:styleId="1623">
    <w:name w:val="List Paragraph"/>
    <w:uiPriority w:val="34"/>
    <w:qFormat/>
    <w:pPr>
      <w:contextualSpacing/>
      <w:ind w:left="720"/>
      <w:spacing w:after="160" w:line="278" w:lineRule="auto"/>
    </w:pPr>
    <w:rPr>
      <w:rFonts w:asciiTheme="minorHAnsi" w:hAnsiTheme="minorHAnsi" w:eastAsiaTheme="minorEastAsia" w:cstheme="minorBidi"/>
      <w:lang w:val="en-US" w:eastAsia="zh-CN" w:bidi="ar-SA"/>
    </w:rPr>
  </w:style>
  <w:style w:type="paragraph" w:styleId="1624">
    <w:name w:val="No Spacing"/>
    <w:uiPriority w:val="1"/>
    <w:qFormat/>
    <w:pPr>
      <w:spacing w:after="0" w:line="240" w:lineRule="auto"/>
    </w:pPr>
    <w:rPr>
      <w:rFonts w:asciiTheme="minorHAnsi" w:hAnsiTheme="minorHAnsi" w:eastAsiaTheme="minorEastAsia" w:cstheme="minorBidi"/>
      <w:lang w:val="en-US" w:eastAsia="zh-CN" w:bidi="ar-SA"/>
    </w:rPr>
  </w:style>
  <w:style w:type="paragraph" w:styleId="1625">
    <w:name w:val="Title"/>
    <w:link w:val="1626"/>
    <w:uiPriority w:val="10"/>
    <w:qFormat/>
    <w:pPr>
      <w:contextualSpacing/>
      <w:spacing w:before="300" w:after="200" w:line="278" w:lineRule="auto"/>
    </w:pPr>
    <w:rPr>
      <w:rFonts w:asciiTheme="minorHAnsi" w:hAnsiTheme="minorHAnsi" w:eastAsiaTheme="minorEastAsia" w:cstheme="minorBidi"/>
      <w:sz w:val="48"/>
      <w:szCs w:val="48"/>
      <w:lang w:val="en-US" w:eastAsia="zh-CN" w:bidi="ar-SA"/>
    </w:rPr>
  </w:style>
  <w:style w:type="character" w:styleId="1626" w:customStyle="1">
    <w:name w:val="标题 字符"/>
    <w:link w:val="1625"/>
    <w:uiPriority w:val="10"/>
    <w:qFormat/>
    <w:rPr>
      <w:sz w:val="48"/>
      <w:szCs w:val="48"/>
    </w:rPr>
  </w:style>
  <w:style w:type="paragraph" w:styleId="1627">
    <w:name w:val="Subtitle"/>
    <w:link w:val="1628"/>
    <w:uiPriority w:val="11"/>
    <w:qFormat/>
    <w:pPr>
      <w:spacing w:before="200" w:after="200" w:line="278" w:lineRule="auto"/>
    </w:pPr>
    <w:rPr>
      <w:rFonts w:asciiTheme="minorHAnsi" w:hAnsiTheme="minorHAnsi" w:eastAsiaTheme="minorEastAsia" w:cstheme="minorBidi"/>
      <w:sz w:val="24"/>
      <w:szCs w:val="24"/>
      <w:lang w:val="en-US" w:eastAsia="zh-CN" w:bidi="ar-SA"/>
    </w:rPr>
  </w:style>
  <w:style w:type="character" w:styleId="1628" w:customStyle="1">
    <w:name w:val="副标题 字符"/>
    <w:link w:val="1627"/>
    <w:uiPriority w:val="11"/>
    <w:qFormat/>
    <w:rPr>
      <w:sz w:val="24"/>
      <w:szCs w:val="24"/>
    </w:rPr>
  </w:style>
  <w:style w:type="paragraph" w:styleId="1629">
    <w:name w:val="Quote"/>
    <w:link w:val="1630"/>
    <w:uiPriority w:val="29"/>
    <w:qFormat/>
    <w:pPr>
      <w:ind w:left="720" w:right="720"/>
      <w:spacing w:after="160" w:line="278" w:lineRule="auto"/>
    </w:pPr>
    <w:rPr>
      <w:rFonts w:asciiTheme="minorHAnsi" w:hAnsiTheme="minorHAnsi" w:eastAsiaTheme="minorEastAsia" w:cstheme="minorBidi"/>
      <w:i/>
      <w:lang w:val="en-US" w:eastAsia="zh-CN" w:bidi="ar-SA"/>
    </w:rPr>
  </w:style>
  <w:style w:type="character" w:styleId="1630" w:customStyle="1">
    <w:name w:val="引用 字符"/>
    <w:link w:val="1629"/>
    <w:uiPriority w:val="29"/>
    <w:qFormat/>
    <w:rPr>
      <w:i/>
    </w:rPr>
  </w:style>
  <w:style w:type="paragraph" w:styleId="1631">
    <w:name w:val="Intense Quote"/>
    <w:link w:val="1632"/>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632" w:customStyle="1">
    <w:name w:val="明显引用 字符"/>
    <w:link w:val="1631"/>
    <w:uiPriority w:val="30"/>
    <w:qFormat/>
    <w:rPr>
      <w:i/>
    </w:rPr>
  </w:style>
  <w:style w:type="paragraph" w:styleId="1633">
    <w:name w:val="Header"/>
    <w:link w:val="163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lang w:val="en-US" w:eastAsia="zh-CN" w:bidi="ar-SA"/>
    </w:rPr>
  </w:style>
  <w:style w:type="character" w:styleId="1634" w:customStyle="1">
    <w:name w:val="页眉 字符"/>
    <w:link w:val="1633"/>
    <w:uiPriority w:val="99"/>
    <w:qFormat/>
  </w:style>
  <w:style w:type="paragraph" w:styleId="1635">
    <w:name w:val="Footer"/>
    <w:link w:val="1637"/>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lang w:val="en-US" w:eastAsia="zh-CN" w:bidi="ar-SA"/>
    </w:rPr>
  </w:style>
  <w:style w:type="paragraph" w:styleId="1636">
    <w:name w:val="Caption"/>
    <w:uiPriority w:val="35"/>
    <w:semiHidden/>
    <w:unhideWhenUsed/>
    <w:qFormat/>
    <w:pPr>
      <w:spacing w:after="160"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character" w:styleId="1637" w:customStyle="1">
    <w:name w:val="页脚 字符"/>
    <w:link w:val="1635"/>
    <w:uiPriority w:val="99"/>
    <w:qFormat/>
  </w:style>
  <w:style w:type="table" w:styleId="16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6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640"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1"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2" w:customStyle="1">
    <w:name w:val="无格式表格 3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3" w:customStyle="1">
    <w:name w:val="无格式表格 4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4" w:customStyle="1">
    <w:name w:val="无格式表格 51"/>
    <w:uiPriority w:val="99"/>
    <w:qFormat/>
    <w:pPr>
      <w:spacing w:after="0" w:line="240" w:lineRule="auto"/>
    </w:pPr>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5"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52"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59"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73"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80"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6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87"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94" w:customStyle="1">
    <w:name w:val="清单表 1 浅色1"/>
    <w:uiPriority w:val="99"/>
    <w:qFormat/>
    <w:pPr>
      <w:spacing w:after="0" w:line="240" w:lineRule="auto"/>
    </w:pPr>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5" w:customStyle="1">
    <w:name w:val="List Table 1 Light - Accent 1"/>
    <w:uiPriority w:val="99"/>
    <w:qFormat/>
    <w:pPr>
      <w:spacing w:after="0" w:line="240" w:lineRule="auto"/>
    </w:pPr>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96" w:customStyle="1">
    <w:name w:val="List Table 1 Light - Accent 2"/>
    <w:uiPriority w:val="99"/>
    <w:qFormat/>
    <w:pPr>
      <w:spacing w:after="0" w:line="240" w:lineRule="auto"/>
    </w:pPr>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97" w:customStyle="1">
    <w:name w:val="List Table 1 Light - Accent 3"/>
    <w:uiPriority w:val="99"/>
    <w:qFormat/>
    <w:pPr>
      <w:spacing w:after="0" w:line="240" w:lineRule="auto"/>
    </w:pPr>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98" w:customStyle="1">
    <w:name w:val="List Table 1 Light - Accent 4"/>
    <w:uiPriority w:val="99"/>
    <w:qFormat/>
    <w:pPr>
      <w:spacing w:after="0" w:line="240" w:lineRule="auto"/>
    </w:pPr>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99" w:customStyle="1">
    <w:name w:val="List Table 1 Light - Accent 5"/>
    <w:uiPriority w:val="99"/>
    <w:qFormat/>
    <w:pPr>
      <w:spacing w:after="0" w:line="240" w:lineRule="auto"/>
    </w:pPr>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00" w:customStyle="1">
    <w:name w:val="List Table 1 Light - Accent 6"/>
    <w:uiPriority w:val="99"/>
    <w:qFormat/>
    <w:pPr>
      <w:spacing w:after="0" w:line="240" w:lineRule="auto"/>
    </w:pPr>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01"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08"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15"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22"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9"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36" w:customStyle="1">
    <w:name w:val="清单表 7 彩色1"/>
    <w:uiPriority w:val="99"/>
    <w:qFormat/>
    <w:pPr>
      <w:spacing w:after="0" w:line="240" w:lineRule="auto"/>
    </w:pPr>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7" w:customStyle="1">
    <w:name w:val="List Table 7 Colorful - Accent 1"/>
    <w:uiPriority w:val="99"/>
    <w:qFormat/>
    <w:pPr>
      <w:spacing w:after="0" w:line="240" w:lineRule="auto"/>
    </w:pPr>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38" w:customStyle="1">
    <w:name w:val="List Table 7 Colorful - Accent 2"/>
    <w:uiPriority w:val="99"/>
    <w:qFormat/>
    <w:pPr>
      <w:spacing w:after="0" w:line="240" w:lineRule="auto"/>
    </w:pPr>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39" w:customStyle="1">
    <w:name w:val="List Table 7 Colorful - Accent 3"/>
    <w:uiPriority w:val="99"/>
    <w:qFormat/>
    <w:pPr>
      <w:spacing w:after="0" w:line="240" w:lineRule="auto"/>
    </w:pPr>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40" w:customStyle="1">
    <w:name w:val="List Table 7 Colorful - Accent 4"/>
    <w:uiPriority w:val="99"/>
    <w:qFormat/>
    <w:pPr>
      <w:spacing w:after="0" w:line="240" w:lineRule="auto"/>
    </w:pPr>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41" w:customStyle="1">
    <w:name w:val="List Table 7 Colorful - Accent 5"/>
    <w:uiPriority w:val="99"/>
    <w:qFormat/>
    <w:pPr>
      <w:spacing w:after="0" w:line="240" w:lineRule="auto"/>
    </w:pPr>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42" w:customStyle="1">
    <w:name w:val="List Table 7 Colorful - Accent 6"/>
    <w:uiPriority w:val="99"/>
    <w:qFormat/>
    <w:pPr>
      <w:spacing w:after="0" w:line="240" w:lineRule="auto"/>
    </w:pPr>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43" w:customStyle="1">
    <w:name w:val="Lined - Accent"/>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4" w:customStyle="1">
    <w:name w:val="Lined - Accent 1"/>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45" w:customStyle="1">
    <w:name w:val="Lined - Accent 2"/>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46" w:customStyle="1">
    <w:name w:val="Lined - Accent 3"/>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47" w:customStyle="1">
    <w:name w:val="Lined - Accent 4"/>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48" w:customStyle="1">
    <w:name w:val="Lined - Accent 5"/>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49" w:customStyle="1">
    <w:name w:val="Lined - Accent 6"/>
    <w:uiPriority w:val="99"/>
    <w:qFormat/>
    <w:pPr>
      <w:spacing w:after="0" w:line="240" w:lineRule="auto"/>
    </w:pPr>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64">
    <w:name w:val="Hyperlink"/>
    <w:uiPriority w:val="99"/>
    <w:unhideWhenUsed/>
    <w:qFormat/>
    <w:rPr>
      <w:color w:val="0000ff" w:themeColor="hyperlink"/>
      <w:u w:val="single"/>
      <w14:textFill>
        <w14:solidFill>
          <w14:schemeClr w14:val="hlink"/>
        </w14:solidFill>
      </w14:textFill>
    </w:rPr>
  </w:style>
  <w:style w:type="paragraph" w:styleId="1765">
    <w:name w:val="footnote text"/>
    <w:link w:val="1766"/>
    <w:uiPriority w:val="99"/>
    <w:semiHidden/>
    <w:unhideWhenUsed/>
    <w:qFormat/>
    <w:pPr>
      <w:spacing w:after="40" w:line="240" w:lineRule="auto"/>
    </w:pPr>
    <w:rPr>
      <w:rFonts w:asciiTheme="minorHAnsi" w:hAnsiTheme="minorHAnsi" w:eastAsiaTheme="minorEastAsia" w:cstheme="minorBidi"/>
      <w:sz w:val="18"/>
      <w:lang w:val="en-US" w:eastAsia="zh-CN" w:bidi="ar-SA"/>
    </w:rPr>
  </w:style>
  <w:style w:type="character" w:styleId="1766" w:customStyle="1">
    <w:name w:val="脚注文本 字符"/>
    <w:link w:val="1765"/>
    <w:uiPriority w:val="99"/>
    <w:qFormat/>
    <w:rPr>
      <w:sz w:val="18"/>
    </w:rPr>
  </w:style>
  <w:style w:type="character" w:styleId="1767">
    <w:name w:val="footnote reference"/>
    <w:uiPriority w:val="99"/>
    <w:unhideWhenUsed/>
    <w:qFormat/>
    <w:rPr>
      <w:vertAlign w:val="superscript"/>
    </w:rPr>
  </w:style>
  <w:style w:type="paragraph" w:styleId="1768">
    <w:name w:val="endnote text"/>
    <w:link w:val="1769"/>
    <w:uiPriority w:val="99"/>
    <w:semiHidden/>
    <w:unhideWhenUsed/>
    <w:qFormat/>
    <w:pPr>
      <w:spacing w:after="0" w:line="240" w:lineRule="auto"/>
    </w:pPr>
    <w:rPr>
      <w:rFonts w:asciiTheme="minorHAnsi" w:hAnsiTheme="minorHAnsi" w:eastAsiaTheme="minorEastAsia" w:cstheme="minorBidi"/>
      <w:lang w:val="en-US" w:eastAsia="zh-CN" w:bidi="ar-SA"/>
    </w:rPr>
  </w:style>
  <w:style w:type="character" w:styleId="1769" w:customStyle="1">
    <w:name w:val="尾注文本 字符"/>
    <w:link w:val="1768"/>
    <w:uiPriority w:val="99"/>
    <w:qFormat/>
    <w:rPr>
      <w:sz w:val="20"/>
    </w:rPr>
  </w:style>
  <w:style w:type="character" w:styleId="1770">
    <w:name w:val="endnote reference"/>
    <w:uiPriority w:val="99"/>
    <w:semiHidden/>
    <w:unhideWhenUsed/>
    <w:qFormat/>
    <w:rPr>
      <w:vertAlign w:val="superscript"/>
    </w:rPr>
  </w:style>
  <w:style w:type="paragraph" w:styleId="1771">
    <w:name w:val="toc 1"/>
    <w:uiPriority w:val="39"/>
    <w:unhideWhenUsed/>
    <w:qFormat/>
    <w:pPr>
      <w:spacing w:after="57" w:line="278" w:lineRule="auto"/>
    </w:pPr>
    <w:rPr>
      <w:rFonts w:asciiTheme="minorHAnsi" w:hAnsiTheme="minorHAnsi" w:eastAsiaTheme="minorEastAsia" w:cstheme="minorBidi"/>
      <w:lang w:val="en-US" w:eastAsia="zh-CN" w:bidi="ar-SA"/>
    </w:rPr>
  </w:style>
  <w:style w:type="paragraph" w:styleId="1772">
    <w:name w:val="toc 2"/>
    <w:uiPriority w:val="39"/>
    <w:unhideWhenUsed/>
    <w:qFormat/>
    <w:pPr>
      <w:ind w:left="283"/>
      <w:spacing w:after="57" w:line="278" w:lineRule="auto"/>
    </w:pPr>
    <w:rPr>
      <w:rFonts w:asciiTheme="minorHAnsi" w:hAnsiTheme="minorHAnsi" w:eastAsiaTheme="minorEastAsia" w:cstheme="minorBidi"/>
      <w:lang w:val="en-US" w:eastAsia="zh-CN" w:bidi="ar-SA"/>
    </w:rPr>
  </w:style>
  <w:style w:type="paragraph" w:styleId="1773">
    <w:name w:val="toc 3"/>
    <w:uiPriority w:val="39"/>
    <w:unhideWhenUsed/>
    <w:qFormat/>
    <w:pPr>
      <w:ind w:left="567"/>
      <w:spacing w:after="57" w:line="278" w:lineRule="auto"/>
    </w:pPr>
    <w:rPr>
      <w:rFonts w:asciiTheme="minorHAnsi" w:hAnsiTheme="minorHAnsi" w:eastAsiaTheme="minorEastAsia" w:cstheme="minorBidi"/>
      <w:lang w:val="en-US" w:eastAsia="zh-CN" w:bidi="ar-SA"/>
    </w:rPr>
  </w:style>
  <w:style w:type="paragraph" w:styleId="1774">
    <w:name w:val="toc 4"/>
    <w:uiPriority w:val="39"/>
    <w:unhideWhenUsed/>
    <w:qFormat/>
    <w:pPr>
      <w:ind w:left="850"/>
      <w:spacing w:after="57" w:line="278" w:lineRule="auto"/>
    </w:pPr>
    <w:rPr>
      <w:rFonts w:asciiTheme="minorHAnsi" w:hAnsiTheme="minorHAnsi" w:eastAsiaTheme="minorEastAsia" w:cstheme="minorBidi"/>
      <w:lang w:val="en-US" w:eastAsia="zh-CN" w:bidi="ar-SA"/>
    </w:rPr>
  </w:style>
  <w:style w:type="paragraph" w:styleId="1775">
    <w:name w:val="toc 5"/>
    <w:uiPriority w:val="39"/>
    <w:unhideWhenUsed/>
    <w:qFormat/>
    <w:pPr>
      <w:ind w:left="1134"/>
      <w:spacing w:after="57" w:line="278" w:lineRule="auto"/>
    </w:pPr>
    <w:rPr>
      <w:rFonts w:asciiTheme="minorHAnsi" w:hAnsiTheme="minorHAnsi" w:eastAsiaTheme="minorEastAsia" w:cstheme="minorBidi"/>
      <w:lang w:val="en-US" w:eastAsia="zh-CN" w:bidi="ar-SA"/>
    </w:rPr>
  </w:style>
  <w:style w:type="paragraph" w:styleId="1776">
    <w:name w:val="toc 6"/>
    <w:uiPriority w:val="39"/>
    <w:unhideWhenUsed/>
    <w:qFormat/>
    <w:pPr>
      <w:ind w:left="1417"/>
      <w:spacing w:after="57" w:line="278" w:lineRule="auto"/>
    </w:pPr>
    <w:rPr>
      <w:rFonts w:asciiTheme="minorHAnsi" w:hAnsiTheme="minorHAnsi" w:eastAsiaTheme="minorEastAsia" w:cstheme="minorBidi"/>
      <w:lang w:val="en-US" w:eastAsia="zh-CN" w:bidi="ar-SA"/>
    </w:rPr>
  </w:style>
  <w:style w:type="paragraph" w:styleId="1777">
    <w:name w:val="toc 7"/>
    <w:uiPriority w:val="39"/>
    <w:unhideWhenUsed/>
    <w:qFormat/>
    <w:pPr>
      <w:ind w:left="1701"/>
      <w:spacing w:after="57" w:line="278" w:lineRule="auto"/>
    </w:pPr>
    <w:rPr>
      <w:rFonts w:asciiTheme="minorHAnsi" w:hAnsiTheme="minorHAnsi" w:eastAsiaTheme="minorEastAsia" w:cstheme="minorBidi"/>
      <w:lang w:val="en-US" w:eastAsia="zh-CN" w:bidi="ar-SA"/>
    </w:rPr>
  </w:style>
  <w:style w:type="paragraph" w:styleId="1778">
    <w:name w:val="toc 8"/>
    <w:uiPriority w:val="39"/>
    <w:unhideWhenUsed/>
    <w:qFormat/>
    <w:pPr>
      <w:ind w:left="1984"/>
      <w:spacing w:after="57" w:line="278" w:lineRule="auto"/>
    </w:pPr>
    <w:rPr>
      <w:rFonts w:asciiTheme="minorHAnsi" w:hAnsiTheme="minorHAnsi" w:eastAsiaTheme="minorEastAsia" w:cstheme="minorBidi"/>
      <w:lang w:val="en-US" w:eastAsia="zh-CN" w:bidi="ar-SA"/>
    </w:rPr>
  </w:style>
  <w:style w:type="paragraph" w:styleId="1779">
    <w:name w:val="toc 9"/>
    <w:uiPriority w:val="39"/>
    <w:unhideWhenUsed/>
    <w:qFormat/>
    <w:pPr>
      <w:ind w:left="2268"/>
      <w:spacing w:after="57" w:line="278" w:lineRule="auto"/>
    </w:pPr>
    <w:rPr>
      <w:rFonts w:asciiTheme="minorHAnsi" w:hAnsiTheme="minorHAnsi" w:eastAsiaTheme="minorEastAsia" w:cstheme="minorBidi"/>
      <w:lang w:val="en-US" w:eastAsia="zh-CN" w:bidi="ar-SA"/>
    </w:rPr>
  </w:style>
  <w:style w:type="paragraph" w:styleId="1780">
    <w:name w:val="table of figures"/>
    <w:uiPriority w:val="99"/>
    <w:unhideWhenUsed/>
    <w:qFormat/>
    <w:pPr>
      <w:spacing w:after="0" w:line="278" w:lineRule="auto"/>
    </w:pPr>
    <w:rPr>
      <w:rFonts w:asciiTheme="minorHAnsi" w:hAnsiTheme="minorHAnsi" w:eastAsiaTheme="minorEastAsia" w:cstheme="minorBidi"/>
      <w:lang w:val="en-US" w:eastAsia="zh-CN" w:bidi="ar-SA"/>
    </w:rPr>
  </w:style>
  <w:style w:type="numbering" w:styleId="178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刘秀萍</cp:lastModifiedBy>
  <cp:revision>25</cp:revision>
  <dcterms:created xsi:type="dcterms:W3CDTF">2023-01-06T05:21:00Z</dcterms:created>
  <dcterms:modified xsi:type="dcterms:W3CDTF">2025-07-30T02:18:24Z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93AF5EAE906A4CA7A0BA9A55DBFAA78A_13</vt:lpwstr>
  </property>
  <property fmtid="{D5CDD505-2E9C-101B-9397-08002B2CF9AE}" pid="4" name="KSOTemplateDocerSaveRecord">
    <vt:lpwstr>eyJoZGlkIjoiODFmOTQyYWU4MDJlYTRkOTYwNjkyZGI2ZGI5ZTRiZmUiLCJ1c2VySWQiOiI1NTA2NDYyNDgifQ==</vt:lpwstr>
  </property>
</Properties>
</file>