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819"/>
        </w:tabs>
        <w:spacing w:line="660" w:lineRule="exact"/>
        <w:jc w:val="center"/>
        <w:rPr>
          <w:rFonts w:hint="eastAsia" w:ascii="宋体" w:hAnsi="宋体" w:cs="宋体"/>
          <w:b/>
          <w:sz w:val="32"/>
          <w:szCs w:val="32"/>
          <w:lang w:eastAsia="zh-CN"/>
        </w:rPr>
      </w:pPr>
      <w:r>
        <w:rPr>
          <w:rFonts w:hint="eastAsia" w:ascii="宋体" w:hAnsi="宋体" w:cs="宋体"/>
          <w:b/>
          <w:sz w:val="32"/>
          <w:szCs w:val="32"/>
          <w:lang w:eastAsia="zh-CN"/>
        </w:rPr>
        <w:t>京口区人民法院执行服务中心项目</w:t>
      </w:r>
    </w:p>
    <w:p>
      <w:pPr>
        <w:tabs>
          <w:tab w:val="center" w:pos="4819"/>
        </w:tabs>
        <w:spacing w:line="660" w:lineRule="exact"/>
        <w:jc w:val="center"/>
        <w:rPr>
          <w:rFonts w:ascii="宋体" w:hAnsi="宋体" w:cs="宋体"/>
          <w:b/>
          <w:sz w:val="32"/>
          <w:szCs w:val="32"/>
        </w:rPr>
      </w:pPr>
      <w:r>
        <w:rPr>
          <w:rFonts w:hint="eastAsia" w:ascii="宋体" w:hAnsi="宋体" w:cs="宋体"/>
          <w:b/>
          <w:sz w:val="32"/>
          <w:szCs w:val="32"/>
        </w:rPr>
        <w:t>工程量清单编制说明</w:t>
      </w:r>
    </w:p>
    <w:p>
      <w:pPr>
        <w:spacing w:line="440" w:lineRule="exact"/>
        <w:rPr>
          <w:rFonts w:ascii="宋体" w:hAnsi="宋体" w:cs="宋体"/>
          <w:b/>
          <w:sz w:val="24"/>
        </w:rPr>
      </w:pPr>
    </w:p>
    <w:p>
      <w:pPr>
        <w:spacing w:line="560" w:lineRule="exact"/>
        <w:ind w:firstLine="562" w:firstLineChars="200"/>
        <w:rPr>
          <w:rFonts w:ascii="宋体" w:hAnsi="宋体" w:cs="宋体"/>
          <w:b/>
          <w:sz w:val="28"/>
          <w:szCs w:val="28"/>
        </w:rPr>
      </w:pPr>
      <w:r>
        <w:rPr>
          <w:rFonts w:hint="eastAsia" w:ascii="宋体" w:hAnsi="宋体" w:cs="宋体"/>
          <w:b/>
          <w:sz w:val="28"/>
          <w:szCs w:val="28"/>
        </w:rPr>
        <w:t>一、工程概况：</w:t>
      </w:r>
    </w:p>
    <w:p>
      <w:pPr>
        <w:tabs>
          <w:tab w:val="center" w:pos="4819"/>
        </w:tabs>
        <w:spacing w:line="560" w:lineRule="exact"/>
        <w:ind w:firstLine="560" w:firstLineChars="200"/>
        <w:rPr>
          <w:rFonts w:ascii="宋体" w:hAnsi="宋体" w:cs="宋体"/>
          <w:kern w:val="0"/>
          <w:sz w:val="28"/>
          <w:szCs w:val="28"/>
        </w:rPr>
      </w:pPr>
      <w:r>
        <w:rPr>
          <w:rFonts w:hint="eastAsia" w:ascii="宋体" w:hAnsi="宋体" w:cs="宋体"/>
          <w:kern w:val="0"/>
          <w:sz w:val="28"/>
          <w:szCs w:val="28"/>
        </w:rPr>
        <w:t>本工程为</w:t>
      </w:r>
      <w:r>
        <w:rPr>
          <w:rFonts w:hint="eastAsia" w:ascii="宋体" w:hAnsi="宋体" w:cs="宋体"/>
          <w:kern w:val="0"/>
          <w:sz w:val="28"/>
          <w:szCs w:val="28"/>
          <w:lang w:eastAsia="zh-CN"/>
        </w:rPr>
        <w:t>京口区人民法院执行服务中心项目</w:t>
      </w:r>
      <w:r>
        <w:rPr>
          <w:rFonts w:hint="eastAsia" w:ascii="宋体" w:hAnsi="宋体" w:cs="宋体"/>
          <w:kern w:val="0"/>
          <w:sz w:val="28"/>
          <w:szCs w:val="28"/>
        </w:rPr>
        <w:t>，建设单位：镇江市</w:t>
      </w:r>
      <w:r>
        <w:rPr>
          <w:rFonts w:hint="eastAsia" w:ascii="宋体" w:hAnsi="宋体" w:cs="宋体"/>
          <w:kern w:val="0"/>
          <w:sz w:val="28"/>
          <w:szCs w:val="28"/>
          <w:lang w:val="en-US" w:eastAsia="zh-CN"/>
        </w:rPr>
        <w:t>京口区人民法院</w:t>
      </w:r>
      <w:r>
        <w:rPr>
          <w:rFonts w:hint="eastAsia" w:ascii="宋体" w:hAnsi="宋体" w:cs="宋体"/>
          <w:kern w:val="0"/>
          <w:sz w:val="28"/>
          <w:szCs w:val="28"/>
        </w:rPr>
        <w:t>。</w:t>
      </w:r>
    </w:p>
    <w:p>
      <w:pPr>
        <w:spacing w:line="560" w:lineRule="exact"/>
        <w:ind w:firstLine="562" w:firstLineChars="200"/>
        <w:rPr>
          <w:rFonts w:ascii="宋体" w:hAnsi="宋体" w:cs="宋体"/>
          <w:b/>
          <w:sz w:val="28"/>
          <w:szCs w:val="28"/>
        </w:rPr>
      </w:pPr>
      <w:r>
        <w:rPr>
          <w:rFonts w:hint="eastAsia" w:ascii="宋体" w:hAnsi="宋体" w:cs="宋体"/>
          <w:b/>
          <w:sz w:val="28"/>
          <w:szCs w:val="28"/>
        </w:rPr>
        <w:t>二、工程范围：</w:t>
      </w:r>
    </w:p>
    <w:p>
      <w:pPr>
        <w:spacing w:line="560" w:lineRule="exact"/>
        <w:ind w:firstLine="560" w:firstLineChars="200"/>
        <w:rPr>
          <w:rFonts w:ascii="宋体" w:hAnsi="宋体" w:cs="宋体"/>
          <w:sz w:val="28"/>
          <w:szCs w:val="28"/>
        </w:rPr>
      </w:pPr>
      <w:r>
        <w:rPr>
          <w:rFonts w:hint="eastAsia" w:ascii="宋体" w:hAnsi="宋体" w:cs="宋体"/>
          <w:sz w:val="28"/>
          <w:szCs w:val="28"/>
        </w:rPr>
        <w:t>工程范围：详见工程量清单。</w:t>
      </w:r>
    </w:p>
    <w:p>
      <w:pPr>
        <w:spacing w:line="560" w:lineRule="exact"/>
        <w:ind w:firstLine="562" w:firstLineChars="200"/>
        <w:rPr>
          <w:rFonts w:ascii="宋体" w:hAnsi="宋体" w:cs="宋体"/>
          <w:b/>
          <w:sz w:val="28"/>
          <w:szCs w:val="28"/>
        </w:rPr>
      </w:pPr>
      <w:r>
        <w:rPr>
          <w:rFonts w:hint="eastAsia" w:ascii="宋体" w:hAnsi="宋体" w:cs="宋体"/>
          <w:b/>
          <w:sz w:val="28"/>
          <w:szCs w:val="28"/>
        </w:rPr>
        <w:t>三、工程量清单编制依据：</w:t>
      </w:r>
    </w:p>
    <w:p>
      <w:pPr>
        <w:spacing w:line="560" w:lineRule="exact"/>
        <w:ind w:firstLine="560" w:firstLineChars="200"/>
        <w:rPr>
          <w:rFonts w:ascii="宋体" w:hAnsi="宋体" w:cs="宋体"/>
          <w:sz w:val="28"/>
          <w:szCs w:val="28"/>
        </w:rPr>
      </w:pPr>
      <w:r>
        <w:rPr>
          <w:rFonts w:hint="eastAsia" w:ascii="宋体" w:hAnsi="宋体" w:cs="宋体"/>
          <w:sz w:val="28"/>
          <w:szCs w:val="28"/>
        </w:rPr>
        <w:t>1、《建设工程工程量清单计价规范》GB50500-2013、江苏省建设工程工程量清单计价项目指引（GB50500-2013）、《江苏修缮建筑定额》（2009年）、《江苏省建筑与装饰工程计价定额》（2014年）、2014年《江苏省市政工程计价定额》、2014年《江苏省安装工程计价定额》、《江苏省建设工程费用定额》（2014年）及营改增后调整内容，苏建价[2016]154号省住房城乡建设厅关于建筑业实施营改增后江苏省建设工程计价依据调整的通知，苏建函价〔2019〕178号关于建筑业增值税计价政策调整的通知，截止202</w:t>
      </w:r>
      <w:r>
        <w:rPr>
          <w:rFonts w:hint="eastAsia" w:ascii="宋体" w:hAnsi="宋体" w:cs="宋体"/>
          <w:sz w:val="28"/>
          <w:szCs w:val="28"/>
          <w:lang w:val="en-US" w:eastAsia="zh-CN"/>
        </w:rPr>
        <w:t>3</w:t>
      </w:r>
      <w:r>
        <w:rPr>
          <w:rFonts w:hint="eastAsia" w:ascii="宋体" w:hAnsi="宋体" w:cs="宋体"/>
          <w:sz w:val="28"/>
          <w:szCs w:val="28"/>
        </w:rPr>
        <w:t>年</w:t>
      </w:r>
      <w:r>
        <w:rPr>
          <w:rFonts w:hint="eastAsia" w:ascii="宋体" w:hAnsi="宋体" w:cs="宋体"/>
          <w:sz w:val="28"/>
          <w:szCs w:val="28"/>
          <w:lang w:val="en-US" w:eastAsia="zh-CN"/>
        </w:rPr>
        <w:t>6</w:t>
      </w:r>
      <w:r>
        <w:rPr>
          <w:rFonts w:hint="eastAsia" w:ascii="宋体" w:hAnsi="宋体" w:cs="宋体"/>
          <w:sz w:val="28"/>
          <w:szCs w:val="28"/>
        </w:rPr>
        <w:t>月底前省、市有关工程造价计价文件。</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2、委托方提供的设计图纸。</w:t>
      </w:r>
    </w:p>
    <w:p>
      <w:pPr>
        <w:autoSpaceDE w:val="0"/>
        <w:autoSpaceDN w:val="0"/>
        <w:adjustRightInd w:val="0"/>
        <w:spacing w:line="560" w:lineRule="exact"/>
        <w:ind w:firstLine="422" w:firstLineChars="150"/>
        <w:jc w:val="left"/>
        <w:rPr>
          <w:rFonts w:ascii="宋体" w:hAnsi="宋体" w:cs="宋体"/>
          <w:b/>
          <w:sz w:val="28"/>
          <w:szCs w:val="28"/>
        </w:rPr>
      </w:pPr>
      <w:r>
        <w:rPr>
          <w:rFonts w:hint="eastAsia" w:ascii="宋体" w:hAnsi="宋体" w:cs="宋体"/>
          <w:b/>
          <w:sz w:val="28"/>
          <w:szCs w:val="28"/>
        </w:rPr>
        <w:t>四、工程类别及取费标准</w:t>
      </w:r>
    </w:p>
    <w:p>
      <w:pPr>
        <w:spacing w:line="560" w:lineRule="exact"/>
        <w:ind w:firstLine="560" w:firstLineChars="200"/>
        <w:rPr>
          <w:rFonts w:ascii="宋体" w:hAnsi="宋体" w:cs="宋体"/>
          <w:color w:val="000000"/>
          <w:sz w:val="28"/>
          <w:szCs w:val="28"/>
        </w:rPr>
      </w:pPr>
      <w:r>
        <w:rPr>
          <w:rFonts w:hint="eastAsia" w:ascii="宋体" w:hAnsi="宋体" w:cs="宋体"/>
          <w:sz w:val="28"/>
          <w:szCs w:val="28"/>
        </w:rPr>
        <w:t>安全文明施工措施费的基本费</w:t>
      </w:r>
      <w:r>
        <w:rPr>
          <w:rFonts w:hint="eastAsia" w:ascii="宋体" w:hAnsi="宋体" w:cs="宋体"/>
          <w:color w:val="000000"/>
          <w:sz w:val="28"/>
          <w:szCs w:val="28"/>
        </w:rPr>
        <w:t>按标准执行，</w:t>
      </w:r>
      <w:r>
        <w:rPr>
          <w:rFonts w:hint="eastAsia" w:ascii="宋体" w:hAnsi="宋体" w:cs="宋体"/>
          <w:sz w:val="28"/>
          <w:szCs w:val="28"/>
        </w:rPr>
        <w:t>省</w:t>
      </w:r>
      <w:r>
        <w:rPr>
          <w:rFonts w:hint="eastAsia" w:ascii="宋体" w:hAnsi="宋体" w:cs="宋体"/>
          <w:color w:val="000000"/>
          <w:sz w:val="28"/>
          <w:szCs w:val="28"/>
        </w:rPr>
        <w:t>级标化增加费不计取。</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除现场安全文明施工措施费、各项规费、环境保护税、综合税金按镇江市规定费率计取外，其余由各投标单位自主报价</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结算不作调整</w:t>
      </w:r>
      <w:r>
        <w:rPr>
          <w:rFonts w:hint="eastAsia" w:ascii="宋体" w:hAnsi="宋体" w:cs="宋体"/>
          <w:color w:val="000000"/>
          <w:sz w:val="28"/>
          <w:szCs w:val="28"/>
        </w:rPr>
        <w:t>。</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本工程按增值税一般计税方法计取。</w:t>
      </w:r>
    </w:p>
    <w:p>
      <w:pPr>
        <w:spacing w:line="560" w:lineRule="exact"/>
        <w:ind w:firstLine="560" w:firstLineChars="200"/>
        <w:rPr>
          <w:rFonts w:ascii="宋体" w:hAnsi="宋体" w:cs="宋体"/>
          <w:color w:val="000000"/>
          <w:sz w:val="28"/>
          <w:szCs w:val="28"/>
        </w:rPr>
      </w:pPr>
    </w:p>
    <w:p>
      <w:pPr>
        <w:spacing w:line="560" w:lineRule="exact"/>
        <w:rPr>
          <w:rFonts w:ascii="宋体" w:hAnsi="宋体" w:cs="宋体"/>
          <w:color w:val="000000"/>
          <w:sz w:val="28"/>
          <w:szCs w:val="28"/>
        </w:rPr>
      </w:pPr>
    </w:p>
    <w:tbl>
      <w:tblPr>
        <w:tblStyle w:val="7"/>
        <w:tblW w:w="9567" w:type="dxa"/>
        <w:tblInd w:w="109" w:type="dxa"/>
        <w:tblLayout w:type="fixed"/>
        <w:tblCellMar>
          <w:top w:w="0" w:type="dxa"/>
          <w:left w:w="108" w:type="dxa"/>
          <w:bottom w:w="0" w:type="dxa"/>
          <w:right w:w="108" w:type="dxa"/>
        </w:tblCellMar>
      </w:tblPr>
      <w:tblGrid>
        <w:gridCol w:w="1262"/>
        <w:gridCol w:w="850"/>
        <w:gridCol w:w="1571"/>
        <w:gridCol w:w="1534"/>
        <w:gridCol w:w="1283"/>
        <w:gridCol w:w="933"/>
        <w:gridCol w:w="1184"/>
        <w:gridCol w:w="950"/>
      </w:tblGrid>
      <w:tr>
        <w:tblPrEx>
          <w:tblCellMar>
            <w:top w:w="0" w:type="dxa"/>
            <w:left w:w="108" w:type="dxa"/>
            <w:bottom w:w="0" w:type="dxa"/>
            <w:right w:w="108" w:type="dxa"/>
          </w:tblCellMar>
        </w:tblPrEx>
        <w:trPr>
          <w:trHeight w:val="378" w:hRule="atLeast"/>
        </w:trPr>
        <w:tc>
          <w:tcPr>
            <w:tcW w:w="12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工程名称</w:t>
            </w:r>
          </w:p>
        </w:tc>
        <w:tc>
          <w:tcPr>
            <w:tcW w:w="395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安全文明施工措施费</w:t>
            </w:r>
          </w:p>
        </w:tc>
        <w:tc>
          <w:tcPr>
            <w:tcW w:w="12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社会保障费率</w:t>
            </w:r>
          </w:p>
        </w:tc>
        <w:tc>
          <w:tcPr>
            <w:tcW w:w="93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公积金费率</w:t>
            </w:r>
          </w:p>
        </w:tc>
        <w:tc>
          <w:tcPr>
            <w:tcW w:w="118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环境保护税率</w:t>
            </w:r>
          </w:p>
        </w:tc>
        <w:tc>
          <w:tcPr>
            <w:tcW w:w="9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税金费率</w:t>
            </w:r>
          </w:p>
        </w:tc>
      </w:tr>
      <w:tr>
        <w:tblPrEx>
          <w:tblCellMar>
            <w:top w:w="0" w:type="dxa"/>
            <w:left w:w="108" w:type="dxa"/>
            <w:bottom w:w="0" w:type="dxa"/>
            <w:right w:w="108" w:type="dxa"/>
          </w:tblCellMar>
        </w:tblPrEx>
        <w:trPr>
          <w:trHeight w:val="864" w:hRule="atLeast"/>
        </w:trPr>
        <w:tc>
          <w:tcPr>
            <w:tcW w:w="1262"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基本费率</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省级标化增加费率</w:t>
            </w:r>
          </w:p>
        </w:tc>
        <w:tc>
          <w:tcPr>
            <w:tcW w:w="15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扬尘污染防治增加费</w:t>
            </w:r>
          </w:p>
        </w:tc>
        <w:tc>
          <w:tcPr>
            <w:tcW w:w="1283"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p>
        </w:tc>
        <w:tc>
          <w:tcPr>
            <w:tcW w:w="933"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p>
        </w:tc>
        <w:tc>
          <w:tcPr>
            <w:tcW w:w="1184"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p>
        </w:tc>
        <w:tc>
          <w:tcPr>
            <w:tcW w:w="950"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p>
        </w:tc>
      </w:tr>
      <w:tr>
        <w:tblPrEx>
          <w:tblCellMar>
            <w:top w:w="0" w:type="dxa"/>
            <w:left w:w="108" w:type="dxa"/>
            <w:bottom w:w="0" w:type="dxa"/>
            <w:right w:w="108" w:type="dxa"/>
          </w:tblCellMar>
        </w:tblPrEx>
        <w:trPr>
          <w:trHeight w:val="864" w:hRule="atLeast"/>
        </w:trPr>
        <w:tc>
          <w:tcPr>
            <w:tcW w:w="126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拆除</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1.</w:t>
            </w:r>
            <w:r>
              <w:rPr>
                <w:rFonts w:hint="eastAsia" w:ascii="宋体" w:hAnsi="宋体" w:cs="宋体"/>
                <w:color w:val="000000"/>
                <w:kern w:val="0"/>
                <w:sz w:val="28"/>
                <w:szCs w:val="28"/>
                <w:lang w:val="en-US" w:eastAsia="zh-CN"/>
              </w:rPr>
              <w:t>5</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w:t>
            </w:r>
          </w:p>
        </w:tc>
        <w:tc>
          <w:tcPr>
            <w:tcW w:w="15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0.21</w:t>
            </w:r>
          </w:p>
        </w:tc>
        <w:tc>
          <w:tcPr>
            <w:tcW w:w="128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3.8</w:t>
            </w:r>
          </w:p>
        </w:tc>
        <w:tc>
          <w:tcPr>
            <w:tcW w:w="93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rPr>
              <w:t>0.</w:t>
            </w:r>
            <w:r>
              <w:rPr>
                <w:rFonts w:hint="eastAsia" w:ascii="宋体" w:hAnsi="宋体" w:cs="宋体"/>
                <w:color w:val="000000"/>
                <w:kern w:val="0"/>
                <w:sz w:val="28"/>
                <w:szCs w:val="28"/>
                <w:lang w:val="en-US" w:eastAsia="zh-CN"/>
              </w:rPr>
              <w:t>67</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0</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9</w:t>
            </w:r>
          </w:p>
        </w:tc>
      </w:tr>
      <w:tr>
        <w:tblPrEx>
          <w:tblCellMar>
            <w:top w:w="0" w:type="dxa"/>
            <w:left w:w="108" w:type="dxa"/>
            <w:bottom w:w="0" w:type="dxa"/>
            <w:right w:w="108" w:type="dxa"/>
          </w:tblCellMar>
        </w:tblPrEx>
        <w:trPr>
          <w:trHeight w:val="864" w:hRule="atLeast"/>
        </w:trPr>
        <w:tc>
          <w:tcPr>
            <w:tcW w:w="126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装饰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1.7</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w:t>
            </w:r>
          </w:p>
        </w:tc>
        <w:tc>
          <w:tcPr>
            <w:tcW w:w="15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0.22</w:t>
            </w:r>
          </w:p>
        </w:tc>
        <w:tc>
          <w:tcPr>
            <w:tcW w:w="128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2.4</w:t>
            </w:r>
          </w:p>
        </w:tc>
        <w:tc>
          <w:tcPr>
            <w:tcW w:w="93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0.42</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0</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9</w:t>
            </w:r>
          </w:p>
        </w:tc>
      </w:tr>
      <w:tr>
        <w:tblPrEx>
          <w:tblCellMar>
            <w:top w:w="0" w:type="dxa"/>
            <w:left w:w="108" w:type="dxa"/>
            <w:bottom w:w="0" w:type="dxa"/>
            <w:right w:w="108" w:type="dxa"/>
          </w:tblCellMar>
        </w:tblPrEx>
        <w:trPr>
          <w:trHeight w:val="864" w:hRule="atLeast"/>
        </w:trPr>
        <w:tc>
          <w:tcPr>
            <w:tcW w:w="126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安装</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1.5</w:t>
            </w:r>
          </w:p>
        </w:tc>
        <w:tc>
          <w:tcPr>
            <w:tcW w:w="15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w:t>
            </w:r>
          </w:p>
        </w:tc>
        <w:tc>
          <w:tcPr>
            <w:tcW w:w="15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0.21</w:t>
            </w:r>
          </w:p>
        </w:tc>
        <w:tc>
          <w:tcPr>
            <w:tcW w:w="128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2.4</w:t>
            </w:r>
          </w:p>
        </w:tc>
        <w:tc>
          <w:tcPr>
            <w:tcW w:w="93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0.42</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0</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9</w:t>
            </w:r>
          </w:p>
        </w:tc>
      </w:tr>
      <w:tr>
        <w:tblPrEx>
          <w:tblCellMar>
            <w:top w:w="0" w:type="dxa"/>
            <w:left w:w="108" w:type="dxa"/>
            <w:bottom w:w="0" w:type="dxa"/>
            <w:right w:w="108" w:type="dxa"/>
          </w:tblCellMar>
        </w:tblPrEx>
        <w:trPr>
          <w:trHeight w:val="864" w:hRule="atLeast"/>
        </w:trPr>
        <w:tc>
          <w:tcPr>
            <w:tcW w:w="1262"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default"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智能化</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1.5</w:t>
            </w:r>
          </w:p>
        </w:tc>
        <w:tc>
          <w:tcPr>
            <w:tcW w:w="15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w:t>
            </w:r>
          </w:p>
        </w:tc>
        <w:tc>
          <w:tcPr>
            <w:tcW w:w="15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0.21</w:t>
            </w:r>
          </w:p>
        </w:tc>
        <w:tc>
          <w:tcPr>
            <w:tcW w:w="128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2.4</w:t>
            </w:r>
          </w:p>
        </w:tc>
        <w:tc>
          <w:tcPr>
            <w:tcW w:w="93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0.42</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0</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9</w:t>
            </w:r>
          </w:p>
        </w:tc>
      </w:tr>
    </w:tbl>
    <w:p>
      <w:pPr>
        <w:autoSpaceDE w:val="0"/>
        <w:autoSpaceDN w:val="0"/>
        <w:adjustRightInd w:val="0"/>
        <w:spacing w:before="50" w:after="50" w:line="56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人工工资单价根据省住建厅《关于发布建设工程人工工资指导价的通知》（苏建函价〔202</w:t>
      </w:r>
      <w:r>
        <w:rPr>
          <w:rFonts w:hint="eastAsia" w:ascii="宋体" w:hAnsi="宋体" w:cs="宋体"/>
          <w:color w:val="000000"/>
          <w:sz w:val="28"/>
          <w:szCs w:val="28"/>
          <w:lang w:val="en-US" w:eastAsia="zh-CN"/>
        </w:rPr>
        <w:t>4</w:t>
      </w:r>
      <w:r>
        <w:rPr>
          <w:rFonts w:hint="eastAsia" w:ascii="宋体" w:hAnsi="宋体" w:cs="宋体"/>
          <w:color w:val="000000"/>
          <w:sz w:val="28"/>
          <w:szCs w:val="28"/>
        </w:rPr>
        <w:t>〕</w:t>
      </w:r>
      <w:r>
        <w:rPr>
          <w:rFonts w:hint="eastAsia" w:ascii="宋体" w:hAnsi="宋体" w:cs="宋体"/>
          <w:color w:val="000000"/>
          <w:sz w:val="28"/>
          <w:szCs w:val="28"/>
          <w:lang w:val="en-US" w:eastAsia="zh-CN"/>
        </w:rPr>
        <w:t>83</w:t>
      </w:r>
      <w:r>
        <w:rPr>
          <w:rFonts w:hint="eastAsia" w:ascii="宋体" w:hAnsi="宋体" w:cs="宋体"/>
          <w:color w:val="000000"/>
          <w:sz w:val="28"/>
          <w:szCs w:val="28"/>
        </w:rPr>
        <w:t>号）的通知。</w:t>
      </w:r>
    </w:p>
    <w:p>
      <w:pPr>
        <w:autoSpaceDE w:val="0"/>
        <w:autoSpaceDN w:val="0"/>
        <w:adjustRightInd w:val="0"/>
        <w:spacing w:line="560" w:lineRule="exact"/>
        <w:jc w:val="left"/>
        <w:rPr>
          <w:rFonts w:ascii="宋体" w:hAnsi="宋体" w:cs="宋体"/>
          <w:b/>
          <w:color w:val="000000"/>
          <w:sz w:val="28"/>
          <w:szCs w:val="28"/>
        </w:rPr>
      </w:pPr>
      <w:r>
        <w:rPr>
          <w:rFonts w:hint="eastAsia" w:ascii="宋体" w:hAnsi="宋体" w:cs="宋体"/>
          <w:b/>
          <w:color w:val="000000"/>
          <w:sz w:val="28"/>
          <w:szCs w:val="28"/>
        </w:rPr>
        <w:t>五、材料价格取定</w:t>
      </w:r>
    </w:p>
    <w:p>
      <w:pPr>
        <w:autoSpaceDE w:val="0"/>
        <w:autoSpaceDN w:val="0"/>
        <w:adjustRightInd w:val="0"/>
        <w:spacing w:line="560" w:lineRule="exact"/>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1、材料价格按《镇江工程造价信息》202</w:t>
      </w:r>
      <w:r>
        <w:rPr>
          <w:rFonts w:hint="eastAsia" w:ascii="宋体" w:hAnsi="宋体" w:cs="宋体"/>
          <w:color w:val="000000"/>
          <w:sz w:val="28"/>
          <w:szCs w:val="28"/>
          <w:lang w:val="en-US" w:eastAsia="zh-CN"/>
        </w:rPr>
        <w:t>4</w:t>
      </w:r>
      <w:r>
        <w:rPr>
          <w:rFonts w:hint="eastAsia" w:ascii="宋体" w:hAnsi="宋体" w:cs="宋体"/>
          <w:color w:val="000000"/>
          <w:sz w:val="28"/>
          <w:szCs w:val="28"/>
        </w:rPr>
        <w:t>年第</w:t>
      </w:r>
      <w:r>
        <w:rPr>
          <w:rFonts w:hint="eastAsia" w:ascii="宋体" w:hAnsi="宋体" w:cs="宋体"/>
          <w:color w:val="000000"/>
          <w:sz w:val="28"/>
          <w:szCs w:val="28"/>
          <w:lang w:val="en-US" w:eastAsia="zh-CN"/>
        </w:rPr>
        <w:t>5</w:t>
      </w:r>
      <w:r>
        <w:rPr>
          <w:rFonts w:hint="eastAsia" w:ascii="宋体" w:hAnsi="宋体" w:cs="宋体"/>
          <w:color w:val="000000"/>
          <w:sz w:val="28"/>
          <w:szCs w:val="28"/>
        </w:rPr>
        <w:t>期并结合市场价与市场波动等因素综合考虑。</w:t>
      </w:r>
    </w:p>
    <w:p>
      <w:pPr>
        <w:autoSpaceDE w:val="0"/>
        <w:autoSpaceDN w:val="0"/>
        <w:adjustRightInd w:val="0"/>
        <w:spacing w:line="560" w:lineRule="exact"/>
        <w:ind w:firstLine="560" w:firstLineChars="200"/>
        <w:jc w:val="left"/>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2、拆除工程按现场实际勘查量计算；</w:t>
      </w:r>
    </w:p>
    <w:p>
      <w:pPr>
        <w:autoSpaceDE w:val="0"/>
        <w:autoSpaceDN w:val="0"/>
        <w:adjustRightInd w:val="0"/>
        <w:spacing w:line="560" w:lineRule="exact"/>
        <w:ind w:firstLine="560" w:firstLineChars="200"/>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3、地下羁押室地面防水按刷聚氨酯防水涂料2mm厚计算；</w:t>
      </w:r>
    </w:p>
    <w:p>
      <w:pPr>
        <w:autoSpaceDE w:val="0"/>
        <w:autoSpaceDN w:val="0"/>
        <w:adjustRightInd w:val="0"/>
        <w:spacing w:line="560" w:lineRule="exact"/>
        <w:ind w:firstLine="560" w:firstLineChars="200"/>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4、地下羁押室内墙两侧按刷聚氨酯防水涂料2mm厚；</w:t>
      </w:r>
    </w:p>
    <w:p>
      <w:pPr>
        <w:autoSpaceDE w:val="0"/>
        <w:autoSpaceDN w:val="0"/>
        <w:adjustRightInd w:val="0"/>
        <w:spacing w:line="560" w:lineRule="exact"/>
        <w:ind w:firstLine="560" w:firstLineChars="200"/>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5、地下羁押室钢架基础墙参照最高人民法院标准；</w:t>
      </w:r>
    </w:p>
    <w:p>
      <w:pPr>
        <w:autoSpaceDE w:val="0"/>
        <w:autoSpaceDN w:val="0"/>
        <w:adjustRightInd w:val="0"/>
        <w:spacing w:line="560" w:lineRule="exact"/>
        <w:ind w:firstLine="560" w:firstLineChars="200"/>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6、复合铝板厚度按8mm计算；</w:t>
      </w:r>
    </w:p>
    <w:p>
      <w:pPr>
        <w:autoSpaceDE w:val="0"/>
        <w:autoSpaceDN w:val="0"/>
        <w:adjustRightInd w:val="0"/>
        <w:spacing w:line="560" w:lineRule="exact"/>
        <w:ind w:firstLine="560" w:firstLineChars="200"/>
        <w:jc w:val="left"/>
        <w:rPr>
          <w:rFonts w:hint="default"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7、软包采用环保级别E0级，30mm厚羁押专用</w:t>
      </w:r>
    </w:p>
    <w:p>
      <w:pPr>
        <w:autoSpaceDE w:val="0"/>
        <w:autoSpaceDN w:val="0"/>
        <w:adjustRightInd w:val="0"/>
        <w:spacing w:line="560" w:lineRule="exact"/>
        <w:ind w:firstLine="560" w:firstLineChars="200"/>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8、油漆按二遍腻子三遍乳胶漆计算；</w:t>
      </w:r>
    </w:p>
    <w:p>
      <w:pPr>
        <w:autoSpaceDE w:val="0"/>
        <w:autoSpaceDN w:val="0"/>
        <w:adjustRightInd w:val="0"/>
        <w:spacing w:line="560" w:lineRule="exact"/>
        <w:ind w:firstLine="560" w:firstLineChars="200"/>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9、羁押室软包卡座做法：钢架基础，12mm厚阻燃板，软包面层；</w:t>
      </w:r>
    </w:p>
    <w:p>
      <w:pPr>
        <w:autoSpaceDE w:val="0"/>
        <w:autoSpaceDN w:val="0"/>
        <w:adjustRightInd w:val="0"/>
        <w:spacing w:line="560" w:lineRule="exact"/>
        <w:ind w:firstLine="560" w:firstLineChars="200"/>
        <w:jc w:val="left"/>
        <w:rPr>
          <w:rFonts w:hint="default"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10、办公桌、调节桌、文件柜、条凳采用实木复合板，环保级别E1级；</w:t>
      </w:r>
    </w:p>
    <w:p>
      <w:pPr>
        <w:autoSpaceDE w:val="0"/>
        <w:autoSpaceDN w:val="0"/>
        <w:adjustRightInd w:val="0"/>
        <w:spacing w:line="560" w:lineRule="exact"/>
        <w:jc w:val="left"/>
        <w:rPr>
          <w:rFonts w:hint="eastAsia" w:ascii="宋体" w:hAnsi="宋体" w:cs="宋体"/>
          <w:b/>
          <w:color w:val="000000"/>
          <w:sz w:val="28"/>
          <w:szCs w:val="28"/>
        </w:rPr>
      </w:pPr>
      <w:r>
        <w:rPr>
          <w:rFonts w:hint="eastAsia" w:ascii="宋体" w:hAnsi="宋体" w:cs="宋体"/>
          <w:b/>
          <w:color w:val="000000"/>
          <w:sz w:val="28"/>
          <w:szCs w:val="28"/>
        </w:rPr>
        <w:t>六、其他</w:t>
      </w:r>
    </w:p>
    <w:p>
      <w:pPr>
        <w:autoSpaceDE w:val="0"/>
        <w:autoSpaceDN w:val="0"/>
        <w:adjustRightInd w:val="0"/>
        <w:spacing w:line="560" w:lineRule="exact"/>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rPr>
        <w:t>1、预留金：装饰</w:t>
      </w:r>
      <w:r>
        <w:rPr>
          <w:rFonts w:hint="eastAsia" w:ascii="宋体" w:hAnsi="宋体" w:cs="宋体"/>
          <w:color w:val="000000"/>
          <w:sz w:val="28"/>
          <w:szCs w:val="28"/>
          <w:lang w:val="en-US" w:eastAsia="zh-CN"/>
        </w:rPr>
        <w:t>工程15</w:t>
      </w:r>
      <w:r>
        <w:rPr>
          <w:rFonts w:hint="eastAsia" w:ascii="宋体" w:hAnsi="宋体" w:cs="宋体"/>
          <w:color w:val="000000"/>
          <w:sz w:val="28"/>
          <w:szCs w:val="28"/>
        </w:rPr>
        <w:t>000元；</w:t>
      </w:r>
      <w:r>
        <w:rPr>
          <w:rFonts w:hint="eastAsia" w:ascii="宋体" w:hAnsi="宋体" w:cs="宋体"/>
          <w:color w:val="000000"/>
          <w:sz w:val="28"/>
          <w:szCs w:val="28"/>
          <w:lang w:val="en-US" w:eastAsia="zh-CN"/>
        </w:rPr>
        <w:t>电气工程2000元；消防工程2000元；空调工程2000元，弱电工程10</w:t>
      </w:r>
      <w:bookmarkStart w:id="0" w:name="_GoBack"/>
      <w:bookmarkEnd w:id="0"/>
      <w:r>
        <w:rPr>
          <w:rFonts w:hint="eastAsia" w:ascii="宋体" w:hAnsi="宋体" w:cs="宋体"/>
          <w:color w:val="000000"/>
          <w:sz w:val="28"/>
          <w:szCs w:val="28"/>
          <w:lang w:val="en-US" w:eastAsia="zh-CN"/>
        </w:rPr>
        <w:t>000元；</w:t>
      </w:r>
    </w:p>
    <w:p>
      <w:pPr>
        <w:numPr>
          <w:ilvl w:val="0"/>
          <w:numId w:val="0"/>
        </w:numPr>
        <w:autoSpaceDE w:val="0"/>
        <w:autoSpaceDN w:val="0"/>
        <w:adjustRightInd w:val="0"/>
        <w:spacing w:line="560" w:lineRule="exact"/>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 xml:space="preserve">2、招投标期间编制投标报价请核对图纸及清单工程量如有疑问及时沟通答疑，如因清单漏项或工程量偏差大未提出异议视为默认在图纸范围内完成所有施工内容，投标单位自行承担相应风险。  </w:t>
      </w:r>
    </w:p>
    <w:p>
      <w:pPr>
        <w:numPr>
          <w:ilvl w:val="0"/>
          <w:numId w:val="0"/>
        </w:numPr>
        <w:autoSpaceDE w:val="0"/>
        <w:autoSpaceDN w:val="0"/>
        <w:adjustRightInd w:val="0"/>
        <w:spacing w:line="560" w:lineRule="exact"/>
        <w:jc w:val="both"/>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 xml:space="preserve">                                                 </w:t>
      </w:r>
    </w:p>
    <w:p>
      <w:pPr>
        <w:numPr>
          <w:ilvl w:val="0"/>
          <w:numId w:val="0"/>
        </w:numPr>
        <w:autoSpaceDE w:val="0"/>
        <w:autoSpaceDN w:val="0"/>
        <w:adjustRightInd w:val="0"/>
        <w:spacing w:line="560" w:lineRule="exact"/>
        <w:jc w:val="both"/>
        <w:rPr>
          <w:rFonts w:hint="eastAsia" w:ascii="宋体" w:hAnsi="宋体" w:cs="宋体"/>
          <w:color w:val="000000"/>
          <w:sz w:val="28"/>
          <w:szCs w:val="28"/>
          <w:lang w:val="en-US" w:eastAsia="zh-CN"/>
        </w:rPr>
      </w:pPr>
    </w:p>
    <w:p>
      <w:pPr>
        <w:numPr>
          <w:ilvl w:val="0"/>
          <w:numId w:val="0"/>
        </w:numPr>
        <w:autoSpaceDE w:val="0"/>
        <w:autoSpaceDN w:val="0"/>
        <w:adjustRightInd w:val="0"/>
        <w:spacing w:line="560" w:lineRule="exact"/>
        <w:ind w:firstLine="6440" w:firstLineChars="2300"/>
        <w:jc w:val="both"/>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 xml:space="preserve">       2024年7月2日</w:t>
      </w:r>
    </w:p>
    <w:sectPr>
      <w:pgSz w:w="11906" w:h="16838"/>
      <w:pgMar w:top="1077" w:right="1077" w:bottom="107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3NmQ0ZTU4NTJmZTg2ZjE2OTBlZTIwMTdhZTliMWUifQ=="/>
  </w:docVars>
  <w:rsids>
    <w:rsidRoot w:val="00FF339A"/>
    <w:rsid w:val="0001133B"/>
    <w:rsid w:val="00073E78"/>
    <w:rsid w:val="000C4B9F"/>
    <w:rsid w:val="00215F1A"/>
    <w:rsid w:val="002E7ABF"/>
    <w:rsid w:val="005C4683"/>
    <w:rsid w:val="00841303"/>
    <w:rsid w:val="00E75301"/>
    <w:rsid w:val="00EA2792"/>
    <w:rsid w:val="00F2121B"/>
    <w:rsid w:val="00FF339A"/>
    <w:rsid w:val="013A0FE6"/>
    <w:rsid w:val="027A6B87"/>
    <w:rsid w:val="065630ED"/>
    <w:rsid w:val="066E6B71"/>
    <w:rsid w:val="070A0EF7"/>
    <w:rsid w:val="099217C1"/>
    <w:rsid w:val="0B851A2D"/>
    <w:rsid w:val="0BE01EE6"/>
    <w:rsid w:val="0E522920"/>
    <w:rsid w:val="0EC3651D"/>
    <w:rsid w:val="0F583D93"/>
    <w:rsid w:val="11317B11"/>
    <w:rsid w:val="12127935"/>
    <w:rsid w:val="126857B5"/>
    <w:rsid w:val="1CC63804"/>
    <w:rsid w:val="1F144C57"/>
    <w:rsid w:val="1F1C7AA0"/>
    <w:rsid w:val="21C1459A"/>
    <w:rsid w:val="22261036"/>
    <w:rsid w:val="24C04FDC"/>
    <w:rsid w:val="26206AC0"/>
    <w:rsid w:val="2A554419"/>
    <w:rsid w:val="2BC929C8"/>
    <w:rsid w:val="2BE003C7"/>
    <w:rsid w:val="2DEC2ED5"/>
    <w:rsid w:val="2F9C21A2"/>
    <w:rsid w:val="2FD6748F"/>
    <w:rsid w:val="311A1F18"/>
    <w:rsid w:val="31DE355E"/>
    <w:rsid w:val="326E4D76"/>
    <w:rsid w:val="329A6B1F"/>
    <w:rsid w:val="33DA40B1"/>
    <w:rsid w:val="33F4037D"/>
    <w:rsid w:val="34D32035"/>
    <w:rsid w:val="351A45A8"/>
    <w:rsid w:val="36E42DAC"/>
    <w:rsid w:val="371510AF"/>
    <w:rsid w:val="38E65510"/>
    <w:rsid w:val="3AF00E28"/>
    <w:rsid w:val="3B5B0FD4"/>
    <w:rsid w:val="3D4F538F"/>
    <w:rsid w:val="3D840AD9"/>
    <w:rsid w:val="3FC45AE5"/>
    <w:rsid w:val="402640DD"/>
    <w:rsid w:val="42C7575F"/>
    <w:rsid w:val="439B2BC1"/>
    <w:rsid w:val="44B612B2"/>
    <w:rsid w:val="46317508"/>
    <w:rsid w:val="4683047E"/>
    <w:rsid w:val="471072A6"/>
    <w:rsid w:val="47A43FA9"/>
    <w:rsid w:val="48156D69"/>
    <w:rsid w:val="490418AB"/>
    <w:rsid w:val="495E286D"/>
    <w:rsid w:val="4BBD1A3F"/>
    <w:rsid w:val="4BFA2471"/>
    <w:rsid w:val="4C8A18A8"/>
    <w:rsid w:val="4FEB4B27"/>
    <w:rsid w:val="52152AAC"/>
    <w:rsid w:val="521F0CE5"/>
    <w:rsid w:val="52760B0C"/>
    <w:rsid w:val="5B7C25DD"/>
    <w:rsid w:val="5EE04FB0"/>
    <w:rsid w:val="60CC028A"/>
    <w:rsid w:val="60D55956"/>
    <w:rsid w:val="61F73C7F"/>
    <w:rsid w:val="62F01486"/>
    <w:rsid w:val="64234568"/>
    <w:rsid w:val="69FA4257"/>
    <w:rsid w:val="6B3C600C"/>
    <w:rsid w:val="6C974DE1"/>
    <w:rsid w:val="6E2F3393"/>
    <w:rsid w:val="6F186AE1"/>
    <w:rsid w:val="72534367"/>
    <w:rsid w:val="74546174"/>
    <w:rsid w:val="7573018F"/>
    <w:rsid w:val="762E5A44"/>
    <w:rsid w:val="774257F0"/>
    <w:rsid w:val="78502A98"/>
    <w:rsid w:val="79A23FA1"/>
    <w:rsid w:val="7A0F28E3"/>
    <w:rsid w:val="7A3B64E5"/>
    <w:rsid w:val="7ABF2787"/>
    <w:rsid w:val="7B3F5840"/>
    <w:rsid w:val="7CDC31AB"/>
    <w:rsid w:val="7DD70C6F"/>
    <w:rsid w:val="7E2A182C"/>
    <w:rsid w:val="7EBE2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next w:val="1"/>
    <w:qFormat/>
    <w:uiPriority w:val="0"/>
    <w:pPr>
      <w:keepNext/>
      <w:keepLines/>
      <w:widowControl w:val="0"/>
      <w:spacing w:before="260" w:after="260" w:line="413" w:lineRule="auto"/>
      <w:ind w:firstLine="420"/>
      <w:jc w:val="center"/>
      <w:outlineLvl w:val="2"/>
    </w:pPr>
    <w:rPr>
      <w:rFonts w:ascii="Calibri" w:hAnsi="Calibri" w:eastAsia="宋体" w:cs="Times New Roman"/>
      <w:b/>
      <w:kern w:val="2"/>
      <w:sz w:val="28"/>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3</Pages>
  <Words>975</Words>
  <Characters>1110</Characters>
  <Lines>11</Lines>
  <Paragraphs>3</Paragraphs>
  <TotalTime>1</TotalTime>
  <ScaleCrop>false</ScaleCrop>
  <LinksUpToDate>false</LinksUpToDate>
  <CharactersWithSpaces>1168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2019-08-06T10:11:00Z</dcterms:created>
  <dc:creator>user</dc:creator>
  <cp:lastModifiedBy>快了</cp:lastModifiedBy>
  <dcterms:modified xsi:type="dcterms:W3CDTF">2024-07-08T05:01:47Z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7C91A3D364854B26AE645737C1810FD6_13</vt:lpwstr>
  </property>
</Properties>
</file>