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spacing w:line="480" w:lineRule="auto"/>
        <w:rPr>
          <w:rFonts w:hint="eastAsia" w:ascii="宋体" w:hAnsi="宋体"/>
          <w:b/>
          <w:sz w:val="52"/>
          <w:szCs w:val="52"/>
        </w:rPr>
      </w:pPr>
      <w:r/>
      <w:bookmarkStart w:id="0" w:name="OLE_LINK1"/>
      <w:r>
        <w:rPr>
          <w:rFonts w:hint="eastAsia" w:ascii="宋体" w:hAnsi="宋体"/>
          <w:b/>
          <w:sz w:val="52"/>
          <w:szCs w:val="52"/>
        </w:rPr>
      </w:r>
      <w:r/>
    </w:p>
    <w:p>
      <w:pPr>
        <w:pStyle w:val="703"/>
        <w:jc w:val="center"/>
        <w:spacing w:line="480" w:lineRule="auto"/>
        <w:rPr>
          <w:rFonts w:ascii="宋体" w:hAnsi="宋体"/>
          <w:b/>
          <w:sz w:val="48"/>
          <w:szCs w:val="48"/>
        </w:rPr>
      </w:pPr>
      <w:r>
        <w:rPr>
          <w:rFonts w:hint="eastAsia" w:ascii="宋体" w:hAnsi="宋体"/>
          <w:b/>
          <w:sz w:val="48"/>
          <w:szCs w:val="48"/>
        </w:rPr>
        <w:t xml:space="preserve">淮安市公共资源交易中心涟水分中心</w:t>
      </w:r>
      <w:r>
        <w:rPr>
          <w:rFonts w:ascii="宋体" w:hAnsi="宋体"/>
          <w:b/>
          <w:sz w:val="48"/>
          <w:szCs w:val="48"/>
        </w:rPr>
      </w:r>
      <w:r/>
    </w:p>
    <w:p>
      <w:pPr>
        <w:pStyle w:val="703"/>
        <w:jc w:val="center"/>
        <w:spacing w:line="480" w:lineRule="auto"/>
        <w:rPr>
          <w:rFonts w:ascii="宋体" w:hAnsi="宋体"/>
          <w:b/>
          <w:sz w:val="52"/>
          <w:szCs w:val="52"/>
        </w:rPr>
      </w:pPr>
      <w:r>
        <w:rPr>
          <w:rFonts w:hint="eastAsia" w:ascii="宋体" w:hAnsi="宋体"/>
          <w:b/>
          <w:sz w:val="52"/>
          <w:szCs w:val="52"/>
        </w:rPr>
        <w:t xml:space="preserve">采购项目“全流程不见面交易”</w:t>
      </w:r>
      <w:r>
        <w:rPr>
          <w:rFonts w:ascii="宋体" w:hAnsi="宋体"/>
          <w:b/>
          <w:sz w:val="52"/>
          <w:szCs w:val="52"/>
        </w:rPr>
      </w:r>
      <w:r/>
    </w:p>
    <w:p>
      <w:pPr>
        <w:pStyle w:val="703"/>
        <w:jc w:val="center"/>
        <w:spacing w:line="480" w:lineRule="auto"/>
        <w:rPr>
          <w:rFonts w:ascii="宋体" w:hAnsi="宋体"/>
          <w:b/>
          <w:sz w:val="52"/>
          <w:szCs w:val="52"/>
        </w:rPr>
      </w:pPr>
      <w:r>
        <w:rPr>
          <w:rFonts w:hint="eastAsia" w:ascii="宋体" w:hAnsi="宋体"/>
          <w:b/>
          <w:sz w:val="52"/>
          <w:szCs w:val="52"/>
        </w:rPr>
        <w:t xml:space="preserve">竞争性磋商文件</w:t>
      </w:r>
      <w:r>
        <w:rPr>
          <w:rFonts w:ascii="宋体" w:hAnsi="宋体"/>
          <w:b/>
          <w:sz w:val="52"/>
          <w:szCs w:val="52"/>
        </w:rPr>
      </w:r>
      <w:r/>
    </w:p>
    <w:p>
      <w:pPr>
        <w:pStyle w:val="703"/>
        <w:jc w:val="center"/>
        <w:spacing w:line="480" w:lineRule="auto"/>
        <w:rPr>
          <w:rFonts w:hint="eastAsia" w:ascii="宋体" w:hAnsi="宋体"/>
          <w:b/>
          <w:sz w:val="52"/>
          <w:szCs w:val="52"/>
        </w:rPr>
      </w:pPr>
      <w:r>
        <w:rPr>
          <w:rFonts w:hint="eastAsia" w:ascii="宋体" w:hAnsi="宋体"/>
          <w:b/>
          <w:sz w:val="52"/>
          <w:szCs w:val="52"/>
        </w:rPr>
      </w:r>
      <w:r/>
    </w:p>
    <w:p>
      <w:pPr>
        <w:pStyle w:val="703"/>
        <w:ind w:firstLine="723"/>
        <w:jc w:val="center"/>
        <w:spacing w:line="480" w:lineRule="auto"/>
        <w:rPr>
          <w:rFonts w:hint="eastAsia" w:ascii="宋体" w:hAnsi="宋体"/>
          <w:b/>
          <w:sz w:val="32"/>
          <w:szCs w:val="32"/>
        </w:rPr>
      </w:pPr>
      <w:r>
        <w:rPr>
          <w:rFonts w:hint="eastAsia" w:ascii="宋体" w:hAnsi="宋体"/>
          <w:b/>
          <w:sz w:val="36"/>
          <w:szCs w:val="36"/>
        </w:rPr>
        <w:t xml:space="preserve">项目名称:</w:t>
      </w:r>
      <w:r>
        <w:rPr>
          <w:rFonts w:hint="eastAsia"/>
        </w:rPr>
        <w:t xml:space="preserve"> </w:t>
      </w:r>
      <w:r>
        <w:rPr>
          <w:rFonts w:hint="eastAsia" w:ascii="宋体" w:hAnsi="宋体"/>
          <w:b/>
          <w:bCs/>
          <w:sz w:val="36"/>
          <w:szCs w:val="36"/>
          <w:u w:val="single"/>
        </w:rPr>
        <w:t xml:space="preserve">教学多媒体一体机采购及安装项目</w:t>
      </w:r>
      <w:r>
        <w:rPr>
          <w:rFonts w:hint="eastAsia" w:ascii="宋体" w:hAnsi="宋体"/>
          <w:b/>
          <w:sz w:val="32"/>
          <w:szCs w:val="32"/>
        </w:rPr>
      </w:r>
      <w:r/>
    </w:p>
    <w:p>
      <w:pPr>
        <w:pStyle w:val="703"/>
        <w:jc w:val="center"/>
        <w:rPr>
          <w:rFonts w:hint="eastAsia" w:ascii="宋体" w:hAnsi="宋体"/>
          <w:b/>
          <w:sz w:val="36"/>
          <w:szCs w:val="36"/>
        </w:rPr>
      </w:pPr>
      <w:r>
        <w:rPr>
          <w:rFonts w:hint="eastAsia" w:ascii="宋体" w:hAnsi="宋体"/>
          <w:b/>
          <w:sz w:val="36"/>
          <w:szCs w:val="36"/>
        </w:rPr>
      </w:r>
      <w:r/>
    </w:p>
    <w:p>
      <w:pPr>
        <w:pStyle w:val="703"/>
        <w:ind w:firstLine="723"/>
        <w:jc w:val="center"/>
        <w:rPr>
          <w:rFonts w:hint="eastAsia" w:ascii="宋体" w:hAnsi="宋体"/>
          <w:b/>
          <w:sz w:val="28"/>
        </w:rPr>
      </w:pPr>
      <w:r>
        <w:rPr>
          <w:rFonts w:hint="eastAsia" w:ascii="宋体" w:hAnsi="宋体"/>
          <w:b/>
          <w:sz w:val="36"/>
          <w:szCs w:val="36"/>
        </w:rPr>
        <w:t xml:space="preserve">项目编号:</w:t>
      </w:r>
      <w:r>
        <w:rPr>
          <w:rFonts w:ascii="宋体" w:hAnsi="宋体"/>
          <w:b/>
          <w:sz w:val="32"/>
          <w:szCs w:val="32"/>
        </w:rPr>
        <w:t xml:space="preserve"> JSZC-320826-JZCG-C2024-0021</w:t>
      </w:r>
      <w:r>
        <w:rPr>
          <w:rFonts w:hint="eastAsia" w:ascii="宋体" w:hAnsi="宋体"/>
          <w:b/>
          <w:sz w:val="28"/>
        </w:rPr>
      </w:r>
      <w:r/>
    </w:p>
    <w:p>
      <w:pPr>
        <w:pStyle w:val="703"/>
        <w:ind w:firstLine="723"/>
        <w:jc w:val="center"/>
        <w:spacing w:line="480" w:lineRule="auto"/>
        <w:rPr>
          <w:rFonts w:hint="eastAsia" w:ascii="宋体" w:hAnsi="宋体"/>
          <w:b/>
          <w:sz w:val="36"/>
          <w:szCs w:val="36"/>
        </w:rPr>
      </w:pPr>
      <w:r>
        <w:rPr>
          <w:rFonts w:hint="eastAsia" w:ascii="宋体" w:hAnsi="宋体"/>
          <w:b/>
          <w:sz w:val="36"/>
          <w:szCs w:val="36"/>
        </w:rPr>
      </w:r>
      <w:r/>
    </w:p>
    <w:p>
      <w:pPr>
        <w:pStyle w:val="703"/>
        <w:ind w:firstLine="723"/>
        <w:jc w:val="center"/>
        <w:spacing w:line="480" w:lineRule="auto"/>
        <w:rPr>
          <w:rFonts w:hint="eastAsia" w:ascii="宋体" w:hAnsi="宋体"/>
          <w:b/>
          <w:bCs/>
          <w:sz w:val="36"/>
          <w:szCs w:val="36"/>
          <w:u w:val="single"/>
        </w:rPr>
      </w:pPr>
      <w:r>
        <w:rPr>
          <w:rFonts w:hint="eastAsia" w:ascii="宋体" w:hAnsi="宋体"/>
          <w:b/>
          <w:sz w:val="36"/>
          <w:szCs w:val="36"/>
        </w:rPr>
        <w:t xml:space="preserve">采购单位：</w:t>
      </w:r>
      <w:r>
        <w:rPr>
          <w:rFonts w:hint="eastAsia" w:ascii="宋体" w:hAnsi="宋体"/>
          <w:b/>
          <w:bCs/>
          <w:sz w:val="36"/>
          <w:szCs w:val="36"/>
          <w:u w:val="single"/>
        </w:rPr>
        <w:t xml:space="preserve">涟水县教育体育局</w:t>
      </w:r>
      <w:r>
        <w:rPr>
          <w:rFonts w:hint="eastAsia" w:ascii="宋体" w:hAnsi="宋体"/>
          <w:b/>
          <w:bCs/>
          <w:sz w:val="36"/>
          <w:szCs w:val="36"/>
          <w:u w:val="single"/>
        </w:rPr>
      </w:r>
      <w:r/>
    </w:p>
    <w:p>
      <w:pPr>
        <w:pStyle w:val="703"/>
        <w:ind w:firstLine="723"/>
        <w:jc w:val="center"/>
        <w:spacing w:line="480" w:lineRule="auto"/>
        <w:rPr>
          <w:rFonts w:hint="eastAsia" w:ascii="宋体" w:hAnsi="宋体"/>
          <w:b/>
          <w:bCs/>
          <w:sz w:val="36"/>
          <w:szCs w:val="36"/>
          <w:u w:val="single"/>
        </w:rPr>
      </w:pPr>
      <w:r>
        <w:rPr>
          <w:rFonts w:hint="eastAsia" w:ascii="宋体" w:hAnsi="宋体"/>
          <w:b/>
          <w:bCs/>
          <w:sz w:val="36"/>
          <w:szCs w:val="36"/>
          <w:u w:val="single"/>
        </w:rPr>
      </w:r>
      <w:r/>
    </w:p>
    <w:p>
      <w:pPr>
        <w:pStyle w:val="703"/>
        <w:ind w:firstLine="723"/>
        <w:jc w:val="center"/>
        <w:spacing w:line="480" w:lineRule="auto"/>
        <w:rPr>
          <w:rFonts w:hint="eastAsia"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淮安市公共资源交易中心涟水分中心</w:t>
      </w:r>
      <w:r>
        <w:rPr>
          <w:rFonts w:hint="eastAsia" w:ascii="宋体" w:hAnsi="宋体"/>
          <w:b/>
          <w:sz w:val="36"/>
          <w:szCs w:val="36"/>
          <w:u w:val="single"/>
        </w:rPr>
      </w:r>
      <w:r/>
    </w:p>
    <w:p>
      <w:pPr>
        <w:pStyle w:val="703"/>
        <w:jc w:val="center"/>
        <w:spacing w:line="480" w:lineRule="auto"/>
        <w:rPr>
          <w:rFonts w:hint="eastAsia" w:ascii="宋体" w:hAnsi="宋体"/>
          <w:b/>
          <w:sz w:val="36"/>
          <w:szCs w:val="36"/>
        </w:rPr>
      </w:pPr>
      <w:r>
        <w:rPr>
          <w:rFonts w:hint="eastAsia" w:ascii="宋体" w:hAnsi="宋体"/>
          <w:b/>
          <w:sz w:val="36"/>
          <w:szCs w:val="36"/>
        </w:rPr>
        <w:t xml:space="preserve">二〇二四年八月十二日</w:t>
      </w:r>
      <w:r>
        <w:rPr>
          <w:rFonts w:hint="eastAsia" w:ascii="宋体" w:hAnsi="宋体"/>
          <w:b/>
          <w:sz w:val="36"/>
          <w:szCs w:val="36"/>
        </w:rPr>
      </w:r>
      <w:r/>
    </w:p>
    <w:p>
      <w:pPr>
        <w:pStyle w:val="703"/>
        <w:jc w:val="center"/>
        <w:spacing w:line="480" w:lineRule="auto"/>
        <w:rPr>
          <w:rFonts w:hint="eastAsia" w:ascii="宋体" w:hAnsi="宋体"/>
          <w:b/>
          <w:sz w:val="36"/>
          <w:szCs w:val="36"/>
        </w:rPr>
      </w:pPr>
      <w:r>
        <w:rPr>
          <w:rFonts w:hint="eastAsia" w:ascii="宋体" w:hAnsi="宋体"/>
          <w:b/>
          <w:sz w:val="36"/>
          <w:szCs w:val="36"/>
        </w:rPr>
      </w:r>
      <w:r/>
    </w:p>
    <w:p>
      <w:pPr>
        <w:pStyle w:val="703"/>
        <w:ind w:firstLine="3762"/>
        <w:rPr>
          <w:rFonts w:hint="eastAsia" w:ascii="宋体" w:hAnsi="宋体"/>
          <w:bCs/>
          <w:sz w:val="44"/>
        </w:rPr>
      </w:pPr>
      <w:r>
        <w:rPr>
          <w:rFonts w:hint="eastAsia" w:ascii="宋体" w:hAnsi="宋体"/>
          <w:bCs/>
          <w:sz w:val="44"/>
        </w:rPr>
        <w:t xml:space="preserve">目   录</w:t>
      </w:r>
      <w:r>
        <w:rPr>
          <w:rFonts w:hint="eastAsia" w:ascii="宋体" w:hAnsi="宋体"/>
          <w:bCs/>
          <w:sz w:val="44"/>
        </w:rPr>
      </w:r>
      <w:r/>
    </w:p>
    <w:p>
      <w:pPr>
        <w:pStyle w:val="756"/>
        <w:spacing w:line="480" w:lineRule="exact"/>
        <w:tabs>
          <w:tab w:val="right" w:pos="9736" w:leader="dot"/>
        </w:tabs>
        <w:rPr>
          <w:rFonts w:ascii="等线" w:hAnsi="等线" w:eastAsia="等线"/>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"_Toc109231701"</w:instrText>
      </w:r>
      <w:r>
        <w:rPr>
          <w:rStyle w:val="786"/>
          <w:color w:val="000000"/>
          <w:sz w:val="28"/>
          <w:szCs w:val="28"/>
        </w:rPr>
        <w:instrText xml:space="preserve"> </w:instrText>
      </w:r>
      <w:r>
        <w:rPr>
          <w:rStyle w:val="786"/>
          <w:color w:val="000000"/>
          <w:sz w:val="28"/>
          <w:szCs w:val="28"/>
        </w:rPr>
        <w:fldChar w:fldCharType="separate"/>
      </w:r>
      <w:r>
        <w:rPr>
          <w:rStyle w:val="786"/>
          <w:rFonts w:hAnsi="宋体"/>
          <w:bCs/>
          <w:color w:val="000000"/>
          <w:sz w:val="28"/>
          <w:szCs w:val="28"/>
        </w:rPr>
        <w:t xml:space="preserve">第一章   磋商文件</w:t>
      </w:r>
      <w:r>
        <w:rPr>
          <w:sz w:val="28"/>
          <w:szCs w:val="28"/>
        </w:rPr>
        <w:tab/>
      </w:r>
      <w:r>
        <w:rPr>
          <w:sz w:val="28"/>
          <w:szCs w:val="28"/>
        </w:rPr>
        <w:fldChar w:fldCharType="begin"/>
      </w:r>
      <w:r>
        <w:rPr>
          <w:sz w:val="28"/>
          <w:szCs w:val="28"/>
        </w:rPr>
        <w:instrText xml:space="preserve"> PAGEREF _Toc109231701 \h </w:instrText>
      </w:r>
      <w:r>
        <w:rPr>
          <w:sz w:val="28"/>
          <w:szCs w:val="28"/>
        </w:rPr>
        <w:fldChar w:fldCharType="separate"/>
      </w:r>
      <w:r>
        <w:rPr>
          <w:sz w:val="28"/>
          <w:szCs w:val="28"/>
        </w:rPr>
        <w:t xml:space="preserve">3</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"_Toc109231702"</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第一部分   磋商邀请</w:t>
      </w:r>
      <w:r>
        <w:rPr>
          <w:sz w:val="28"/>
          <w:szCs w:val="28"/>
        </w:rPr>
        <w:tab/>
      </w:r>
      <w:r>
        <w:rPr>
          <w:sz w:val="28"/>
          <w:szCs w:val="28"/>
        </w:rPr>
        <w:fldChar w:fldCharType="begin"/>
      </w:r>
      <w:r>
        <w:rPr>
          <w:sz w:val="28"/>
          <w:szCs w:val="28"/>
        </w:rPr>
        <w:instrText xml:space="preserve"> PAGEREF _Toc109231702 \h </w:instrText>
      </w:r>
      <w:r>
        <w:rPr>
          <w:sz w:val="28"/>
          <w:szCs w:val="28"/>
        </w:rPr>
        <w:fldChar w:fldCharType="separate"/>
      </w:r>
      <w:r>
        <w:rPr>
          <w:sz w:val="28"/>
          <w:szCs w:val="28"/>
        </w:rPr>
        <w:t xml:space="preserve">3</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"_Toc109231703"</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第二部分   供应商须知</w:t>
      </w:r>
      <w:r>
        <w:rPr>
          <w:sz w:val="28"/>
          <w:szCs w:val="28"/>
        </w:rPr>
        <w:tab/>
      </w:r>
      <w:r>
        <w:rPr>
          <w:sz w:val="28"/>
          <w:szCs w:val="28"/>
        </w:rPr>
        <w:fldChar w:fldCharType="begin"/>
      </w:r>
      <w:r>
        <w:rPr>
          <w:sz w:val="28"/>
          <w:szCs w:val="28"/>
        </w:rPr>
        <w:instrText xml:space="preserve"> PAGEREF _Toc109231703 \h </w:instrText>
      </w:r>
      <w:r>
        <w:rPr>
          <w:sz w:val="28"/>
          <w:szCs w:val="28"/>
        </w:rPr>
        <w:fldChar w:fldCharType="separate"/>
      </w:r>
      <w:r>
        <w:rPr>
          <w:sz w:val="28"/>
          <w:szCs w:val="28"/>
        </w:rPr>
        <w:t xml:space="preserve">7</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"_Toc109231704"</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第三部分  评标</w:t>
      </w:r>
      <w:bookmarkStart w:id="1" w:name="_Hlt146198692"/>
      <w:r>
        <w:rPr>
          <w:rStyle w:val="786"/>
          <w:rFonts w:ascii="宋体" w:hAnsi="宋体"/>
          <w:bCs/>
          <w:color w:val="000000"/>
          <w:sz w:val="28"/>
          <w:szCs w:val="28"/>
        </w:rPr>
        <w:t xml:space="preserve">标</w:t>
      </w:r>
      <w:bookmarkEnd w:id="1"/>
      <w:r>
        <w:rPr>
          <w:rStyle w:val="786"/>
          <w:rFonts w:ascii="宋体" w:hAnsi="宋体"/>
          <w:bCs/>
          <w:color w:val="000000"/>
          <w:sz w:val="28"/>
          <w:szCs w:val="28"/>
        </w:rPr>
        <w:t xml:space="preserve">准</w:t>
      </w:r>
      <w:r>
        <w:rPr>
          <w:sz w:val="28"/>
          <w:szCs w:val="28"/>
        </w:rPr>
        <w:tab/>
      </w:r>
      <w:r>
        <w:rPr>
          <w:sz w:val="28"/>
          <w:szCs w:val="28"/>
        </w:rPr>
        <w:fldChar w:fldCharType="begin"/>
      </w:r>
      <w:r>
        <w:rPr>
          <w:sz w:val="28"/>
          <w:szCs w:val="28"/>
        </w:rPr>
        <w:instrText xml:space="preserve"> PAGEREF _Toc109231704 \h </w:instrText>
      </w:r>
      <w:r>
        <w:rPr>
          <w:sz w:val="28"/>
          <w:szCs w:val="28"/>
        </w:rPr>
        <w:fldChar w:fldCharType="separate"/>
      </w:r>
      <w:r>
        <w:rPr>
          <w:sz w:val="28"/>
          <w:szCs w:val="28"/>
        </w:rPr>
        <w:t xml:space="preserve">26</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"_Toc109231705"</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第四部分  合同主</w:t>
      </w:r>
      <w:bookmarkStart w:id="2" w:name="_Hlt146549080"/>
      <w:r/>
      <w:bookmarkStart w:id="3" w:name="_Hlt146549081"/>
      <w:r>
        <w:rPr>
          <w:rStyle w:val="786"/>
          <w:rFonts w:ascii="宋体" w:hAnsi="宋体"/>
          <w:bCs/>
          <w:color w:val="000000"/>
          <w:sz w:val="28"/>
          <w:szCs w:val="28"/>
        </w:rPr>
        <w:t xml:space="preserve">要</w:t>
      </w:r>
      <w:bookmarkEnd w:id="2"/>
      <w:r/>
      <w:bookmarkEnd w:id="3"/>
      <w:r/>
      <w:bookmarkStart w:id="4" w:name="_Hlt123287015"/>
      <w:r>
        <w:rPr>
          <w:rStyle w:val="786"/>
          <w:rFonts w:ascii="宋体" w:hAnsi="宋体"/>
          <w:bCs/>
          <w:color w:val="000000"/>
          <w:sz w:val="28"/>
          <w:szCs w:val="28"/>
        </w:rPr>
        <w:t xml:space="preserve">条</w:t>
      </w:r>
      <w:bookmarkEnd w:id="4"/>
      <w:r>
        <w:rPr>
          <w:rStyle w:val="786"/>
          <w:rFonts w:ascii="宋体" w:hAnsi="宋体"/>
          <w:bCs/>
          <w:color w:val="000000"/>
          <w:sz w:val="28"/>
          <w:szCs w:val="28"/>
        </w:rPr>
        <w:t xml:space="preserve">款、通用条款及合同格式</w:t>
      </w:r>
      <w:r>
        <w:rPr>
          <w:sz w:val="28"/>
          <w:szCs w:val="28"/>
        </w:rPr>
        <w:tab/>
      </w:r>
      <w:r>
        <w:rPr>
          <w:sz w:val="28"/>
          <w:szCs w:val="28"/>
        </w:rPr>
        <w:fldChar w:fldCharType="begin"/>
      </w:r>
      <w:r>
        <w:rPr>
          <w:sz w:val="28"/>
          <w:szCs w:val="28"/>
        </w:rPr>
        <w:instrText xml:space="preserve"> PAGEREF _Toc109231705 \h </w:instrText>
      </w:r>
      <w:r>
        <w:rPr>
          <w:sz w:val="28"/>
          <w:szCs w:val="28"/>
        </w:rPr>
        <w:fldChar w:fldCharType="separate"/>
      </w:r>
      <w:r>
        <w:rPr>
          <w:sz w:val="28"/>
          <w:szCs w:val="28"/>
        </w:rPr>
        <w:t xml:space="preserve">30</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"_Toc109231706"</w:instrText>
      </w:r>
      <w:r>
        <w:rPr>
          <w:rStyle w:val="786"/>
          <w:color w:val="000000"/>
          <w:sz w:val="28"/>
          <w:szCs w:val="28"/>
        </w:rPr>
        <w:instrText xml:space="preserve"> </w:instrText>
      </w:r>
      <w:r>
        <w:rPr>
          <w:rStyle w:val="786"/>
          <w:color w:val="000000"/>
          <w:sz w:val="28"/>
          <w:szCs w:val="28"/>
        </w:rPr>
        <w:fldChar w:fldCharType="separate"/>
      </w:r>
      <w:r>
        <w:rPr>
          <w:rStyle w:val="786"/>
          <w:color w:val="000000"/>
          <w:sz w:val="28"/>
          <w:szCs w:val="28"/>
        </w:rPr>
        <w:t xml:space="preserve">第五部分   项目</w:t>
      </w:r>
      <w:bookmarkStart w:id="5" w:name="_Hlt131496509"/>
      <w:r/>
      <w:bookmarkStart w:id="6" w:name="_Hlt131496508"/>
      <w:r>
        <w:rPr>
          <w:rStyle w:val="786"/>
          <w:color w:val="000000"/>
          <w:sz w:val="28"/>
          <w:szCs w:val="28"/>
        </w:rPr>
        <w:t xml:space="preserve">采</w:t>
      </w:r>
      <w:bookmarkEnd w:id="5"/>
      <w:r/>
      <w:bookmarkEnd w:id="6"/>
      <w:r>
        <w:rPr>
          <w:rStyle w:val="786"/>
          <w:color w:val="000000"/>
          <w:sz w:val="28"/>
          <w:szCs w:val="28"/>
        </w:rPr>
        <w:t xml:space="preserve">购</w:t>
      </w:r>
      <w:bookmarkStart w:id="7" w:name="_Hlt114477966"/>
      <w:r/>
      <w:bookmarkStart w:id="8" w:name="_Hlt114477965"/>
      <w:r>
        <w:rPr>
          <w:rStyle w:val="786"/>
          <w:color w:val="000000"/>
          <w:sz w:val="28"/>
          <w:szCs w:val="28"/>
        </w:rPr>
        <w:t xml:space="preserve">需</w:t>
      </w:r>
      <w:bookmarkEnd w:id="7"/>
      <w:r/>
      <w:bookmarkEnd w:id="8"/>
      <w:r/>
      <w:bookmarkStart w:id="9" w:name="_Hlt146637037"/>
      <w:r/>
      <w:bookmarkStart w:id="10" w:name="_Hlt146635193"/>
      <w:r>
        <w:rPr>
          <w:rStyle w:val="786"/>
          <w:color w:val="000000"/>
          <w:sz w:val="28"/>
          <w:szCs w:val="28"/>
        </w:rPr>
        <w:t xml:space="preserve">求</w:t>
      </w:r>
      <w:bookmarkEnd w:id="9"/>
      <w:r/>
      <w:bookmarkEnd w:id="10"/>
      <w:r>
        <w:rPr>
          <w:sz w:val="28"/>
          <w:szCs w:val="28"/>
        </w:rPr>
        <w:tab/>
      </w:r>
      <w:r>
        <w:rPr>
          <w:sz w:val="28"/>
          <w:szCs w:val="28"/>
        </w:rPr>
        <w:fldChar w:fldCharType="begin"/>
      </w:r>
      <w:r>
        <w:rPr>
          <w:sz w:val="28"/>
          <w:szCs w:val="28"/>
        </w:rPr>
        <w:instrText xml:space="preserve"> PAGEREF _Toc109231706 \h </w:instrText>
      </w:r>
      <w:r>
        <w:rPr>
          <w:sz w:val="28"/>
          <w:szCs w:val="28"/>
        </w:rPr>
        <w:fldChar w:fldCharType="separate"/>
      </w:r>
      <w:r>
        <w:rPr>
          <w:sz w:val="28"/>
          <w:szCs w:val="28"/>
        </w:rPr>
        <w:t xml:space="preserve">41</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56"/>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"_Toc109231707"</w:instrText>
      </w:r>
      <w:r>
        <w:rPr>
          <w:rStyle w:val="786"/>
          <w:color w:val="000000"/>
          <w:sz w:val="28"/>
          <w:szCs w:val="28"/>
        </w:rPr>
        <w:instrText xml:space="preserve"> </w:instrText>
      </w:r>
      <w:r>
        <w:rPr>
          <w:rStyle w:val="786"/>
          <w:color w:val="000000"/>
          <w:sz w:val="28"/>
          <w:szCs w:val="28"/>
        </w:rPr>
        <w:fldChar w:fldCharType="separate"/>
      </w:r>
      <w:r>
        <w:rPr>
          <w:rStyle w:val="786"/>
          <w:rFonts w:hAnsi="宋体"/>
          <w:bCs/>
          <w:color w:val="000000"/>
          <w:sz w:val="28"/>
          <w:szCs w:val="28"/>
        </w:rPr>
        <w:t xml:space="preserve">第二章   响 应 文 件 格 式</w:t>
      </w:r>
      <w:r>
        <w:rPr>
          <w:sz w:val="28"/>
          <w:szCs w:val="28"/>
        </w:rPr>
        <w:tab/>
      </w:r>
      <w:r>
        <w:rPr>
          <w:sz w:val="28"/>
          <w:szCs w:val="28"/>
        </w:rPr>
        <w:fldChar w:fldCharType="begin"/>
      </w:r>
      <w:r>
        <w:rPr>
          <w:sz w:val="28"/>
          <w:szCs w:val="28"/>
        </w:rPr>
        <w:instrText xml:space="preserve"> PAGEREF _Toc109231707 \h </w:instrText>
      </w:r>
      <w:r>
        <w:rPr>
          <w:sz w:val="28"/>
          <w:szCs w:val="28"/>
        </w:rPr>
        <w:fldChar w:fldCharType="separate"/>
      </w:r>
      <w:r>
        <w:rPr>
          <w:sz w:val="28"/>
          <w:szCs w:val="28"/>
        </w:rPr>
        <w:t xml:space="preserve">52</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"_Toc109231708"</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一、磋商函</w:t>
      </w:r>
      <w:r>
        <w:rPr>
          <w:sz w:val="28"/>
          <w:szCs w:val="28"/>
        </w:rPr>
        <w:tab/>
      </w:r>
      <w:r>
        <w:rPr>
          <w:sz w:val="28"/>
          <w:szCs w:val="28"/>
        </w:rPr>
        <w:fldChar w:fldCharType="begin"/>
      </w:r>
      <w:r>
        <w:rPr>
          <w:sz w:val="28"/>
          <w:szCs w:val="28"/>
        </w:rPr>
        <w:instrText xml:space="preserve"> PAGEREF _Toc109231708 \h </w:instrText>
      </w:r>
      <w:r>
        <w:rPr>
          <w:sz w:val="28"/>
          <w:szCs w:val="28"/>
        </w:rPr>
        <w:fldChar w:fldCharType="separate"/>
      </w:r>
      <w:r>
        <w:rPr>
          <w:sz w:val="28"/>
          <w:szCs w:val="28"/>
        </w:rPr>
        <w:t xml:space="preserve">54</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"_Toc109231709"</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二、报价一览表</w:t>
      </w:r>
      <w:r>
        <w:rPr>
          <w:sz w:val="28"/>
          <w:szCs w:val="28"/>
        </w:rPr>
        <w:tab/>
      </w:r>
      <w:r>
        <w:rPr>
          <w:sz w:val="28"/>
          <w:szCs w:val="28"/>
        </w:rPr>
        <w:fldChar w:fldCharType="begin"/>
      </w:r>
      <w:r>
        <w:rPr>
          <w:sz w:val="28"/>
          <w:szCs w:val="28"/>
        </w:rPr>
        <w:instrText xml:space="preserve"> PAGEREF _Toc109231709 \h </w:instrText>
      </w:r>
      <w:r>
        <w:rPr>
          <w:sz w:val="28"/>
          <w:szCs w:val="28"/>
        </w:rPr>
        <w:fldChar w:fldCharType="separate"/>
      </w:r>
      <w:r>
        <w:rPr>
          <w:sz w:val="28"/>
          <w:szCs w:val="28"/>
        </w:rPr>
        <w:t xml:space="preserve">56</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"_Toc109231710"</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三、报价明细表</w:t>
      </w:r>
      <w:r>
        <w:rPr>
          <w:sz w:val="28"/>
          <w:szCs w:val="28"/>
        </w:rPr>
        <w:tab/>
      </w:r>
      <w:r>
        <w:rPr>
          <w:sz w:val="28"/>
          <w:szCs w:val="28"/>
        </w:rPr>
        <w:fldChar w:fldCharType="begin"/>
      </w:r>
      <w:r>
        <w:rPr>
          <w:sz w:val="28"/>
          <w:szCs w:val="28"/>
        </w:rPr>
        <w:instrText xml:space="preserve"> PAGEREF _Toc109231710 \h </w:instrText>
      </w:r>
      <w:r>
        <w:rPr>
          <w:sz w:val="28"/>
          <w:szCs w:val="28"/>
        </w:rPr>
        <w:fldChar w:fldCharType="separate"/>
      </w:r>
      <w:r>
        <w:rPr>
          <w:sz w:val="28"/>
          <w:szCs w:val="28"/>
        </w:rPr>
        <w:t xml:space="preserve">57</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"_Toc109231711"</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四、技术规格响应偏离表</w:t>
      </w:r>
      <w:r>
        <w:rPr>
          <w:sz w:val="28"/>
          <w:szCs w:val="28"/>
        </w:rPr>
        <w:tab/>
      </w:r>
      <w:r>
        <w:rPr>
          <w:sz w:val="28"/>
          <w:szCs w:val="28"/>
        </w:rPr>
        <w:fldChar w:fldCharType="begin"/>
      </w:r>
      <w:r>
        <w:rPr>
          <w:sz w:val="28"/>
          <w:szCs w:val="28"/>
        </w:rPr>
        <w:instrText xml:space="preserve"> PAGEREF _Toc109231711 \h </w:instrText>
      </w:r>
      <w:r>
        <w:rPr>
          <w:sz w:val="28"/>
          <w:szCs w:val="28"/>
        </w:rPr>
        <w:fldChar w:fldCharType="separate"/>
      </w:r>
      <w:r>
        <w:rPr>
          <w:sz w:val="28"/>
          <w:szCs w:val="28"/>
        </w:rPr>
        <w:t xml:space="preserve">58</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"_Toc109231712"</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五、服务承诺</w:t>
      </w:r>
      <w:r>
        <w:rPr>
          <w:sz w:val="28"/>
          <w:szCs w:val="28"/>
        </w:rPr>
        <w:tab/>
      </w:r>
      <w:r>
        <w:rPr>
          <w:sz w:val="28"/>
          <w:szCs w:val="28"/>
        </w:rPr>
        <w:fldChar w:fldCharType="begin"/>
      </w:r>
      <w:r>
        <w:rPr>
          <w:sz w:val="28"/>
          <w:szCs w:val="28"/>
        </w:rPr>
        <w:instrText xml:space="preserve"> PAGEREF _Toc109231712 \h </w:instrText>
      </w:r>
      <w:r>
        <w:rPr>
          <w:sz w:val="28"/>
          <w:szCs w:val="28"/>
        </w:rPr>
        <w:fldChar w:fldCharType="separate"/>
      </w:r>
      <w:r>
        <w:rPr>
          <w:sz w:val="28"/>
          <w:szCs w:val="28"/>
        </w:rPr>
        <w:t xml:space="preserve">59</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"_Toc109231713"</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六、资质审查时</w:t>
      </w:r>
      <w:bookmarkStart w:id="11" w:name="_Hlt111045221"/>
      <w:r/>
      <w:bookmarkStart w:id="12" w:name="_Hlt111045222"/>
      <w:r>
        <w:rPr>
          <w:rStyle w:val="786"/>
          <w:rFonts w:ascii="宋体" w:hAnsi="宋体"/>
          <w:bCs/>
          <w:color w:val="000000"/>
          <w:sz w:val="28"/>
          <w:szCs w:val="28"/>
        </w:rPr>
        <w:t xml:space="preserve">磋</w:t>
      </w:r>
      <w:bookmarkEnd w:id="11"/>
      <w:r/>
      <w:bookmarkEnd w:id="12"/>
      <w:r>
        <w:rPr>
          <w:rStyle w:val="786"/>
          <w:rFonts w:ascii="宋体" w:hAnsi="宋体"/>
          <w:bCs/>
          <w:color w:val="000000"/>
          <w:sz w:val="28"/>
          <w:szCs w:val="28"/>
        </w:rPr>
        <w:t xml:space="preserve">商供应商必须提交的资格证明文件</w:t>
      </w:r>
      <w:r>
        <w:rPr>
          <w:sz w:val="28"/>
          <w:szCs w:val="28"/>
        </w:rPr>
        <w:tab/>
      </w:r>
      <w:r>
        <w:rPr>
          <w:sz w:val="28"/>
          <w:szCs w:val="28"/>
        </w:rPr>
        <w:fldChar w:fldCharType="begin"/>
      </w:r>
      <w:r>
        <w:rPr>
          <w:sz w:val="28"/>
          <w:szCs w:val="28"/>
        </w:rPr>
        <w:instrText xml:space="preserve"> PAGEREF _Toc109231713 \h </w:instrText>
      </w:r>
      <w:r>
        <w:rPr>
          <w:sz w:val="28"/>
          <w:szCs w:val="28"/>
        </w:rPr>
        <w:fldChar w:fldCharType="separate"/>
      </w:r>
      <w:r>
        <w:rPr>
          <w:sz w:val="28"/>
          <w:szCs w:val="28"/>
        </w:rPr>
        <w:t xml:space="preserve">60</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"_Toc109231714"</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七、最终价格评审时磋商供应商需提供的证明文件</w:t>
      </w:r>
      <w:r>
        <w:rPr>
          <w:sz w:val="28"/>
          <w:szCs w:val="28"/>
        </w:rPr>
        <w:tab/>
      </w:r>
      <w:r>
        <w:rPr>
          <w:sz w:val="28"/>
          <w:szCs w:val="28"/>
        </w:rPr>
        <w:fldChar w:fldCharType="begin"/>
      </w:r>
      <w:r>
        <w:rPr>
          <w:sz w:val="28"/>
          <w:szCs w:val="28"/>
        </w:rPr>
        <w:instrText xml:space="preserve"> PAGEREF _Toc109231714 \h </w:instrText>
      </w:r>
      <w:r>
        <w:rPr>
          <w:sz w:val="28"/>
          <w:szCs w:val="28"/>
        </w:rPr>
        <w:fldChar w:fldCharType="separate"/>
      </w:r>
      <w:r>
        <w:rPr>
          <w:sz w:val="28"/>
          <w:szCs w:val="28"/>
        </w:rPr>
        <w:t xml:space="preserve">61</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"_Toc109231715"</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八、磋商供应商认为有必要提供并说明的其它资料</w:t>
      </w:r>
      <w:r>
        <w:rPr>
          <w:sz w:val="28"/>
          <w:szCs w:val="28"/>
        </w:rPr>
        <w:tab/>
      </w:r>
      <w:r>
        <w:rPr>
          <w:sz w:val="28"/>
          <w:szCs w:val="28"/>
        </w:rPr>
        <w:fldChar w:fldCharType="begin"/>
      </w:r>
      <w:r>
        <w:rPr>
          <w:sz w:val="28"/>
          <w:szCs w:val="28"/>
        </w:rPr>
        <w:instrText xml:space="preserve"> PAGEREF _Toc109231715 \h </w:instrText>
      </w:r>
      <w:r>
        <w:rPr>
          <w:sz w:val="28"/>
          <w:szCs w:val="28"/>
        </w:rPr>
        <w:fldChar w:fldCharType="separate"/>
      </w:r>
      <w:r>
        <w:rPr>
          <w:sz w:val="28"/>
          <w:szCs w:val="28"/>
        </w:rPr>
        <w:t xml:space="preserve">61</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65"/>
        <w:spacing w:line="480" w:lineRule="exact"/>
        <w:tabs>
          <w:tab w:val="right" w:pos="9736" w:leader="dot"/>
        </w:tabs>
        <w:rPr>
          <w:rFonts w:ascii="等线" w:hAnsi="等线" w:eastAsia="等线"/>
          <w:sz w:val="28"/>
          <w:szCs w:val="28"/>
        </w:rPr>
      </w:pPr>
      <w:r>
        <w:rPr>
          <w:rStyle w:val="786"/>
          <w:color w:val="000000"/>
          <w:sz w:val="28"/>
          <w:szCs w:val="28"/>
        </w:rPr>
        <w:fldChar w:fldCharType="begin"/>
      </w:r>
      <w:r>
        <w:rPr>
          <w:rStyle w:val="786"/>
          <w:color w:val="000000"/>
          <w:sz w:val="28"/>
          <w:szCs w:val="28"/>
        </w:rPr>
        <w:instrText xml:space="preserve"> </w:instrText>
      </w:r>
      <w:r>
        <w:rPr>
          <w:sz w:val="28"/>
          <w:szCs w:val="28"/>
        </w:rPr>
        <w:instrText xml:space="preserve">HYPERLINK \l "_Toc109231716"</w:instrText>
      </w:r>
      <w:r>
        <w:rPr>
          <w:rStyle w:val="786"/>
          <w:color w:val="000000"/>
          <w:sz w:val="28"/>
          <w:szCs w:val="28"/>
        </w:rPr>
        <w:instrText xml:space="preserve"> </w:instrText>
      </w:r>
      <w:r>
        <w:rPr>
          <w:rStyle w:val="786"/>
          <w:color w:val="000000"/>
          <w:sz w:val="28"/>
          <w:szCs w:val="28"/>
        </w:rPr>
        <w:fldChar w:fldCharType="separate"/>
      </w:r>
      <w:r>
        <w:rPr>
          <w:rStyle w:val="786"/>
          <w:rFonts w:ascii="宋体" w:hAnsi="宋体"/>
          <w:bCs/>
          <w:color w:val="000000"/>
          <w:sz w:val="28"/>
          <w:szCs w:val="28"/>
        </w:rPr>
        <w:t xml:space="preserve">九、示范格</w:t>
      </w:r>
      <w:bookmarkStart w:id="13" w:name="_Hlt154156441"/>
      <w:r/>
      <w:bookmarkStart w:id="14" w:name="_Hlt154156442"/>
      <w:r>
        <w:rPr>
          <w:rStyle w:val="786"/>
          <w:rFonts w:ascii="宋体" w:hAnsi="宋体"/>
          <w:bCs/>
          <w:color w:val="000000"/>
          <w:sz w:val="28"/>
          <w:szCs w:val="28"/>
        </w:rPr>
        <w:t xml:space="preserve">式</w:t>
      </w:r>
      <w:bookmarkEnd w:id="13"/>
      <w:r/>
      <w:bookmarkEnd w:id="14"/>
      <w:r/>
      <w:bookmarkStart w:id="15" w:name="_Hlt154155685"/>
      <w:r/>
      <w:bookmarkStart w:id="16" w:name="_Hlt154155684"/>
      <w:r>
        <w:rPr>
          <w:sz w:val="28"/>
          <w:szCs w:val="28"/>
        </w:rPr>
        <w:tab/>
      </w:r>
      <w:bookmarkEnd w:id="15"/>
      <w:r/>
      <w:bookmarkEnd w:id="16"/>
      <w:r>
        <w:rPr>
          <w:sz w:val="28"/>
          <w:szCs w:val="28"/>
        </w:rPr>
        <w:fldChar w:fldCharType="begin"/>
      </w:r>
      <w:r>
        <w:rPr>
          <w:sz w:val="28"/>
          <w:szCs w:val="28"/>
        </w:rPr>
        <w:instrText xml:space="preserve"> PAGEREF _Toc109231716 \h </w:instrText>
      </w:r>
      <w:r>
        <w:rPr>
          <w:sz w:val="28"/>
          <w:szCs w:val="28"/>
        </w:rPr>
        <w:fldChar w:fldCharType="separate"/>
      </w:r>
      <w:r>
        <w:rPr>
          <w:sz w:val="28"/>
          <w:szCs w:val="28"/>
        </w:rPr>
        <w:t xml:space="preserve">62</w:t>
      </w:r>
      <w:r>
        <w:rPr>
          <w:sz w:val="28"/>
          <w:szCs w:val="28"/>
        </w:rPr>
        <w:fldChar w:fldCharType="end"/>
      </w:r>
      <w:r>
        <w:rPr>
          <w:rStyle w:val="786"/>
          <w:color w:val="000000"/>
          <w:sz w:val="28"/>
          <w:szCs w:val="28"/>
        </w:rPr>
        <w:fldChar w:fldCharType="end"/>
      </w:r>
      <w:r>
        <w:rPr>
          <w:rFonts w:ascii="等线" w:hAnsi="等线" w:eastAsia="等线"/>
          <w:sz w:val="28"/>
          <w:szCs w:val="28"/>
        </w:rPr>
      </w:r>
      <w:r/>
    </w:p>
    <w:p>
      <w:pPr>
        <w:pStyle w:val="703"/>
        <w:rPr>
          <w:rFonts w:hint="eastAsia"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rPr>
          <w:rFonts w:hint="eastAsia" w:ascii="宋体" w:hAnsi="宋体"/>
          <w:bCs/>
          <w:sz w:val="28"/>
        </w:rPr>
      </w:r>
      <w:r/>
    </w:p>
    <w:p>
      <w:pPr>
        <w:pStyle w:val="764"/>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704"/>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17" w:name="_Toc109231701"/>
      <w:r>
        <w:rPr>
          <w:rFonts w:hint="eastAsia" w:hAnsi="宋体"/>
          <w:bCs/>
          <w:color w:val="000000"/>
          <w:sz w:val="36"/>
          <w:szCs w:val="44"/>
        </w:rPr>
        <w:t xml:space="preserve">第一章   磋商文件</w:t>
      </w:r>
      <w:bookmarkEnd w:id="17"/>
      <w:r>
        <w:rPr>
          <w:rFonts w:hint="eastAsia" w:hAnsi="宋体"/>
          <w:bCs/>
          <w:color w:val="000000"/>
          <w:sz w:val="36"/>
          <w:szCs w:val="44"/>
        </w:rPr>
      </w:r>
      <w:r/>
    </w:p>
    <w:p>
      <w:pPr>
        <w:pStyle w:val="705"/>
        <w:jc w:val="center"/>
        <w:spacing w:before="0" w:after="0" w:line="300" w:lineRule="auto"/>
        <w:rPr>
          <w:rFonts w:hint="eastAsia" w:ascii="宋体" w:hAnsi="宋体" w:eastAsia="宋体"/>
          <w:bCs/>
          <w:sz w:val="28"/>
          <w:szCs w:val="28"/>
        </w:rPr>
      </w:pPr>
      <w:r/>
      <w:bookmarkStart w:id="18" w:name="_Toc109231702"/>
      <w:r>
        <w:rPr>
          <w:rFonts w:hint="eastAsia" w:ascii="宋体" w:hAnsi="宋体" w:eastAsia="宋体"/>
          <w:bCs/>
          <w:sz w:val="28"/>
          <w:szCs w:val="28"/>
        </w:rPr>
        <w:t xml:space="preserve">第一部分   磋商邀请</w:t>
      </w:r>
      <w:bookmarkEnd w:id="18"/>
      <w:r>
        <w:rPr>
          <w:rFonts w:hint="eastAsia" w:ascii="宋体" w:hAnsi="宋体" w:eastAsia="宋体"/>
          <w:bCs/>
          <w:sz w:val="28"/>
          <w:szCs w:val="28"/>
        </w:rPr>
      </w:r>
      <w:r/>
    </w:p>
    <w:p>
      <w:pPr>
        <w:pStyle w:val="703"/>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hint="eastAsia" w:ascii="宋体" w:hAnsi="宋体"/>
          <w:sz w:val="24"/>
        </w:rPr>
      </w:r>
      <w:r/>
    </w:p>
    <w:p>
      <w:pPr>
        <w:pStyle w:val="703"/>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淮安市涟水县教育体育局教学多媒体一体机采购及安装项目 </w:t>
      </w:r>
      <w:r>
        <w:rPr>
          <w:rFonts w:ascii="宋体" w:hAnsi="宋体" w:cs="宋体"/>
          <w:sz w:val="24"/>
        </w:rPr>
        <w:t xml:space="preserve">JSZC-320826-JZCG-C2024-0021</w:t>
      </w:r>
      <w:r>
        <w:rPr>
          <w:rFonts w:hint="eastAsia" w:ascii="宋体" w:hAnsi="宋体"/>
          <w:sz w:val="24"/>
        </w:rPr>
        <w:t xml:space="preserve"> 采购项目的潜在供应商应在江苏省政府采购网或者淮安市政府采购网获取采购文件，并于2024-08-28 9:00 （北京时间）前提交响应文件。</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一、项目基本情况</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项目编号：</w:t>
      </w:r>
      <w:r>
        <w:rPr>
          <w:rFonts w:ascii="宋体" w:hAnsi="宋体" w:cs="宋体"/>
          <w:sz w:val="24"/>
        </w:rPr>
        <w:t xml:space="preserve">JSZC-320826-JZCG-C2024-0021</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项目名称：淮安市涟水县教育体育局教学多媒体一体机采购及安装项目</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采购方式：竞争性磋商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预算金额：120.0000万元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最高限价（如有）：120.0000万元</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采购需求：淮安市涟水县教育体育局教学多媒体一体机采购及安装项目，具体详见磋商文件；</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合同履行期限：合同签订后60日内完成供货；</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本项目（是/否）接受联合体：不接受联合体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二、申请人的资格要求：</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（一）满足《中华人民共和国政府采购法》第二十二条规定；</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1.磋商供应商提供下列材料之一： （1）磋商供应商提供法定代表人资格证明（必须提供，格式按照第九部分示范格式一要求）和法定代表人身份证；（扫描件并加盖磋商供应商电子签章，必须提供） （2）磋商供应商提供授权委托书（扫描件并加盖磋商供应商电子签章，必须提供，格式详见第九部分示范格式二）和受托人身份证。（扫描件并加盖磋商供应商电子签章，必须提供）</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2.提供营业执照或事业单位法人证书。（扫描件并加盖磋商供应商电子签章，必须提供）</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703"/>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本项目按照以下第</w:t>
      </w:r>
      <w:r>
        <w:rPr>
          <w:rFonts w:hint="eastAsia" w:ascii="宋体" w:hAnsi="宋体"/>
          <w:sz w:val="24"/>
          <w:u w:val="single"/>
        </w:rPr>
        <w:t xml:space="preserve">3</w:t>
      </w:r>
      <w:r>
        <w:rPr>
          <w:rFonts w:hint="eastAsia" w:ascii="宋体" w:hAnsi="宋体"/>
          <w:sz w:val="24"/>
        </w:rPr>
        <w:t xml:space="preserve">种方式落实政府采购促进中小企业发展的要求：</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1.本项目为专门面向中小企业采购的项目。</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2.本项目通过以下第（）种方式预留部分采购份额采购中小企业服务：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3.本项目为非预留份额的采购项目，对小微企业报价给予扣除，用扣除后的价格参加评审，具体详见第一章“供应商须知”第30.1项。</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注:监狱企业、残疾人福利性单位视同小微企业；符合中小企业划分标准的个体工商户，在政府采购活动中视同中小企业，享受政府采购支持中小企业发展政策。</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（三）本项目的特定资格要求：无</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三、获取采购文件</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时间：</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2024年08月16日至2024年08月26日，每天上午00:00-12:00，下午12:00-23:59（北京时间，法定节假日除外）</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地点：江苏省政府采购网或者淮安市政府采购网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售价：0.00元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四、响应文件提交</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截止时间：2024-08-28 9:00 （北京时间）</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地点：本项目采用远程“不见面”开标方式，无需到现场提交，请供应商在开标时间截止前提前登入苏采云政府采购一体化平台（网址：http://jszfcg.jsczt.cn/jszc/login）提交响应文件。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时间：2024-08-28 9:00 （北京时间）</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地点：涟水县政务中心东三楼全流程不见面开标一室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六、公告期限</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自本公告发布之日起3个工作日。</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七、其他补充事宜</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1.本项目仅采购非进口产品（注:本文件所称进口产品是指通过中国海关报关验放进入中国境内且产自关境外的产品）</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 有关本次磋商活动的事项若存在变动或修改，敬请及时关注“淮安市政府采购网”发布的更正公告。</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 本次采购不收取磋商保证金。</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八、凡对本次采购提出询问，请按以下方式联系。</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1.采购人信息</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单位名称：涟水县教育体育局</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地址：涟水县涟水一中内</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联系方式：潘先生               </w:t>
      </w:r>
      <w:r>
        <w:rPr>
          <w:rFonts w:hint="eastAsia" w:ascii="宋体" w:hAnsi="宋体"/>
          <w:sz w:val="24"/>
        </w:rPr>
      </w:r>
      <w:r/>
    </w:p>
    <w:p>
      <w:pPr>
        <w:pStyle w:val="703"/>
        <w:ind w:firstLine="480"/>
        <w:spacing w:line="520" w:lineRule="exact"/>
        <w:rPr>
          <w:rFonts w:ascii="宋体" w:hAnsi="宋体"/>
          <w:sz w:val="24"/>
        </w:rPr>
      </w:pPr>
      <w:r>
        <w:rPr>
          <w:rFonts w:hint="eastAsia" w:ascii="宋体" w:hAnsi="宋体"/>
          <w:sz w:val="24"/>
        </w:rPr>
        <w:t xml:space="preserve">电话：0517-82380383</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2.采购代理机构信息（如有）</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单位名称：淮安市公共资源交易中心涟水分中心</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单位地址：</w:t>
      </w:r>
      <w:r>
        <w:rPr>
          <w:rFonts w:ascii="宋体" w:hAnsi="宋体" w:cs="宋体"/>
          <w:sz w:val="24"/>
        </w:rPr>
        <w:t xml:space="preserve">涟水县政府北侧泰山路南侧政务服务中心东三楼</w:t>
      </w:r>
      <w:r>
        <w:rPr>
          <w:rFonts w:hint="eastAsia" w:ascii="宋体" w:hAnsi="宋体"/>
          <w:sz w:val="24"/>
        </w:rPr>
      </w:r>
      <w:r/>
    </w:p>
    <w:p>
      <w:pPr>
        <w:pStyle w:val="703"/>
        <w:ind w:firstLine="480"/>
        <w:spacing w:line="520" w:lineRule="exact"/>
        <w:rPr>
          <w:rFonts w:ascii="宋体" w:hAnsi="宋体"/>
          <w:sz w:val="24"/>
        </w:rPr>
      </w:pPr>
      <w:r>
        <w:rPr>
          <w:rFonts w:hint="eastAsia" w:ascii="宋体" w:hAnsi="宋体"/>
          <w:sz w:val="24"/>
        </w:rPr>
        <w:t xml:space="preserve">联系人：严妍</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联系电话：0517-82315603</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703"/>
        <w:ind w:firstLine="480"/>
        <w:spacing w:line="520" w:lineRule="exact"/>
        <w:rPr>
          <w:rFonts w:ascii="宋体" w:hAnsi="宋体"/>
          <w:sz w:val="24"/>
        </w:rPr>
      </w:pPr>
      <w:r>
        <w:rPr>
          <w:rFonts w:hint="eastAsia" w:ascii="宋体" w:hAnsi="宋体"/>
          <w:sz w:val="24"/>
        </w:rPr>
        <w:t xml:space="preserve">项目联系人：严妍</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电话：0517-82315603</w:t>
      </w:r>
      <w:r>
        <w:rPr>
          <w:rFonts w:ascii="宋体" w:hAnsi="宋体"/>
          <w:sz w:val="24"/>
        </w:rPr>
      </w:r>
      <w:r/>
    </w:p>
    <w:p>
      <w:pPr>
        <w:pStyle w:val="705"/>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19" w:name="_Toc10923170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19"/>
      <w:r>
        <w:rPr>
          <w:rFonts w:hint="eastAsia" w:ascii="宋体" w:hAnsi="宋体" w:eastAsia="宋体"/>
          <w:bCs/>
          <w:sz w:val="28"/>
          <w:szCs w:val="28"/>
        </w:rPr>
      </w:r>
      <w:r/>
    </w:p>
    <w:p>
      <w:pPr>
        <w:pStyle w:val="703"/>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703"/>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703"/>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703"/>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703"/>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703"/>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703"/>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703"/>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703"/>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703"/>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703"/>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703"/>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703"/>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703"/>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03"/>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703"/>
        <w:ind w:firstLine="482"/>
        <w:spacing w:line="520" w:lineRule="exact"/>
        <w:rPr>
          <w:rFonts w:hint="eastAsia" w:ascii="宋体" w:hAnsi="宋体"/>
          <w:b/>
          <w:sz w:val="24"/>
        </w:rPr>
      </w:pPr>
      <w:r>
        <w:rPr>
          <w:rFonts w:hint="eastAsia" w:ascii="宋体" w:hAnsi="宋体"/>
          <w:b/>
          <w:sz w:val="24"/>
        </w:rPr>
        <w:t xml:space="preserve">11.1本项目采用总承包方式，因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hint="eastAsia" w:ascii="宋体" w:hAnsi="宋体"/>
          <w:b/>
          <w:sz w:val="24"/>
        </w:rPr>
      </w:r>
      <w:r/>
    </w:p>
    <w:p>
      <w:pPr>
        <w:pStyle w:val="703"/>
        <w:ind w:firstLine="482"/>
        <w:spacing w:line="520" w:lineRule="exact"/>
        <w:rPr>
          <w:rFonts w:hint="eastAsia" w:ascii="宋体" w:hAnsi="宋体"/>
          <w:b/>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rPr>
          <w:rFonts w:hint="eastAsia" w:ascii="宋体" w:hAnsi="宋体"/>
          <w:b/>
          <w:sz w:val="24"/>
        </w:rPr>
      </w:r>
      <w:r/>
    </w:p>
    <w:p>
      <w:pPr>
        <w:pStyle w:val="703"/>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rPr>
          <w:rFonts w:hint="eastAsia" w:ascii="宋体" w:hAnsi="宋体"/>
          <w:sz w:val="24"/>
        </w:rPr>
      </w:r>
      <w:r/>
    </w:p>
    <w:p>
      <w:pPr>
        <w:pStyle w:val="703"/>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703"/>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703"/>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703"/>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703"/>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703"/>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703"/>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703"/>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703"/>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703"/>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703"/>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18.1本项目采用“全流程电子化交易”模式，通过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苏采云”系统，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 开标</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18.2.3报价一览表内容与报价明细表内容不一致的，一律以报价一览表内容为准。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18.3全流程电子化交易采购说明</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705"/>
        <w:ind w:firstLine="480"/>
        <w:spacing w:before="0" w:after="0" w:line="520" w:lineRule="exact"/>
        <w:rPr>
          <w:rFonts w:hint="eastAsia" w:ascii="宋体" w:hAnsi="宋体" w:eastAsia="宋体"/>
          <w:b w:val="0"/>
          <w:bCs/>
          <w:sz w:val="24"/>
          <w:szCs w:val="24"/>
        </w:rPr>
      </w:pPr>
      <w:r>
        <w:rPr>
          <w:rFonts w:hint="eastAsia" w:ascii="宋体" w:hAnsi="宋体" w:eastAsia="宋体"/>
          <w:b w:val="0"/>
          <w:bCs/>
          <w:sz w:val="24"/>
          <w:szCs w:val="24"/>
        </w:rPr>
        <w:t xml:space="preserve">18.3.10供应商在制作上传电子响应文件、观看活动组织、响应文件解密等技术方面遇到问题时，请与软件公司技术人员咨询，联系电话: 0519-86722802。</w:t>
      </w:r>
      <w:r>
        <w:rPr>
          <w:rFonts w:hint="eastAsia" w:ascii="宋体" w:hAnsi="宋体" w:eastAsia="宋体"/>
          <w:b w:val="0"/>
          <w:bCs/>
          <w:sz w:val="24"/>
          <w:szCs w:val="24"/>
        </w:rPr>
      </w:r>
      <w:r/>
    </w:p>
    <w:p>
      <w:pPr>
        <w:pStyle w:val="703"/>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18.4.1磋商小组由采购人代表和评审专家共3人以上单数组成。</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703"/>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bCs/>
          <w:sz w:val="24"/>
          <w:lang w:val="zh-CN"/>
        </w:rPr>
      </w:r>
      <w:r/>
    </w:p>
    <w:p>
      <w:pPr>
        <w:pStyle w:val="703"/>
        <w:ind w:firstLine="480"/>
        <w:spacing w:line="520" w:lineRule="exact"/>
        <w:rPr>
          <w:rFonts w:hint="eastAsia" w:ascii="宋体" w:hAnsi="宋体"/>
          <w:bCs/>
          <w:sz w:val="24"/>
        </w:rPr>
      </w:pPr>
      <w:r>
        <w:rPr>
          <w:rFonts w:hint="eastAsia" w:ascii="宋体" w:hAnsi="宋体"/>
          <w:bCs/>
          <w:sz w:val="24"/>
          <w:lang w:val="zh-CN"/>
        </w:rPr>
        <w:t xml:space="preserve">19.1.1.3 响应文件有下列情况之一的，在资格性审查时按照无效响应文件处理:</w:t>
      </w:r>
      <w:r>
        <w:rPr>
          <w:rFonts w:hint="eastAsia" w:ascii="宋体" w:hAnsi="宋体"/>
          <w:bCs/>
          <w:sz w:val="24"/>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703"/>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703"/>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703"/>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703"/>
        <w:ind w:firstLine="480"/>
        <w:spacing w:line="480" w:lineRule="auto"/>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703"/>
        <w:ind w:firstLine="480"/>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rPr>
          <w:rFonts w:ascii="宋体" w:hAnsi="宋体"/>
          <w:sz w:val="24"/>
        </w:rPr>
      </w:r>
      <w:r/>
    </w:p>
    <w:p>
      <w:pPr>
        <w:pStyle w:val="703"/>
        <w:ind w:firstLine="480"/>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rPr>
          <w:rFonts w:ascii="宋体" w:hAnsi="宋体"/>
          <w:sz w:val="24"/>
        </w:rPr>
      </w:r>
      <w:r/>
    </w:p>
    <w:p>
      <w:pPr>
        <w:pStyle w:val="703"/>
        <w:ind w:firstLine="480"/>
        <w:spacing w:line="520" w:lineRule="exact"/>
        <w:rPr>
          <w:rFonts w:hint="eastAsia" w:ascii="宋体" w:hAnsi="宋体"/>
          <w:bCs/>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rPr>
          <w:rFonts w:hint="eastAsia" w:ascii="宋体" w:hAnsi="宋体"/>
          <w:bCs/>
          <w:sz w:val="24"/>
        </w:rPr>
      </w:r>
      <w:r/>
    </w:p>
    <w:p>
      <w:pPr>
        <w:pStyle w:val="703"/>
        <w:ind w:firstLine="482"/>
        <w:spacing w:line="520" w:lineRule="exact"/>
        <w:rPr>
          <w:rFonts w:hint="eastAsia" w:ascii="宋体" w:hAnsi="宋体"/>
          <w:b/>
          <w:sz w:val="24"/>
        </w:rPr>
      </w:pPr>
      <w:r>
        <w:rPr>
          <w:rFonts w:hint="eastAsia" w:ascii="宋体" w:hAnsi="宋体"/>
          <w:b/>
          <w:sz w:val="24"/>
        </w:rPr>
        <w:t xml:space="preserve">19.7磋商结束后，磋商小组将要求所有继续参加磋商的供应商凭CA锁登陆“苏采云政府采购一体化平台”在规定的时间内进行两次或两次以上的磋商报价（最终报价将作为评审的依据）。</w:t>
      </w:r>
      <w:r>
        <w:rPr>
          <w:rFonts w:hint="eastAsia" w:ascii="宋体" w:hAnsi="宋体"/>
          <w:b/>
          <w:sz w:val="24"/>
        </w:rPr>
      </w:r>
      <w:r/>
    </w:p>
    <w:p>
      <w:pPr>
        <w:pStyle w:val="703"/>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703"/>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（14）磋商供应商所投产品对磋商文件“第一章 第五部分 项目采购需求”中所有参数要求有重大负偏离的。</w:t>
      </w:r>
      <w:r>
        <w:rPr>
          <w:rFonts w:hint="eastAsia" w:ascii="宋体" w:hAnsi="宋体"/>
          <w:bCs/>
          <w:sz w:val="24"/>
        </w:rPr>
      </w:r>
      <w:r/>
    </w:p>
    <w:p>
      <w:pPr>
        <w:pStyle w:val="703"/>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）磋商小组认为成交供应商的报价明显低于其他通过符合性审查的供应商的报价，有可能影响产品质量或者不能诚信履约的，未在评标现场合理的时间内提供书面说明或相关证明材料，不能证明其报价合理的。</w:t>
      </w:r>
      <w:r>
        <w:rPr>
          <w:rFonts w:hint="eastAsia" w:ascii="宋体" w:hAnsi="宋体"/>
          <w:bCs/>
          <w:sz w:val="24"/>
        </w:rPr>
      </w:r>
      <w:r/>
    </w:p>
    <w:p>
      <w:pPr>
        <w:pStyle w:val="703"/>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703"/>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703"/>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703"/>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 </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703"/>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bCs/>
          <w:sz w:val="24"/>
        </w:rPr>
        <w:t xml:space="preserve">23.3 磋商小组名单在磋商前确定，并在磋商结果确定前保密。</w:t>
      </w:r>
      <w:r>
        <w:rPr>
          <w:rFonts w:hint="eastAsia" w:ascii="宋体" w:hAnsi="宋体"/>
          <w:sz w:val="24"/>
        </w:rPr>
      </w:r>
      <w:r/>
    </w:p>
    <w:p>
      <w:pPr>
        <w:pStyle w:val="703"/>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703"/>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24.3成交候选人在合同签订前，如经查实从参加该成交项目之日起计算所参加的政府采购活动前三年内，在经营活动中有行贿犯罪记录的，采购人或代理机构将取消其成交候选人资格。</w:t>
      </w:r>
      <w:r>
        <w:rPr>
          <w:rFonts w:hint="eastAsia" w:ascii="宋体" w:hAnsi="宋体"/>
          <w:bCs/>
          <w:sz w:val="24"/>
        </w:rPr>
      </w:r>
      <w:r/>
    </w:p>
    <w:p>
      <w:pPr>
        <w:pStyle w:val="703"/>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703"/>
        <w:ind w:firstLine="482"/>
        <w:spacing w:line="520" w:lineRule="exact"/>
        <w:rPr>
          <w:rFonts w:hint="eastAsia" w:ascii="宋体" w:hAnsi="宋体"/>
          <w:b/>
          <w:bCs/>
          <w:sz w:val="24"/>
        </w:rPr>
      </w:pPr>
      <w:r>
        <w:rPr>
          <w:rFonts w:hint="eastAsia" w:ascii="宋体" w:hAnsi="宋体"/>
          <w:b/>
          <w:bCs/>
          <w:sz w:val="24"/>
        </w:rPr>
        <w:t xml:space="preserve">25.1成交结果公示结束且在无疑义情况下，采购人或代理机构将通知成交人。成交供应商在接到采购人或代理机构通知后五个工作日内必须领取成交通知书。逾期未办理作自动放弃处理。</w:t>
      </w:r>
      <w:r>
        <w:rPr>
          <w:rFonts w:hint="eastAsia" w:ascii="宋体" w:hAnsi="宋体"/>
          <w:b/>
          <w:bCs/>
          <w:sz w:val="24"/>
        </w:rPr>
      </w:r>
      <w:r/>
    </w:p>
    <w:p>
      <w:pPr>
        <w:pStyle w:val="703"/>
        <w:ind w:firstLine="480"/>
        <w:spacing w:line="520" w:lineRule="exact"/>
        <w:rPr>
          <w:rFonts w:hint="eastAsia" w:ascii="宋体" w:hAnsi="宋体"/>
          <w:b/>
          <w:bCs/>
          <w:sz w:val="24"/>
        </w:rPr>
      </w:pPr>
      <w:r>
        <w:rPr>
          <w:rFonts w:hint="eastAsia" w:ascii="宋体" w:hAnsi="宋体"/>
          <w:bCs/>
          <w:sz w:val="24"/>
        </w:rPr>
        <w:t xml:space="preserve">25.2成交通知书将是合同的一个组成部分。</w:t>
      </w:r>
      <w:r>
        <w:rPr>
          <w:rFonts w:hint="eastAsia" w:ascii="宋体" w:hAnsi="宋体"/>
          <w:b/>
          <w:bCs/>
          <w:sz w:val="24"/>
        </w:rPr>
      </w:r>
      <w:r/>
    </w:p>
    <w:p>
      <w:pPr>
        <w:pStyle w:val="703"/>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703"/>
        <w:ind w:firstLine="460"/>
        <w:spacing w:line="520" w:lineRule="exact"/>
        <w:rPr>
          <w:rFonts w:hint="eastAsia" w:ascii="宋体" w:hAnsi="宋体"/>
          <w:bCs/>
          <w:sz w:val="24"/>
        </w:rPr>
      </w:pPr>
      <w:r>
        <w:rPr>
          <w:rFonts w:hint="eastAsia" w:ascii="宋体" w:hAnsi="宋体"/>
          <w:bCs/>
          <w:sz w:val="24"/>
        </w:rPr>
        <w:t xml:space="preserve">26.1采购人与成交供应商应在成交通知书发出之日起十五日内签订政府采购合同后方可生效。磋商文件、成交供应商的响应文件及澄清文件等均为签订合同依据。</w:t>
      </w:r>
      <w:r>
        <w:rPr>
          <w:rFonts w:hint="eastAsia" w:ascii="宋体" w:hAnsi="宋体"/>
          <w:bCs/>
          <w:sz w:val="24"/>
        </w:rPr>
      </w:r>
      <w:r/>
    </w:p>
    <w:p>
      <w:pPr>
        <w:pStyle w:val="703"/>
        <w:ind w:firstLine="460"/>
        <w:spacing w:line="520" w:lineRule="exact"/>
        <w:rPr>
          <w:rFonts w:hint="eastAsia" w:ascii="宋体" w:hAnsi="宋体"/>
          <w:bCs/>
          <w:sz w:val="24"/>
        </w:rPr>
      </w:pPr>
      <w:r>
        <w:rPr>
          <w:rFonts w:hint="eastAsia" w:ascii="宋体" w:hAnsi="宋体"/>
          <w:bCs/>
          <w:sz w:val="24"/>
        </w:rPr>
        <w:t xml:space="preserve">26.2成交供应商自成交通知书发出之日起十五日内无正当理由不与采购人签订合同的，将按规定进行处理。</w:t>
      </w:r>
      <w:r>
        <w:rPr>
          <w:rFonts w:hint="eastAsia" w:ascii="宋体" w:hAnsi="宋体"/>
          <w:bCs/>
          <w:sz w:val="24"/>
        </w:rPr>
      </w:r>
      <w:r/>
    </w:p>
    <w:p>
      <w:pPr>
        <w:pStyle w:val="703"/>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703"/>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703"/>
        <w:spacing w:line="520" w:lineRule="exact"/>
        <w:rPr>
          <w:rFonts w:hint="eastAsia" w:ascii="宋体" w:hAnsi="宋体"/>
          <w:bCs/>
          <w:sz w:val="24"/>
        </w:rPr>
      </w:pPr>
      <w:r>
        <w:rPr>
          <w:rFonts w:ascii="宋体" w:hAnsi="宋体"/>
          <w:bCs/>
          <w:sz w:val="24"/>
        </w:rPr>
        <w:t xml:space="preserve">28</w:t>
      </w:r>
      <w:r>
        <w:rPr>
          <w:rFonts w:hint="eastAsia" w:ascii="宋体" w:hAnsi="宋体"/>
          <w:bCs/>
          <w:sz w:val="24"/>
        </w:rPr>
        <w:t xml:space="preserve">.履约保证金（本项目按照28.1条执行）</w:t>
      </w:r>
      <w:r>
        <w:rPr>
          <w:rFonts w:hint="eastAsia" w:ascii="宋体" w:hAnsi="宋体"/>
          <w:bCs/>
          <w:sz w:val="24"/>
        </w:rPr>
      </w:r>
      <w:r/>
    </w:p>
    <w:p>
      <w:pPr>
        <w:pStyle w:val="703"/>
        <w:ind w:firstLine="460"/>
        <w:spacing w:line="520" w:lineRule="exact"/>
        <w:rPr>
          <w:rFonts w:hint="eastAsia"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28.2为保证合同的顺利执行，成交供应商在领取成交通知书后，签订合同之前，向采购单位缴纳成交价1%的履约保证金，成交供应商自主选择以支票、汇票、本票、保函等形式缴纳或提交。</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28.3乙方提供的履约保证金可以是人民币形式（银行本票、汇票、支票、电汇），或银行保函、担保公司的保证担保或保险公司的保证保险等多种形式。</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28.4乙方选取银行保函、担保公司的保证担保或保险公司的保证保险等形式的向采购人缴纳的，如保函（担保、保险等）的约定期到期但乙方履约仍未结束的，乙方须进行续保。</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28.6如乙方未能履行合同规定的义务，甲方有权从履约保证金中取得补偿。</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28.8履约保证金在合同约定期间内不予退还或者应完全有效，履约保证金在项目验收合格后无息退还给乙方。</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28.9 如果成交人没有按照</w:t>
      </w:r>
      <w:r>
        <w:rPr>
          <w:rFonts w:ascii="宋体" w:hAnsi="宋体"/>
          <w:bCs/>
          <w:sz w:val="24"/>
        </w:rPr>
        <w:t xml:space="preserve">25</w:t>
      </w:r>
      <w:r>
        <w:rPr>
          <w:rFonts w:hint="eastAsia" w:ascii="宋体" w:hAnsi="宋体"/>
          <w:bCs/>
          <w:sz w:val="24"/>
        </w:rPr>
        <w:t xml:space="preserve">条或</w:t>
      </w:r>
      <w:r>
        <w:rPr>
          <w:rFonts w:ascii="宋体" w:hAnsi="宋体"/>
          <w:bCs/>
          <w:sz w:val="24"/>
        </w:rPr>
        <w:t xml:space="preserve">26</w:t>
      </w:r>
      <w:r>
        <w:rPr>
          <w:rFonts w:hint="eastAsia" w:ascii="宋体" w:hAnsi="宋体"/>
          <w:bCs/>
          <w:sz w:val="24"/>
        </w:rPr>
        <w:t xml:space="preserve">条的规定去做，采购人或代理机构</w:t>
      </w:r>
      <w:bookmarkStart w:id="20" w:name="_Hlk154157348"/>
      <w:r>
        <w:rPr>
          <w:rFonts w:hint="eastAsia" w:ascii="宋体" w:hAnsi="宋体"/>
          <w:bCs/>
          <w:sz w:val="24"/>
        </w:rPr>
        <w:t xml:space="preserve">可报财政部门</w:t>
      </w:r>
      <w:bookmarkEnd w:id="20"/>
      <w:r>
        <w:rPr>
          <w:rFonts w:hint="eastAsia" w:ascii="宋体" w:hAnsi="宋体"/>
          <w:bCs/>
          <w:sz w:val="24"/>
        </w:rPr>
        <w:t xml:space="preserve">取消其成交资格。在此情况下采购人可将标授予下一个成交候选人，或重新开展采购活动。</w:t>
      </w:r>
      <w:r>
        <w:rPr>
          <w:rFonts w:hint="eastAsia" w:ascii="宋体" w:hAnsi="宋体"/>
          <w:bCs/>
          <w:sz w:val="24"/>
        </w:rPr>
      </w:r>
      <w:r/>
    </w:p>
    <w:p>
      <w:pPr>
        <w:pStyle w:val="703"/>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703"/>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703"/>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供应商提出书面或电子件质疑必须有理、有据，不得恶意质疑或提交虚假质疑。否则，一经查实，采购人或代理机构有权依据政府采购的有关规定，报请政府采购监管部门对该供应商列入失信行为或不良行为记录名单，进行相应的行政处罚。</w:t>
      </w:r>
      <w:r>
        <w:rPr>
          <w:rFonts w:hint="eastAsia" w:ascii="宋体" w:hAnsi="宋体"/>
          <w:sz w:val="24"/>
        </w:rPr>
      </w:r>
      <w:r/>
    </w:p>
    <w:p>
      <w:pPr>
        <w:pStyle w:val="703"/>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703"/>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（1）磋商供应商须按照磋商文件的要求提供相应的《中小企业声明函》，详见磋商文件第二章“九、示范格式”。</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703"/>
        <w:ind w:firstLine="482"/>
        <w:keepLines/>
        <w:keepNext/>
        <w:spacing w:line="460" w:lineRule="exact"/>
        <w:rPr>
          <w:rFonts w:hint="eastAsia" w:ascii="宋体" w:hAnsi="宋体" w:cs="宋体"/>
          <w:b/>
          <w:sz w:val="24"/>
        </w:rPr>
        <w:outlineLvl w:val="3"/>
      </w:pPr>
      <w:r>
        <w:rPr>
          <w:rFonts w:hint="eastAsia" w:ascii="宋体" w:hAnsi="宋体" w:cs="宋体"/>
          <w:b/>
          <w:sz w:val="24"/>
        </w:rPr>
        <w:t xml:space="preserve">31. 节能、环保政策</w:t>
      </w:r>
      <w:r>
        <w:rPr>
          <w:rFonts w:hint="eastAsia" w:ascii="宋体" w:hAnsi="宋体" w:cs="宋体"/>
          <w:b/>
          <w:sz w:val="24"/>
        </w:rPr>
      </w:r>
      <w:r/>
    </w:p>
    <w:p>
      <w:pPr>
        <w:pStyle w:val="703"/>
        <w:ind w:firstLine="560"/>
        <w:spacing w:line="520" w:lineRule="exact"/>
        <w:rPr>
          <w:rFonts w:ascii="宋体" w:hAnsi="宋体" w:cs="宋体"/>
          <w:sz w:val="24"/>
        </w:rPr>
      </w:pPr>
      <w:r>
        <w:rPr>
          <w:rFonts w:hint="eastAsia" w:ascii="宋体" w:hAnsi="宋体" w:cs="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31.2节能产品（本项目不涉及）</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 / </w:t>
      </w:r>
      <w:r>
        <w:rPr>
          <w:rFonts w:hint="eastAsia" w:ascii="宋体" w:hAnsi="宋体" w:cs="宋体"/>
          <w:sz w:val="24"/>
        </w:rPr>
        <w:t xml:space="preserve">被列入“节能产品品目清单”的，实行（优先采购/强制采购）。</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31.3环保产品（本项目不涉及）</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本项目中</w:t>
      </w:r>
      <w:r>
        <w:rPr>
          <w:rFonts w:hint="eastAsia" w:ascii="宋体" w:hAnsi="宋体" w:cs="宋体"/>
          <w:sz w:val="24"/>
          <w:u w:val="single"/>
        </w:rPr>
        <w:t xml:space="preserve"> / </w:t>
      </w:r>
      <w:r>
        <w:rPr>
          <w:rFonts w:hint="eastAsia" w:ascii="宋体" w:hAnsi="宋体" w:cs="宋体"/>
          <w:sz w:val="24"/>
        </w:rPr>
        <w:t xml:space="preserve">被列入“环境标志产品品目清单”的，实行优先采购。</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31.4本项目中实行“强制采购”的，需提供国家市场监督管理总局确定的列入“参与实施政府采购节能产品认证机构名录”内的认证机构出具的、有效期内的该产品节能认证证书电子件，未提供的作无效投标处理；实行“优先采购”的，在评分标准的“政策导向”处参与加分（详见第三章评标标准）。</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703"/>
        <w:ind w:firstLine="482"/>
        <w:keepLines/>
        <w:keepNext/>
        <w:spacing w:line="460" w:lineRule="exact"/>
        <w:rPr>
          <w:rFonts w:ascii="宋体" w:hAnsi="宋体" w:cs="宋体"/>
          <w:b/>
          <w:sz w:val="24"/>
        </w:rPr>
        <w:outlineLvl w:val="3"/>
      </w:pPr>
      <w:r>
        <w:rPr>
          <w:rFonts w:hint="eastAsia" w:ascii="宋体" w:hAnsi="宋体" w:cs="宋体"/>
          <w:b/>
          <w:sz w:val="24"/>
        </w:rPr>
        <w:t xml:space="preserve">32．政府绿色采购</w:t>
      </w:r>
      <w:r>
        <w:rPr>
          <w:rFonts w:ascii="宋体" w:hAnsi="宋体" w:cs="宋体"/>
          <w:b/>
          <w:sz w:val="24"/>
        </w:rPr>
      </w:r>
      <w:r/>
    </w:p>
    <w:p>
      <w:pPr>
        <w:pStyle w:val="703"/>
        <w:ind w:firstLine="560"/>
        <w:spacing w:line="520" w:lineRule="exact"/>
        <w:rPr>
          <w:rFonts w:ascii="宋体" w:hAnsi="宋体" w:cs="宋体"/>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32.1本项目为货物类采购项目的，所提供的产品需综合考虑节能环保、节水、循环再生、低碳、有机等因素；本项目为物业、合同能源管理等服务类采购项目的，应在服务中加强绿色低碳管理。</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ascii="宋体" w:hAnsi="宋体" w:cs="宋体"/>
          <w:sz w:val="24"/>
        </w:rPr>
      </w:r>
      <w:r/>
    </w:p>
    <w:p>
      <w:pPr>
        <w:pStyle w:val="703"/>
        <w:ind w:firstLine="560"/>
        <w:spacing w:line="520" w:lineRule="exact"/>
        <w:rPr>
          <w:rFonts w:ascii="宋体" w:hAnsi="宋体" w:cs="宋体"/>
          <w:sz w:val="24"/>
        </w:rPr>
      </w:pPr>
      <w:r>
        <w:rPr>
          <w:rFonts w:hint="eastAsia" w:ascii="宋体" w:hAnsi="宋体" w:cs="宋体"/>
          <w:sz w:val="24"/>
        </w:rPr>
        <w:t xml:space="preserve">32.3本项目中涉及涂料、胶黏剂、油墨、清洗剂等挥发性有机物产品的，要执行国家和江苏省VOCs含量限制标准，优先使用低挥发性原辅材料，使用低VOCs含量的涂料、胶黏剂等。</w:t>
      </w:r>
      <w:r>
        <w:rPr>
          <w:rFonts w:ascii="宋体" w:hAnsi="宋体" w:cs="宋体"/>
          <w:sz w:val="24"/>
        </w:rPr>
      </w:r>
      <w:r/>
    </w:p>
    <w:p>
      <w:pPr>
        <w:pStyle w:val="703"/>
        <w:ind w:firstLine="560"/>
        <w:spacing w:line="520" w:lineRule="exact"/>
        <w:rPr>
          <w:rFonts w:hint="eastAsia" w:ascii="宋体" w:hAnsi="宋体"/>
          <w:sz w:val="24"/>
        </w:rPr>
      </w:pPr>
      <w:r>
        <w:rPr>
          <w:rFonts w:hint="eastAsia" w:ascii="宋体" w:hAnsi="宋体"/>
          <w:sz w:val="24"/>
        </w:rPr>
        <w:t xml:space="preserve">33履约资金扶持政策</w:t>
      </w:r>
      <w:r>
        <w:rPr>
          <w:rFonts w:hint="eastAsia" w:ascii="宋体" w:hAnsi="宋体"/>
          <w:sz w:val="24"/>
        </w:rPr>
      </w:r>
      <w:r/>
    </w:p>
    <w:p>
      <w:pPr>
        <w:pStyle w:val="703"/>
        <w:ind w:firstLine="56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703"/>
        <w:ind w:firstLine="560"/>
        <w:spacing w:line="520" w:lineRule="exact"/>
        <w:rPr>
          <w:rFonts w:hint="eastAsia"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703"/>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703"/>
        <w:spacing w:line="520" w:lineRule="exact"/>
        <w:rPr>
          <w:rFonts w:ascii="宋体" w:hAnsi="宋体"/>
          <w:b/>
          <w:sz w:val="24"/>
        </w:rPr>
      </w:pPr>
      <w:r>
        <w:rPr>
          <w:rFonts w:hint="eastAsia" w:ascii="宋体" w:hAnsi="宋体"/>
          <w:b/>
          <w:sz w:val="24"/>
        </w:rPr>
        <w:t xml:space="preserve">33.</w:t>
      </w:r>
      <w:r>
        <w:rPr>
          <w:rFonts w:ascii="宋体" w:hAnsi="宋体"/>
          <w:b/>
          <w:sz w:val="24"/>
        </w:rPr>
        <w:t xml:space="preserve"> 根据《江苏省政府采购信用管理暂行办法》有关规定。供应商有下列情形之一的，属于失信行为，将其失信情形推送到公共信用信息系统。</w:t>
      </w:r>
      <w:r>
        <w:rPr>
          <w:rFonts w:ascii="宋体" w:hAnsi="宋体"/>
          <w:b/>
          <w:sz w:val="24"/>
        </w:rPr>
      </w:r>
      <w:r/>
    </w:p>
    <w:p>
      <w:pPr>
        <w:pStyle w:val="703"/>
        <w:ind w:firstLine="480"/>
        <w:spacing w:line="520" w:lineRule="exact"/>
        <w:rPr>
          <w:rFonts w:ascii="宋体" w:hAnsi="宋体"/>
          <w:sz w:val="24"/>
        </w:rPr>
      </w:pPr>
      <w:r>
        <w:rPr>
          <w:rFonts w:hint="eastAsia" w:ascii="宋体" w:hAnsi="宋体"/>
          <w:sz w:val="24"/>
        </w:rPr>
        <w:t xml:space="preserve">33.1</w:t>
      </w:r>
      <w:r>
        <w:rPr>
          <w:rFonts w:ascii="宋体" w:hAnsi="宋体"/>
          <w:sz w:val="24"/>
        </w:rPr>
        <w:t xml:space="preserve">投标、响应、开标、磋商、磋商和评标、评审环节</w:t>
      </w:r>
      <w:r>
        <w:rPr>
          <w:rFonts w:hint="eastAsia" w:ascii="宋体" w:hAnsi="宋体"/>
          <w:sz w:val="24"/>
        </w:rPr>
        <w:t xml:space="preserve">：</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33.1.1</w:t>
      </w:r>
      <w:r>
        <w:rPr>
          <w:rFonts w:ascii="宋体" w:hAnsi="宋体"/>
          <w:sz w:val="24"/>
        </w:rPr>
        <w:t xml:space="preserve">提供虚假证明材料谋取中标、成交；</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33.1.2</w:t>
      </w:r>
      <w:r>
        <w:rPr>
          <w:rFonts w:ascii="宋体" w:hAnsi="宋体"/>
          <w:sz w:val="24"/>
        </w:rPr>
        <w:t xml:space="preserve">采取不正当手段诋毁、排挤其他供应商；</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33.1.5</w:t>
      </w:r>
      <w:r>
        <w:rPr>
          <w:rFonts w:ascii="宋体" w:hAnsi="宋体"/>
          <w:sz w:val="24"/>
        </w:rPr>
        <w:t xml:space="preserve">在采购过程中与采购人进行协商磋商；</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33.2.5</w:t>
      </w:r>
      <w:r>
        <w:rPr>
          <w:rFonts w:ascii="宋体" w:hAnsi="宋体"/>
          <w:sz w:val="24"/>
        </w:rPr>
        <w:t xml:space="preserve">提供假冒伪劣产品；</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33.2.6</w:t>
      </w:r>
      <w:r>
        <w:rPr>
          <w:rFonts w:ascii="宋体" w:hAnsi="宋体"/>
          <w:sz w:val="24"/>
        </w:rPr>
        <w:t xml:space="preserve">拒绝履行合同义务。</w:t>
      </w:r>
      <w:r>
        <w:rPr>
          <w:rFonts w:ascii="宋体" w:hAnsi="宋体"/>
          <w:sz w:val="24"/>
        </w:rPr>
        <w:br w:type="textWrapping" w:clear="all"/>
      </w:r>
      <w:r>
        <w:rPr>
          <w:rFonts w:hint="eastAsia" w:ascii="宋体" w:hAnsi="宋体"/>
          <w:sz w:val="24"/>
        </w:rPr>
        <w:t xml:space="preserve">  </w:t>
      </w:r>
      <w:r>
        <w:rPr>
          <w:rFonts w:ascii="宋体" w:hAnsi="宋体"/>
          <w:sz w:val="24"/>
        </w:rPr>
        <w:t xml:space="preserve"> </w:t>
      </w:r>
      <w:r>
        <w:rPr>
          <w:rFonts w:hint="eastAsia" w:ascii="宋体" w:hAnsi="宋体"/>
          <w:sz w:val="24"/>
        </w:rPr>
        <w:t xml:space="preserve"> 33.3</w:t>
      </w:r>
      <w:r>
        <w:rPr>
          <w:rFonts w:ascii="宋体" w:hAnsi="宋体"/>
          <w:sz w:val="24"/>
        </w:rPr>
        <w:t xml:space="preserve">质疑投诉环节</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33.3.1</w:t>
      </w:r>
      <w:r>
        <w:rPr>
          <w:rFonts w:ascii="宋体" w:hAnsi="宋体"/>
          <w:sz w:val="24"/>
        </w:rPr>
        <w:t xml:space="preserve">在全国范围12个月内三次以上投诉查无实据；</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33.3.2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33.4</w:t>
      </w:r>
      <w:r>
        <w:rPr>
          <w:rFonts w:ascii="宋体" w:hAnsi="宋体"/>
          <w:sz w:val="24"/>
        </w:rPr>
        <w:t xml:space="preserve">监督检查环节</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33.4.1</w:t>
      </w:r>
      <w:r>
        <w:rPr>
          <w:rFonts w:ascii="宋体" w:hAnsi="宋体"/>
          <w:sz w:val="24"/>
        </w:rPr>
        <w:t xml:space="preserve">拒绝有关部门监督检查或者提供虚假情况。</w:t>
      </w:r>
      <w:r>
        <w:rPr>
          <w:rFonts w:hint="eastAsia"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.5.5不按规定或不及时变更供应商库中的有关信息的</w:t>
      </w:r>
      <w:r>
        <w:rPr>
          <w:rFonts w:hint="eastAsia" w:ascii="宋体" w:hAnsi="宋体"/>
          <w:sz w:val="24"/>
        </w:rPr>
        <w:t xml:space="preserve">；</w:t>
      </w:r>
      <w:r>
        <w:rPr>
          <w:rFonts w:hint="eastAsia"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703"/>
        <w:ind w:firstLine="480"/>
        <w:spacing w:line="520" w:lineRule="exact"/>
        <w:rPr>
          <w:rFonts w:ascii="宋体" w:hAnsi="宋体"/>
          <w:sz w:val="24"/>
        </w:rPr>
      </w:pPr>
      <w:r>
        <w:rPr>
          <w:rFonts w:hint="eastAsia" w:ascii="宋体" w:hAnsi="宋体"/>
          <w:sz w:val="24"/>
        </w:rPr>
        <w:t xml:space="preserve">33</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33</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703"/>
        <w:spacing w:line="520" w:lineRule="exact"/>
        <w:rPr>
          <w:rFonts w:hint="eastAsia" w:ascii="宋体" w:hAnsi="宋体"/>
          <w:b/>
          <w:sz w:val="24"/>
        </w:rPr>
      </w:pPr>
      <w:r>
        <w:rPr>
          <w:rFonts w:hint="eastAsia" w:ascii="宋体" w:hAnsi="宋体"/>
          <w:b/>
          <w:sz w:val="24"/>
        </w:rPr>
        <w:t xml:space="preserve">34.有下列情形之一的，视为供应商串通投标，其磋商文件无效：</w:t>
      </w:r>
      <w:r>
        <w:rPr>
          <w:rFonts w:hint="eastAsia" w:ascii="宋体" w:hAnsi="宋体"/>
          <w:b/>
          <w:sz w:val="24"/>
        </w:rPr>
      </w:r>
      <w:r/>
    </w:p>
    <w:p>
      <w:pPr>
        <w:pStyle w:val="703"/>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703"/>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.2</w:t>
      </w:r>
      <w:r>
        <w:rPr>
          <w:rFonts w:hint="eastAsia" w:ascii="宋体" w:hAnsi="宋体"/>
          <w:b/>
          <w:sz w:val="24"/>
        </w:rPr>
        <w:t xml:space="preserve">不同供应商委托同一单位或者个人办理磋商事宜；</w:t>
      </w:r>
      <w:r>
        <w:rPr>
          <w:rFonts w:hint="eastAsia" w:ascii="宋体" w:hAnsi="宋体"/>
          <w:b/>
          <w:sz w:val="24"/>
        </w:rPr>
      </w:r>
      <w:r/>
    </w:p>
    <w:p>
      <w:pPr>
        <w:pStyle w:val="703"/>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703"/>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703"/>
        <w:ind w:firstLine="482"/>
        <w:spacing w:line="520" w:lineRule="exact"/>
        <w:rPr>
          <w:rFonts w:hint="eastAsia" w:ascii="宋体" w:hAnsi="宋体"/>
          <w:b/>
          <w:sz w:val="24"/>
        </w:rPr>
      </w:pPr>
      <w:r>
        <w:rPr>
          <w:rFonts w:hint="eastAsia" w:ascii="宋体" w:hAnsi="宋体"/>
          <w:b/>
          <w:sz w:val="24"/>
        </w:rPr>
        <w:t xml:space="preserve">34</w:t>
      </w:r>
      <w:r>
        <w:rPr>
          <w:rFonts w:ascii="宋体" w:hAnsi="宋体"/>
          <w:b/>
          <w:sz w:val="24"/>
        </w:rPr>
        <w:t xml:space="preserve">.5</w:t>
      </w:r>
      <w:r>
        <w:rPr>
          <w:rFonts w:hint="eastAsia" w:ascii="宋体" w:hAnsi="宋体"/>
          <w:b/>
          <w:sz w:val="24"/>
        </w:rPr>
        <w:t xml:space="preserve">不同供应商的磋商响应文件相互混装。</w:t>
      </w:r>
      <w:r>
        <w:rPr>
          <w:rFonts w:hint="eastAsia" w:ascii="宋体" w:hAnsi="宋体"/>
          <w:b/>
          <w:sz w:val="24"/>
        </w:rPr>
      </w:r>
      <w:r/>
    </w:p>
    <w:p>
      <w:pPr>
        <w:pStyle w:val="703"/>
        <w:spacing w:line="520" w:lineRule="exact"/>
        <w:rPr>
          <w:rFonts w:hint="eastAsia" w:ascii="宋体" w:hAnsi="宋体"/>
          <w:b/>
          <w:sz w:val="24"/>
        </w:rPr>
      </w:pPr>
      <w:r>
        <w:rPr>
          <w:rFonts w:hint="eastAsia" w:ascii="宋体" w:hAnsi="宋体"/>
          <w:b/>
          <w:sz w:val="24"/>
        </w:rPr>
        <w:t xml:space="preserve">35.采购单位及中标供应商必须落实国家、省出台的助力企业的有关政策要求：</w:t>
      </w:r>
      <w:r>
        <w:rPr>
          <w:rFonts w:hint="eastAsia" w:ascii="宋体" w:hAnsi="宋体"/>
          <w:b/>
          <w:sz w:val="24"/>
        </w:rPr>
      </w:r>
      <w:r/>
    </w:p>
    <w:p>
      <w:pPr>
        <w:pStyle w:val="703"/>
        <w:ind w:firstLine="480"/>
        <w:spacing w:line="520" w:lineRule="exact"/>
        <w:rPr>
          <w:rFonts w:hint="eastAsia" w:ascii="宋体" w:hAnsi="宋体"/>
          <w:sz w:val="24"/>
        </w:rPr>
      </w:pPr>
      <w:r>
        <w:rPr>
          <w:rFonts w:hint="eastAsia" w:ascii="宋体" w:hAnsi="宋体"/>
          <w:sz w:val="24"/>
        </w:rPr>
        <w:t xml:space="preserve">35.1采购单位及中标供应商须在中标、成交通知书发出之日起15日内与供应商签订采购合同；</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35.2采购单位须自采购合同签订之日起1.5个工作日内，将采购合同在指定媒体上公告；</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35.3采购单位须在采购合同约定的时间内组织对供应商履约情况进行验收，并出具验收书；</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35.4采购单位须在货物和服务项目采购合同中设定预付款，并及时支付预付款；</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35.5采购单位须对满足合同约定支付条件的项目，自收到发票后15日内将资金支付到合同约定的供应商账户。</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r>
      <w:r/>
    </w:p>
    <w:p>
      <w:pPr>
        <w:pStyle w:val="705"/>
        <w:jc w:val="center"/>
        <w:spacing w:before="0" w:after="0" w:line="300" w:lineRule="auto"/>
        <w:rPr>
          <w:rFonts w:ascii="宋体" w:hAnsi="宋体" w:eastAsia="宋体"/>
          <w:bCs/>
          <w:sz w:val="28"/>
          <w:szCs w:val="28"/>
        </w:rPr>
      </w:pPr>
      <w:r/>
      <w:bookmarkStart w:id="21" w:name="_Toc109231704"/>
      <w:r>
        <w:rPr>
          <w:rFonts w:hint="eastAsia" w:ascii="宋体" w:hAnsi="宋体" w:eastAsia="宋体"/>
          <w:bCs/>
          <w:sz w:val="28"/>
          <w:szCs w:val="28"/>
        </w:rPr>
        <w:t xml:space="preserve">第三部分  评标标准</w:t>
      </w:r>
      <w:bookmarkEnd w:id="21"/>
      <w:r>
        <w:rPr>
          <w:rFonts w:ascii="宋体" w:hAnsi="宋体" w:eastAsia="宋体"/>
          <w:bCs/>
          <w:sz w:val="28"/>
          <w:szCs w:val="28"/>
        </w:rPr>
      </w:r>
      <w:r/>
    </w:p>
    <w:p>
      <w:pPr>
        <w:pStyle w:val="703"/>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二、磋商小组将依据下列评标标准进行评审，本评标标准的总分为</w:t>
      </w:r>
      <w:r>
        <w:rPr>
          <w:rFonts w:ascii="宋体" w:hAnsi="宋体"/>
          <w:sz w:val="24"/>
        </w:rPr>
        <w:t xml:space="preserve">100</w:t>
      </w:r>
      <w:r>
        <w:rPr>
          <w:rFonts w:hint="eastAsia" w:ascii="宋体" w:hAnsi="宋体"/>
          <w:sz w:val="24"/>
        </w:rPr>
        <w:t xml:space="preserve">分。按评审后得分由高到低顺序排列，得分相同的，按投标报价由低到高顺序排列，得分且投标报价相同的，按技术指标优劣顺序排列。</w:t>
      </w:r>
      <w:r>
        <w:rPr>
          <w:rFonts w:hint="eastAsia" w:ascii="宋体" w:hAnsi="宋体"/>
          <w:sz w:val="24"/>
        </w:rPr>
      </w:r>
      <w:r/>
    </w:p>
    <w:p>
      <w:pPr>
        <w:pStyle w:val="703"/>
        <w:ind w:firstLine="480"/>
        <w:jc w:val="left"/>
        <w:spacing w:line="480" w:lineRule="auto"/>
        <w:rPr>
          <w:rFonts w:hint="eastAsia" w:ascii="宋体" w:hAnsi="宋体"/>
          <w:b/>
          <w:sz w:val="24"/>
        </w:rPr>
      </w:pPr>
      <w:r>
        <w:rPr>
          <w:rFonts w:hint="eastAsia" w:ascii="宋体" w:hAnsi="宋体"/>
          <w:sz w:val="24"/>
        </w:rPr>
        <w:t xml:space="preserve">三、具体标准:</w:t>
      </w:r>
      <w:r>
        <w:rPr>
          <w:rFonts w:hint="eastAsia" w:ascii="宋体" w:hAnsi="宋体"/>
          <w:b/>
          <w:sz w:val="24"/>
        </w:rPr>
        <w:t xml:space="preserve"> </w:t>
      </w:r>
      <w:r>
        <w:rPr>
          <w:rFonts w:hint="eastAsia" w:ascii="宋体" w:hAnsi="宋体"/>
          <w:b/>
          <w:sz w:val="24"/>
        </w:rPr>
      </w:r>
      <w:r/>
    </w:p>
    <w:p>
      <w:pPr>
        <w:pStyle w:val="703"/>
        <w:ind w:firstLine="482"/>
        <w:jc w:val="left"/>
        <w:spacing w:line="480" w:lineRule="auto"/>
        <w:rPr>
          <w:rFonts w:ascii="宋体" w:hAnsi="宋体"/>
          <w:b/>
          <w:bCs/>
          <w:sz w:val="24"/>
        </w:rPr>
      </w:pPr>
      <w:r>
        <w:rPr>
          <w:rFonts w:hint="eastAsia" w:ascii="宋体" w:hAnsi="宋体"/>
          <w:b/>
          <w:bCs/>
          <w:sz w:val="24"/>
        </w:rPr>
        <w:t xml:space="preserve">（一）价格分（30分）</w:t>
      </w:r>
      <w:r>
        <w:rPr>
          <w:rFonts w:ascii="宋体" w:hAnsi="宋体"/>
          <w:b/>
          <w:bCs/>
          <w:sz w:val="24"/>
        </w:rPr>
      </w:r>
      <w:r/>
    </w:p>
    <w:p>
      <w:pPr>
        <w:pStyle w:val="703"/>
        <w:ind w:firstLine="480"/>
        <w:jc w:val="left"/>
        <w:spacing w:line="480" w:lineRule="auto"/>
        <w:rPr>
          <w:rFonts w:hint="eastAsia" w:ascii="宋体" w:hAnsi="宋体"/>
          <w:b/>
          <w:bCs/>
          <w:sz w:val="24"/>
        </w:rPr>
      </w:pPr>
      <w:r>
        <w:rPr>
          <w:rFonts w:hint="eastAsia" w:ascii="宋体" w:hAnsi="宋体"/>
          <w:bCs/>
          <w:sz w:val="24"/>
        </w:rPr>
        <w:t xml:space="preserve">价格分统一采用低价优先法计算，即满足磋商文件要求且磋商价格最低的磋商报价为评标基准价，其价格分为满分，其他磋商供应商的价格分统一按照下列公式计算（小数点保留两位）：</w:t>
      </w:r>
      <w:r>
        <w:rPr>
          <w:rFonts w:hint="eastAsia" w:ascii="宋体" w:hAnsi="宋体"/>
          <w:b/>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磋商报价得分＝（评标基准价/磋商报价）×30分</w:t>
      </w:r>
      <w:r>
        <w:rPr>
          <w:rFonts w:hint="eastAsia" w:ascii="宋体" w:hAnsi="宋体"/>
          <w:bCs/>
          <w:sz w:val="24"/>
        </w:rPr>
        <w:tab/>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注：报价得分精确到小数点后两位。</w:t>
      </w:r>
      <w:r>
        <w:rPr>
          <w:rFonts w:hint="eastAsia" w:ascii="宋体" w:hAnsi="宋体"/>
          <w:bCs/>
          <w:sz w:val="24"/>
        </w:rPr>
      </w:r>
      <w:r/>
    </w:p>
    <w:p>
      <w:pPr>
        <w:pStyle w:val="703"/>
        <w:ind w:firstLine="482"/>
        <w:spacing w:line="600" w:lineRule="exact"/>
        <w:rPr>
          <w:rFonts w:ascii="宋体" w:hAnsi="宋体"/>
          <w:b/>
          <w:sz w:val="24"/>
        </w:rPr>
      </w:pPr>
      <w:r>
        <w:rPr>
          <w:rFonts w:hint="eastAsia" w:ascii="宋体" w:hAnsi="宋体"/>
          <w:b/>
          <w:sz w:val="24"/>
        </w:rPr>
        <w:t xml:space="preserve">（三）技术部分（35分）</w:t>
      </w:r>
      <w:r>
        <w:rPr>
          <w:rFonts w:ascii="宋体" w:hAnsi="宋体"/>
          <w:b/>
          <w:sz w:val="24"/>
        </w:rPr>
      </w:r>
      <w:r/>
    </w:p>
    <w:p>
      <w:pPr>
        <w:pStyle w:val="703"/>
        <w:ind w:firstLine="480"/>
        <w:spacing w:line="520" w:lineRule="exact"/>
        <w:rPr>
          <w:rFonts w:hint="eastAsia" w:ascii="宋体" w:hAnsi="宋体"/>
          <w:sz w:val="24"/>
        </w:rPr>
      </w:pPr>
      <w:r>
        <w:rPr>
          <w:rFonts w:hint="eastAsia" w:ascii="宋体" w:hAnsi="宋体"/>
          <w:sz w:val="24"/>
        </w:rPr>
        <w:t xml:space="preserve">1、供应商所投产品的技术参数能够完全响应磋商文件要求的得20分，标“★”部分为重要参数，每有一项负偏离扣 2分；其他参数每有一项负偏离扣1分，扣完为止。</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2、关键参数：15分</w:t>
      </w:r>
      <w:r>
        <w:rPr>
          <w:rFonts w:hint="eastAsia" w:ascii="宋体" w:hAnsi="宋体"/>
          <w:sz w:val="24"/>
        </w:rPr>
      </w:r>
      <w:r/>
    </w:p>
    <w:p>
      <w:pPr>
        <w:pStyle w:val="703"/>
        <w:ind w:firstLine="480"/>
        <w:spacing w:line="520" w:lineRule="exact"/>
        <w:rPr>
          <w:rFonts w:hint="eastAsia" w:ascii="宋体" w:hAnsi="宋体"/>
          <w:b/>
          <w:bCs/>
          <w:color w:val="000000"/>
          <w:sz w:val="24"/>
        </w:rPr>
      </w:pPr>
      <w:r>
        <w:rPr>
          <w:rFonts w:hint="eastAsia" w:ascii="宋体" w:hAnsi="宋体"/>
          <w:sz w:val="24"/>
        </w:rPr>
        <w:t xml:space="preserve">2.1、智能交互多媒体、教学一体机的An</w:t>
      </w:r>
      <w:r>
        <w:rPr>
          <w:rFonts w:hint="eastAsia" w:ascii="宋体" w:hAnsi="宋体"/>
          <w:color w:val="000000"/>
          <w:sz w:val="24"/>
        </w:rPr>
        <w:t xml:space="preserve">droid 系统版本＞13.0，得3分。</w:t>
      </w:r>
      <w:r>
        <w:rPr>
          <w:rFonts w:hint="eastAsia" w:ascii="宋体" w:hAnsi="宋体"/>
          <w:b/>
          <w:bCs/>
          <w:color w:val="000000"/>
          <w:sz w:val="24"/>
        </w:rPr>
        <w:t xml:space="preserve">（需提供国家认可的检测机构出具的检测报告并加盖供应商电子签章）</w:t>
      </w:r>
      <w:r>
        <w:rPr>
          <w:rFonts w:hint="eastAsia" w:ascii="宋体" w:hAnsi="宋体"/>
          <w:b/>
          <w:bCs/>
          <w:color w:val="000000"/>
          <w:sz w:val="24"/>
        </w:rPr>
      </w:r>
      <w:r/>
    </w:p>
    <w:p>
      <w:pPr>
        <w:pStyle w:val="703"/>
        <w:ind w:firstLine="480"/>
        <w:spacing w:line="520" w:lineRule="exact"/>
        <w:rPr>
          <w:rFonts w:hint="eastAsia" w:ascii="宋体" w:hAnsi="宋体"/>
          <w:b/>
          <w:bCs/>
          <w:sz w:val="24"/>
        </w:rPr>
      </w:pPr>
      <w:r>
        <w:rPr>
          <w:rFonts w:hint="eastAsia" w:ascii="宋体" w:hAnsi="宋体"/>
          <w:color w:val="000000"/>
          <w:sz w:val="24"/>
        </w:rPr>
        <w:t xml:space="preserve">2.2、智能交互多媒体、教学一体机的摄像头有效像素＞1900W，</w:t>
      </w:r>
      <w:r>
        <w:rPr>
          <w:rFonts w:hint="eastAsia" w:ascii="宋体" w:hAnsi="宋体"/>
          <w:sz w:val="24"/>
        </w:rPr>
        <w:t xml:space="preserve">得3分。</w:t>
      </w:r>
      <w:r>
        <w:rPr>
          <w:rFonts w:hint="eastAsia" w:ascii="宋体" w:hAnsi="宋体"/>
          <w:b/>
          <w:bCs/>
          <w:sz w:val="24"/>
        </w:rPr>
        <w:t xml:space="preserve">（需提供国家认可的检测机构出具的检测报告并加盖供应商电子签章）</w:t>
      </w:r>
      <w:r>
        <w:rPr>
          <w:rFonts w:hint="eastAsia" w:ascii="宋体" w:hAnsi="宋体"/>
          <w:b/>
          <w:bCs/>
          <w:sz w:val="24"/>
        </w:rPr>
      </w:r>
      <w:r/>
    </w:p>
    <w:p>
      <w:pPr>
        <w:pStyle w:val="703"/>
        <w:ind w:firstLine="480"/>
        <w:spacing w:line="520" w:lineRule="exact"/>
        <w:rPr>
          <w:rFonts w:hint="eastAsia" w:ascii="宋体" w:hAnsi="宋体"/>
          <w:b/>
          <w:bCs/>
          <w:sz w:val="24"/>
        </w:rPr>
      </w:pPr>
      <w:r>
        <w:rPr>
          <w:rFonts w:hint="eastAsia" w:ascii="宋体" w:hAnsi="宋体"/>
          <w:sz w:val="24"/>
        </w:rPr>
        <w:t xml:space="preserve">2.3、智能交互多媒体、教学一体机内置WiFi6无线网卡，可实现Wi-Fi无线上网连接、AP无线热点发射，支持无线设备同时连接数量≥32个，满足得3分。</w:t>
      </w:r>
      <w:r>
        <w:rPr>
          <w:rFonts w:hint="eastAsia" w:ascii="宋体" w:hAnsi="宋体"/>
          <w:b/>
          <w:bCs/>
          <w:sz w:val="24"/>
        </w:rPr>
        <w:t xml:space="preserve">（需提供国家认可的检测机构出具的检测报告并加盖供应商电子签章）</w:t>
      </w:r>
      <w:r>
        <w:rPr>
          <w:rFonts w:hint="eastAsia" w:ascii="宋体" w:hAnsi="宋体"/>
          <w:b/>
          <w:bCs/>
          <w:sz w:val="24"/>
        </w:rPr>
      </w:r>
      <w:r/>
    </w:p>
    <w:p>
      <w:pPr>
        <w:pStyle w:val="703"/>
        <w:ind w:firstLine="480"/>
        <w:spacing w:line="520" w:lineRule="exact"/>
        <w:rPr>
          <w:rFonts w:hint="eastAsia" w:ascii="宋体" w:hAnsi="宋体"/>
          <w:sz w:val="24"/>
        </w:rPr>
      </w:pPr>
      <w:r>
        <w:rPr>
          <w:rFonts w:hint="eastAsia" w:ascii="宋体" w:hAnsi="宋体"/>
          <w:sz w:val="24"/>
        </w:rPr>
        <w:t xml:space="preserve">2.4、智能交互多媒体、教学一体机的具备前置一键还原按键，并有配有中文标识，满足得2分。</w:t>
      </w:r>
      <w:r>
        <w:rPr>
          <w:rFonts w:hint="eastAsia" w:ascii="宋体" w:hAnsi="宋体"/>
          <w:b/>
          <w:bCs/>
          <w:sz w:val="24"/>
        </w:rPr>
        <w:t xml:space="preserve">（需提供国家认可的检测机构出具的检测报告并加盖供应商电子签章）</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2.5、智能交互多媒体、教学一体机的具有悬浮菜单，两指可快速移动悬浮菜单至按压位置，悬浮菜单可进行自定义分组，可添加 AI 互动软件等不少于 30 个应用，满足得3分。</w:t>
      </w:r>
      <w:r>
        <w:rPr>
          <w:rFonts w:hint="eastAsia" w:ascii="宋体" w:hAnsi="宋体"/>
          <w:b/>
          <w:bCs/>
          <w:sz w:val="24"/>
        </w:rPr>
        <w:t xml:space="preserve">（需提供国家认可的检测机构出具的检测报告并加盖供应商电子签章）</w:t>
      </w:r>
      <w:r>
        <w:rPr>
          <w:rFonts w:hint="eastAsia" w:ascii="宋体" w:hAnsi="宋体"/>
          <w:sz w:val="24"/>
        </w:rPr>
      </w:r>
      <w:r/>
    </w:p>
    <w:p>
      <w:pPr>
        <w:pStyle w:val="703"/>
        <w:ind w:firstLine="482"/>
        <w:spacing w:line="520" w:lineRule="exact"/>
        <w:rPr>
          <w:rFonts w:hint="eastAsia" w:ascii="宋体" w:hAnsi="宋体"/>
          <w:b/>
          <w:bCs/>
          <w:sz w:val="24"/>
        </w:rPr>
      </w:pPr>
      <w:r>
        <w:rPr>
          <w:rFonts w:hint="eastAsia" w:ascii="宋体" w:hAnsi="宋体"/>
          <w:b/>
          <w:bCs/>
          <w:sz w:val="24"/>
        </w:rPr>
        <w:t xml:space="preserve">(四)方案部分（6 分） </w:t>
      </w:r>
      <w:r>
        <w:rPr>
          <w:rFonts w:hint="eastAsia" w:ascii="宋体" w:hAnsi="宋体"/>
          <w:b/>
          <w:bCs/>
          <w:sz w:val="24"/>
        </w:rPr>
      </w:r>
      <w:r/>
    </w:p>
    <w:p>
      <w:pPr>
        <w:pStyle w:val="703"/>
        <w:ind w:firstLine="482"/>
        <w:spacing w:line="520" w:lineRule="exact"/>
        <w:rPr>
          <w:rFonts w:hint="eastAsia" w:ascii="宋体" w:hAnsi="宋体"/>
          <w:b/>
          <w:bCs/>
          <w:sz w:val="24"/>
        </w:rPr>
      </w:pPr>
      <w:r>
        <w:rPr>
          <w:rFonts w:hint="eastAsia" w:ascii="宋体" w:hAnsi="宋体"/>
          <w:b/>
          <w:bCs/>
          <w:sz w:val="24"/>
        </w:rPr>
        <w:t xml:space="preserve">方案应具备下列要求，如无重大偏差，每项评分应不少于该项目分值的 70%，不提供分项方案的或者经三分之二评审小组认定分项方案存在重大偏差的该分项不得分。 </w:t>
      </w:r>
      <w:r>
        <w:rPr>
          <w:rFonts w:hint="eastAsia" w:ascii="宋体" w:hAnsi="宋体"/>
          <w:b/>
          <w:bCs/>
          <w:sz w:val="24"/>
        </w:rPr>
      </w:r>
      <w:r/>
    </w:p>
    <w:p>
      <w:pPr>
        <w:pStyle w:val="703"/>
        <w:ind w:firstLine="480"/>
        <w:spacing w:line="520" w:lineRule="exact"/>
        <w:rPr>
          <w:rFonts w:hint="eastAsia" w:ascii="宋体" w:hAnsi="宋体"/>
          <w:sz w:val="24"/>
        </w:rPr>
      </w:pPr>
      <w:r>
        <w:rPr>
          <w:rFonts w:hint="eastAsia" w:ascii="宋体" w:hAnsi="宋体"/>
          <w:sz w:val="24"/>
        </w:rPr>
        <w:t xml:space="preserve">（1）评委根据供应商对本项目提供的施工方案以及质量保证措施的合理性、可行性进行综合评审。（3 分）</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（2）评委根据供应商对本项目提供的培训方案合理性、可行性进行综合评审。（3 分）</w:t>
      </w:r>
      <w:r>
        <w:rPr>
          <w:rFonts w:hint="eastAsia" w:ascii="宋体" w:hAnsi="宋体"/>
          <w:sz w:val="24"/>
        </w:rPr>
      </w:r>
      <w:r/>
    </w:p>
    <w:p>
      <w:pPr>
        <w:pStyle w:val="703"/>
        <w:ind w:firstLine="482"/>
        <w:spacing w:line="520" w:lineRule="exact"/>
        <w:rPr>
          <w:rFonts w:hint="eastAsia" w:ascii="宋体" w:hAnsi="宋体"/>
          <w:b/>
          <w:bCs/>
          <w:sz w:val="24"/>
        </w:rPr>
      </w:pPr>
      <w:r>
        <w:rPr>
          <w:rFonts w:hint="eastAsia" w:ascii="宋体" w:hAnsi="宋体"/>
          <w:b/>
          <w:bCs/>
          <w:sz w:val="24"/>
        </w:rPr>
        <w:t xml:space="preserve">（五）商务部分（25分） </w:t>
      </w:r>
      <w:r>
        <w:rPr>
          <w:rFonts w:hint="eastAsia" w:ascii="宋体" w:hAnsi="宋体"/>
          <w:b/>
          <w:bCs/>
          <w:sz w:val="24"/>
        </w:rPr>
      </w:r>
      <w:r/>
    </w:p>
    <w:p>
      <w:pPr>
        <w:pStyle w:val="703"/>
        <w:ind w:firstLine="480"/>
        <w:spacing w:line="520" w:lineRule="exact"/>
        <w:rPr>
          <w:rFonts w:hint="eastAsia" w:ascii="宋体" w:hAnsi="宋体"/>
          <w:sz w:val="24"/>
        </w:rPr>
      </w:pPr>
      <w:r>
        <w:rPr>
          <w:rFonts w:hint="eastAsia" w:ascii="宋体" w:hAnsi="宋体"/>
          <w:sz w:val="24"/>
        </w:rPr>
        <w:t xml:space="preserve">（1）供应商所投86寸智能交互多媒体、教学一体机具有CMMM（智能制造能力成熟度模型）三级及以上认证证书的得2分。（</w:t>
      </w:r>
      <w:r>
        <w:rPr>
          <w:rFonts w:hint="eastAsia" w:ascii="宋体" w:hAnsi="宋体"/>
          <w:b/>
          <w:bCs/>
          <w:sz w:val="24"/>
        </w:rPr>
        <w:t xml:space="preserve">提供证书扫描件加盖供应商电子签章</w:t>
      </w:r>
      <w:r>
        <w:rPr>
          <w:rFonts w:hint="eastAsia" w:ascii="宋体" w:hAnsi="宋体"/>
          <w:sz w:val="24"/>
        </w:rPr>
        <w:t xml:space="preserve">）</w:t>
      </w:r>
      <w:r>
        <w:rPr>
          <w:rFonts w:hint="eastAsia" w:ascii="宋体" w:hAnsi="宋体"/>
          <w:sz w:val="24"/>
        </w:rPr>
      </w:r>
      <w:r/>
    </w:p>
    <w:p>
      <w:pPr>
        <w:pStyle w:val="703"/>
        <w:ind w:firstLine="480"/>
        <w:spacing w:line="520" w:lineRule="exact"/>
        <w:rPr>
          <w:rFonts w:hint="eastAsia" w:ascii="宋体" w:hAnsi="宋体"/>
          <w:b/>
          <w:bCs/>
          <w:sz w:val="24"/>
        </w:rPr>
      </w:pPr>
      <w:r>
        <w:rPr>
          <w:rFonts w:hint="eastAsia" w:ascii="宋体" w:hAnsi="宋体"/>
          <w:sz w:val="24"/>
        </w:rPr>
        <w:t xml:space="preserve">（2）供应商所投86寸智能交互多媒体、教学一体机的、展台同时具有MTBF≥10万小时证书得2分，缺少一个不得分。</w:t>
      </w:r>
      <w:r>
        <w:rPr>
          <w:rFonts w:hint="eastAsia" w:ascii="宋体" w:hAnsi="宋体"/>
          <w:b/>
          <w:bCs/>
          <w:sz w:val="24"/>
        </w:rPr>
        <w:t xml:space="preserve">（提供证书扫描件加盖供应商电子签章）</w:t>
      </w:r>
      <w:r>
        <w:rPr>
          <w:rFonts w:hint="eastAsia" w:ascii="宋体" w:hAnsi="宋体"/>
          <w:b/>
          <w:bCs/>
          <w:sz w:val="24"/>
        </w:rPr>
      </w:r>
      <w:r/>
    </w:p>
    <w:p>
      <w:pPr>
        <w:pStyle w:val="703"/>
        <w:ind w:firstLine="480"/>
        <w:spacing w:line="520" w:lineRule="exact"/>
        <w:rPr>
          <w:rFonts w:ascii="宋体" w:hAnsi="宋体"/>
          <w:b/>
          <w:bCs/>
          <w:sz w:val="24"/>
        </w:rPr>
      </w:pPr>
      <w:r>
        <w:rPr>
          <w:rFonts w:hint="eastAsia" w:ascii="宋体" w:hAnsi="宋体"/>
          <w:sz w:val="24"/>
        </w:rPr>
        <w:t xml:space="preserve">（3）供应商所投展台具有环境标志（Ⅱ型）产品认证证书得 2 分。</w:t>
      </w:r>
      <w:r>
        <w:rPr>
          <w:rFonts w:hint="eastAsia" w:ascii="宋体" w:hAnsi="宋体"/>
          <w:b/>
          <w:bCs/>
          <w:sz w:val="24"/>
        </w:rPr>
        <w:t xml:space="preserve">（提供证书扫描件加盖供应商电子签章）</w:t>
      </w:r>
      <w:r>
        <w:rPr>
          <w:rFonts w:ascii="宋体" w:hAnsi="宋体"/>
          <w:b/>
          <w:bCs/>
          <w:sz w:val="24"/>
        </w:rPr>
      </w:r>
      <w:r/>
    </w:p>
    <w:p>
      <w:pPr>
        <w:pStyle w:val="703"/>
        <w:ind w:firstLine="480"/>
        <w:spacing w:line="520" w:lineRule="exact"/>
        <w:rPr>
          <w:rFonts w:ascii="宋体" w:hAnsi="宋体"/>
          <w:b/>
          <w:bCs/>
          <w:sz w:val="24"/>
        </w:rPr>
      </w:pPr>
      <w:r>
        <w:rPr>
          <w:rFonts w:hint="eastAsia" w:ascii="宋体" w:hAnsi="宋体"/>
          <w:sz w:val="24"/>
        </w:rPr>
        <w:t xml:space="preserve">（4）供应商所投集控云平台具备信息安全等级保护3级证明得2分。</w:t>
      </w:r>
      <w:r>
        <w:rPr>
          <w:rFonts w:hint="eastAsia" w:ascii="宋体" w:hAnsi="宋体"/>
          <w:b/>
          <w:bCs/>
          <w:sz w:val="24"/>
        </w:rPr>
        <w:t xml:space="preserve">（提供证书扫描件加盖供应商电子签章）</w:t>
      </w:r>
      <w:r>
        <w:rPr>
          <w:rFonts w:ascii="宋体" w:hAnsi="宋体"/>
          <w:b/>
          <w:bCs/>
          <w:sz w:val="24"/>
        </w:rPr>
      </w:r>
      <w:r/>
    </w:p>
    <w:p>
      <w:pPr>
        <w:pStyle w:val="703"/>
        <w:ind w:firstLine="480"/>
        <w:spacing w:line="520" w:lineRule="exact"/>
        <w:rPr>
          <w:rFonts w:hint="eastAsia" w:ascii="宋体" w:hAnsi="宋体"/>
          <w:sz w:val="24"/>
        </w:rPr>
      </w:pPr>
      <w:r>
        <w:rPr>
          <w:rFonts w:hint="eastAsia" w:ascii="宋体" w:hAnsi="宋体"/>
          <w:sz w:val="24"/>
        </w:rPr>
        <w:t xml:space="preserve">（5）为确保教育数据托付管理能力、存储能力及信息安全能力，供应商所投86寸智能交互多媒体、教学一体机制造商通过GB/T 37988-2019《信息安全技术数据安全能力成熟度模型》DSMM认定的得2分。</w:t>
      </w:r>
      <w:r>
        <w:rPr>
          <w:rFonts w:hint="eastAsia" w:ascii="宋体" w:hAnsi="宋体"/>
          <w:b/>
          <w:bCs/>
          <w:sz w:val="24"/>
        </w:rPr>
        <w:t xml:space="preserve">（提供证书扫描件加盖供应商电子签章）</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6）供应商具有有效期内的CCRC信息安全服务资质（信息系统安全集成）认证证书、CCRC信息安全服务资质（安全运维）认证证书和CCRC信息安全服务资质（软件安全开发）认证证书，评估等级为一级的，每提供一个得2分，评估等级为二级的，每提供一个得1分，没有的不得分，本项最高得6分。</w:t>
      </w:r>
      <w:r>
        <w:rPr>
          <w:rFonts w:hint="eastAsia" w:ascii="宋体" w:hAnsi="宋体"/>
          <w:b/>
          <w:bCs/>
          <w:sz w:val="24"/>
        </w:rPr>
        <w:t xml:space="preserve">（须提供证书扫描件及国家认证认可监督管理委员会官网查询截图，并加盖供应商电子签章）</w:t>
      </w:r>
      <w:r>
        <w:rPr>
          <w:rFonts w:hint="eastAsia" w:ascii="宋体" w:hAnsi="宋体"/>
          <w:sz w:val="24"/>
        </w:rPr>
      </w:r>
      <w:r/>
    </w:p>
    <w:p>
      <w:pPr>
        <w:pStyle w:val="703"/>
        <w:ind w:firstLine="480"/>
        <w:spacing w:line="520" w:lineRule="exact"/>
        <w:rPr>
          <w:rFonts w:hint="eastAsia" w:ascii="宋体" w:hAnsi="宋体"/>
          <w:b/>
          <w:bCs/>
          <w:sz w:val="24"/>
        </w:rPr>
      </w:pPr>
      <w:r>
        <w:rPr>
          <w:rFonts w:hint="eastAsia" w:ascii="宋体" w:hAnsi="宋体"/>
          <w:sz w:val="24"/>
        </w:rPr>
        <w:t xml:space="preserve">（7）供应商拟投入的项目负责人具有高级系统架构设计师证书、注册信息安全专业人员（CISP)证书、高级系统规划与管理师证书、CISAW信息安全保障人员认证证书，每提供 1 个得 1 分，最高得4分，不提供不得分。</w:t>
      </w:r>
      <w:r>
        <w:rPr>
          <w:rFonts w:hint="eastAsia" w:ascii="宋体" w:hAnsi="宋体"/>
          <w:b/>
          <w:bCs/>
          <w:sz w:val="24"/>
        </w:rPr>
        <w:t xml:space="preserve">（提供相关证书原件扫描件，提供自开标之日前 6 个月任意一个月投标人为其缴纳的养老保险证明扫描件并加盖供应商电子签章）。</w:t>
      </w:r>
      <w:r>
        <w:rPr>
          <w:rFonts w:hint="eastAsia" w:ascii="宋体" w:hAnsi="宋体"/>
          <w:b/>
          <w:bCs/>
          <w:sz w:val="24"/>
        </w:rPr>
      </w:r>
      <w:r/>
    </w:p>
    <w:p>
      <w:pPr>
        <w:pStyle w:val="703"/>
        <w:ind w:firstLine="480"/>
        <w:spacing w:line="520" w:lineRule="exact"/>
        <w:rPr>
          <w:rFonts w:hint="eastAsia" w:ascii="宋体" w:hAnsi="宋体"/>
          <w:b/>
          <w:bCs/>
          <w:sz w:val="24"/>
        </w:rPr>
      </w:pPr>
      <w:r>
        <w:rPr>
          <w:rFonts w:hint="eastAsia" w:ascii="宋体" w:hAnsi="宋体"/>
          <w:sz w:val="24"/>
        </w:rPr>
        <w:t xml:space="preserve">（8）供应商拟投入的技术负责人具有设备安装质量员证书、教育技术工程师证书、高级网络规划设计师证书、高级计算机程序设计员、教育系统网络安全保障专业人员证书（ESCP）每提供1个得 1 分，最高得 5分，不提供不得分。</w:t>
      </w:r>
      <w:r>
        <w:rPr>
          <w:rFonts w:hint="eastAsia" w:ascii="宋体" w:hAnsi="宋体"/>
          <w:b/>
          <w:bCs/>
          <w:sz w:val="24"/>
        </w:rPr>
        <w:t xml:space="preserve">（提供相关证书原件扫描件，提供自开标之日前 6 个月任意一个月投标人为其缴纳的养老保险证明扫描件并加盖供应商电子签章）。</w:t>
      </w:r>
      <w:r>
        <w:rPr>
          <w:rFonts w:hint="eastAsia" w:ascii="宋体" w:hAnsi="宋体"/>
          <w:b/>
          <w:bCs/>
          <w:sz w:val="24"/>
        </w:rPr>
      </w:r>
      <w:r/>
    </w:p>
    <w:p>
      <w:pPr>
        <w:pStyle w:val="703"/>
        <w:ind w:firstLine="482"/>
        <w:spacing w:line="520" w:lineRule="exact"/>
        <w:rPr>
          <w:rFonts w:hint="eastAsia" w:ascii="宋体" w:hAnsi="宋体"/>
          <w:b/>
          <w:bCs/>
          <w:sz w:val="24"/>
        </w:rPr>
      </w:pPr>
      <w:r>
        <w:rPr>
          <w:rFonts w:hint="eastAsia" w:ascii="宋体" w:hAnsi="宋体"/>
          <w:b/>
          <w:bCs/>
          <w:sz w:val="24"/>
        </w:rPr>
        <w:t xml:space="preserve">（六）售后服务（4 分）</w:t>
      </w:r>
      <w:r>
        <w:rPr>
          <w:rFonts w:hint="eastAsia" w:ascii="宋体" w:hAnsi="宋体"/>
          <w:b/>
          <w:bCs/>
          <w:sz w:val="24"/>
        </w:rPr>
      </w:r>
      <w:r/>
    </w:p>
    <w:p>
      <w:pPr>
        <w:pStyle w:val="703"/>
        <w:ind w:firstLine="480"/>
        <w:spacing w:line="520" w:lineRule="exact"/>
        <w:rPr>
          <w:rFonts w:hint="eastAsia" w:ascii="宋体" w:hAnsi="宋体"/>
          <w:b/>
          <w:bCs/>
          <w:sz w:val="24"/>
        </w:rPr>
      </w:pPr>
      <w:r>
        <w:rPr>
          <w:rFonts w:hint="eastAsia" w:ascii="宋体" w:hAnsi="宋体"/>
          <w:sz w:val="24"/>
        </w:rPr>
        <w:t xml:space="preserve">（1）供应商承诺发生故障立即电话响应，接到报修后 2 小时内到达现场进行维修；12小时内解决不了，提供同款备用机的得 2 分。</w:t>
      </w:r>
      <w:r>
        <w:rPr>
          <w:rFonts w:hint="eastAsia" w:ascii="宋体" w:hAnsi="宋体"/>
          <w:b/>
          <w:bCs/>
          <w:sz w:val="24"/>
        </w:rPr>
        <w:t xml:space="preserve">（需提供承诺书原件扫描件加盖供应商电子签章）</w:t>
      </w:r>
      <w:r>
        <w:rPr>
          <w:rFonts w:hint="eastAsia" w:ascii="宋体" w:hAnsi="宋体"/>
          <w:b/>
          <w:bCs/>
          <w:sz w:val="24"/>
        </w:rPr>
      </w:r>
      <w:r/>
    </w:p>
    <w:p>
      <w:pPr>
        <w:pStyle w:val="703"/>
        <w:ind w:firstLine="480"/>
        <w:spacing w:line="520" w:lineRule="exact"/>
        <w:rPr>
          <w:rFonts w:hint="eastAsia" w:ascii="宋体" w:hAnsi="宋体"/>
          <w:b/>
          <w:bCs/>
          <w:sz w:val="24"/>
        </w:rPr>
      </w:pPr>
      <w:r>
        <w:rPr>
          <w:rFonts w:hint="eastAsia" w:ascii="宋体" w:hAnsi="宋体"/>
          <w:sz w:val="24"/>
        </w:rPr>
        <w:t xml:space="preserve">（2）供应商承诺在三年免费质保的基础上每增加1年加1分，最多得2分。</w:t>
      </w:r>
      <w:r>
        <w:rPr>
          <w:rFonts w:hint="eastAsia" w:ascii="宋体" w:hAnsi="宋体"/>
          <w:b/>
          <w:bCs/>
          <w:sz w:val="24"/>
        </w:rPr>
        <w:t xml:space="preserve">（需提供承诺书原件扫描件加盖供应商电子签章） </w:t>
      </w:r>
      <w:r>
        <w:rPr>
          <w:rFonts w:hint="eastAsia" w:ascii="宋体" w:hAnsi="宋体"/>
          <w:b/>
          <w:bCs/>
          <w:sz w:val="24"/>
        </w:rPr>
      </w:r>
      <w:r/>
    </w:p>
    <w:p>
      <w:pPr>
        <w:pStyle w:val="703"/>
        <w:ind w:firstLine="482"/>
        <w:spacing w:line="520" w:lineRule="exact"/>
        <w:rPr>
          <w:rFonts w:hint="eastAsia" w:ascii="宋体" w:hAnsi="宋体"/>
          <w:b/>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rPr>
          <w:rFonts w:hint="eastAsia" w:ascii="宋体" w:hAnsi="宋体"/>
          <w:b/>
          <w:sz w:val="24"/>
        </w:rPr>
      </w:r>
      <w:r/>
    </w:p>
    <w:p>
      <w:pPr>
        <w:pStyle w:val="703"/>
        <w:ind w:firstLine="723"/>
        <w:spacing w:line="520" w:lineRule="exact"/>
        <w:rPr>
          <w:rFonts w:hint="eastAsia" w:ascii="宋体" w:hAnsi="宋体"/>
          <w:b/>
          <w:sz w:val="24"/>
        </w:rPr>
      </w:pPr>
      <w:r>
        <w:rPr>
          <w:rFonts w:hint="eastAsia" w:ascii="宋体" w:hAnsi="宋体"/>
          <w:b/>
          <w:sz w:val="24"/>
        </w:rPr>
        <w:t xml:space="preserve">2.综合评分中主观评审分值须各专家独立打分，严禁协商评分。个别专家计分认定评分畸高、畸低的（最高分和最低分相差</w:t>
      </w:r>
      <w:r>
        <w:rPr>
          <w:rFonts w:ascii="宋体" w:hAnsi="宋体"/>
          <w:b/>
          <w:sz w:val="24"/>
        </w:rPr>
        <w:t xml:space="preserve">30%</w:t>
      </w:r>
      <w:r>
        <w:rPr>
          <w:rFonts w:hint="eastAsia" w:ascii="宋体" w:hAnsi="宋体"/>
          <w:b/>
          <w:sz w:val="24"/>
        </w:rPr>
        <w:t xml:space="preserve">及以上的），该专家须作出书面说明。</w:t>
      </w:r>
      <w:r>
        <w:rPr>
          <w:rFonts w:hint="eastAsia" w:ascii="宋体" w:hAnsi="宋体"/>
          <w:b/>
          <w:sz w:val="24"/>
        </w:rPr>
      </w:r>
      <w:r/>
    </w:p>
    <w:p>
      <w:pPr>
        <w:pStyle w:val="703"/>
        <w:ind w:firstLine="723"/>
        <w:spacing w:line="520" w:lineRule="exact"/>
        <w:rPr>
          <w:rFonts w:hint="eastAsia" w:ascii="宋体" w:hAnsi="宋体"/>
          <w:b/>
          <w:sz w:val="24"/>
        </w:rPr>
      </w:pPr>
      <w:r>
        <w:rPr>
          <w:rFonts w:hint="eastAsia" w:ascii="宋体" w:hAnsi="宋体"/>
          <w:b/>
          <w:sz w:val="24"/>
        </w:rPr>
      </w:r>
      <w:r/>
    </w:p>
    <w:p>
      <w:pPr>
        <w:pStyle w:val="705"/>
        <w:ind w:firstLine="562"/>
        <w:jc w:val="left"/>
        <w:spacing w:before="0" w:after="0" w:line="300" w:lineRule="auto"/>
        <w:rPr>
          <w:rFonts w:hint="eastAsia" w:ascii="宋体" w:hAnsi="宋体" w:cs="Arial Unicode MS"/>
          <w:sz w:val="24"/>
        </w:rPr>
      </w:pPr>
      <w:r/>
      <w:bookmarkStart w:id="22" w:name="_Toc62225061"/>
      <w:r>
        <w:rPr>
          <w:rFonts w:ascii="宋体" w:hAnsi="宋体" w:eastAsia="宋体"/>
          <w:bCs/>
          <w:sz w:val="28"/>
          <w:szCs w:val="28"/>
        </w:rPr>
        <w:br w:type="page" w:clear="all"/>
      </w:r>
      <w:bookmarkStart w:id="23" w:name="_Toc109231705"/>
      <w:r>
        <w:rPr>
          <w:rFonts w:hint="eastAsia" w:ascii="宋体" w:hAnsi="宋体" w:cs="Arial Unicode MS"/>
          <w:sz w:val="24"/>
        </w:rPr>
        <w:t xml:space="preserve">注：</w:t>
      </w:r>
      <w:r>
        <w:rPr>
          <w:rFonts w:ascii="宋体" w:hAnsi="宋体" w:cs="Arial Unicode MS"/>
          <w:sz w:val="24"/>
        </w:rPr>
        <w:t xml:space="preserve">甲</w:t>
      </w:r>
      <w:r>
        <w:rPr>
          <w:rFonts w:hint="eastAsia" w:ascii="宋体" w:hAnsi="宋体" w:cs="Arial Unicode MS"/>
          <w:sz w:val="24"/>
        </w:rPr>
        <w:t xml:space="preserve">、乙双方通过苏采云政府采购一体化平台签订电子合同，并加盖电子签章，网址：http://jszfcg.jscz.gov.cn/jszc/login。</w:t>
      </w:r>
      <w:r>
        <w:rPr>
          <w:rFonts w:hint="eastAsia" w:ascii="宋体" w:hAnsi="宋体" w:cs="Arial Unicode MS"/>
          <w:sz w:val="24"/>
        </w:rPr>
      </w:r>
      <w:r/>
    </w:p>
    <w:p>
      <w:pPr>
        <w:pStyle w:val="703"/>
      </w:pPr>
      <w:r/>
      <w:r/>
    </w:p>
    <w:p>
      <w:pPr>
        <w:pStyle w:val="70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第四部分  合同主要条款、通用条款及合同格式</w:t>
      </w:r>
      <w:bookmarkEnd w:id="22"/>
      <w:r/>
      <w:bookmarkEnd w:id="23"/>
      <w:r>
        <w:rPr>
          <w:rFonts w:hint="eastAsia" w:ascii="宋体" w:hAnsi="宋体" w:eastAsia="宋体"/>
          <w:bCs/>
          <w:sz w:val="28"/>
          <w:szCs w:val="28"/>
        </w:rPr>
      </w:r>
      <w:r/>
    </w:p>
    <w:p>
      <w:pPr>
        <w:pStyle w:val="703"/>
        <w:ind w:firstLine="480"/>
        <w:spacing w:line="520" w:lineRule="exact"/>
        <w:rPr>
          <w:rFonts w:hint="eastAsia" w:ascii="宋体" w:hAnsi="宋体"/>
          <w:bCs/>
          <w:sz w:val="24"/>
        </w:rPr>
      </w:pPr>
      <w:r>
        <w:rPr>
          <w:rFonts w:hint="eastAsia" w:ascii="宋体" w:hAnsi="宋体"/>
          <w:bCs/>
          <w:sz w:val="24"/>
        </w:rPr>
        <w:t xml:space="preserve">注:以下为采购人提出成交后签订本项目合同的主要条款及通用条款，成交供应商必须实质性响应，成交供应商不得提出实质性的修改，关于专用条款将由采购人与成交供应商结合本项目具体情况协商后签订。</w:t>
      </w:r>
      <w:r>
        <w:rPr>
          <w:rFonts w:hint="eastAsia" w:ascii="宋体" w:hAnsi="宋体"/>
          <w:bCs/>
          <w:sz w:val="24"/>
        </w:rPr>
      </w:r>
      <w:r/>
    </w:p>
    <w:p>
      <w:pPr>
        <w:pStyle w:val="703"/>
        <w:jc w:val="center"/>
        <w:spacing w:line="520" w:lineRule="exact"/>
        <w:rPr>
          <w:rFonts w:hint="eastAsia" w:ascii="宋体" w:hAnsi="宋体"/>
          <w:sz w:val="24"/>
        </w:rPr>
      </w:pPr>
      <w:r>
        <w:rPr>
          <w:rFonts w:hint="eastAsia" w:ascii="宋体" w:hAnsi="宋体"/>
          <w:sz w:val="24"/>
        </w:rPr>
        <w:t xml:space="preserve">一、合同主要条款</w:t>
      </w:r>
      <w:r>
        <w:rPr>
          <w:rFonts w:hint="eastAsia" w:ascii="宋体" w:hAnsi="宋体"/>
          <w:sz w:val="24"/>
        </w:rPr>
      </w:r>
      <w:r/>
    </w:p>
    <w:p>
      <w:pPr>
        <w:pStyle w:val="703"/>
        <w:ind w:firstLine="482"/>
        <w:spacing w:line="520" w:lineRule="exact"/>
        <w:rPr>
          <w:rFonts w:hint="eastAsia" w:ascii="宋体" w:hAnsi="宋体"/>
          <w:b/>
          <w:sz w:val="24"/>
        </w:rPr>
      </w:pPr>
      <w:r>
        <w:rPr>
          <w:rFonts w:hint="eastAsia" w:ascii="宋体" w:hAnsi="宋体"/>
          <w:b/>
          <w:sz w:val="24"/>
        </w:rPr>
        <w:t xml:space="preserve">1.本次项目付款按下列条件进行：</w:t>
      </w:r>
      <w:r>
        <w:rPr>
          <w:rFonts w:hint="eastAsia" w:ascii="宋体" w:hAnsi="宋体"/>
          <w:b/>
          <w:sz w:val="24"/>
        </w:rPr>
      </w:r>
      <w:r/>
    </w:p>
    <w:p>
      <w:pPr>
        <w:pStyle w:val="703"/>
        <w:ind w:left="479"/>
        <w:spacing w:line="520" w:lineRule="exact"/>
        <w:rPr>
          <w:rFonts w:ascii="宋体" w:hAnsi="宋体"/>
          <w:b/>
          <w:bCs/>
          <w:sz w:val="24"/>
        </w:rPr>
      </w:pPr>
      <w:r>
        <w:rPr>
          <w:rFonts w:hint="eastAsia" w:ascii="宋体" w:hAnsi="宋体"/>
          <w:b/>
          <w:bCs/>
          <w:sz w:val="24"/>
        </w:rPr>
        <w:t xml:space="preserve">合同签订后，支付合同价的40%作为预付款；所有设备安装完毕验收合格后，采购人向成交人一次性无息付清余款。</w:t>
      </w:r>
      <w:r>
        <w:rPr>
          <w:rFonts w:ascii="宋体" w:hAnsi="宋体"/>
          <w:b/>
          <w:bCs/>
          <w:sz w:val="24"/>
        </w:rPr>
      </w:r>
      <w:r/>
    </w:p>
    <w:p>
      <w:pPr>
        <w:pStyle w:val="703"/>
        <w:ind w:left="479"/>
        <w:spacing w:line="520" w:lineRule="exact"/>
        <w:rPr>
          <w:rFonts w:hint="eastAsia" w:ascii="宋体" w:hAnsi="宋体"/>
          <w:sz w:val="24"/>
        </w:rPr>
      </w:pPr>
      <w:r>
        <w:rPr>
          <w:rFonts w:hint="eastAsia" w:ascii="宋体" w:hAnsi="宋体"/>
          <w:sz w:val="24"/>
        </w:rPr>
        <w:t xml:space="preserve">2.供货时间:</w:t>
      </w:r>
      <w:r>
        <w:rPr>
          <w:rFonts w:hint="eastAsia"/>
        </w:rPr>
        <w:t xml:space="preserve"> </w:t>
      </w:r>
      <w:r>
        <w:rPr>
          <w:rFonts w:hint="eastAsia" w:ascii="宋体" w:hAnsi="宋体"/>
          <w:sz w:val="24"/>
        </w:rPr>
        <w:t xml:space="preserve">合同签订后60日内完成供货。</w:t>
      </w:r>
      <w:r>
        <w:rPr>
          <w:rFonts w:hint="eastAsia" w:ascii="宋体" w:hAnsi="宋体"/>
          <w:sz w:val="24"/>
        </w:rPr>
      </w:r>
      <w:r/>
    </w:p>
    <w:p>
      <w:pPr>
        <w:pStyle w:val="703"/>
        <w:ind w:firstLine="480"/>
        <w:spacing w:line="520" w:lineRule="exact"/>
        <w:rPr>
          <w:rFonts w:hint="eastAsia" w:ascii="宋体" w:hAnsi="宋体" w:cs="Estrangelo Edessa"/>
          <w:b/>
          <w:bCs/>
          <w:sz w:val="24"/>
        </w:rPr>
      </w:pPr>
      <w:r>
        <w:rPr>
          <w:rFonts w:hint="eastAsia" w:ascii="宋体" w:hAnsi="宋体"/>
          <w:sz w:val="24"/>
        </w:rPr>
        <w:t xml:space="preserve">3.供货地点:</w:t>
      </w:r>
      <w:r>
        <w:rPr>
          <w:rFonts w:hint="eastAsia" w:ascii="宋体" w:hAnsi="宋体"/>
          <w:b/>
          <w:bCs/>
          <w:sz w:val="24"/>
        </w:rPr>
        <w:t xml:space="preserve"> </w:t>
      </w:r>
      <w:r>
        <w:rPr>
          <w:rFonts w:hint="eastAsia" w:ascii="宋体" w:hAnsi="宋体"/>
          <w:sz w:val="24"/>
        </w:rPr>
        <w:t xml:space="preserve">采购单位指定</w:t>
      </w:r>
      <w:r>
        <w:rPr>
          <w:rFonts w:hint="eastAsia" w:ascii="宋体" w:hAnsi="宋体" w:cs="Estrangelo Edessa"/>
          <w:sz w:val="24"/>
        </w:rPr>
        <w:t xml:space="preserve">。</w:t>
      </w:r>
      <w:r>
        <w:rPr>
          <w:rFonts w:hint="eastAsia" w:ascii="宋体" w:hAnsi="宋体" w:cs="Estrangelo Edessa"/>
          <w:b/>
          <w:bCs/>
          <w:sz w:val="24"/>
        </w:rPr>
      </w:r>
      <w:r/>
    </w:p>
    <w:p>
      <w:pPr>
        <w:pStyle w:val="703"/>
        <w:ind w:firstLine="480"/>
        <w:jc w:val="center"/>
        <w:spacing w:line="520" w:lineRule="exact"/>
        <w:rPr>
          <w:rFonts w:hint="eastAsia" w:ascii="宋体" w:hAnsi="宋体"/>
          <w:sz w:val="24"/>
        </w:rPr>
      </w:pPr>
      <w:r>
        <w:rPr>
          <w:rFonts w:hint="eastAsia" w:ascii="宋体" w:hAnsi="宋体"/>
          <w:sz w:val="24"/>
        </w:rPr>
        <w:t xml:space="preserve">二、合同通用条款</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1.定义</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本合同中下列术语应解释为：</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（1）“合同”系指甲方和乙方（以下简称合同双方）签署的、合同格式中列明的合同双方所达成的协议，包括所有的附件、附录和构成合同的所有文件。</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（2）“合同价”系指根据合同规定，乙方在完全履行合同义务后甲方应支付给乙方的价格。</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（3）“货物（含软件及相关服务）”系指乙方按合同要求，须向甲方提供的一切设备、机械、仪表、备件、工具、技术及手册等有关材料。</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（4）“服务”系指根据合同规定乙方承担与供货有关的所有辅助服务，如运输、保险以及其它的服务，如安装、调试、提供技术援助、培训和其他类似的义务。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（5）“甲方”系指购买货物（含软件及相关服务）的单位。</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（6）“乙方”系指根据合同规定提供货物（含软件及相关服务）和服务的供应商。</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（7）“监管部门”系指涟水县财政局。</w:t>
      </w:r>
      <w:r>
        <w:rPr>
          <w:rFonts w:hint="eastAsia" w:ascii="宋体" w:hAnsi="宋体"/>
          <w:sz w:val="24"/>
        </w:rPr>
      </w:r>
      <w:r/>
    </w:p>
    <w:p>
      <w:pPr>
        <w:pStyle w:val="703"/>
        <w:spacing w:line="520" w:lineRule="exact"/>
        <w:rPr>
          <w:rFonts w:hint="eastAsia" w:ascii="宋体" w:hAnsi="宋体"/>
          <w:bCs/>
          <w:sz w:val="24"/>
        </w:rPr>
      </w:pPr>
      <w:r>
        <w:rPr>
          <w:rFonts w:hint="eastAsia" w:ascii="宋体" w:hAnsi="宋体"/>
          <w:bCs/>
          <w:sz w:val="24"/>
        </w:rPr>
        <w:t xml:space="preserve">2.技术规范</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2.1提交货物（含软件及相关服务）的技术规范应与磋商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3.专利权</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4.包装要求</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4.2每件包装箱内应附一份详细装箱单和质量合格证。</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5.装运标志</w:t>
      </w:r>
      <w:r>
        <w:rPr>
          <w:rFonts w:hint="eastAsia" w:ascii="宋体" w:hAnsi="宋体"/>
          <w:sz w:val="24"/>
        </w:rPr>
      </w:r>
      <w:r/>
    </w:p>
    <w:p>
      <w:pPr>
        <w:pStyle w:val="703"/>
        <w:ind w:firstLine="480"/>
        <w:spacing w:line="520" w:lineRule="exact"/>
        <w:rPr>
          <w:rFonts w:ascii="宋体" w:hAnsi="宋体"/>
          <w:sz w:val="24"/>
        </w:rPr>
      </w:pPr>
      <w:r>
        <w:rPr>
          <w:rFonts w:ascii="宋体" w:hAnsi="宋体"/>
          <w:sz w:val="24"/>
        </w:rPr>
        <w:t xml:space="preserve">5.1 </w:t>
      </w:r>
      <w:r>
        <w:rPr>
          <w:rFonts w:hint="eastAsia" w:ascii="宋体" w:hAnsi="宋体"/>
          <w:sz w:val="24"/>
        </w:rPr>
        <w:t xml:space="preserve">乙方应在每一包装箱邻接的四侧用不褪色的油漆以醒目的中文字样做出下列标记：</w:t>
      </w:r>
      <w:r>
        <w:rPr>
          <w:rFonts w:ascii="宋体" w:hAnsi="宋体"/>
          <w:sz w:val="24"/>
        </w:rPr>
        <w:t xml:space="preserve"> </w:t>
      </w:r>
      <w:r>
        <w:rPr>
          <w:rFonts w:hint="eastAsia" w:ascii="宋体" w:hAnsi="宋体"/>
          <w:sz w:val="24"/>
        </w:rPr>
        <w:t xml:space="preserve">（</w:t>
      </w:r>
      <w:r>
        <w:rPr>
          <w:rFonts w:ascii="宋体" w:hAnsi="宋体"/>
          <w:sz w:val="24"/>
        </w:rPr>
        <w:t xml:space="preserve">l</w:t>
      </w:r>
      <w:r>
        <w:rPr>
          <w:rFonts w:hint="eastAsia" w:ascii="宋体" w:hAnsi="宋体"/>
          <w:sz w:val="24"/>
        </w:rPr>
        <w:t xml:space="preserve">）收货人</w:t>
      </w:r>
      <w:r>
        <w:rPr>
          <w:rFonts w:ascii="宋体" w:hAnsi="宋体"/>
          <w:sz w:val="24"/>
        </w:rPr>
        <w:t xml:space="preserve"> </w:t>
      </w:r>
      <w:r>
        <w:rPr>
          <w:rFonts w:hint="eastAsia" w:ascii="宋体" w:hAnsi="宋体"/>
          <w:sz w:val="24"/>
        </w:rPr>
        <w:t xml:space="preserve">（</w:t>
      </w:r>
      <w:r>
        <w:rPr>
          <w:rFonts w:ascii="宋体" w:hAnsi="宋体"/>
          <w:sz w:val="24"/>
        </w:rPr>
        <w:t xml:space="preserve">2</w:t>
      </w:r>
      <w:r>
        <w:rPr>
          <w:rFonts w:hint="eastAsia" w:ascii="宋体" w:hAnsi="宋体"/>
          <w:sz w:val="24"/>
        </w:rPr>
        <w:t xml:space="preserve">）合同号</w:t>
      </w:r>
      <w:r>
        <w:rPr>
          <w:rFonts w:ascii="宋体" w:hAnsi="宋体"/>
          <w:sz w:val="24"/>
        </w:rPr>
        <w:t xml:space="preserve"> </w:t>
      </w:r>
      <w:r>
        <w:rPr>
          <w:rFonts w:hint="eastAsia" w:ascii="宋体" w:hAnsi="宋体"/>
          <w:sz w:val="24"/>
        </w:rPr>
        <w:t xml:space="preserve">（</w:t>
      </w:r>
      <w:r>
        <w:rPr>
          <w:rFonts w:ascii="宋体" w:hAnsi="宋体"/>
          <w:sz w:val="24"/>
        </w:rPr>
        <w:t xml:space="preserve">3</w:t>
      </w:r>
      <w:r>
        <w:rPr>
          <w:rFonts w:hint="eastAsia" w:ascii="宋体" w:hAnsi="宋体"/>
          <w:sz w:val="24"/>
        </w:rPr>
        <w:t xml:space="preserve">）装运标志</w:t>
      </w:r>
      <w:r>
        <w:rPr>
          <w:rFonts w:ascii="宋体" w:hAnsi="宋体"/>
          <w:sz w:val="24"/>
        </w:rPr>
        <w:t xml:space="preserve"> </w:t>
      </w:r>
      <w:r>
        <w:rPr>
          <w:rFonts w:hint="eastAsia" w:ascii="宋体" w:hAnsi="宋体"/>
          <w:sz w:val="24"/>
        </w:rPr>
        <w:t xml:space="preserve">（</w:t>
      </w:r>
      <w:r>
        <w:rPr>
          <w:rFonts w:ascii="宋体" w:hAnsi="宋体"/>
          <w:sz w:val="24"/>
        </w:rPr>
        <w:t xml:space="preserve">4</w:t>
      </w:r>
      <w:r>
        <w:rPr>
          <w:rFonts w:hint="eastAsia" w:ascii="宋体" w:hAnsi="宋体"/>
          <w:sz w:val="24"/>
        </w:rPr>
        <w:t xml:space="preserve">）收货人代号</w:t>
      </w:r>
      <w:r>
        <w:rPr>
          <w:rFonts w:ascii="宋体" w:hAnsi="宋体"/>
          <w:sz w:val="24"/>
        </w:rPr>
        <w:t xml:space="preserve"> </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）目的地</w:t>
      </w:r>
      <w:r>
        <w:rPr>
          <w:rFonts w:ascii="宋体" w:hAnsi="宋体"/>
          <w:sz w:val="24"/>
        </w:rPr>
        <w:t xml:space="preserve"> </w:t>
      </w:r>
      <w:r>
        <w:rPr>
          <w:rFonts w:hint="eastAsia" w:ascii="宋体" w:hAnsi="宋体"/>
          <w:sz w:val="24"/>
        </w:rPr>
        <w:t xml:space="preserve">（</w:t>
      </w:r>
      <w:r>
        <w:rPr>
          <w:rFonts w:ascii="宋体" w:hAnsi="宋体"/>
          <w:sz w:val="24"/>
        </w:rPr>
        <w:t xml:space="preserve">6</w:t>
      </w:r>
      <w:r>
        <w:rPr>
          <w:rFonts w:hint="eastAsia" w:ascii="宋体" w:hAnsi="宋体"/>
          <w:sz w:val="24"/>
        </w:rPr>
        <w:t xml:space="preserve">）货物（含软件及相关服务）名称、品目号和箱号</w:t>
      </w:r>
      <w:r>
        <w:rPr>
          <w:rFonts w:ascii="宋体" w:hAnsi="宋体"/>
          <w:sz w:val="24"/>
        </w:rPr>
        <w:t xml:space="preserve"> </w:t>
      </w:r>
      <w:r>
        <w:rPr>
          <w:rFonts w:hint="eastAsia" w:ascii="宋体" w:hAnsi="宋体"/>
          <w:sz w:val="24"/>
        </w:rPr>
        <w:t xml:space="preserve">（</w:t>
      </w:r>
      <w:r>
        <w:rPr>
          <w:rFonts w:ascii="宋体" w:hAnsi="宋体"/>
          <w:sz w:val="24"/>
        </w:rPr>
        <w:t xml:space="preserve">7</w:t>
      </w:r>
      <w:r>
        <w:rPr>
          <w:rFonts w:hint="eastAsia" w:ascii="宋体" w:hAnsi="宋体"/>
          <w:sz w:val="24"/>
        </w:rPr>
        <w:t xml:space="preserve">）毛重／净重</w:t>
      </w:r>
      <w:r>
        <w:rPr>
          <w:rFonts w:ascii="宋体" w:hAnsi="宋体"/>
          <w:sz w:val="24"/>
        </w:rPr>
        <w:t xml:space="preserve"> </w:t>
      </w:r>
      <w:r>
        <w:rPr>
          <w:rFonts w:hint="eastAsia" w:ascii="宋体" w:hAnsi="宋体"/>
          <w:sz w:val="24"/>
        </w:rPr>
        <w:t xml:space="preserve">（</w:t>
      </w:r>
      <w:r>
        <w:rPr>
          <w:rFonts w:ascii="宋体" w:hAnsi="宋体"/>
          <w:sz w:val="24"/>
        </w:rPr>
        <w:t xml:space="preserve">8</w:t>
      </w:r>
      <w:r>
        <w:rPr>
          <w:rFonts w:hint="eastAsia" w:ascii="宋体" w:hAnsi="宋体"/>
          <w:sz w:val="24"/>
        </w:rPr>
        <w:t xml:space="preserve">）尺寸（长</w:t>
      </w:r>
      <w:r>
        <w:rPr>
          <w:rFonts w:ascii="宋体" w:hAnsi="宋体"/>
          <w:sz w:val="24"/>
        </w:rPr>
        <w:t xml:space="preserve">X</w:t>
      </w:r>
      <w:r>
        <w:rPr>
          <w:rFonts w:hint="eastAsia" w:ascii="宋体" w:hAnsi="宋体"/>
          <w:sz w:val="24"/>
        </w:rPr>
        <w:t xml:space="preserve">宽</w:t>
      </w:r>
      <w:r>
        <w:rPr>
          <w:rFonts w:ascii="宋体" w:hAnsi="宋体"/>
          <w:sz w:val="24"/>
        </w:rPr>
        <w:t xml:space="preserve">X</w:t>
      </w:r>
      <w:r>
        <w:rPr>
          <w:rFonts w:hint="eastAsia" w:ascii="宋体" w:hAnsi="宋体"/>
          <w:sz w:val="24"/>
        </w:rPr>
        <w:t xml:space="preserve">高，以厘米计）</w:t>
      </w:r>
      <w:r>
        <w:rPr>
          <w:rFonts w:ascii="宋体" w:hAnsi="宋体"/>
          <w:sz w:val="24"/>
        </w:rPr>
        <w:t xml:space="preserve"> </w:t>
      </w:r>
      <w:r>
        <w:rPr>
          <w:rFonts w:ascii="宋体" w:hAnsi="宋体"/>
          <w:sz w:val="24"/>
        </w:rPr>
      </w:r>
      <w:r/>
    </w:p>
    <w:p>
      <w:pPr>
        <w:pStyle w:val="703"/>
        <w:ind w:firstLine="480"/>
        <w:spacing w:line="520" w:lineRule="exact"/>
        <w:rPr>
          <w:rFonts w:hint="eastAsia" w:ascii="宋体" w:hAnsi="宋体"/>
          <w:sz w:val="24"/>
        </w:rPr>
      </w:pPr>
      <w:r>
        <w:rPr>
          <w:rFonts w:ascii="宋体" w:hAnsi="宋体"/>
          <w:sz w:val="24"/>
        </w:rPr>
        <w:t xml:space="preserve">5.2 </w:t>
      </w:r>
      <w:r>
        <w:rPr>
          <w:rFonts w:hint="eastAsia" w:ascii="宋体" w:hAnsi="宋体"/>
          <w:sz w:val="24"/>
        </w:rPr>
        <w:t xml:space="preserve">如果货物（含软件及相关服务）单件重量在两吨或两吨以上，乙方应在每件包装箱的两侧用中文和适当的运输标志标明</w:t>
      </w:r>
      <w:r>
        <w:rPr>
          <w:rFonts w:ascii="宋体" w:hAnsi="宋体"/>
          <w:sz w:val="24"/>
        </w:rPr>
        <w:t xml:space="preserve">“</w:t>
      </w:r>
      <w:r>
        <w:rPr>
          <w:rFonts w:hint="eastAsia" w:ascii="宋体" w:hAnsi="宋体"/>
          <w:sz w:val="24"/>
        </w:rPr>
        <w:t xml:space="preserve">重心</w:t>
      </w:r>
      <w:r>
        <w:rPr>
          <w:rFonts w:ascii="宋体" w:hAnsi="宋体"/>
          <w:sz w:val="24"/>
        </w:rPr>
        <w:t xml:space="preserve">”</w:t>
      </w:r>
      <w:r>
        <w:rPr>
          <w:rFonts w:hint="eastAsia" w:ascii="宋体" w:hAnsi="宋体"/>
          <w:sz w:val="24"/>
        </w:rPr>
        <w:t xml:space="preserve">和</w:t>
      </w:r>
      <w:r>
        <w:rPr>
          <w:rFonts w:ascii="宋体" w:hAnsi="宋体"/>
          <w:sz w:val="24"/>
        </w:rPr>
        <w:t xml:space="preserve">“</w:t>
      </w:r>
      <w:r>
        <w:rPr>
          <w:rFonts w:hint="eastAsia" w:ascii="宋体" w:hAnsi="宋体"/>
          <w:sz w:val="24"/>
        </w:rPr>
        <w:t xml:space="preserve">吊装点</w:t>
      </w:r>
      <w:r>
        <w:rPr>
          <w:rFonts w:ascii="宋体" w:hAnsi="宋体"/>
          <w:sz w:val="24"/>
        </w:rPr>
        <w:t xml:space="preserve">”</w:t>
      </w:r>
      <w:r>
        <w:rPr>
          <w:rFonts w:hint="eastAsia" w:ascii="宋体" w:hAnsi="宋体"/>
          <w:sz w:val="24"/>
        </w:rPr>
        <w:t xml:space="preserve">，以便装卸和搬运。根据货物（含软件及相关服务）的特点和运输的不同要求，乙方应在包装箱上清楚地标有</w:t>
      </w:r>
      <w:r>
        <w:rPr>
          <w:rFonts w:ascii="宋体" w:hAnsi="宋体"/>
          <w:sz w:val="24"/>
        </w:rPr>
        <w:t xml:space="preserve">‘</w:t>
      </w:r>
      <w:r>
        <w:rPr>
          <w:rFonts w:hint="eastAsia" w:ascii="宋体" w:hAnsi="宋体"/>
          <w:sz w:val="24"/>
        </w:rPr>
        <w:t xml:space="preserve">小心轻放</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勿倒置</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防潮</w:t>
      </w:r>
      <w:r>
        <w:rPr>
          <w:rFonts w:ascii="宋体" w:hAnsi="宋体"/>
          <w:sz w:val="24"/>
        </w:rPr>
        <w:t xml:space="preserve">”</w:t>
      </w:r>
      <w:r>
        <w:rPr>
          <w:rFonts w:hint="eastAsia" w:ascii="宋体" w:hAnsi="宋体"/>
          <w:sz w:val="24"/>
        </w:rPr>
        <w:t xml:space="preserve">等字样和其他适当的标记。</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3</w:t>
      </w:r>
      <w:r>
        <w:rPr>
          <w:rFonts w:hint="eastAsia" w:ascii="宋体" w:hAnsi="宋体"/>
          <w:sz w:val="24"/>
        </w:rPr>
        <w:t xml:space="preserve">因缺少装运标志或者装运标志不明确导致货物在运输、装卸过程中产生的损失，乙方应承担相应的过错责任。</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6.付款方式</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6.1本合同以人民币付款。</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6.2乙方应按照与甲方签订的合同规定交货。交货后乙方向甲方提供下列单据，甲方按合同规定审核后付款：</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（1）发票；</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（2）制造厂家出具的质量检验证书等；</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（3）装箱单；</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（4）验收合格证；</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（5）使用方加盖公章证明货物交付使用合格的验收表。</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6.3甲方将按“合同主要条款及通用条款”规定的付款计划安排付款。</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7.伴随服务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7.1乙方应按照国家有关规定和合同中所附的服务承诺提供服务。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7.2除第7.1条规定外，乙方还应提供下列服务：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（1）货物的现场安装和启动监督；</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（2）提供货物组装和维修所需的工具；</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（3）在合同中乙方承诺的期限内对所提供货物实施运行监督、维修，但前提条件是该服务并不能免除乙方在质量保证期内应承担的义务；</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（4）在项目交货现场就货物的安装、启动、运行、维护对甲方人员进行培训。</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7.3伴随服务的费用应含在合同价中，不单独进行支付。</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8.质量保证</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.l </w:t>
      </w:r>
      <w:r>
        <w:rPr>
          <w:rFonts w:hint="eastAsia" w:ascii="宋体" w:hAnsi="宋体"/>
          <w:sz w:val="24"/>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.2 </w:t>
      </w:r>
      <w:r>
        <w:rPr>
          <w:rFonts w:hint="eastAsia" w:ascii="宋体" w:hAnsi="宋体"/>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.3 </w:t>
      </w:r>
      <w:r>
        <w:rPr>
          <w:rFonts w:hint="eastAsia" w:ascii="宋体" w:hAnsi="宋体"/>
          <w:sz w:val="24"/>
        </w:rPr>
        <w:t xml:space="preserve">乙方在收到通知后三十天内应免费维修或更换有缺陷的货物（含软件及相关服务）或部件。</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.4 </w:t>
      </w:r>
      <w:r>
        <w:rPr>
          <w:rFonts w:hint="eastAsia" w:ascii="宋体" w:hAnsi="宋体"/>
          <w:sz w:val="24"/>
        </w:rPr>
        <w:t xml:space="preserve">如果乙方在收到通知后三十天内没有弥补缺陷，甲方可采取必要的补救措施，但风险和费用将由乙方承担。</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.5 </w:t>
      </w:r>
      <w:r>
        <w:rPr>
          <w:rFonts w:hint="eastAsia" w:ascii="宋体" w:hAnsi="宋体"/>
          <w:sz w:val="24"/>
        </w:rPr>
        <w:t xml:space="preserve">除合同专用条款规定外，合同项下货物（含软件及相关服务）的质量保证期为自货物（含软件及相关服务）通过最终验收起</w:t>
      </w:r>
      <w:r>
        <w:rPr>
          <w:rFonts w:ascii="宋体" w:hAnsi="宋体"/>
          <w:sz w:val="24"/>
        </w:rPr>
        <w:t xml:space="preserve">12</w:t>
      </w:r>
      <w:r>
        <w:rPr>
          <w:rFonts w:hint="eastAsia" w:ascii="宋体" w:hAnsi="宋体"/>
          <w:sz w:val="24"/>
        </w:rPr>
        <w:t xml:space="preserve">个月。</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9.检验及安装</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.l </w:t>
      </w:r>
      <w:r>
        <w:rPr>
          <w:rFonts w:hint="eastAsia" w:ascii="宋体" w:hAnsi="宋体"/>
          <w:sz w:val="24"/>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.2 </w:t>
      </w:r>
      <w:r>
        <w:rPr>
          <w:rFonts w:hint="eastAsia" w:ascii="宋体" w:hAnsi="宋体"/>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rPr>
        <w:t xml:space="preserve">90</w:t>
      </w:r>
      <w:r>
        <w:rPr>
          <w:rFonts w:hint="eastAsia" w:ascii="宋体" w:hAnsi="宋体"/>
          <w:sz w:val="24"/>
        </w:rPr>
        <w:t xml:space="preserve">天内，根据甲方按检验标准自己检验的结果或当地商检部门出具的检验证书向乙方提出索赔，除责任由保险公司或运输部门承担的之外。</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.3 </w:t>
      </w:r>
      <w:r>
        <w:rPr>
          <w:rFonts w:hint="eastAsia" w:ascii="宋体" w:hAnsi="宋体"/>
          <w:sz w:val="24"/>
        </w:rPr>
        <w:t xml:space="preserve">如果货物（含软件及相关服务）的质量和规格与合同不符，或在第</w:t>
      </w:r>
      <w:r>
        <w:rPr>
          <w:rFonts w:ascii="宋体" w:hAnsi="宋体"/>
          <w:sz w:val="24"/>
        </w:rPr>
        <w:t xml:space="preserve">11</w:t>
      </w:r>
      <w:r>
        <w:rPr>
          <w:rFonts w:hint="eastAsia" w:ascii="宋体" w:hAnsi="宋体"/>
          <w:sz w:val="24"/>
        </w:rPr>
        <w:t xml:space="preserve">条规定的质量保证期内证实货物（含软件及相关服务）是有缺陷的，包括潜在的缺陷或使用不符合要求的材料，甲方将有权向乙方提出索赔。</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.4 </w:t>
      </w:r>
      <w:r>
        <w:rPr>
          <w:rFonts w:hint="eastAsia" w:ascii="宋体" w:hAnsi="宋体"/>
          <w:sz w:val="24"/>
        </w:rPr>
        <w:t xml:space="preserve">甲方有权提出在货物（含软件及相关服务）制造过程中派人到制造厂进行监造，乙方有义务为甲方监造人员提供方便。</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.5 </w:t>
      </w:r>
      <w:r>
        <w:rPr>
          <w:rFonts w:hint="eastAsia" w:ascii="宋体" w:hAnsi="宋体"/>
          <w:sz w:val="24"/>
        </w:rPr>
        <w:t xml:space="preserve">制造厂对所供货物（含软件及相关服务）进行机械运转试验和性能试验时，必须提前通知甲方。</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.6 </w:t>
      </w:r>
      <w:r>
        <w:rPr>
          <w:rFonts w:hint="eastAsia" w:ascii="宋体" w:hAnsi="宋体"/>
          <w:sz w:val="24"/>
        </w:rPr>
        <w:t xml:space="preserve">货物（含软件及相关服务）的安装按磋商文件要求进行。</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10.索赔</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除责任应由保险公司或运输部门承担的之外，甲方有权根据甲方按检验标准自己检验的结果或当地商检部门出具的商检证书向乙方提出索赔。</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.2 </w:t>
      </w:r>
      <w:r>
        <w:rPr>
          <w:rFonts w:hint="eastAsia" w:ascii="宋体" w:hAnsi="宋体"/>
          <w:sz w:val="24"/>
        </w:rPr>
        <w:t xml:space="preserve">在第</w:t>
      </w:r>
      <w:r>
        <w:rPr>
          <w:rFonts w:ascii="宋体" w:hAnsi="宋体"/>
          <w:sz w:val="24"/>
        </w:rPr>
        <w:t xml:space="preserve"> </w:t>
      </w:r>
      <w:r>
        <w:rPr>
          <w:rFonts w:hint="eastAsia" w:ascii="宋体" w:hAnsi="宋体"/>
          <w:sz w:val="24"/>
        </w:rPr>
        <w:t xml:space="preserve">8条和第9条规定的检验期和质量保证期内，如果乙方对甲方提出的索赔和差异负有责任，乙方应按照甲方同意的下列一种或多种方式解决索赔事宜：</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）根据货物（含软件及相关服务）的低劣程度、损坏程度以及甲方遭受损失的数额，经买卖双方商定降低货物（含软件及相关服务）的价格。</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如果在甲方发出索赔通知后</w:t>
      </w:r>
      <w:r>
        <w:rPr>
          <w:rFonts w:ascii="宋体" w:hAnsi="宋体"/>
          <w:sz w:val="24"/>
        </w:rPr>
        <w:t xml:space="preserve"> 30</w:t>
      </w:r>
      <w:r>
        <w:rPr>
          <w:rFonts w:hint="eastAsia" w:ascii="宋体" w:hAnsi="宋体"/>
          <w:sz w:val="24"/>
        </w:rPr>
        <w:t xml:space="preserve">天内，乙方未能答复，上达索赔应视为已被乙方接受。若乙方未能在甲方提出索赔通知后</w:t>
      </w:r>
      <w:r>
        <w:rPr>
          <w:rFonts w:ascii="宋体" w:hAnsi="宋体"/>
          <w:sz w:val="24"/>
        </w:rPr>
        <w:t xml:space="preserve">30</w:t>
      </w:r>
      <w:r>
        <w:rPr>
          <w:rFonts w:hint="eastAsia" w:ascii="宋体" w:hAnsi="宋体"/>
          <w:sz w:val="24"/>
        </w:rPr>
        <w:t xml:space="preserve">天内或甲方同意的更长时间内，按照第</w:t>
      </w:r>
      <w:r>
        <w:rPr>
          <w:rFonts w:ascii="宋体" w:hAnsi="宋体"/>
          <w:sz w:val="24"/>
        </w:rPr>
        <w:t xml:space="preserve">1</w:t>
      </w:r>
      <w:r>
        <w:rPr>
          <w:rFonts w:hint="eastAsia" w:ascii="宋体" w:hAnsi="宋体"/>
          <w:sz w:val="24"/>
        </w:rPr>
        <w:t xml:space="preserve">0.</w:t>
      </w:r>
      <w:r>
        <w:rPr>
          <w:rFonts w:ascii="宋体" w:hAnsi="宋体"/>
          <w:sz w:val="24"/>
        </w:rPr>
        <w:t xml:space="preserve">2</w:t>
      </w:r>
      <w:r>
        <w:rPr>
          <w:rFonts w:hint="eastAsia" w:ascii="宋体" w:hAnsi="宋体"/>
          <w:sz w:val="24"/>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11.拖延交货</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乙方应按照合同专用条款中规定的交货期交货和提供服务。</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.2 </w:t>
      </w:r>
      <w:r>
        <w:rPr>
          <w:rFonts w:hint="eastAsia" w:ascii="宋体" w:hAnsi="宋体"/>
          <w:sz w:val="24"/>
        </w:rPr>
        <w:t xml:space="preserve">如果乙方毫无理由地拖延交货，将受到以下制裁：没收履约保证金，加收违约损失赔偿和／或终止合同。</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.3 </w:t>
      </w:r>
      <w:r>
        <w:rPr>
          <w:rFonts w:hint="eastAsia" w:ascii="宋体" w:hAnsi="宋体"/>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rPr>
        <w:t xml:space="preserve"> </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12.误期赔偿</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13.不可抗力</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受事故影响的一方应在不可抗力事故发生后尽快以传真或电传通知另一方，并在事故发生后</w:t>
      </w:r>
      <w:r>
        <w:rPr>
          <w:rFonts w:ascii="宋体" w:hAnsi="宋体"/>
          <w:sz w:val="24"/>
        </w:rPr>
        <w:t xml:space="preserve">14</w:t>
      </w:r>
      <w:r>
        <w:rPr>
          <w:rFonts w:hint="eastAsia" w:ascii="宋体" w:hAnsi="宋体"/>
          <w:sz w:val="24"/>
        </w:rPr>
        <w:t xml:space="preserve">天内，将有关部门出具的证明文件用特快专递寄给或送给另一方。如果不可抗力影响时间延续</w:t>
      </w:r>
      <w:r>
        <w:rPr>
          <w:rFonts w:ascii="宋体" w:hAnsi="宋体"/>
          <w:sz w:val="24"/>
        </w:rPr>
        <w:t xml:space="preserve">120</w:t>
      </w:r>
      <w:r>
        <w:rPr>
          <w:rFonts w:hint="eastAsia" w:ascii="宋体" w:hAnsi="宋体"/>
          <w:sz w:val="24"/>
        </w:rPr>
        <w:t xml:space="preserve">天以上，双方应通过友好协商在合理的时间内达成进一步履行合同的协议。</w:t>
      </w:r>
      <w:r>
        <w:rPr>
          <w:rFonts w:ascii="宋体" w:hAnsi="宋体"/>
          <w:sz w:val="24"/>
        </w:rPr>
        <w:t xml:space="preserve"> </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14.税费</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14.1中国政府根据现行税法规定对甲方征收的与本合同有关的一切税费，均由甲方负担。</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14.2中国政府根据现行税法规定对乙方征收的与本合同有关的一切税费均由乙方负担。</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15.履约保证金</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15.1</w:t>
      </w:r>
      <w:r>
        <w:rPr>
          <w:rFonts w:hint="eastAsia" w:ascii="宋体" w:hAnsi="宋体"/>
          <w:sz w:val="24"/>
        </w:rPr>
        <w:t xml:space="preserve">本项目无需缴纳履约保证金。</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15.2、为保证合同的顺利执行，成交供应商在领取成交通知书后，签订合同之前，向采购单位缴纳成交价1%的履约保证金，成交供应商自主选择以支票、汇票、本票、保函等形式缴纳或提交。</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15.3、乙方提供的履约保证金可以是人民币形式（银行本票、汇票、支票、电汇），或银行保函、担保公司的保证担保或保险公司的保证保险等多种形式。</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15.4、乙方选取银行保函、担保公司的保证担保或保险公司的保证保险等形式的向采购人缴纳的，如保函（担保、保险等）的约定期到期但乙方履约仍未结束的，乙方须进行续保。</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15.6、如乙方未能履行合同规定的义务，甲方有权从履约保证金中取得补偿。</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15.8、履约保证金在合同约定期间内不予退还或者应完全有效，履约保证金在项目验收合格后无息退还给乙方。</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16.仲裁</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买卖双方应通过友好协商，解决在执行本合同中所发生的或与本合同有关的一切争端，如果协商仍得不到解决，任何一方均可按</w:t>
      </w:r>
      <w:r>
        <w:rPr>
          <w:rFonts w:ascii="宋体" w:hAnsi="宋体"/>
          <w:sz w:val="24"/>
        </w:rPr>
        <w:t xml:space="preserve">“</w:t>
      </w:r>
      <w:r>
        <w:rPr>
          <w:rFonts w:hint="eastAsia" w:ascii="宋体" w:hAnsi="宋体"/>
          <w:sz w:val="24"/>
        </w:rPr>
        <w:t xml:space="preserve">中华人民共和国民法典</w:t>
      </w:r>
      <w:r>
        <w:rPr>
          <w:rFonts w:ascii="宋体" w:hAnsi="宋体"/>
          <w:sz w:val="24"/>
        </w:rPr>
        <w:t xml:space="preserve">”</w:t>
      </w:r>
      <w:r>
        <w:rPr>
          <w:rFonts w:hint="eastAsia" w:ascii="宋体" w:hAnsi="宋体"/>
          <w:sz w:val="24"/>
        </w:rPr>
        <w:t xml:space="preserve">规定提交调解和仲裁。</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仲裁裁决应为终局裁决，对双方均具有约束力。</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仲裁费除仲裁机构另有裁决外应由败诉方负担。</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.4 </w:t>
      </w:r>
      <w:r>
        <w:rPr>
          <w:rFonts w:hint="eastAsia" w:ascii="宋体" w:hAnsi="宋体"/>
          <w:sz w:val="24"/>
        </w:rPr>
        <w:t xml:space="preserve">在仲裁期间，除正在进行仲裁的部分外，合同其它部分继续执行。 </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17.违约终止合同</w:t>
      </w:r>
      <w:r>
        <w:rPr>
          <w:rFonts w:hint="eastAsia" w:ascii="宋体" w:hAnsi="宋体"/>
          <w:sz w:val="24"/>
        </w:rPr>
      </w:r>
      <w:r/>
    </w:p>
    <w:p>
      <w:pPr>
        <w:pStyle w:val="863"/>
        <w:ind w:firstLine="48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w:t>
      </w:r>
      <w:r>
        <w:rPr>
          <w:rFonts w:hint="eastAsia" w:ascii="宋体" w:hAnsi="宋体" w:eastAsia="宋体"/>
          <w:color w:val="000000"/>
        </w:rPr>
        <w:t xml:space="preserve">1</w:t>
      </w:r>
      <w:r>
        <w:rPr>
          <w:rFonts w:ascii="宋体" w:hAnsi="宋体" w:eastAsia="宋体"/>
          <w:color w:val="000000"/>
        </w:rPr>
        <w:t xml:space="preserve"> </w:t>
      </w:r>
      <w:r>
        <w:rPr>
          <w:rFonts w:hint="eastAsia" w:ascii="宋体" w:hAnsi="宋体" w:eastAsia="宋体"/>
          <w:color w:val="000000"/>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rPr>
        <w:t xml:space="preserve"> </w:t>
      </w:r>
      <w:r>
        <w:rPr>
          <w:rFonts w:hint="eastAsia" w:ascii="宋体" w:hAnsi="宋体" w:eastAsia="宋体"/>
          <w:color w:val="000000"/>
        </w:rPr>
      </w:r>
      <w:r/>
    </w:p>
    <w:p>
      <w:pPr>
        <w:pStyle w:val="863"/>
        <w:ind w:firstLine="480"/>
        <w:spacing w:line="520" w:lineRule="exact"/>
        <w:rPr>
          <w:rFonts w:hint="eastAsia" w:ascii="宋体" w:hAnsi="宋体" w:eastAsia="宋体"/>
          <w:color w:val="000000"/>
        </w:rPr>
      </w:pPr>
      <w:r>
        <w:rPr>
          <w:rFonts w:hint="eastAsia" w:ascii="宋体" w:hAnsi="宋体" w:eastAsia="宋体"/>
          <w:color w:val="000000"/>
        </w:rPr>
        <w:t xml:space="preserve">（1）如果乙方未能在合同规定的期限或甲方同意延期的限期内提供全部或部分货物（含软件及相关服务）；</w:t>
      </w:r>
      <w:r>
        <w:rPr>
          <w:rFonts w:ascii="宋体" w:hAnsi="宋体" w:eastAsia="宋体"/>
          <w:color w:val="000000"/>
        </w:rPr>
        <w:t xml:space="preserve"> </w:t>
      </w:r>
      <w:r>
        <w:rPr>
          <w:rFonts w:hint="eastAsia" w:ascii="宋体" w:hAnsi="宋体" w:eastAsia="宋体"/>
          <w:color w:val="000000"/>
        </w:rPr>
      </w:r>
      <w:r/>
    </w:p>
    <w:p>
      <w:pPr>
        <w:pStyle w:val="863"/>
        <w:ind w:firstLine="480"/>
        <w:spacing w:line="520" w:lineRule="exact"/>
        <w:rPr>
          <w:rFonts w:hint="eastAsia" w:ascii="宋体" w:hAnsi="宋体" w:eastAsia="宋体"/>
          <w:color w:val="000000"/>
        </w:rPr>
      </w:pPr>
      <w:r>
        <w:rPr>
          <w:rFonts w:hint="eastAsia" w:ascii="宋体" w:hAnsi="宋体" w:eastAsia="宋体"/>
          <w:color w:val="000000"/>
        </w:rPr>
        <w:t xml:space="preserve">（</w:t>
      </w:r>
      <w:r>
        <w:rPr>
          <w:rFonts w:ascii="宋体" w:hAnsi="宋体" w:eastAsia="宋体"/>
          <w:color w:val="000000"/>
        </w:rPr>
        <w:t xml:space="preserve">2</w:t>
      </w:r>
      <w:r>
        <w:rPr>
          <w:rFonts w:hint="eastAsia" w:ascii="宋体" w:hAnsi="宋体" w:eastAsia="宋体"/>
          <w:color w:val="000000"/>
        </w:rPr>
        <w:t xml:space="preserve">）如果乙方未能履行合同规定的其它义务。</w:t>
      </w:r>
      <w:r>
        <w:rPr>
          <w:rFonts w:ascii="宋体" w:hAnsi="宋体" w:eastAsia="宋体"/>
          <w:color w:val="000000"/>
        </w:rPr>
        <w:t xml:space="preserve"> </w:t>
      </w:r>
      <w:r>
        <w:rPr>
          <w:rFonts w:hint="eastAsia" w:ascii="宋体" w:hAnsi="宋体" w:eastAsia="宋体"/>
          <w:color w:val="000000"/>
        </w:rPr>
      </w:r>
      <w:r/>
    </w:p>
    <w:p>
      <w:pPr>
        <w:pStyle w:val="863"/>
        <w:ind w:firstLine="48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.2 </w:t>
      </w:r>
      <w:r>
        <w:rPr>
          <w:rFonts w:hint="eastAsia" w:ascii="宋体" w:hAnsi="宋体" w:eastAsia="宋体"/>
          <w:color w:val="000000"/>
        </w:rPr>
        <w:t xml:space="preserve">在甲方根据第17</w:t>
      </w:r>
      <w:r>
        <w:rPr>
          <w:rFonts w:ascii="宋体" w:hAnsi="宋体" w:eastAsia="宋体"/>
          <w:color w:val="000000"/>
        </w:rPr>
        <w:t xml:space="preserve">.</w:t>
      </w:r>
      <w:r>
        <w:rPr>
          <w:rFonts w:hint="eastAsia" w:ascii="宋体" w:hAnsi="宋体" w:eastAsia="宋体"/>
          <w:color w:val="000000"/>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宋体" w:hAnsi="宋体" w:eastAsia="宋体"/>
          <w:color w:val="000000"/>
        </w:rPr>
      </w:r>
      <w:r/>
    </w:p>
    <w:p>
      <w:pPr>
        <w:pStyle w:val="743"/>
        <w:spacing w:line="520" w:lineRule="exact"/>
        <w:rPr>
          <w:rFonts w:hint="eastAsia" w:hAnsi="宋体"/>
          <w:sz w:val="24"/>
          <w:szCs w:val="24"/>
        </w:rPr>
      </w:pPr>
      <w:r>
        <w:rPr>
          <w:rFonts w:hint="eastAsia" w:hAnsi="宋体"/>
          <w:sz w:val="24"/>
          <w:szCs w:val="24"/>
        </w:rPr>
        <w:t xml:space="preserve">18.破产中止合同</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hint="eastAsia" w:hAnsi="宋体"/>
          <w:sz w:val="24"/>
          <w:szCs w:val="24"/>
        </w:rPr>
      </w:r>
      <w:r/>
    </w:p>
    <w:p>
      <w:pPr>
        <w:pStyle w:val="743"/>
        <w:spacing w:line="520" w:lineRule="exact"/>
        <w:rPr>
          <w:rFonts w:hint="eastAsia" w:hAnsi="宋体"/>
          <w:sz w:val="24"/>
          <w:szCs w:val="24"/>
        </w:rPr>
      </w:pPr>
      <w:r>
        <w:rPr>
          <w:rFonts w:hint="eastAsia" w:hAnsi="宋体"/>
          <w:sz w:val="24"/>
          <w:szCs w:val="24"/>
        </w:rPr>
        <w:t xml:space="preserve">19.转让</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19.1 除甲方事先书面同意外，乙方不得部分转让或全部转让其应履行的合同义务。</w:t>
      </w:r>
      <w:r>
        <w:rPr>
          <w:rFonts w:hint="eastAsia" w:hAnsi="宋体"/>
          <w:sz w:val="24"/>
          <w:szCs w:val="24"/>
        </w:rPr>
      </w:r>
      <w:r/>
    </w:p>
    <w:p>
      <w:pPr>
        <w:pStyle w:val="743"/>
        <w:spacing w:line="520" w:lineRule="exact"/>
        <w:rPr>
          <w:rFonts w:hint="eastAsia" w:hAnsi="宋体"/>
          <w:sz w:val="24"/>
          <w:szCs w:val="24"/>
        </w:rPr>
      </w:pPr>
      <w:r>
        <w:rPr>
          <w:rFonts w:hint="eastAsia" w:hAnsi="宋体"/>
          <w:sz w:val="24"/>
          <w:szCs w:val="24"/>
        </w:rPr>
        <w:t xml:space="preserve">20.合同生效及其它</w:t>
      </w:r>
      <w:r>
        <w:rPr>
          <w:rFonts w:hint="eastAsia" w:hAnsi="宋体"/>
          <w:sz w:val="24"/>
          <w:szCs w:val="24"/>
        </w:rPr>
      </w:r>
      <w:r/>
    </w:p>
    <w:p>
      <w:pPr>
        <w:pStyle w:val="703"/>
        <w:ind w:firstLine="480"/>
        <w:spacing w:line="520" w:lineRule="exact"/>
        <w:rPr>
          <w:rFonts w:hint="eastAsia" w:ascii="宋体" w:hAnsi="宋体"/>
          <w:sz w:val="24"/>
        </w:rPr>
      </w:pPr>
      <w:r>
        <w:rPr>
          <w:rFonts w:hint="eastAsia" w:ascii="宋体" w:hAnsi="宋体"/>
          <w:sz w:val="24"/>
        </w:rPr>
        <w:t xml:space="preserve">20.1甲方的磋商文件、乙方提交的响应文件、本次磋商的成交通知书和磋商过程中乙方的澄清等内容将作为本次采购合同文件的主要内容。乙方在合同履行过程中若发生服务内容缩减、服务不及时的现象，甲方有权对乙方处以适当的经济处罚。</w:t>
      </w:r>
      <w:r>
        <w:rPr>
          <w:rFonts w:hint="eastAsia" w:ascii="宋体" w:hAnsi="宋体"/>
          <w:sz w:val="24"/>
        </w:rPr>
      </w:r>
      <w:r/>
    </w:p>
    <w:p>
      <w:pPr>
        <w:pStyle w:val="743"/>
        <w:ind w:firstLine="480"/>
        <w:spacing w:line="520" w:lineRule="exact"/>
        <w:rPr>
          <w:rFonts w:hint="eastAsia" w:hAnsi="宋体"/>
          <w:sz w:val="24"/>
          <w:szCs w:val="24"/>
        </w:rPr>
      </w:pPr>
      <w:r>
        <w:rPr>
          <w:rFonts w:hint="eastAsia" w:hAnsi="宋体"/>
          <w:sz w:val="24"/>
          <w:szCs w:val="24"/>
        </w:rPr>
        <w:t xml:space="preserve">20.2本合同应在甲乙方双方签字盖章后生效。</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20.3本合同一式叁份，以中文书写，监管部门、甲方各执壹份，乙方执壹份。</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20.4合同货物交付使用后所发生的合同纠纷，甲方与乙方进行处理。</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20.5如需修改或补充合同内容，应经监管部门同意，甲乙双方协商，签署书面修改或补充协议。该协议将作为本合同不可分割的一部分。</w:t>
      </w:r>
      <w:r>
        <w:rPr>
          <w:rFonts w:hint="eastAsia" w:hAnsi="宋体"/>
          <w:sz w:val="24"/>
          <w:szCs w:val="24"/>
        </w:rPr>
      </w:r>
      <w:r/>
    </w:p>
    <w:p>
      <w:pPr>
        <w:pStyle w:val="703"/>
        <w:ind w:firstLine="480"/>
        <w:spacing w:line="520" w:lineRule="exact"/>
        <w:rPr>
          <w:rFonts w:hint="eastAsia" w:ascii="宋体" w:hAnsi="宋体"/>
          <w:sz w:val="24"/>
        </w:rPr>
      </w:pPr>
      <w:r>
        <w:rPr>
          <w:rFonts w:hint="eastAsia" w:ascii="宋体" w:hAnsi="宋体"/>
          <w:sz w:val="24"/>
        </w:rPr>
        <w:t xml:space="preserve">20.6本合同应按照中华人民共和国的现行法律进行解释。</w:t>
      </w:r>
      <w:r>
        <w:rPr>
          <w:rFonts w:hint="eastAsia" w:ascii="宋体" w:hAnsi="宋体"/>
          <w:sz w:val="24"/>
        </w:rPr>
      </w:r>
      <w:r/>
    </w:p>
    <w:p>
      <w:pPr>
        <w:pStyle w:val="703"/>
        <w:ind w:firstLine="482"/>
        <w:jc w:val="center"/>
        <w:spacing w:line="520" w:lineRule="exact"/>
        <w:rPr>
          <w:rFonts w:hint="eastAsia" w:ascii="宋体" w:hAnsi="宋体" w:cs="Arial Unicode MS"/>
          <w:b/>
          <w:sz w:val="24"/>
        </w:rPr>
      </w:pPr>
      <w:r/>
      <w:bookmarkStart w:id="24" w:name="_Toc455472181"/>
      <w:r>
        <w:rPr>
          <w:rFonts w:ascii="宋体" w:hAnsi="宋体" w:cs="Arial Unicode MS"/>
          <w:b/>
          <w:sz w:val="24"/>
        </w:rPr>
        <w:br w:type="page" w:clear="all"/>
      </w:r>
      <w:r>
        <w:rPr>
          <w:rFonts w:hint="eastAsia" w:ascii="宋体" w:hAnsi="宋体" w:cs="Arial Unicode MS"/>
          <w:b/>
          <w:sz w:val="24"/>
        </w:rPr>
        <w:t xml:space="preserve">合同格式</w:t>
      </w:r>
      <w:bookmarkEnd w:id="24"/>
      <w:r>
        <w:rPr>
          <w:rFonts w:hint="eastAsia" w:ascii="宋体" w:hAnsi="宋体" w:cs="Arial Unicode MS"/>
          <w:b/>
          <w:sz w:val="24"/>
        </w:rPr>
      </w:r>
      <w:r/>
    </w:p>
    <w:p>
      <w:pPr>
        <w:pStyle w:val="703"/>
        <w:jc w:val="left"/>
        <w:spacing w:line="520" w:lineRule="exact"/>
        <w:rPr>
          <w:rFonts w:hint="eastAsia" w:ascii="宋体" w:hAnsi="宋体" w:cs="Arial Unicode MS"/>
          <w:sz w:val="24"/>
        </w:rPr>
      </w:pPr>
      <w:r>
        <w:rPr>
          <w:rFonts w:hint="eastAsia" w:ascii="宋体" w:hAnsi="宋体" w:cs="Arial Unicode MS"/>
          <w:sz w:val="24"/>
        </w:rPr>
        <w:t xml:space="preserve">甲方</w:t>
      </w:r>
      <w:r>
        <w:rPr>
          <w:rFonts w:ascii="宋体" w:hAnsi="宋体" w:cs="Arial Unicode MS"/>
          <w:sz w:val="24"/>
        </w:rPr>
        <w:t xml:space="preserve">: </w:t>
      </w:r>
      <w:r>
        <w:rPr>
          <w:rFonts w:hint="eastAsia" w:ascii="宋体" w:hAnsi="宋体" w:cs="Arial Unicode MS"/>
          <w:sz w:val="24"/>
        </w:rPr>
        <w:t xml:space="preserve">涟水县博物馆</w:t>
      </w:r>
      <w:r>
        <w:rPr>
          <w:rFonts w:hint="eastAsia" w:ascii="宋体" w:hAnsi="宋体" w:cs="Arial Unicode MS"/>
          <w:sz w:val="24"/>
        </w:rPr>
      </w:r>
      <w:r/>
    </w:p>
    <w:p>
      <w:pPr>
        <w:pStyle w:val="743"/>
        <w:spacing w:line="520" w:lineRule="exact"/>
        <w:rPr>
          <w:rFonts w:hint="eastAsia" w:hAnsi="宋体"/>
          <w:sz w:val="24"/>
          <w:szCs w:val="24"/>
        </w:rPr>
      </w:pPr>
      <w:r>
        <w:rPr>
          <w:rFonts w:hint="eastAsia" w:hAnsi="宋体" w:cs="Arial Unicode MS"/>
          <w:sz w:val="24"/>
          <w:szCs w:val="24"/>
        </w:rPr>
        <w:t xml:space="preserve">乙方</w:t>
      </w:r>
      <w:r>
        <w:rPr>
          <w:rFonts w:hAnsi="宋体" w:cs="Arial Unicode MS"/>
          <w:sz w:val="24"/>
          <w:szCs w:val="24"/>
        </w:rPr>
        <w:t xml:space="preserve">:</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甲、乙双方根据项目编号</w:t>
      </w:r>
      <w:r>
        <w:rPr>
          <w:rFonts w:hint="eastAsia" w:hAnsi="宋体"/>
          <w:sz w:val="24"/>
          <w:szCs w:val="24"/>
          <w:u w:val="single"/>
        </w:rPr>
        <w:t xml:space="preserve">             </w:t>
      </w:r>
      <w:r>
        <w:rPr>
          <w:rFonts w:hint="eastAsia" w:hAnsi="宋体"/>
          <w:sz w:val="24"/>
          <w:szCs w:val="24"/>
        </w:rPr>
        <w:t xml:space="preserve">的</w:t>
      </w:r>
      <w:r>
        <w:rPr>
          <w:rFonts w:hint="eastAsia" w:hAnsi="宋体"/>
          <w:sz w:val="24"/>
          <w:szCs w:val="24"/>
          <w:u w:val="single"/>
        </w:rPr>
        <w:t xml:space="preserve">            </w:t>
      </w:r>
      <w:r>
        <w:rPr>
          <w:rFonts w:hint="eastAsia" w:hAnsi="宋体"/>
          <w:sz w:val="24"/>
          <w:szCs w:val="24"/>
        </w:rPr>
        <w:t xml:space="preserve">采购项目竞争性磋商采购结果及磋商文件的要求</w:t>
      </w:r>
      <w:r>
        <w:rPr>
          <w:rFonts w:hAnsi="宋体"/>
          <w:sz w:val="24"/>
          <w:szCs w:val="24"/>
        </w:rPr>
        <w:t xml:space="preserve">,</w:t>
      </w:r>
      <w:r>
        <w:rPr>
          <w:rFonts w:hint="eastAsia" w:hAnsi="宋体"/>
          <w:sz w:val="24"/>
          <w:szCs w:val="24"/>
        </w:rPr>
        <w:t xml:space="preserve">经协商一致</w:t>
      </w:r>
      <w:r>
        <w:rPr>
          <w:rFonts w:hAnsi="宋体"/>
          <w:sz w:val="24"/>
          <w:szCs w:val="24"/>
        </w:rPr>
        <w:t xml:space="preserve">,</w:t>
      </w:r>
      <w:r>
        <w:rPr>
          <w:rFonts w:hint="eastAsia" w:hAnsi="宋体"/>
          <w:sz w:val="24"/>
          <w:szCs w:val="24"/>
        </w:rPr>
        <w:t xml:space="preserve">达成如下购销合同</w:t>
      </w:r>
      <w:r>
        <w:rPr>
          <w:rFonts w:hAnsi="宋体"/>
          <w:sz w:val="24"/>
          <w:szCs w:val="24"/>
        </w:rPr>
        <w:t xml:space="preserve">:</w:t>
      </w:r>
      <w:r>
        <w:rPr>
          <w:rFonts w:hint="eastAsia" w:hAnsi="宋体"/>
          <w:sz w:val="24"/>
          <w:szCs w:val="24"/>
        </w:rPr>
      </w:r>
      <w:r/>
    </w:p>
    <w:p>
      <w:pPr>
        <w:pStyle w:val="743"/>
        <w:ind w:firstLine="480"/>
        <w:spacing w:line="520" w:lineRule="exact"/>
        <w:rPr>
          <w:rFonts w:hAnsi="宋体"/>
          <w:sz w:val="24"/>
          <w:szCs w:val="24"/>
        </w:rPr>
      </w:pPr>
      <w:r>
        <w:rPr>
          <w:rFonts w:hint="eastAsia" w:hAnsi="宋体"/>
          <w:sz w:val="24"/>
          <w:szCs w:val="24"/>
        </w:rPr>
        <w:t xml:space="preserve">一、货物及数量</w:t>
      </w:r>
      <w:r>
        <w:rPr>
          <w:rFonts w:hAnsi="宋体"/>
          <w:sz w:val="24"/>
          <w:szCs w:val="24"/>
        </w:rPr>
      </w:r>
      <w:r/>
    </w:p>
    <w:tbl>
      <w:tblPr>
        <w:tblW w:w="1049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851"/>
        <w:gridCol w:w="1559"/>
      </w:tblGrid>
      <w:tr>
        <w:trPr>
          <w:trHeight w:val="680"/>
        </w:trPr>
        <w:tc>
          <w:tcPr>
            <w:tcW w:w="567" w:type="dxa"/>
            <w:vAlign w:val="center"/>
            <w:textDirection w:val="lrTb"/>
            <w:noWrap w:val="false"/>
          </w:tcPr>
          <w:p>
            <w:pPr>
              <w:pStyle w:val="703"/>
              <w:spacing w:line="340" w:lineRule="exac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242"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t xml:space="preserve">货物名称</w:t>
            </w:r>
            <w:r>
              <w:rPr>
                <w:rFonts w:hint="eastAsia" w:ascii="宋体" w:hAnsi="宋体"/>
                <w:sz w:val="24"/>
              </w:rPr>
            </w:r>
            <w:r/>
          </w:p>
        </w:tc>
        <w:tc>
          <w:tcPr>
            <w:tcW w:w="1310"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t xml:space="preserve">品牌型号</w:t>
            </w:r>
            <w:r>
              <w:rPr>
                <w:rFonts w:hint="eastAsia" w:ascii="宋体" w:hAnsi="宋体"/>
                <w:sz w:val="24"/>
              </w:rPr>
            </w:r>
            <w:r/>
          </w:p>
        </w:tc>
        <w:tc>
          <w:tcPr>
            <w:tcW w:w="709" w:type="dxa"/>
            <w:vAlign w:val="center"/>
            <w:textDirection w:val="lrTb"/>
            <w:noWrap w:val="false"/>
          </w:tcPr>
          <w:p>
            <w:pPr>
              <w:pStyle w:val="703"/>
              <w:ind w:left="120" w:hanging="120"/>
              <w:spacing w:line="340" w:lineRule="exact"/>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708" w:type="dxa"/>
            <w:vAlign w:val="center"/>
            <w:textDirection w:val="lrTb"/>
            <w:noWrap w:val="false"/>
          </w:tcPr>
          <w:p>
            <w:pPr>
              <w:pStyle w:val="703"/>
              <w:spacing w:line="340" w:lineRule="exact"/>
              <w:rPr>
                <w:rFonts w:hint="eastAsia" w:ascii="宋体" w:hAnsi="宋体"/>
                <w:sz w:val="24"/>
              </w:rPr>
            </w:pPr>
            <w:r>
              <w:rPr>
                <w:rFonts w:hint="eastAsia" w:ascii="宋体" w:hAnsi="宋体"/>
                <w:sz w:val="24"/>
              </w:rPr>
              <w:t xml:space="preserve">单位</w:t>
            </w: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t xml:space="preserve">单价</w:t>
            </w:r>
            <w:r>
              <w:rPr>
                <w:rFonts w:hint="eastAsia" w:ascii="宋体" w:hAnsi="宋体"/>
                <w:sz w:val="24"/>
              </w:rPr>
            </w:r>
            <w:r/>
          </w:p>
        </w:tc>
        <w:tc>
          <w:tcPr>
            <w:tcW w:w="992"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t xml:space="preserve">总价</w:t>
            </w: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t xml:space="preserve">生产</w:t>
            </w:r>
            <w:r>
              <w:rPr>
                <w:rFonts w:hint="eastAsia" w:ascii="宋体" w:hAnsi="宋体"/>
                <w:sz w:val="24"/>
              </w:rPr>
            </w:r>
            <w:r/>
          </w:p>
          <w:p>
            <w:pPr>
              <w:pStyle w:val="703"/>
              <w:jc w:val="center"/>
              <w:spacing w:line="340" w:lineRule="exact"/>
              <w:rPr>
                <w:rFonts w:hint="eastAsia" w:ascii="宋体" w:hAnsi="宋体"/>
                <w:sz w:val="24"/>
              </w:rPr>
            </w:pPr>
            <w:r>
              <w:rPr>
                <w:rFonts w:hint="eastAsia" w:ascii="宋体" w:hAnsi="宋体"/>
                <w:sz w:val="24"/>
              </w:rPr>
              <w:t xml:space="preserve">厂商</w:t>
            </w:r>
            <w:r>
              <w:rPr>
                <w:rFonts w:hint="eastAsia" w:ascii="宋体" w:hAnsi="宋体"/>
                <w:sz w:val="24"/>
              </w:rPr>
            </w:r>
            <w:r/>
          </w:p>
        </w:tc>
        <w:tc>
          <w:tcPr>
            <w:tcW w:w="850"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t xml:space="preserve">产地</w:t>
            </w: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t xml:space="preserve">质保期</w:t>
            </w:r>
            <w:r>
              <w:rPr>
                <w:rFonts w:hint="eastAsia" w:ascii="宋体" w:hAnsi="宋体"/>
                <w:sz w:val="24"/>
              </w:rPr>
            </w:r>
            <w:r/>
          </w:p>
        </w:tc>
        <w:tc>
          <w:tcPr>
            <w:tcW w:w="1559" w:type="dxa"/>
            <w:vAlign w:val="center"/>
            <w:textDirection w:val="lrTb"/>
            <w:noWrap w:val="false"/>
          </w:tcPr>
          <w:p>
            <w:pPr>
              <w:pStyle w:val="703"/>
              <w:jc w:val="center"/>
              <w:widowControl/>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80"/>
        </w:trPr>
        <w:tc>
          <w:tcPr>
            <w:tcW w:w="567" w:type="dxa"/>
            <w:vAlign w:val="center"/>
            <w:textDirection w:val="lrTb"/>
            <w:noWrap w:val="false"/>
          </w:tcPr>
          <w:p>
            <w:pPr>
              <w:pStyle w:val="703"/>
              <w:spacing w:line="340" w:lineRule="exact"/>
              <w:rPr>
                <w:rFonts w:hint="eastAsia" w:ascii="宋体" w:hAnsi="宋体"/>
                <w:sz w:val="24"/>
              </w:rPr>
            </w:pPr>
            <w:r>
              <w:rPr>
                <w:rFonts w:hint="eastAsia" w:ascii="宋体" w:hAnsi="宋体"/>
                <w:sz w:val="24"/>
              </w:rPr>
            </w:r>
            <w:r/>
          </w:p>
        </w:tc>
        <w:tc>
          <w:tcPr>
            <w:tcW w:w="1242"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1310"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pStyle w:val="703"/>
              <w:ind w:left="120" w:hanging="120"/>
              <w:spacing w:line="34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pStyle w:val="703"/>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992"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850"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703"/>
              <w:jc w:val="center"/>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03"/>
              <w:spacing w:line="340" w:lineRule="exact"/>
              <w:rPr>
                <w:rFonts w:hint="eastAsia" w:ascii="宋体" w:hAnsi="宋体"/>
                <w:sz w:val="24"/>
              </w:rPr>
            </w:pPr>
            <w:r>
              <w:rPr>
                <w:rFonts w:hint="eastAsia" w:ascii="宋体" w:hAnsi="宋体"/>
                <w:sz w:val="24"/>
              </w:rPr>
            </w:r>
            <w:r/>
          </w:p>
        </w:tc>
        <w:tc>
          <w:tcPr>
            <w:tcW w:w="1242"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1310"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pStyle w:val="703"/>
              <w:ind w:left="120" w:hanging="120"/>
              <w:spacing w:line="34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pStyle w:val="703"/>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992"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850"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pStyle w:val="703"/>
              <w:jc w:val="center"/>
              <w:spacing w:line="34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703"/>
              <w:jc w:val="center"/>
              <w:widowControl/>
              <w:rPr>
                <w:rFonts w:hint="eastAsia" w:ascii="宋体" w:hAnsi="宋体"/>
                <w:sz w:val="24"/>
              </w:rPr>
            </w:pPr>
            <w:r>
              <w:rPr>
                <w:rFonts w:hint="eastAsia" w:ascii="宋体" w:hAnsi="宋体"/>
                <w:sz w:val="24"/>
              </w:rPr>
            </w:r>
            <w:r/>
          </w:p>
        </w:tc>
      </w:tr>
      <w:tr>
        <w:trPr>
          <w:trHeight w:val="680"/>
        </w:trPr>
        <w:tc>
          <w:tcPr>
            <w:gridSpan w:val="2"/>
            <w:tcW w:w="1809"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甲方</w:t>
            </w:r>
            <w:r>
              <w:rPr>
                <w:rFonts w:hint="eastAsia" w:ascii="宋体" w:hAnsi="宋体"/>
                <w:sz w:val="24"/>
              </w:rPr>
            </w:r>
            <w:r/>
          </w:p>
        </w:tc>
        <w:tc>
          <w:tcPr>
            <w:gridSpan w:val="9"/>
            <w:tcW w:w="8681"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rPr>
                <w:rFonts w:hint="eastAsia" w:ascii="宋体" w:hAnsi="宋体"/>
                <w:sz w:val="24"/>
              </w:rPr>
            </w:r>
            <w:r/>
          </w:p>
        </w:tc>
      </w:tr>
      <w:tr>
        <w:trPr>
          <w:trHeight w:val="680"/>
        </w:trPr>
        <w:tc>
          <w:tcPr>
            <w:gridSpan w:val="2"/>
            <w:tcW w:w="1809"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乙方</w:t>
            </w:r>
            <w:r>
              <w:rPr>
                <w:rFonts w:hint="eastAsia" w:ascii="宋体" w:hAnsi="宋体"/>
                <w:sz w:val="24"/>
              </w:rPr>
            </w:r>
            <w:r/>
          </w:p>
        </w:tc>
        <w:tc>
          <w:tcPr>
            <w:gridSpan w:val="9"/>
            <w:tcW w:w="8681" w:type="dxa"/>
            <w:vAlign w:val="center"/>
            <w:textDirection w:val="lrTb"/>
            <w:noWrap w:val="false"/>
          </w:tcPr>
          <w:p>
            <w:pPr>
              <w:pStyle w:val="703"/>
              <w:spacing w:line="360" w:lineRule="auto"/>
              <w:rPr>
                <w:rFonts w:hint="eastAsia" w:ascii="宋体" w:hAnsi="宋体"/>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rPr>
                <w:rFonts w:hint="eastAsia" w:ascii="宋体" w:hAnsi="宋体"/>
                <w:sz w:val="24"/>
              </w:rPr>
            </w:r>
            <w:r/>
          </w:p>
        </w:tc>
      </w:tr>
    </w:tbl>
    <w:p>
      <w:pPr>
        <w:pStyle w:val="743"/>
        <w:ind w:firstLine="480"/>
        <w:spacing w:line="520" w:lineRule="exact"/>
        <w:rPr>
          <w:rFonts w:hint="eastAsia" w:hAnsi="宋体"/>
          <w:sz w:val="24"/>
          <w:szCs w:val="24"/>
        </w:rPr>
      </w:pPr>
      <w:r>
        <w:rPr>
          <w:rFonts w:hint="eastAsia" w:hAnsi="宋体"/>
          <w:sz w:val="24"/>
          <w:szCs w:val="24"/>
        </w:rPr>
        <w:t xml:space="preserve">二、合同金额</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本合同的总金额(大写)为___________元人民币。</w:t>
      </w:r>
      <w:r>
        <w:rPr>
          <w:rFonts w:hint="eastAsia" w:hAnsi="宋体"/>
          <w:sz w:val="24"/>
          <w:szCs w:val="24"/>
        </w:rPr>
      </w:r>
      <w:r/>
    </w:p>
    <w:p>
      <w:pPr>
        <w:pStyle w:val="743"/>
        <w:ind w:firstLine="480"/>
        <w:spacing w:line="520" w:lineRule="exact"/>
        <w:rPr>
          <w:rFonts w:hint="eastAsia" w:hAnsi="宋体"/>
          <w:bCs/>
          <w:sz w:val="24"/>
          <w:szCs w:val="24"/>
        </w:rPr>
      </w:pPr>
      <w:r>
        <w:rPr>
          <w:rFonts w:hint="eastAsia" w:hAnsi="宋体"/>
          <w:bCs/>
          <w:sz w:val="24"/>
          <w:szCs w:val="24"/>
        </w:rPr>
        <w:t xml:space="preserve">三、</w:t>
      </w:r>
      <w:r>
        <w:rPr>
          <w:rFonts w:hint="eastAsia" w:hAnsi="宋体"/>
          <w:sz w:val="24"/>
          <w:szCs w:val="24"/>
        </w:rPr>
        <w:t xml:space="preserve">供货时间和地点</w:t>
      </w:r>
      <w:r>
        <w:rPr>
          <w:rFonts w:hint="eastAsia" w:hAnsi="宋体"/>
          <w:bCs/>
          <w:sz w:val="24"/>
          <w:szCs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.供货时间:</w:t>
      </w:r>
      <w:r>
        <w:rPr>
          <w:rFonts w:hint="eastAsia"/>
          <w:sz w:val="24"/>
        </w:rPr>
        <w:t xml:space="preserve"> 合同签订后60日内完成供货</w:t>
      </w:r>
      <w:r>
        <w:rPr>
          <w:rFonts w:hint="eastAsia" w:ascii="宋体" w:hAnsi="宋体"/>
          <w:b/>
          <w:bCs/>
          <w:sz w:val="24"/>
        </w:rPr>
        <w:t xml:space="preserve">。</w:t>
      </w:r>
      <w:r>
        <w:rPr>
          <w:rFonts w:hint="eastAsia" w:ascii="宋体" w:hAnsi="宋体"/>
          <w:sz w:val="24"/>
        </w:rPr>
      </w:r>
      <w:r/>
    </w:p>
    <w:p>
      <w:pPr>
        <w:pStyle w:val="703"/>
        <w:ind w:firstLine="480"/>
        <w:spacing w:line="520" w:lineRule="exact"/>
        <w:rPr>
          <w:rFonts w:hint="eastAsia" w:ascii="宋体" w:hAnsi="宋体" w:cs="Estrangelo Edessa"/>
          <w:b/>
          <w:bCs/>
          <w:sz w:val="24"/>
        </w:rPr>
      </w:pPr>
      <w:r>
        <w:rPr>
          <w:rFonts w:ascii="宋体" w:hAnsi="宋体"/>
          <w:sz w:val="24"/>
        </w:rPr>
        <w:t xml:space="preserve">2</w:t>
      </w:r>
      <w:r>
        <w:rPr>
          <w:rFonts w:hint="eastAsia" w:ascii="宋体" w:hAnsi="宋体"/>
          <w:sz w:val="24"/>
        </w:rPr>
        <w:t xml:space="preserve">.供货地点:</w:t>
      </w:r>
      <w:bookmarkStart w:id="25" w:name="_Hlk118982198"/>
      <w:r>
        <w:rPr>
          <w:rFonts w:hint="eastAsia" w:ascii="宋体" w:hAnsi="宋体"/>
          <w:b/>
          <w:bCs/>
          <w:sz w:val="24"/>
        </w:rPr>
        <w:t xml:space="preserve"> </w:t>
      </w:r>
      <w:bookmarkEnd w:id="25"/>
      <w:r>
        <w:rPr>
          <w:rFonts w:hint="eastAsia" w:ascii="宋体" w:hAnsi="宋体"/>
          <w:sz w:val="24"/>
        </w:rPr>
        <w:t xml:space="preserve">采购单位指定</w:t>
      </w:r>
      <w:r>
        <w:rPr>
          <w:rFonts w:hint="eastAsia" w:ascii="宋体" w:hAnsi="宋体" w:cs="Estrangelo Edessa"/>
          <w:sz w:val="24"/>
        </w:rPr>
        <w:t xml:space="preserve">。</w:t>
      </w:r>
      <w:r>
        <w:rPr>
          <w:rFonts w:hint="eastAsia" w:ascii="宋体" w:hAnsi="宋体" w:cs="Estrangelo Edessa"/>
          <w:b/>
          <w:bCs/>
          <w:sz w:val="24"/>
        </w:rPr>
      </w:r>
      <w:r/>
    </w:p>
    <w:p>
      <w:pPr>
        <w:pStyle w:val="743"/>
        <w:ind w:firstLine="480"/>
        <w:spacing w:line="520" w:lineRule="exact"/>
        <w:rPr>
          <w:rFonts w:hint="eastAsia" w:hAnsi="宋体"/>
          <w:sz w:val="24"/>
          <w:szCs w:val="24"/>
        </w:rPr>
      </w:pPr>
      <w:r>
        <w:rPr>
          <w:rFonts w:hint="eastAsia" w:hAnsi="宋体"/>
          <w:sz w:val="24"/>
          <w:szCs w:val="24"/>
        </w:rPr>
        <w:t xml:space="preserve">四、付款</w:t>
      </w:r>
      <w:r>
        <w:rPr>
          <w:rFonts w:hint="eastAsia" w:hAnsi="宋体"/>
          <w:sz w:val="24"/>
          <w:szCs w:val="24"/>
        </w:rPr>
      </w:r>
      <w:r/>
    </w:p>
    <w:p>
      <w:pPr>
        <w:pStyle w:val="703"/>
        <w:ind w:firstLine="482"/>
        <w:spacing w:line="520" w:lineRule="exact"/>
        <w:rPr>
          <w:rFonts w:hint="eastAsia" w:ascii="宋体" w:hAnsi="宋体"/>
          <w:b/>
          <w:bCs/>
          <w:sz w:val="24"/>
        </w:rPr>
      </w:pPr>
      <w:r>
        <w:rPr>
          <w:rFonts w:hint="eastAsia" w:ascii="宋体" w:hAnsi="宋体"/>
          <w:b/>
          <w:bCs/>
          <w:sz w:val="24"/>
        </w:rPr>
        <w:t xml:space="preserve">合同签订后，支付合同价的40%作为预付款；所有设备安装完毕验收合格后，采购人向成交人一次性无息付清余款。</w:t>
      </w:r>
      <w:r>
        <w:rPr>
          <w:rFonts w:hint="eastAsia" w:ascii="宋体" w:hAnsi="宋体"/>
          <w:b/>
          <w:bCs/>
          <w:sz w:val="24"/>
        </w:rPr>
      </w:r>
      <w:r/>
    </w:p>
    <w:p>
      <w:pPr>
        <w:pStyle w:val="743"/>
        <w:ind w:firstLine="480"/>
        <w:spacing w:line="520" w:lineRule="exact"/>
        <w:rPr>
          <w:rFonts w:hint="eastAsia" w:hAnsi="宋体"/>
          <w:sz w:val="24"/>
          <w:szCs w:val="24"/>
        </w:rPr>
      </w:pPr>
      <w:r>
        <w:rPr>
          <w:rFonts w:hint="eastAsia" w:hAnsi="宋体"/>
          <w:sz w:val="24"/>
          <w:szCs w:val="24"/>
        </w:rPr>
        <w:t xml:space="preserve">五、验收</w:t>
      </w:r>
      <w:r>
        <w:rPr>
          <w:rFonts w:hint="eastAsia" w:hAnsi="宋体"/>
          <w:sz w:val="24"/>
          <w:szCs w:val="24"/>
        </w:rPr>
      </w:r>
      <w:r/>
    </w:p>
    <w:p>
      <w:pPr>
        <w:pStyle w:val="743"/>
        <w:ind w:firstLine="482"/>
        <w:spacing w:line="520" w:lineRule="exact"/>
        <w:rPr>
          <w:rFonts w:hAnsi="宋体"/>
          <w:b/>
          <w:bCs/>
          <w:sz w:val="24"/>
          <w:szCs w:val="24"/>
          <w:highlight w:val="red"/>
        </w:rPr>
      </w:pPr>
      <w:r>
        <w:rPr>
          <w:rFonts w:hint="eastAsia" w:hAnsi="宋体"/>
          <w:b/>
          <w:bCs/>
          <w:sz w:val="24"/>
          <w:szCs w:val="24"/>
        </w:rPr>
        <w:t xml:space="preserve">1.验收时间：交货、安装及调试完毕后10日内完成验收。</w:t>
      </w:r>
      <w:r>
        <w:rPr>
          <w:rFonts w:hAnsi="宋体"/>
          <w:b/>
          <w:bCs/>
          <w:sz w:val="24"/>
          <w:szCs w:val="24"/>
          <w:highlight w:val="red"/>
        </w:rPr>
      </w:r>
      <w:r/>
    </w:p>
    <w:p>
      <w:pPr>
        <w:pStyle w:val="743"/>
        <w:ind w:firstLine="480"/>
        <w:spacing w:line="520" w:lineRule="exact"/>
        <w:rPr>
          <w:rFonts w:hint="eastAsia" w:hAnsi="宋体"/>
          <w:sz w:val="24"/>
          <w:szCs w:val="24"/>
        </w:rPr>
      </w:pPr>
      <w:r>
        <w:rPr>
          <w:rFonts w:hint="eastAsia" w:hAnsi="宋体"/>
          <w:sz w:val="24"/>
          <w:szCs w:val="24"/>
        </w:rPr>
        <w:t xml:space="preserve">2.甲方依法组成验收小组对供应商履约进行验收。如需委托第三方验收，第三方是指：</w:t>
      </w:r>
      <w:r>
        <w:rPr>
          <w:rFonts w:hint="eastAsia" w:hAnsi="宋体"/>
          <w:sz w:val="24"/>
          <w:szCs w:val="24"/>
          <w:u w:val="single"/>
        </w:rPr>
        <w:t xml:space="preserve">       </w:t>
      </w:r>
      <w:r>
        <w:rPr>
          <w:rFonts w:hint="eastAsia" w:hAnsi="宋体"/>
          <w:sz w:val="24"/>
          <w:szCs w:val="24"/>
        </w:rPr>
        <w:t xml:space="preserve">，验收费用由甲方承担。因乙方交付的货物不符合标准导致甲方重复支出的验收费用，由乙方承担。</w:t>
      </w:r>
      <w:r>
        <w:rPr>
          <w:rFonts w:hAnsi="宋体"/>
          <w:sz w:val="24"/>
          <w:szCs w:val="24"/>
        </w:rPr>
        <w:t xml:space="preserve"> </w:t>
      </w:r>
      <w:r>
        <w:rPr>
          <w:rFonts w:hint="eastAsia" w:hAnsi="宋体"/>
          <w:sz w:val="24"/>
          <w:szCs w:val="24"/>
        </w:rPr>
      </w:r>
      <w:r/>
    </w:p>
    <w:p>
      <w:pPr>
        <w:pStyle w:val="743"/>
        <w:ind w:firstLine="480"/>
        <w:spacing w:line="520" w:lineRule="exact"/>
        <w:rPr>
          <w:rFonts w:hAnsi="宋体"/>
          <w:sz w:val="24"/>
          <w:szCs w:val="24"/>
        </w:rPr>
      </w:pPr>
      <w:r>
        <w:rPr>
          <w:rFonts w:hint="eastAsia" w:hAnsi="宋体"/>
          <w:sz w:val="24"/>
          <w:szCs w:val="24"/>
        </w:rPr>
        <w:t xml:space="preserve">六、履约保证金（本项目按下列第</w:t>
      </w:r>
      <w:r>
        <w:rPr>
          <w:rFonts w:hint="eastAsia" w:hAnsi="宋体"/>
          <w:sz w:val="24"/>
          <w:szCs w:val="24"/>
          <w:u w:val="single"/>
        </w:rPr>
        <w:t xml:space="preserve"> 1</w:t>
      </w:r>
      <w:r>
        <w:rPr>
          <w:rFonts w:hAnsi="宋体"/>
          <w:sz w:val="24"/>
          <w:szCs w:val="24"/>
          <w:u w:val="single"/>
        </w:rPr>
        <w:t xml:space="preserve"> </w:t>
      </w:r>
      <w:r>
        <w:rPr>
          <w:rFonts w:hint="eastAsia" w:hAnsi="宋体"/>
          <w:sz w:val="24"/>
          <w:szCs w:val="24"/>
        </w:rPr>
        <w:t xml:space="preserve">条执行）</w:t>
      </w:r>
      <w:r>
        <w:rPr>
          <w:rFonts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1、本项目无需缴纳履约保证金。</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2、为保证合同的顺利执行，成交供应商在领取成交通知书后，签订合同之前，向采购单位缴纳成交价1%的履约保证金，成交供应商自主选择以支票、汇票、本票、保函等形式缴纳或提交。</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3、乙方提供的履约保证金可以是人民币形式（银行本票、汇票、支票、电汇），或银行保函、担保公司的保证担保或保险公司的保证保险等多种形式。</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4、乙方选取银行保函、担保公司的保证担保或保险公司的保证保险等形式的向采购人缴纳的，如保函（担保、保险等）的约定期到期但乙方履约仍未结束的，乙方须进行续保。</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6、如乙方未能履行合同规定的义务，甲方有权从履约保证金中取得补偿。</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8、履约保证金在合同约定期间内不予退还或者应完全有效，履约保证金在项目验收合格后无息退还给乙方。</w:t>
      </w:r>
      <w:r>
        <w:rPr>
          <w:rFonts w:hint="eastAsia" w:hAnsi="宋体"/>
          <w:sz w:val="24"/>
          <w:szCs w:val="24"/>
        </w:rPr>
      </w:r>
      <w:r/>
    </w:p>
    <w:p>
      <w:pPr>
        <w:pStyle w:val="743"/>
        <w:ind w:firstLine="480"/>
        <w:spacing w:line="520" w:lineRule="exact"/>
        <w:rPr>
          <w:rFonts w:hint="eastAsia" w:hAnsi="宋体"/>
          <w:sz w:val="24"/>
          <w:szCs w:val="24"/>
        </w:rPr>
      </w:pPr>
      <w:r>
        <w:rPr>
          <w:rFonts w:hint="eastAsia" w:hAnsi="宋体"/>
          <w:sz w:val="24"/>
          <w:szCs w:val="24"/>
        </w:rPr>
        <w:t xml:space="preserve">七、合同纠纷处理</w:t>
      </w:r>
      <w:r>
        <w:rPr>
          <w:rFonts w:hint="eastAsia" w:hAnsi="宋体"/>
          <w:sz w:val="24"/>
          <w:szCs w:val="24"/>
        </w:rPr>
      </w:r>
      <w:r/>
    </w:p>
    <w:p>
      <w:pPr>
        <w:pStyle w:val="703"/>
        <w:ind w:firstLine="480"/>
        <w:spacing w:line="520" w:lineRule="exact"/>
        <w:rPr>
          <w:rFonts w:hint="eastAsia" w:ascii="宋体" w:hAnsi="宋体"/>
          <w:sz w:val="24"/>
        </w:rPr>
      </w:pPr>
      <w:r>
        <w:rPr>
          <w:rFonts w:hint="eastAsia" w:ascii="宋体" w:hAnsi="宋体"/>
          <w:sz w:val="24"/>
        </w:rPr>
        <w:t xml:space="preserve">本合同执行过程中发生纠纷，由甲乙双方协商解决，若协商不成，作如下</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处理：</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.申请仲裁。</w:t>
      </w:r>
      <w:r>
        <w:rPr>
          <w:rFonts w:hint="eastAsia" w:ascii="宋体" w:hAnsi="宋体"/>
          <w:sz w:val="24"/>
        </w:rPr>
      </w:r>
      <w:r/>
    </w:p>
    <w:p>
      <w:pPr>
        <w:pStyle w:val="703"/>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.提起诉讼。约定由采购人所在地法院管辖。</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八、合同生效及其它</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本合同经甲方、乙方双方授权代表签字盖章后生效。</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九、组成本合同的文件包括</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1.合同主要条款和通用条款；</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2.磋商文件和乙方的响应文件；</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3.成交通知书；</w:t>
      </w:r>
      <w:r>
        <w:rPr>
          <w:rFonts w:ascii="宋体" w:hAnsi="宋体"/>
          <w:sz w:val="24"/>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4.上述合同文件内容互为补充，如有不明确，由甲方负责解释。</w:t>
      </w:r>
      <w:r>
        <w:rPr>
          <w:rFonts w:hint="eastAsia" w:ascii="宋体" w:hAnsi="宋体"/>
          <w:sz w:val="24"/>
        </w:rPr>
      </w:r>
      <w:r/>
    </w:p>
    <w:p>
      <w:pPr>
        <w:pStyle w:val="703"/>
        <w:ind w:firstLine="480"/>
        <w:spacing w:line="460" w:lineRule="exact"/>
        <w:rPr>
          <w:rFonts w:hint="eastAsia" w:ascii="宋体" w:hAnsi="宋体"/>
          <w:sz w:val="24"/>
        </w:rPr>
      </w:pPr>
      <w:r>
        <w:rPr>
          <w:rFonts w:hint="eastAsia" w:ascii="宋体" w:hAnsi="宋体"/>
          <w:sz w:val="24"/>
        </w:rPr>
      </w:r>
      <w:r/>
    </w:p>
    <w:p>
      <w:pPr>
        <w:pStyle w:val="743"/>
        <w:ind w:firstLine="480"/>
        <w:spacing w:line="460" w:lineRule="exact"/>
        <w:rPr>
          <w:rFonts w:hint="eastAsia" w:hAnsi="宋体"/>
          <w:sz w:val="24"/>
          <w:szCs w:val="24"/>
        </w:rPr>
      </w:pPr>
      <w:r>
        <w:rPr>
          <w:rFonts w:hint="eastAsia" w:hAnsi="宋体"/>
          <w:sz w:val="24"/>
          <w:szCs w:val="24"/>
        </w:rPr>
        <w:t xml:space="preserve">甲    方：                          乙    方：</w:t>
      </w:r>
      <w:r>
        <w:rPr>
          <w:rFonts w:hint="eastAsia" w:hAnsi="宋体"/>
          <w:sz w:val="24"/>
          <w:szCs w:val="24"/>
        </w:rPr>
      </w:r>
      <w:r/>
    </w:p>
    <w:p>
      <w:pPr>
        <w:pStyle w:val="743"/>
        <w:ind w:firstLine="480"/>
        <w:spacing w:line="460" w:lineRule="exact"/>
        <w:rPr>
          <w:rFonts w:hint="eastAsia" w:hAnsi="宋体"/>
          <w:sz w:val="24"/>
          <w:szCs w:val="24"/>
        </w:rPr>
      </w:pPr>
      <w:r>
        <w:rPr>
          <w:rFonts w:hint="eastAsia" w:hAnsi="宋体"/>
          <w:sz w:val="24"/>
          <w:szCs w:val="24"/>
        </w:rPr>
        <w:t xml:space="preserve">单位盖章：                          单位盖章：</w:t>
      </w:r>
      <w:r>
        <w:rPr>
          <w:rFonts w:hint="eastAsia" w:hAnsi="宋体"/>
          <w:sz w:val="24"/>
          <w:szCs w:val="24"/>
        </w:rPr>
      </w:r>
      <w:r/>
    </w:p>
    <w:p>
      <w:pPr>
        <w:pStyle w:val="743"/>
        <w:ind w:firstLine="480"/>
        <w:spacing w:line="460" w:lineRule="exact"/>
        <w:rPr>
          <w:rFonts w:hint="eastAsia" w:hAnsi="宋体"/>
          <w:sz w:val="24"/>
          <w:szCs w:val="24"/>
        </w:rPr>
      </w:pPr>
      <w:r>
        <w:rPr>
          <w:rFonts w:hint="eastAsia" w:hAnsi="宋体"/>
          <w:sz w:val="24"/>
          <w:szCs w:val="24"/>
        </w:rPr>
        <w:t xml:space="preserve">法定代表人或授权委托人（签字）：    法定代表人或授权委托人（签字）：</w:t>
      </w:r>
      <w:r>
        <w:rPr>
          <w:rFonts w:hint="eastAsia" w:hAnsi="宋体"/>
          <w:sz w:val="24"/>
          <w:szCs w:val="24"/>
        </w:rPr>
      </w:r>
      <w:r/>
    </w:p>
    <w:p>
      <w:pPr>
        <w:pStyle w:val="703"/>
        <w:ind w:firstLine="480"/>
        <w:spacing w:line="480" w:lineRule="exact"/>
        <w:widowControl/>
        <w:tabs>
          <w:tab w:val="left" w:pos="1980" w:leader="none"/>
        </w:tabs>
        <w:rPr>
          <w:rFonts w:hint="eastAsia" w:ascii="宋体" w:hAnsi="宋体"/>
          <w:sz w:val="24"/>
        </w:rPr>
      </w:pPr>
      <w:r>
        <w:rPr>
          <w:rFonts w:hint="eastAsia" w:hAnsi="宋体"/>
          <w:sz w:val="24"/>
        </w:rPr>
        <w:t xml:space="preserve">签定日期：                          签定日期：</w:t>
      </w:r>
      <w:r>
        <w:rPr>
          <w:rFonts w:hint="eastAsia" w:ascii="宋体" w:hAnsi="宋体"/>
          <w:sz w:val="24"/>
        </w:rPr>
      </w:r>
      <w:r/>
    </w:p>
    <w:p>
      <w:pPr>
        <w:pStyle w:val="705"/>
        <w:jc w:val="center"/>
        <w:spacing w:before="0" w:after="0" w:line="300" w:lineRule="auto"/>
        <w:rPr>
          <w:rFonts w:hint="eastAsia"/>
        </w:rPr>
      </w:pPr>
      <w:r>
        <w:br w:type="page" w:clear="all"/>
      </w:r>
      <w:bookmarkStart w:id="26" w:name="_Toc109231706"/>
      <w:r>
        <w:rPr>
          <w:rFonts w:hint="eastAsia"/>
        </w:rPr>
        <w:t xml:space="preserve">第五部分  项目采购需求</w:t>
      </w:r>
      <w:bookmarkEnd w:id="26"/>
      <w:r>
        <w:rPr>
          <w:rFonts w:hint="eastAsia"/>
        </w:rPr>
      </w:r>
      <w:r/>
    </w:p>
    <w:p>
      <w:pPr>
        <w:pStyle w:val="743"/>
        <w:ind w:firstLine="562"/>
        <w:spacing w:line="540" w:lineRule="exact"/>
        <w:rPr>
          <w:rFonts w:hint="eastAsia" w:ascii="仿宋" w:hAnsi="仿宋" w:eastAsia="仿宋" w:cs="宋体"/>
          <w:b/>
          <w:bCs/>
          <w:sz w:val="28"/>
          <w:szCs w:val="28"/>
        </w:rPr>
      </w:pPr>
      <w:r>
        <w:rPr>
          <w:rFonts w:hint="eastAsia" w:ascii="仿宋" w:hAnsi="仿宋" w:eastAsia="仿宋" w:cs="宋体"/>
          <w:b/>
          <w:bCs/>
          <w:sz w:val="28"/>
          <w:szCs w:val="28"/>
        </w:rPr>
        <w:t xml:space="preserve">一、项目概况</w:t>
      </w:r>
      <w:r>
        <w:rPr>
          <w:rFonts w:hint="eastAsia" w:ascii="仿宋" w:hAnsi="仿宋" w:eastAsia="仿宋" w:cs="宋体"/>
          <w:b/>
          <w:bCs/>
          <w:sz w:val="28"/>
          <w:szCs w:val="28"/>
        </w:rPr>
      </w:r>
      <w:r/>
    </w:p>
    <w:p>
      <w:pPr>
        <w:pStyle w:val="703"/>
        <w:rPr>
          <w:rFonts w:ascii="仿宋" w:hAnsi="仿宋" w:eastAsia="仿宋"/>
        </w:rPr>
      </w:pPr>
      <w:r>
        <w:rPr>
          <w:rFonts w:ascii="仿宋" w:hAnsi="仿宋" w:eastAsia="仿宋"/>
        </w:rPr>
      </w:r>
      <w:r/>
    </w:p>
    <w:tbl>
      <w:tblPr>
        <w:tblW w:w="106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5"/>
        <w:gridCol w:w="8219"/>
        <w:gridCol w:w="936"/>
      </w:tblGrid>
      <w:tr>
        <w:trPr>
          <w:trHeight w:val="780"/>
        </w:trPr>
        <w:tc>
          <w:tcPr>
            <w:tcW w:w="1465" w:type="dxa"/>
            <w:vAlign w:val="center"/>
            <w:textDirection w:val="lrTb"/>
            <w:noWrap/>
          </w:tcPr>
          <w:p>
            <w:pPr>
              <w:pStyle w:val="703"/>
              <w:contextualSpacing/>
              <w:jc w:val="center"/>
              <w:spacing w:line="360" w:lineRule="exact"/>
              <w:rPr>
                <w:rFonts w:hint="eastAsia" w:ascii="宋体" w:hAnsi="宋体" w:cs="宋体"/>
                <w:b/>
                <w:sz w:val="28"/>
                <w:szCs w:val="28"/>
              </w:rPr>
            </w:pPr>
            <w:r>
              <w:rPr>
                <w:rFonts w:hint="eastAsia" w:ascii="宋体" w:hAnsi="宋体" w:cs="宋体"/>
                <w:b/>
                <w:sz w:val="28"/>
                <w:szCs w:val="28"/>
              </w:rPr>
              <w:t xml:space="preserve">名称</w:t>
            </w:r>
            <w:r>
              <w:rPr>
                <w:rFonts w:hint="eastAsia" w:ascii="宋体" w:hAnsi="宋体" w:cs="宋体"/>
                <w:b/>
                <w:sz w:val="28"/>
                <w:szCs w:val="28"/>
              </w:rPr>
            </w:r>
            <w:r/>
          </w:p>
        </w:tc>
        <w:tc>
          <w:tcPr>
            <w:tcW w:w="8219" w:type="dxa"/>
            <w:vAlign w:val="center"/>
            <w:textDirection w:val="lrTb"/>
            <w:noWrap/>
          </w:tcPr>
          <w:p>
            <w:pPr>
              <w:pStyle w:val="703"/>
              <w:contextualSpacing/>
              <w:jc w:val="center"/>
              <w:spacing w:line="360" w:lineRule="exact"/>
              <w:rPr>
                <w:rFonts w:hint="eastAsia" w:ascii="宋体" w:hAnsi="宋体" w:cs="宋体"/>
                <w:b/>
                <w:sz w:val="28"/>
                <w:szCs w:val="28"/>
              </w:rPr>
            </w:pPr>
            <w:r>
              <w:rPr>
                <w:rFonts w:hint="eastAsia" w:ascii="宋体" w:hAnsi="宋体" w:cs="宋体"/>
                <w:b/>
                <w:sz w:val="28"/>
                <w:szCs w:val="28"/>
              </w:rPr>
              <w:t xml:space="preserve">技术参数</w:t>
            </w:r>
            <w:r>
              <w:rPr>
                <w:rFonts w:hint="eastAsia" w:ascii="宋体" w:hAnsi="宋体" w:cs="宋体"/>
                <w:b/>
                <w:sz w:val="28"/>
                <w:szCs w:val="28"/>
              </w:rPr>
            </w:r>
            <w:r/>
          </w:p>
        </w:tc>
        <w:tc>
          <w:tcPr>
            <w:tcW w:w="936" w:type="dxa"/>
            <w:vAlign w:val="center"/>
            <w:textDirection w:val="lrTb"/>
            <w:noWrap/>
          </w:tcPr>
          <w:p>
            <w:pPr>
              <w:pStyle w:val="703"/>
              <w:contextualSpacing/>
              <w:jc w:val="center"/>
              <w:spacing w:line="360" w:lineRule="exact"/>
              <w:rPr>
                <w:rFonts w:hint="eastAsia" w:ascii="宋体" w:hAnsi="宋体" w:cs="宋体"/>
                <w:b/>
                <w:sz w:val="28"/>
                <w:szCs w:val="28"/>
              </w:rPr>
            </w:pPr>
            <w:r>
              <w:rPr>
                <w:rFonts w:hint="eastAsia" w:ascii="宋体" w:hAnsi="宋体" w:cs="宋体"/>
                <w:b/>
                <w:sz w:val="28"/>
                <w:szCs w:val="28"/>
              </w:rPr>
              <w:t xml:space="preserve">数量</w:t>
            </w:r>
            <w:r>
              <w:rPr>
                <w:rFonts w:hint="eastAsia" w:ascii="宋体" w:hAnsi="宋体" w:cs="宋体"/>
                <w:b/>
                <w:sz w:val="28"/>
                <w:szCs w:val="28"/>
              </w:rPr>
            </w:r>
            <w:r/>
          </w:p>
        </w:tc>
      </w:tr>
      <w:tr>
        <w:trPr>
          <w:trHeight w:val="780"/>
        </w:trPr>
        <w:tc>
          <w:tcPr>
            <w:tcW w:w="1465" w:type="dxa"/>
            <w:vAlign w:val="center"/>
            <w:textDirection w:val="lrTb"/>
            <w:noWrap/>
          </w:tcPr>
          <w:p>
            <w:pPr>
              <w:pStyle w:val="703"/>
              <w:contextualSpacing/>
              <w:jc w:val="center"/>
              <w:spacing w:line="360" w:lineRule="exact"/>
              <w:rPr>
                <w:rFonts w:hint="eastAsia" w:ascii="宋体" w:hAnsi="宋体" w:cs="宋体"/>
                <w:bCs/>
                <w:sz w:val="28"/>
                <w:szCs w:val="28"/>
              </w:rPr>
            </w:pPr>
            <w:r>
              <w:rPr>
                <w:rFonts w:hint="eastAsia" w:ascii="宋体" w:hAnsi="宋体" w:cs="宋体"/>
                <w:bCs/>
                <w:szCs w:val="21"/>
              </w:rPr>
              <w:t xml:space="preserve">86寸智能交互多媒体</w:t>
            </w:r>
            <w:r>
              <w:rPr>
                <w:rFonts w:hint="eastAsia" w:ascii="宋体" w:hAnsi="宋体" w:cs="宋体"/>
                <w:bCs/>
                <w:sz w:val="28"/>
                <w:szCs w:val="28"/>
              </w:rPr>
            </w:r>
            <w:r/>
          </w:p>
        </w:tc>
        <w:tc>
          <w:tcPr>
            <w:tcW w:w="8219" w:type="dxa"/>
            <w:vAlign w:val="center"/>
            <w:textDirection w:val="lrTb"/>
            <w:noWrap/>
          </w:tcPr>
          <w:p>
            <w:pPr>
              <w:pStyle w:val="703"/>
              <w:spacing w:before="156"/>
              <w:widowControl/>
              <w:rPr>
                <w:rFonts w:hint="eastAsia" w:ascii="宋体" w:hAnsi="宋体" w:cs="宋体"/>
                <w:bCs/>
                <w:szCs w:val="21"/>
              </w:rPr>
            </w:pPr>
            <w:r>
              <w:rPr>
                <w:rFonts w:hint="eastAsia" w:ascii="宋体" w:hAnsi="宋体" w:cs="宋体"/>
                <w:bCs/>
                <w:szCs w:val="21"/>
              </w:rPr>
              <w:t xml:space="preserve">1.★智能交互多媒体显示尺寸86英寸，分辨率：3840*2160，支持40点同时触控（需提供国家认可认证的检测机构出具的检测报告并加盖供应商电子公章）</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2.智能交互多媒体整机采用三段式一体化结构设计，长度≥4300mm，高度≥1200mm</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3.智能交互多媒体表面玻璃应采用高强度钢化玻璃，玻璃厚度≤3.2mm，硬度可达莫氏7级，高于石墨1-9H硬度</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4.智能交互多媒体需采用电容全贴合设计，屏体表面无可见金属条纹</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5.★智能交互多媒体前面板至少具备1路HDMI接口（非转接），2路USB3.0接口，1路全功能Type-C接口，全功能接口具备音频、视频、数据、触控、充电等功能，外接电脑可调用屏体麦克风、音响、摄像头等数据（需提供国家认可认证的检测机构出具的检测报告并加盖供应商电子公章）</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6.智能交互多媒体后置标配VGA输入≥1路</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7.★智能交互多媒体前置中文按键≥7个，可实现音量加减、窗口关闭、触控开关等功能，且按键均具备两种及以上明确的功能（需提供国家认可认证的检测机构出具的检测报告并加盖供应商电子公章）</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8.整机内置蓝牙Bluetooth 5.4模块，支持连接外部蓝牙音箱播放音频</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9.无需打开智能交互多媒体背板，前置接口面板、前置按键面板、屏体主板、屏体电源板、扬声器支持单独前拆</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10.智能交互多媒体下边框具有4个发声单元，音箱总功率≥60W</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11.★智能交互多媒体具备≥12核芯片驱动， Android 系统版本≥13.0，内存≥4G，存储≥32G（需提供国家认可认证的检测机构出具的检测报告并加盖供应商电子公章）</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12.内置一体化超高清5K摄像头，支持搭配AI软件实现自动点名点数功能</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13.智能交互多媒体左右两侧可提供与教学应用密切相关的快捷键，数量各不少于15个，并支持自定义设置：时间，显示模式，单侧显示、双侧同时显示，该快捷键至少具有关闭窗口，展台，桌面、多屏互动等教学常用按键</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14.★智能交互多媒体采用硬件低蓝光背光技术，在源头减少有害蓝光波段能量，蓝光占比（有害蓝光415～455nm能量综合）/（整体蓝光400～500能量综合）＜50%（需提供国家认可认证的检测机构出具的检测报告并加盖供应商电子公章）</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15.智能交互多媒体背光系统支持DC调光方式，多级亮度调节。</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16.智能交互多媒体全通道支持纸质护眼模式，可实现画面纹理的实时调整；支持纸质纹理：素描纸、宣纸、水彩纸；支持透明度调节与色温调节；显示画面各像素点灰度不规则，减少背景干扰。</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17.通过五指抓取屏幕任意位置可调出多任务处理窗口，并对正在运行的应用进行浏览、快速切换或结束进程</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18.在任意信号源下，从屏幕下方任意位置向上滑动，可调用快捷设置菜单，无需切换系统，并支持拖拽到屏幕任意位置。</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19.侧板板面光泽度需符合 GB28231-2011 标准，不高于8光泽度以免产生眩光</w:t>
            </w:r>
            <w:r>
              <w:rPr>
                <w:rFonts w:hint="eastAsia" w:ascii="宋体" w:hAnsi="宋体" w:cs="宋体"/>
                <w:bCs/>
                <w:szCs w:val="21"/>
              </w:rPr>
            </w:r>
            <w:r/>
          </w:p>
          <w:p>
            <w:pPr>
              <w:pStyle w:val="703"/>
              <w:spacing w:before="156"/>
              <w:widowControl/>
              <w:rPr>
                <w:rFonts w:hint="eastAsia" w:ascii="宋体" w:hAnsi="宋体" w:cs="宋体"/>
                <w:bCs/>
                <w:szCs w:val="21"/>
              </w:rPr>
            </w:pPr>
            <w:r>
              <w:rPr>
                <w:rFonts w:hint="eastAsia" w:ascii="宋体" w:hAnsi="宋体" w:cs="宋体"/>
                <w:bCs/>
                <w:szCs w:val="21"/>
              </w:rPr>
              <w:t xml:space="preserve">20.侧板板面粗糙度需符合 GB28231-2011标准，位于1.6um-2.0um 之间</w:t>
            </w:r>
            <w:r>
              <w:rPr>
                <w:rFonts w:hint="eastAsia" w:ascii="宋体" w:hAnsi="宋体" w:cs="宋体"/>
                <w:bCs/>
                <w:szCs w:val="21"/>
              </w:rPr>
            </w:r>
            <w:r/>
          </w:p>
          <w:p>
            <w:pPr>
              <w:pStyle w:val="703"/>
              <w:spacing w:before="156"/>
              <w:widowControl/>
              <w:rPr>
                <w:rFonts w:hint="eastAsia" w:ascii="宋体" w:hAnsi="宋体" w:cs="宋体"/>
              </w:rPr>
            </w:pPr>
            <w:r>
              <w:rPr>
                <w:rFonts w:hint="eastAsia" w:ascii="宋体" w:hAnsi="宋体" w:cs="宋体"/>
                <w:bCs/>
                <w:szCs w:val="21"/>
              </w:rPr>
              <w:t xml:space="preserve">21.侧板板面抗冲击性需符合GB/T 1732-2020标准，漆膜耐冲击无裂纹现象。</w:t>
            </w:r>
            <w:r>
              <w:rPr>
                <w:rFonts w:hint="eastAsia" w:ascii="宋体" w:hAnsi="宋体" w:cs="宋体"/>
              </w:rPr>
            </w:r>
            <w:r/>
          </w:p>
        </w:tc>
        <w:tc>
          <w:tcPr>
            <w:tcW w:w="936" w:type="dxa"/>
            <w:vAlign w:val="center"/>
            <w:textDirection w:val="lrTb"/>
            <w:noWrap/>
          </w:tcPr>
          <w:p>
            <w:pPr>
              <w:pStyle w:val="703"/>
              <w:spacing w:before="156"/>
              <w:widowControl/>
              <w:rPr>
                <w:rFonts w:ascii="宋体" w:hAnsi="宋体" w:cs="宋体"/>
                <w:bCs/>
                <w:szCs w:val="21"/>
              </w:rPr>
            </w:pPr>
            <w:r>
              <w:rPr>
                <w:rFonts w:hint="eastAsia" w:ascii="宋体" w:hAnsi="宋体" w:cs="宋体"/>
                <w:bCs/>
                <w:szCs w:val="21"/>
              </w:rPr>
              <w:t xml:space="preserve">30</w:t>
            </w:r>
            <w:r>
              <w:rPr>
                <w:rFonts w:ascii="宋体" w:hAnsi="宋体" w:cs="宋体"/>
                <w:bCs/>
                <w:szCs w:val="21"/>
              </w:rPr>
            </w:r>
            <w:r/>
          </w:p>
        </w:tc>
      </w:tr>
      <w:tr>
        <w:trPr>
          <w:trHeight w:val="780"/>
        </w:trPr>
        <w:tc>
          <w:tcPr>
            <w:tcW w:w="1465" w:type="dxa"/>
            <w:vAlign w:val="center"/>
            <w:textDirection w:val="lrTb"/>
            <w:noWrap/>
          </w:tcPr>
          <w:p>
            <w:pPr>
              <w:pStyle w:val="703"/>
              <w:contextualSpacing/>
              <w:jc w:val="center"/>
              <w:spacing w:line="360" w:lineRule="exact"/>
              <w:rPr>
                <w:rFonts w:ascii="宋体" w:hAnsi="宋体" w:cs="宋体"/>
                <w:bCs/>
                <w:szCs w:val="21"/>
              </w:rPr>
            </w:pPr>
            <w:r>
              <w:rPr>
                <w:rFonts w:hint="eastAsia" w:ascii="宋体" w:hAnsi="宋体" w:cs="宋体"/>
                <w:bCs/>
                <w:szCs w:val="21"/>
              </w:rPr>
              <w:t xml:space="preserve">86寸教学一体机</w:t>
            </w:r>
            <w:r>
              <w:rPr>
                <w:rFonts w:ascii="宋体" w:hAnsi="宋体" w:cs="宋体"/>
                <w:bCs/>
                <w:szCs w:val="21"/>
              </w:rPr>
            </w:r>
            <w:r/>
          </w:p>
        </w:tc>
        <w:tc>
          <w:tcPr>
            <w:tcW w:w="8219" w:type="dxa"/>
            <w:vAlign w:val="center"/>
            <w:textDirection w:val="lrTb"/>
            <w:noWrap/>
          </w:tcPr>
          <w:p>
            <w:pPr>
              <w:pStyle w:val="874"/>
              <w:ind w:firstLine="0"/>
              <w:spacing w:before="156"/>
              <w:widowControl/>
              <w:rPr>
                <w:rFonts w:ascii="宋体" w:hAnsi="宋体"/>
                <w:bCs/>
              </w:rPr>
            </w:pPr>
            <w:r>
              <w:rPr>
                <w:rFonts w:hint="eastAsia" w:ascii="宋体" w:hAnsi="宋体"/>
                <w:bCs/>
              </w:rPr>
              <w:t xml:space="preserve">1、★屏体采用A规屏，显示尺寸≥86英寸，分辨率：3840*2160；可视角≥1</w:t>
            </w:r>
            <w:r>
              <w:rPr>
                <w:rFonts w:ascii="宋体" w:hAnsi="宋体"/>
                <w:bCs/>
              </w:rPr>
              <w:t xml:space="preserve">78</w:t>
            </w:r>
            <w:r>
              <w:rPr>
                <w:rFonts w:hint="eastAsia" w:ascii="宋体" w:hAnsi="宋体"/>
                <w:bCs/>
              </w:rPr>
              <w:t xml:space="preserve">°</w:t>
            </w:r>
            <w:r>
              <w:rPr>
                <w:rFonts w:hint="eastAsia" w:ascii="宋体" w:hAnsi="宋体" w:cs="宋体"/>
                <w:bCs/>
                <w:szCs w:val="21"/>
              </w:rPr>
              <w:t xml:space="preserve">（需提供国家认可认证的检测机构出具的检测报告并加盖供应商电子公章）</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2、色彩覆盖率不低于110%，屏幕刷新率可达60Hz画面无闪烁；屏幕最高灰阶≥2</w:t>
            </w:r>
            <w:r>
              <w:rPr>
                <w:rFonts w:ascii="宋体" w:hAnsi="宋体"/>
                <w:bCs/>
              </w:rPr>
              <w:t xml:space="preserve">56</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3、★采用红外全贴合触控技术、光影偏差为0，触控分辨率3</w:t>
            </w:r>
            <w:r>
              <w:rPr>
                <w:rFonts w:ascii="宋体" w:hAnsi="宋体"/>
                <w:bCs/>
              </w:rPr>
              <w:t xml:space="preserve">2768*32768</w:t>
            </w:r>
            <w:r>
              <w:rPr>
                <w:rFonts w:hint="eastAsia" w:ascii="宋体" w:hAnsi="宋体"/>
                <w:bCs/>
              </w:rPr>
              <w:t xml:space="preserve">，支持40点同时触控</w:t>
            </w:r>
            <w:r>
              <w:rPr>
                <w:rFonts w:hint="eastAsia" w:ascii="宋体" w:hAnsi="宋体" w:cs="宋体"/>
                <w:bCs/>
                <w:szCs w:val="21"/>
              </w:rPr>
              <w:t xml:space="preserve">（需提供国家认可认证的检测机构出具的检测报告并加盖供应商电子公章）</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4、采用物理减滤蓝光设计，无需其他操作即可实现防蓝光，在源头减少有害蓝光波段能量，有害蓝光波长415～455nm＜30%</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5、通过DC调光技术、直流信号控制背光亮度，实现稳定光源无频闪，摄像设备拍摄时画面无条纹闪烁</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6、★满足《GB 40070-2021儿童青少年学习用品近视防控卫生要求》，亮度均匀性≥70%，闪烁等级≤-30d</w:t>
            </w:r>
            <w:r>
              <w:rPr>
                <w:rFonts w:ascii="宋体" w:hAnsi="宋体"/>
                <w:bCs/>
              </w:rPr>
              <w:t xml:space="preserve">B</w:t>
            </w:r>
            <w:r>
              <w:rPr>
                <w:rFonts w:hint="eastAsia" w:ascii="宋体" w:hAnsi="宋体"/>
                <w:bCs/>
              </w:rPr>
              <w:t xml:space="preserve">（60Hz）</w:t>
            </w:r>
            <w:r>
              <w:rPr>
                <w:rFonts w:hint="eastAsia" w:ascii="宋体" w:hAnsi="宋体" w:cs="宋体"/>
                <w:bCs/>
                <w:szCs w:val="21"/>
              </w:rPr>
              <w:t xml:space="preserve">（需提供国家认可认证的检测机构出具的检测报告并加盖供应商电子公章）</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7、嵌入式系统可一键进行硬件系统检测，检测类型包括设备类型、设备序列号、屏体信息、屏体温度、CPU使用情况、内存使用情况、存储空间、固件版本信息、厂家信息、内置电脑序列号、系统盘信息、系统CPU使用率、系统内存使用率、显卡驱动等信息；当检测出有问题时，可提供二维码扫码报修；</w:t>
            </w:r>
            <w:r>
              <w:rPr>
                <w:rFonts w:ascii="宋体" w:hAnsi="宋体"/>
                <w:bCs/>
              </w:rPr>
            </w:r>
            <w:r/>
          </w:p>
          <w:p>
            <w:pPr>
              <w:pStyle w:val="703"/>
              <w:spacing w:before="156"/>
              <w:widowControl/>
              <w:rPr>
                <w:rFonts w:ascii="宋体" w:hAnsi="宋体"/>
                <w:bCs/>
              </w:rPr>
            </w:pPr>
            <w:r>
              <w:rPr>
                <w:rFonts w:hint="eastAsia" w:ascii="宋体" w:hAnsi="宋体"/>
                <w:bCs/>
              </w:rPr>
              <w:t xml:space="preserve">8、整机前置接口：≥1路HDMI IN接口（非转接），≥2路USB3.0接口，≥1路USB</w:t>
            </w:r>
            <w:r>
              <w:rPr>
                <w:rFonts w:ascii="宋体" w:hAnsi="宋体"/>
                <w:bCs/>
              </w:rPr>
              <w:t xml:space="preserve"> </w:t>
            </w:r>
            <w:r>
              <w:rPr>
                <w:rFonts w:hint="eastAsia" w:ascii="宋体" w:hAnsi="宋体"/>
                <w:bCs/>
              </w:rPr>
              <w:t xml:space="preserve">Type-C接口;</w:t>
            </w:r>
            <w:r>
              <w:rPr>
                <w:rFonts w:hint="eastAsia" w:ascii="宋体" w:hAnsi="宋体" w:cs="宋体"/>
                <w:bCs/>
                <w:szCs w:val="21"/>
              </w:rPr>
              <w:t xml:space="preserve"> （需提供国家认可认证的检测机构出具的检测报告并加盖供应商电子公章）</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9、整机后置接口RJ45≥1路，音频输入≥1路，RS232≥1路，VGA输入接口≥1路；</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10、★智能 交互平板前置中文物理按键≥7个，通过前置物理按键实现录课、触控开关、音量调节、关闭窗口、恢复出厂设置、截屏、多任务、悬浮菜单自定义等功能；</w:t>
            </w:r>
            <w:r>
              <w:rPr>
                <w:rFonts w:hint="eastAsia" w:ascii="宋体" w:hAnsi="宋体" w:cs="宋体"/>
                <w:bCs/>
                <w:szCs w:val="21"/>
              </w:rPr>
              <w:t xml:space="preserve">（需提供国家认可认证的检测机构出具的检测报告并加盖供应商电子公章）</w:t>
            </w:r>
            <w:r>
              <w:rPr>
                <w:rFonts w:ascii="宋体" w:hAnsi="宋体"/>
                <w:bCs/>
              </w:rPr>
            </w:r>
            <w:r/>
          </w:p>
          <w:p>
            <w:pPr>
              <w:pStyle w:val="874"/>
              <w:ind w:firstLine="0"/>
              <w:spacing w:before="156"/>
              <w:widowControl/>
              <w:rPr>
                <w:rFonts w:ascii="宋体" w:hAnsi="宋体" w:cs="宋体"/>
                <w:bCs/>
                <w:szCs w:val="21"/>
              </w:rPr>
            </w:pPr>
            <w:r>
              <w:rPr>
                <w:rFonts w:hint="eastAsia" w:ascii="宋体" w:hAnsi="宋体"/>
                <w:bCs/>
              </w:rPr>
              <w:t xml:space="preserve">11、★智能 交互平板采用不低于12核国产化驱动芯片，Android 系统版本不低于13.0，内存≥2G</w:t>
            </w:r>
            <w:r>
              <w:rPr>
                <w:rFonts w:ascii="宋体" w:hAnsi="宋体"/>
                <w:bCs/>
              </w:rPr>
              <w:t xml:space="preserve">B</w:t>
            </w:r>
            <w:r>
              <w:rPr>
                <w:rFonts w:hint="eastAsia" w:ascii="宋体" w:hAnsi="宋体"/>
                <w:bCs/>
              </w:rPr>
              <w:t xml:space="preserve">，存储≥8G</w:t>
            </w:r>
            <w:r>
              <w:rPr>
                <w:rFonts w:ascii="宋体" w:hAnsi="宋体"/>
                <w:bCs/>
              </w:rPr>
              <w:t xml:space="preserve">B</w:t>
            </w:r>
            <w:r>
              <w:rPr>
                <w:rFonts w:hint="eastAsia" w:ascii="宋体" w:hAnsi="宋体" w:cs="宋体"/>
                <w:bCs/>
                <w:szCs w:val="21"/>
              </w:rPr>
              <w:t xml:space="preserve">（需提供国家认可认证的检测机构出具的检测报告并加盖供应商电子公章）</w:t>
            </w:r>
            <w:r>
              <w:rPr>
                <w:rFonts w:ascii="宋体" w:hAnsi="宋体" w:cs="宋体"/>
                <w:bCs/>
                <w:szCs w:val="21"/>
              </w:rPr>
            </w:r>
            <w:r/>
          </w:p>
          <w:p>
            <w:pPr>
              <w:pStyle w:val="874"/>
              <w:ind w:firstLine="0"/>
              <w:spacing w:before="156"/>
              <w:widowControl/>
              <w:rPr>
                <w:rFonts w:ascii="宋体" w:hAnsi="宋体"/>
                <w:bCs/>
              </w:rPr>
            </w:pPr>
            <w:r>
              <w:rPr>
                <w:rFonts w:hint="eastAsia" w:ascii="宋体" w:hAnsi="宋体"/>
                <w:bCs/>
              </w:rPr>
              <w:t xml:space="preserve">12、</w:t>
            </w:r>
            <w:r>
              <w:rPr>
                <w:rFonts w:hint="eastAsia" w:ascii="宋体" w:hAnsi="宋体" w:cs="宋体"/>
                <w:bCs/>
                <w:szCs w:val="21"/>
              </w:rPr>
              <w:t xml:space="preserve">教学一体机下边框具有4个发声单元，音箱总功率≥40W</w:t>
            </w:r>
            <w:r>
              <w:rPr>
                <w:rFonts w:ascii="宋体" w:hAnsi="宋体"/>
                <w:bCs/>
              </w:rPr>
            </w:r>
            <w:r/>
          </w:p>
          <w:p>
            <w:pPr>
              <w:pStyle w:val="703"/>
              <w:spacing w:before="156"/>
              <w:widowControl/>
              <w:rPr>
                <w:rFonts w:ascii="宋体" w:hAnsi="宋体"/>
                <w:bCs/>
              </w:rPr>
            </w:pPr>
            <w:r>
              <w:rPr>
                <w:rFonts w:hint="eastAsia" w:ascii="宋体" w:hAnsi="宋体"/>
                <w:bCs/>
              </w:rPr>
              <w:t xml:space="preserve">13、</w:t>
            </w:r>
            <w:r>
              <w:rPr>
                <w:rFonts w:hint="eastAsia" w:ascii="宋体" w:hAnsi="宋体" w:cs="宋体"/>
                <w:bCs/>
                <w:szCs w:val="21"/>
              </w:rPr>
              <w:t xml:space="preserve">内置一体化超高清5K摄像头，支持搭配AI软件实现自动点名点数功能</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14、内置非独立外扩展的4阵列麦克风，拾音角度≥180°，可用于对教室环境音频进行采集，拾音距离≥12m</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15、可接入无线麦克风，通过平板内置音箱扩声，通电不开机状态下也能使用无线麦克风通过本机音箱扩声；</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16、★教学一体机内置蓝牙Bluetooth 5.4模块，支持连接外部蓝牙音箱播放音频;</w:t>
            </w:r>
            <w:r>
              <w:rPr>
                <w:rFonts w:hint="eastAsia" w:ascii="宋体" w:hAnsi="宋体" w:cs="宋体"/>
                <w:bCs/>
                <w:szCs w:val="21"/>
              </w:rPr>
              <w:t xml:space="preserve"> （需提供国家认可认证的检测机构出具的检测报告并加盖供应商电子公章）</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在任意信号源下，从屏幕下方任意位置向上滑动，可调用快捷设置菜单；无需切换系统，可快速调节Windows 和Android 的设置，并支持拖拽到屏幕任意位置</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17、通过手势操作在屏幕任意位置可调出多任务处理窗口，并对正在运行的应用进行浏览、快速切换或结束进程；</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18、为节约用电，整机具备自动待机功能，在无操作或无信号输入时，自动进入待机节能状态，时间间隔可自定义；</w:t>
            </w:r>
            <w:r>
              <w:rPr>
                <w:rFonts w:ascii="宋体" w:hAnsi="宋体"/>
                <w:bCs/>
              </w:rPr>
            </w:r>
            <w:r/>
          </w:p>
          <w:p>
            <w:pPr>
              <w:pStyle w:val="874"/>
              <w:ind w:firstLine="0"/>
              <w:spacing w:before="156"/>
              <w:widowControl/>
              <w:rPr>
                <w:rFonts w:ascii="宋体" w:hAnsi="宋体"/>
                <w:bCs/>
              </w:rPr>
            </w:pPr>
            <w:r>
              <w:rPr>
                <w:rFonts w:hint="eastAsia" w:ascii="宋体" w:hAnsi="宋体"/>
                <w:bCs/>
              </w:rPr>
              <w:t xml:space="preserve">19、为满足教学过程中多场景应用需求，可通过多指长按屏幕部分达到息屏及屏幕唤醒功能，可根据实际教学应用开启或关闭此功能；</w:t>
            </w:r>
            <w:r>
              <w:rPr>
                <w:rFonts w:ascii="宋体" w:hAnsi="宋体"/>
                <w:bCs/>
              </w:rPr>
            </w:r>
            <w:r/>
          </w:p>
          <w:p>
            <w:pPr>
              <w:pStyle w:val="703"/>
              <w:spacing w:before="156"/>
              <w:widowControl/>
              <w:rPr>
                <w:rFonts w:hint="eastAsia" w:ascii="宋体" w:hAnsi="宋体" w:cs="宋体"/>
                <w:bCs/>
                <w:szCs w:val="21"/>
              </w:rPr>
            </w:pPr>
            <w:r>
              <w:rPr>
                <w:rFonts w:hint="eastAsia" w:ascii="宋体" w:hAnsi="宋体"/>
                <w:bCs/>
              </w:rPr>
              <w:t xml:space="preserve">20、★教学一体机触摸支持动态压力模拟，支持无任何电子功能的普通书写笔，在交互平板上书写或点压时，整机能感应压力变化，书写或点压过程笔迹呈现不同粗细。</w:t>
            </w:r>
            <w:r>
              <w:rPr>
                <w:rFonts w:hint="eastAsia" w:ascii="宋体" w:hAnsi="宋体" w:cs="宋体"/>
                <w:bCs/>
                <w:szCs w:val="21"/>
              </w:rPr>
              <w:t xml:space="preserve">（需提供国家认可认证的检测机构出具的检测报告并加盖供应商电子公章）</w:t>
            </w:r>
            <w:r>
              <w:rPr>
                <w:rFonts w:hint="eastAsia" w:ascii="宋体" w:hAnsi="宋体" w:cs="宋体"/>
                <w:bCs/>
                <w:szCs w:val="21"/>
              </w:rPr>
            </w:r>
            <w:r/>
          </w:p>
        </w:tc>
        <w:tc>
          <w:tcPr>
            <w:tcW w:w="936" w:type="dxa"/>
            <w:vAlign w:val="center"/>
            <w:textDirection w:val="lrTb"/>
            <w:noWrap/>
          </w:tcPr>
          <w:p>
            <w:pPr>
              <w:pStyle w:val="703"/>
              <w:spacing w:before="156"/>
              <w:widowControl/>
              <w:rPr>
                <w:rFonts w:ascii="宋体" w:hAnsi="宋体"/>
                <w:bCs/>
              </w:rPr>
            </w:pPr>
            <w:r>
              <w:rPr>
                <w:rFonts w:hint="eastAsia" w:ascii="宋体" w:hAnsi="宋体"/>
                <w:bCs/>
              </w:rPr>
              <w:t xml:space="preserve">40</w:t>
            </w:r>
            <w:r>
              <w:rPr>
                <w:rFonts w:ascii="宋体" w:hAnsi="宋体"/>
                <w:bCs/>
              </w:rPr>
            </w:r>
            <w:r/>
          </w:p>
        </w:tc>
      </w:tr>
      <w:tr>
        <w:trPr/>
        <w:tc>
          <w:tcPr>
            <w:tcW w:w="1465" w:type="dxa"/>
            <w:vAlign w:val="center"/>
            <w:textDirection w:val="lrTb"/>
            <w:noWrap/>
          </w:tcPr>
          <w:p>
            <w:pPr>
              <w:pStyle w:val="703"/>
              <w:contextualSpacing/>
              <w:ind w:firstLine="420"/>
              <w:spacing w:line="360" w:lineRule="exact"/>
              <w:rPr>
                <w:rFonts w:ascii="宋体" w:hAnsi="宋体" w:cs="宋体"/>
                <w:bCs/>
                <w:szCs w:val="21"/>
              </w:rPr>
            </w:pPr>
            <w:r>
              <w:rPr>
                <w:rFonts w:hint="eastAsia" w:ascii="宋体" w:hAnsi="宋体" w:cs="宋体"/>
                <w:bCs/>
                <w:szCs w:val="21"/>
              </w:rPr>
              <w:t xml:space="preserve">多媒体教学软件</w:t>
            </w:r>
            <w:r>
              <w:rPr>
                <w:rFonts w:ascii="宋体" w:hAnsi="宋体" w:cs="宋体"/>
                <w:bCs/>
                <w:szCs w:val="21"/>
              </w:rPr>
            </w:r>
            <w:r/>
          </w:p>
        </w:tc>
        <w:tc>
          <w:tcPr>
            <w:tcW w:w="8219"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一、备课模式</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1.★老师个人账号无需完成特定任务，即可获取不少于200GB云端存储空间，可扩展至3TB云存储空间。（需提供国家认可认证的检测机构出具的检测报告并加盖供应商电子公章）</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2.提供预置的课件素材，允许老师在网页端、移动端、电脑端进行内容的选择与组合，快速生成课件并浏览，所有制作的课件均实时保存至云端，老师只需登录即可查看。</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3.支持老师根据教材章节目录、知识点选择对应的教学内容。老师仅需要按每个教学环节选择所需的教学模块即可快速生成一份课件。每个课时均提供过量的教学内容模块，满足老师的个性化需求。</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4.教学模块提供教学设计和课件内容，部分课件提供课件批注，帮助老师更好地选择、运用课件内容。</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5.支持教师对课件知识点进行评价。</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6.软件支持单独PPT 导入功能，并支持导入进度条提示功能，可查看当前导入进度，上传完成后具有中文提供功能。</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7.提供模块化的课件素材和教案，学科涵盖小学语文、初中语文、小学数学、初中数学、高中数学、小学英语、初中英语、小学科学、初中物理、初中化学等学科 (教材版本覆盖部编版、人教版、教科版、外研新标准版、北师大版、冀教版、中图版等教材版本)，课件支持组选：课堂导入，知识讲解，例题与变式，拓展延伸，课外活动等，课件总课时量不低于 3600 个课时。</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8.提供语文生字卡片、英语生词卡片、化学工具编辑器、数学工具编辑器、物理仿真实验、英文手写识别等学课工具。</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9.提供知识配对、分类、填空、连词成句、翻翻卡、消消乐8种类型的课堂活动，老师备课时通过活动模板即可快速制作活动，支持编辑好的课堂活动添加到我的课堂活动，实现任意课件的随时引用，提供3种活动组件，包括骰子、大转盘、随机数，活动组件可选择不同的外观，可设置转盘个数和随机数上限，帮助老师活跃课堂气氛。</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二、授课模式</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绿板状态支持显示文件、工具和应用的便捷入口，当开始批注且绿板上有笔迹时，自动隐藏便捷入口，清除笔迹时，自动恢复显示便捷入口；（需提供国家认可认证的检测机构出具的检测报告并加盖供应商电子公章）</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2.★支持单指长按屏幕任意空白区域呼出便捷入口（文件、工具、应用、一键收起）（需提供国家认可认证的检测机构出具的检测报告并加盖供应商电子公章）</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3.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4.文件入口支持拉起其他网盘，包含4种常用的三方网盘入口</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5.★工具条支持上下移动，支持收起/展开，工具条支持批注、清页、文件、工具、应用切换、更多；工具子菜单支持屏幕拖动（需提供国家认可认证的检测机构出具的检测报告并加盖供应商电子公章）</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6.支持使用教辅工具，包含截图、时钟、放大镜、聚光灯、黑屏、随机数、骰子和大转盘8种；无论绿板状态、多文件全屏播放状态以及三方应用拉起状态均支持使用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7.★支持打开本机文件、U盘文件等本地文件；不需导入，可直接打开本地视频、音频、图片、离线教学课件、PPT&amp;PPTX、PDF文件、DOC&amp;DOCX文件及swf文件；支持不少于20个文件窗口同屏播放显示，满足多素材授课需求。支持批注的文件类型包含PPT&amp;PPTX、图片、PDF、DOC&amp;DOCX（需提供国家认可认证的检测机构出具的检测报告并加盖供应商电子公章）</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8.支持展示当前已打开的文件，点击实现文件窗口的便捷切换，支持文件一键全部最小化，支持双击标题栏实现文件全屏播放</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9.文件窗口之间可进行独立批注；当起笔落点在绿板上时，识别为绿板批注，当起笔落点在小窗口时，识别为小窗口文件批注；文件大小窗口批注同步，可实现翻页跟随；绿板批注可以跟随绿板漫游；不少于9种笔型，6种颜色可选</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10.支持展示当前打开的文件列表，按照打开的时间倒叙排序，点击可进行便捷进行文件切换</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三、移动家校互动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1.老师可通过移动端进行课件的组合，并浏览已经组好的课件及其教学设计。</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2.支持老师在移动端对学生进行点评，点评可撤回、删除或重置。</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3.支持老师在移动端添加学生、自定义评价项，评价项提供表扬和待改进各不少于11种模板，自定义评价项提供默认图标，可进行分值的设置。</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4.支持查看全班所有老师和自己的当日、本周、上周、本月、近一年的评价报表、明细及班级排名。</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5.支持向家长发送教学拓展或学习任务，可向一个或多个班级中的全部或个别成员发送，家长单独收到，支持撰写1000字以内的文字，支持图片、拍照、语音、文件、课件、作业等附件，支持 老师对已收到的任务进行快速批改，并将批改结果反馈至家长端，预置不少于4种评语，支持以免费短信的形式提醒未查看或未反馈的家长。</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6.支持老师发起周期性的打卡任务，可设置任务的频次及周期，预置不少于 9 个打卡活动的模板，包括每日朗读等，同时可设置每天固定时间段进行提醒，且老师可以对学生的打卡结果进行点评，家长之间可以互评。</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7.班级内成员可通过移动端进行面容录入，用于课堂 AI 互动与智能云考勤使用。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8.支持接收老师的通知、打卡、课件、教学拓展任务、一对一消息及讨论组内消息，通知支持进行回执选择，打卡、教学拓展任务支持以文字、语音、图片、视频的形式提交。</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9.支持接收和查看学生当日、本周、月度及年度的课堂表现评价统计报表，并可具体查看到每一条评价的原因、评价者和分值。</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10.支持撰写请假条发给老师，老师批复后可查看到。</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四、录课助手</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1.支持屏幕、屏幕+摄像头等多种形式的录制，也可结合录播系统进行全景录制；</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2.支持对视频清晰度的调整，提供高清、超清、超高清的切换，方便在手机、电脑或者大屏上观看；</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3.具有便捷的录制工具条，可快速录制，可移动，3s 无操作即变为半透明；可实时查看录制进度，进行暂停、 开始、结束操作；</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4.录制过程中支持随时开启分享功能，实现即时直播，听课端无需下载软件，扫描二维码即可进入直播课堂并进行互动；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5.在桌面及摄像头录制场景下，能自动侦测摄像头，可识别出展台摄像头，同时支持摄像头 画面的切换、移动及大小的调整；</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五、电子黑板贴：</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教室内智能交互设备上点击电子黑板贴，可实现屏幕截图，实时语文、数学、外语、值日、通知等学科分类任务预留，截图操作灵活方便，支持手势拖拽边框缩放大小，可选择区域显示范围。（需提供国家认可认证的检测机构出具的检测报告并加盖供应商电子公章）</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2.在智能交互设备上可分类查看，同时也可发送至班级展示设备同步分类展示。</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智能交互设备上可查看/删除已留任务/通知内容，按学科语、数、外、通知等类别分别展示和查看，多图轮播，支持手势点击放大图片，手势滑动图片。</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★多媒体教学软件支持对接国产化操作系统（麒麟或者统信），提供相关国产化系统软件公司（麒麟或者统信）兼容的认证证书复印件并加盖投标人公章</w:t>
            </w:r>
            <w:r>
              <w:rPr>
                <w:rFonts w:hint="eastAsia" w:ascii="宋体" w:hAnsi="宋体" w:cs="宋体"/>
                <w:bCs/>
                <w:szCs w:val="21"/>
              </w:rPr>
            </w:r>
            <w:r/>
          </w:p>
          <w:p>
            <w:pPr>
              <w:pStyle w:val="703"/>
              <w:contextualSpacing/>
              <w:spacing w:line="360" w:lineRule="exact"/>
              <w:rPr>
                <w:rFonts w:hint="eastAsia" w:ascii="宋体" w:hAnsi="宋体" w:cs="宋体"/>
              </w:rPr>
            </w:pPr>
            <w:r>
              <w:rPr>
                <w:rFonts w:hint="eastAsia" w:ascii="宋体" w:hAnsi="宋体" w:cs="宋体"/>
                <w:bCs/>
                <w:szCs w:val="21"/>
              </w:rPr>
              <w:t xml:space="preserve">★多媒体教学软件需与智能交互多媒体、教学一体机同一品牌</w:t>
            </w:r>
            <w:r>
              <w:rPr>
                <w:rFonts w:hint="eastAsia" w:ascii="宋体" w:hAnsi="宋体" w:cs="宋体"/>
              </w:rPr>
            </w:r>
            <w:r/>
          </w:p>
        </w:tc>
        <w:tc>
          <w:tcPr>
            <w:tcW w:w="936" w:type="dxa"/>
            <w:vAlign w:val="center"/>
            <w:textDirection w:val="lrTb"/>
            <w:noWrap/>
          </w:tcPr>
          <w:p>
            <w:pPr>
              <w:pStyle w:val="703"/>
              <w:contextualSpacing/>
              <w:spacing w:line="360" w:lineRule="exact"/>
              <w:rPr>
                <w:rFonts w:ascii="宋体" w:hAnsi="宋体" w:cs="宋体"/>
                <w:bCs/>
                <w:szCs w:val="21"/>
              </w:rPr>
            </w:pPr>
            <w:r>
              <w:rPr>
                <w:rFonts w:hint="eastAsia" w:ascii="宋体" w:hAnsi="宋体" w:cs="宋体"/>
                <w:bCs/>
                <w:szCs w:val="21"/>
              </w:rPr>
              <w:t xml:space="preserve">70</w:t>
            </w:r>
            <w:r>
              <w:rPr>
                <w:rFonts w:ascii="宋体" w:hAnsi="宋体" w:cs="宋体"/>
                <w:bCs/>
                <w:szCs w:val="21"/>
              </w:rPr>
            </w:r>
            <w:r/>
          </w:p>
        </w:tc>
      </w:tr>
      <w:tr>
        <w:trPr>
          <w:trHeight w:val="1494"/>
        </w:trPr>
        <w:tc>
          <w:tcPr>
            <w:tcW w:w="1465"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视频展台</w:t>
            </w:r>
            <w:r>
              <w:rPr>
                <w:rFonts w:hint="eastAsia" w:ascii="宋体" w:hAnsi="宋体" w:cs="宋体"/>
                <w:bCs/>
                <w:szCs w:val="21"/>
              </w:rPr>
            </w:r>
            <w:r/>
          </w:p>
        </w:tc>
        <w:tc>
          <w:tcPr>
            <w:tcW w:w="8219"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1、★双摄像头像素要求：摄像头（一）≥1400 万；摄像头（二）≥1400 万；（需提供国家认可认证的检测机构出具的检测报告并加盖供应商电子公章）</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2、无损变焦：接力变焦≥4 倍无损变焦，数字变焦：≥12 倍数字变焦；</w:t>
            </w:r>
            <w:r>
              <w:rPr>
                <w:rFonts w:hint="eastAsia" w:ascii="宋体" w:hAnsi="宋体" w:cs="宋体"/>
                <w:bCs/>
                <w:szCs w:val="21"/>
              </w:rPr>
            </w:r>
            <w:r/>
          </w:p>
          <w:p>
            <w:pPr>
              <w:pStyle w:val="703"/>
              <w:contextualSpacing/>
              <w:spacing w:line="360" w:lineRule="exact"/>
              <w:tabs>
                <w:tab w:val="left" w:pos="5781" w:leader="none"/>
              </w:tabs>
              <w:rPr>
                <w:rFonts w:hint="eastAsia" w:ascii="宋体" w:hAnsi="宋体" w:cs="宋体"/>
                <w:bCs/>
                <w:szCs w:val="21"/>
              </w:rPr>
            </w:pPr>
            <w:r>
              <w:rPr>
                <w:rFonts w:hint="eastAsia" w:ascii="宋体" w:hAnsi="宋体" w:cs="宋体"/>
                <w:bCs/>
                <w:szCs w:val="21"/>
              </w:rPr>
              <w:t xml:space="preserve">3.支持对展台画面进行放大、缩小、旋转等操作。</w:t>
            </w:r>
            <w:r>
              <w:rPr>
                <w:rFonts w:hint="eastAsia" w:ascii="宋体" w:hAnsi="宋体" w:cs="宋体"/>
                <w:bCs/>
                <w:szCs w:val="21"/>
              </w:rPr>
              <w:tab/>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4.具备多图预览比对、图像增强等多情景模式功能。</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★5.展台需与智能交互多媒体、教学一体机为同一品牌</w:t>
            </w:r>
            <w:r>
              <w:rPr>
                <w:rFonts w:hint="eastAsia" w:ascii="宋体" w:hAnsi="宋体" w:cs="宋体"/>
                <w:bCs/>
                <w:szCs w:val="21"/>
              </w:rPr>
            </w:r>
            <w:r/>
          </w:p>
        </w:tc>
        <w:tc>
          <w:tcPr>
            <w:tcW w:w="936" w:type="dxa"/>
            <w:vAlign w:val="center"/>
            <w:textDirection w:val="lrTb"/>
            <w:noWrap/>
          </w:tcPr>
          <w:p>
            <w:pPr>
              <w:pStyle w:val="703"/>
              <w:contextualSpacing/>
              <w:spacing w:line="360" w:lineRule="exact"/>
              <w:rPr>
                <w:rFonts w:ascii="宋体" w:hAnsi="宋体" w:cs="宋体"/>
                <w:bCs/>
                <w:szCs w:val="21"/>
              </w:rPr>
            </w:pPr>
            <w:r>
              <w:rPr>
                <w:rFonts w:hint="eastAsia" w:ascii="宋体" w:hAnsi="宋体" w:cs="宋体"/>
                <w:bCs/>
                <w:szCs w:val="21"/>
              </w:rPr>
              <w:t xml:space="preserve">70</w:t>
            </w:r>
            <w:r>
              <w:rPr>
                <w:rFonts w:ascii="宋体" w:hAnsi="宋体" w:cs="宋体"/>
                <w:bCs/>
                <w:szCs w:val="21"/>
              </w:rPr>
            </w:r>
            <w:r/>
          </w:p>
        </w:tc>
      </w:tr>
      <w:tr>
        <w:trPr/>
        <w:tc>
          <w:tcPr>
            <w:tcW w:w="1465"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集中云平台</w:t>
            </w:r>
            <w:r>
              <w:rPr>
                <w:rFonts w:hint="eastAsia" w:ascii="宋体" w:hAnsi="宋体" w:cs="宋体"/>
                <w:bCs/>
                <w:szCs w:val="21"/>
              </w:rPr>
            </w:r>
            <w:r/>
          </w:p>
        </w:tc>
        <w:tc>
          <w:tcPr>
            <w:tcW w:w="8219"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一、服务端软件</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1.后台控制端采用 B/S 架构设计，可在 Windows、Linux、Android、IOS 等多种不同的操作系统上通过网页浏览器登录进行操作；</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二、设备控制</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1.设备详情：查看局域网内所有设备的状态，包括在线、离线状态、教室名称、内存使用率、CPU使用率、C盘使用率； </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2.远程监控：实时监控当前设备桌面，支持同时查看设备使用情况；</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3.即时/定时操作控制：批量对选定的受控设备进行关机；</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4远程控制：可远程控制所选择设备桌面，方便用户管理；</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5.控制列表：支持查看控制列表，查看立即控制、定时计划、信息发布、课间文化等内容；可对具体某项定时操作进行撤销； </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6.发布信息：可即时向任意选定的设备发布纯文本信息，支持常驻桌面型、滚动发布型及气泡弹出提示等方式，可设置播放时长，支持再次编辑；支持设置字体及字体颜色； </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7.文件分发：支持多文件推送至任意选定的设备，包括文本、图片、pdf、word、excel、ppt、flash、音视频； </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8.软件管理：可上传软件至集控平台，自动下发至桌面，便于管理终端软件；</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9.课间文化：选择音/视频下发至大屏，自定义时间自动播放；无需部署本地服务器；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10.巡课管理：默认查看当前屏幕画面，可一键切换为摄像头画面，通过摄像头获取当前教室画面；无需部署本地服务器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三、数据统计</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以图文形式对设备的使用情况进行数据统计，可以按照一定时间周期进行统计，也支持按日、周、月进行统计；</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统计内容包括设备数量、设备开机率、设备开机时长、软件使用活跃度、设备活跃度排行、设备使用时长分布、设备在线数量、学科使用统计等； </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四、音视频直播 </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1.音视频直播一体化，随时切换音频/视频直播；</w:t>
            </w: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2.音视频直播：用户可预约直播，选择日期、时间进行预约。</w:t>
            </w:r>
            <w:r>
              <w:rPr>
                <w:rFonts w:hint="eastAsia" w:ascii="宋体" w:hAnsi="宋体" w:cs="宋体"/>
                <w:bCs/>
                <w:szCs w:val="21"/>
              </w:rPr>
            </w:r>
            <w:r/>
          </w:p>
          <w:p>
            <w:pPr>
              <w:pStyle w:val="703"/>
              <w:contextualSpacing/>
              <w:spacing w:line="360" w:lineRule="exact"/>
              <w:rPr>
                <w:rFonts w:hint="eastAsia" w:ascii="宋体" w:hAnsi="宋体" w:cs="宋体"/>
              </w:rPr>
            </w:pPr>
            <w:r>
              <w:rPr>
                <w:rFonts w:hint="eastAsia" w:ascii="宋体" w:hAnsi="宋体" w:cs="宋体"/>
                <w:bCs/>
                <w:szCs w:val="21"/>
              </w:rPr>
              <w:t xml:space="preserve">★集中云平台需与智能交互多媒体、教学一体机为同一品牌</w:t>
            </w:r>
            <w:r>
              <w:rPr>
                <w:rFonts w:hint="eastAsia" w:ascii="宋体" w:hAnsi="宋体" w:cs="宋体"/>
              </w:rPr>
            </w:r>
            <w:r/>
          </w:p>
        </w:tc>
        <w:tc>
          <w:tcPr>
            <w:tcW w:w="936" w:type="dxa"/>
            <w:vAlign w:val="center"/>
            <w:textDirection w:val="lrTb"/>
            <w:noWrap/>
          </w:tcPr>
          <w:p>
            <w:pPr>
              <w:pStyle w:val="703"/>
              <w:contextualSpacing/>
              <w:spacing w:line="360" w:lineRule="exact"/>
              <w:rPr>
                <w:rFonts w:ascii="宋体" w:hAnsi="宋体" w:cs="宋体"/>
                <w:bCs/>
                <w:szCs w:val="21"/>
              </w:rPr>
            </w:pPr>
            <w:r>
              <w:rPr>
                <w:rFonts w:hint="eastAsia" w:ascii="宋体" w:hAnsi="宋体" w:cs="宋体"/>
                <w:bCs/>
                <w:szCs w:val="21"/>
              </w:rPr>
              <w:t xml:space="preserve">70</w:t>
            </w:r>
            <w:r>
              <w:rPr>
                <w:rFonts w:ascii="宋体" w:hAnsi="宋体" w:cs="宋体"/>
                <w:bCs/>
                <w:szCs w:val="21"/>
              </w:rPr>
            </w:r>
            <w:r/>
          </w:p>
        </w:tc>
      </w:tr>
      <w:tr>
        <w:trPr/>
        <w:tc>
          <w:tcPr>
            <w:tcW w:w="1465"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多屏互动软件</w:t>
            </w:r>
            <w:r>
              <w:rPr>
                <w:rFonts w:hint="eastAsia" w:ascii="宋体" w:hAnsi="宋体" w:cs="宋体"/>
                <w:bCs/>
                <w:szCs w:val="21"/>
              </w:rPr>
            </w:r>
            <w:r/>
          </w:p>
        </w:tc>
        <w:tc>
          <w:tcPr>
            <w:tcW w:w="8219"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1、支持影响上传，支持对上传的图片内容再次编辑如裁剪、旋转等操作，并且可同时上传多张照片进行同屏对比，双向批注；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2、软件具备投屏功能，支持手机投屏和电脑投屏；</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3、软件具备课件播放功能，可以一键打开电脑桌面课件并播放，课件支持播放列表，可快速选择PPT或白板课件进行播放；</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4、为更好的实现课堂互动，软件支持直播功能，支持一键切换前后置摄像头，方便老师和学生进行互动，并且可以作为移动展台使用；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5、支持从移动端直接打开接收端U盘，支持U盘文件列表，自主选择文件打开，支持U盘文件分类；</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6、可实现一键切换电脑窗口文件功能；可实现触摸板功能：手机可模拟鼠标操作PC端画面；可实现电脑管理功能：手机可远程操作PC端电脑关闭或重启。</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★多屏互动软件需与智能交互多媒体、教学一体机为同一品牌</w:t>
            </w:r>
            <w:r>
              <w:rPr>
                <w:rFonts w:hint="eastAsia" w:ascii="宋体" w:hAnsi="宋体" w:cs="宋体"/>
                <w:bCs/>
                <w:szCs w:val="21"/>
              </w:rPr>
            </w:r>
            <w:r/>
          </w:p>
        </w:tc>
        <w:tc>
          <w:tcPr>
            <w:tcW w:w="936" w:type="dxa"/>
            <w:vAlign w:val="center"/>
            <w:textDirection w:val="lrTb"/>
            <w:noWrap/>
          </w:tcPr>
          <w:p>
            <w:pPr>
              <w:pStyle w:val="703"/>
              <w:contextualSpacing/>
              <w:spacing w:line="360" w:lineRule="exact"/>
              <w:rPr>
                <w:rFonts w:ascii="宋体" w:hAnsi="宋体" w:cs="宋体"/>
                <w:bCs/>
                <w:szCs w:val="21"/>
              </w:rPr>
            </w:pPr>
            <w:r>
              <w:rPr>
                <w:rFonts w:hint="eastAsia" w:ascii="宋体" w:hAnsi="宋体" w:cs="宋体"/>
                <w:bCs/>
                <w:szCs w:val="21"/>
              </w:rPr>
              <w:t xml:space="preserve">70</w:t>
            </w:r>
            <w:r>
              <w:rPr>
                <w:rFonts w:ascii="宋体" w:hAnsi="宋体" w:cs="宋体"/>
                <w:bCs/>
                <w:szCs w:val="21"/>
              </w:rPr>
            </w:r>
            <w:r/>
          </w:p>
        </w:tc>
      </w:tr>
      <w:tr>
        <w:trPr/>
        <w:tc>
          <w:tcPr>
            <w:tcW w:w="1465"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系统管家</w:t>
            </w:r>
            <w:r>
              <w:rPr>
                <w:rFonts w:hint="eastAsia" w:ascii="宋体" w:hAnsi="宋体" w:cs="宋体"/>
                <w:bCs/>
                <w:szCs w:val="21"/>
              </w:rPr>
            </w:r>
            <w:r/>
          </w:p>
        </w:tc>
        <w:tc>
          <w:tcPr>
            <w:tcW w:w="8219"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1.部署简单，设备连通互联网，输入对应学校编码，自动识别终端设备类型，完成部署；</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2.系统依据学校名称自动生成学校编码，支持扫描二维码查询学校编码；</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3.窗口支持最小化隐藏到系统托盘，不影响教师日常使用；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4.一键查看设备连接信息，包含Windows/office版本，硬盘、CPU、蓝牙状态（关闭状态下可进行开启）、内存、网络状态、OPS S/N号、固件版本号；</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5.系统还原、备份：一键备份数据并可系统还原至最新备份系统，解决系统异常等问题，如无最新备份系统，备份还原状态需要与硬件一键备份还原保持一致；</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6.弹窗拦截：提供广告拦截 ，对广告弹窗实现一键拦截，默认直接开启拦截；</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7.  查看各软件弹窗拦截次数，拦截数量，所有拦截记录等，可提供软件拦截名单；</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8.  看直播：展示该终端可看到的所有直播，在直播时间内，可进入直播进行观看；</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9.  驱动程序：自动识别设备，获取当前设备驱动，可下载、升级至最新驱动；</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10. 支持终端自动升级；</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★系统管家需与智能交互多媒体、教学一体机为同一品牌</w:t>
            </w:r>
            <w:r>
              <w:rPr>
                <w:rFonts w:hint="eastAsia" w:ascii="宋体" w:hAnsi="宋体" w:cs="宋体"/>
                <w:bCs/>
                <w:szCs w:val="21"/>
              </w:rPr>
            </w:r>
            <w:r/>
          </w:p>
        </w:tc>
        <w:tc>
          <w:tcPr>
            <w:tcW w:w="936" w:type="dxa"/>
            <w:vAlign w:val="center"/>
            <w:textDirection w:val="lrTb"/>
            <w:noWrap/>
          </w:tcPr>
          <w:p>
            <w:pPr>
              <w:pStyle w:val="703"/>
              <w:contextualSpacing/>
              <w:spacing w:line="360" w:lineRule="exact"/>
              <w:rPr>
                <w:rFonts w:ascii="宋体" w:hAnsi="宋体" w:cs="宋体"/>
                <w:bCs/>
                <w:szCs w:val="21"/>
              </w:rPr>
            </w:pPr>
            <w:r>
              <w:rPr>
                <w:rFonts w:hint="eastAsia" w:ascii="宋体" w:hAnsi="宋体" w:cs="宋体"/>
                <w:bCs/>
                <w:szCs w:val="21"/>
              </w:rPr>
              <w:t xml:space="preserve">70</w:t>
            </w:r>
            <w:r>
              <w:rPr>
                <w:rFonts w:ascii="宋体" w:hAnsi="宋体" w:cs="宋体"/>
                <w:bCs/>
                <w:szCs w:val="21"/>
              </w:rPr>
            </w:r>
            <w:r/>
          </w:p>
        </w:tc>
      </w:tr>
      <w:tr>
        <w:trPr/>
        <w:tc>
          <w:tcPr>
            <w:tcW w:w="1465" w:type="dxa"/>
            <w:vAlign w:val="center"/>
            <w:textDirection w:val="lrTb"/>
            <w:noWrap/>
          </w:tcPr>
          <w:p>
            <w:pPr>
              <w:pStyle w:val="912"/>
              <w:ind w:firstLine="0"/>
              <w:spacing w:after="200" w:line="276" w:lineRule="auto"/>
              <w:rPr>
                <w:rFonts w:hint="eastAsia" w:ascii="宋体" w:hAnsi="宋体" w:eastAsia="宋体" w:cs="宋体"/>
                <w:bCs/>
              </w:rPr>
            </w:pPr>
            <w:r>
              <w:rPr>
                <w:rFonts w:hint="eastAsia" w:ascii="宋体" w:hAnsi="宋体" w:eastAsia="宋体" w:cs="宋体"/>
                <w:bCs/>
              </w:rPr>
              <w:t xml:space="preserve">网络研修平台</w:t>
            </w:r>
            <w:r>
              <w:rPr>
                <w:rFonts w:hint="eastAsia" w:ascii="宋体" w:hAnsi="宋体" w:eastAsia="宋体" w:cs="宋体"/>
                <w:bCs/>
              </w:rPr>
            </w:r>
            <w:r/>
          </w:p>
        </w:tc>
        <w:tc>
          <w:tcPr>
            <w:tcW w:w="8219" w:type="dxa"/>
            <w:vAlign w:val="center"/>
            <w:textDirection w:val="lrTb"/>
            <w:noWrap/>
          </w:tcPr>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网络研修平台具有：研活动、听评课、评优课 三大功能                    </w:t>
            </w:r>
            <w:r>
              <w:rPr>
                <w:rFonts w:hint="eastAsia" w:ascii="宋体" w:hAnsi="宋体" w:eastAsia="宋体" w:cs="宋体"/>
                <w:bCs/>
              </w:rPr>
              <w:t xml:space="preserve">                                                                                    研活动                                                                                                                                                                         </w:t>
            </w:r>
            <w:r>
              <w:rPr>
                <w:rFonts w:hint="eastAsia" w:ascii="宋体" w:hAnsi="宋体" w:eastAsia="宋体" w:cs="宋体"/>
                <w:bCs/>
                <w:sz w:val="24"/>
              </w:rPr>
              <w:t xml:space="preserve">★ </w:t>
            </w:r>
            <w:r>
              <w:rPr>
                <w:rFonts w:hint="eastAsia" w:ascii="宋体" w:hAnsi="宋体" w:eastAsia="宋体" w:cs="宋体"/>
                <w:bCs/>
              </w:rPr>
              <w:t xml:space="preserve">1）研活动广场可概览所有活动，支持通过关键字在广场上搜索相应活动、广场活动智能/最新/最热排序、发布研修任务总数/提交任务成果总数/人均提交任务成果次数/平均参与度等数据统计。（提供官方研修平台网址(网站备案号)、功能截图等证明文件描件并加盖供应商电子签章） </w:t>
            </w:r>
            <w:r>
              <w:rPr>
                <w:rFonts w:hint="eastAsia" w:ascii="宋体" w:hAnsi="宋体" w:eastAsia="宋体" w:cs="宋体"/>
                <w:bCs/>
              </w:rPr>
            </w:r>
            <w:r/>
          </w:p>
          <w:p>
            <w:pPr>
              <w:pStyle w:val="912"/>
              <w:ind w:firstLine="210"/>
              <w:spacing w:after="200" w:line="276" w:lineRule="auto"/>
              <w:rPr>
                <w:rFonts w:hint="eastAsia" w:ascii="宋体" w:hAnsi="宋体" w:eastAsia="宋体" w:cs="宋体"/>
                <w:bCs/>
              </w:rPr>
            </w:pPr>
            <w:r>
              <w:rPr>
                <w:rFonts w:hint="eastAsia" w:ascii="宋体" w:hAnsi="宋体" w:eastAsia="宋体" w:cs="宋体"/>
                <w:bCs/>
              </w:rPr>
              <w:t xml:space="preserve">2）研活动可以即时开启、关闭、分享。</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3）学科组长/管理员可通过添加人员的方式使成员进入到活动中。（提供官方研修平台网址(网站备案号)、功能截图等证明文件描件并加盖供应商电子签章，不提供作负偏离处理）</w:t>
            </w:r>
            <w:r>
              <w:rPr>
                <w:rFonts w:hint="eastAsia" w:ascii="宋体" w:hAnsi="宋体" w:eastAsia="宋体" w:cs="宋体"/>
                <w:bCs/>
              </w:rPr>
            </w:r>
            <w:r/>
          </w:p>
          <w:p>
            <w:pPr>
              <w:pStyle w:val="912"/>
              <w:ind w:firstLine="240"/>
              <w:spacing w:after="200" w:line="276" w:lineRule="auto"/>
              <w:rPr>
                <w:rFonts w:hint="eastAsia" w:ascii="宋体" w:hAnsi="宋体" w:eastAsia="宋体" w:cs="宋体"/>
                <w:bCs/>
              </w:rPr>
            </w:pPr>
            <w:r>
              <w:rPr>
                <w:rFonts w:hint="eastAsia" w:ascii="宋体" w:hAnsi="宋体" w:eastAsia="宋体" w:cs="宋体"/>
                <w:bCs/>
                <w:sz w:val="24"/>
              </w:rPr>
              <w:t xml:space="preserve">★</w:t>
            </w:r>
            <w:r>
              <w:rPr>
                <w:rFonts w:hint="eastAsia" w:ascii="宋体" w:hAnsi="宋体" w:eastAsia="宋体" w:cs="宋体"/>
                <w:bCs/>
              </w:rPr>
              <w:t xml:space="preserve">4）学科组长/管理员可指定1位或多位团队成员成为评审员。（提供官方研修平台网址(网站备案号)、功能截图等证明文件扫描件并加盖供应商电子签章） </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5）学科组长/管理员及评审员进行成果点评（评星、评语、评为优秀成果、成果退回、成果下载等功能）。</w:t>
            </w:r>
            <w:r>
              <w:rPr>
                <w:rFonts w:hint="eastAsia" w:ascii="宋体" w:hAnsi="宋体" w:eastAsia="宋体" w:cs="宋体"/>
                <w:bCs/>
              </w:rPr>
            </w:r>
            <w:r/>
          </w:p>
          <w:p>
            <w:pPr>
              <w:pStyle w:val="912"/>
              <w:ind w:left="420" w:firstLine="0"/>
              <w:spacing w:after="200" w:line="276" w:lineRule="auto"/>
              <w:rPr>
                <w:rFonts w:hint="eastAsia" w:ascii="宋体" w:hAnsi="宋体" w:eastAsia="宋体" w:cs="宋体"/>
                <w:bCs/>
              </w:rPr>
            </w:pPr>
            <w:r>
              <w:rPr>
                <w:rFonts w:hint="eastAsia" w:ascii="宋体" w:hAnsi="宋体" w:eastAsia="宋体" w:cs="宋体"/>
                <w:bCs/>
              </w:rPr>
              <w:t xml:space="preserve">听评课                                                                                                                               1）听评课广场可概览发布的所有听评课，支持通过关键字在广场上搜索相应听评课活动、广场听评课活动智能/最新/最热排序。</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2）听评课广场也支持教师根据“未开始” “进行中” “已结束”的听评课状态快速定位某个或某几个听评课活动，也支持教师个人根据“我发布的” “我参与的”状态检索查看自己参与过的听评课活动。</w:t>
            </w:r>
            <w:r>
              <w:rPr>
                <w:rFonts w:hint="eastAsia" w:ascii="宋体" w:hAnsi="宋体" w:eastAsia="宋体" w:cs="宋体"/>
                <w:bCs/>
              </w:rPr>
            </w:r>
            <w:r/>
          </w:p>
          <w:p>
            <w:pPr>
              <w:pStyle w:val="912"/>
              <w:ind w:firstLine="480"/>
              <w:spacing w:after="200" w:line="276" w:lineRule="auto"/>
              <w:rPr>
                <w:rFonts w:hint="eastAsia" w:ascii="宋体" w:hAnsi="宋体" w:eastAsia="宋体" w:cs="宋体"/>
                <w:bCs/>
              </w:rPr>
            </w:pPr>
            <w:r>
              <w:rPr>
                <w:rFonts w:hint="eastAsia" w:ascii="宋体" w:hAnsi="宋体" w:eastAsia="宋体" w:cs="宋体"/>
                <w:bCs/>
                <w:sz w:val="24"/>
              </w:rPr>
              <w:t xml:space="preserve">★</w:t>
            </w:r>
            <w:r>
              <w:rPr>
                <w:rFonts w:hint="eastAsia" w:ascii="宋体" w:hAnsi="宋体" w:eastAsia="宋体" w:cs="宋体"/>
                <w:bCs/>
              </w:rPr>
              <w:t xml:space="preserve">3）发布课例听评课、直播听评课、现场听评课三种类型的任务、任务内容的编辑/删除（提供官方研修平台网址(网站备案号)、功能截图等证明文件扫描件并加盖供应商电子签章）                  </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4）可以即时分享听评课活动。</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5）发布听评课任务时选用评课量表有两种方式：平台默认量表，自定义创建量表。既满足教师快速发布听评课任务，也满足教师创建个性化的评课量表。                                                                                                                         </w:t>
            </w:r>
            <w:r>
              <w:rPr>
                <w:rFonts w:hint="eastAsia" w:ascii="宋体" w:hAnsi="宋体" w:eastAsia="宋体" w:cs="宋体"/>
                <w:bCs/>
              </w:rPr>
              <w:t xml:space="preserve">                                                                                                                                                                                                                                                                </w:t>
            </w:r>
            <w:r>
              <w:rPr>
                <w:rFonts w:hint="eastAsia" w:ascii="宋体" w:hAnsi="宋体" w:eastAsia="宋体" w:cs="宋体"/>
                <w:b/>
              </w:rPr>
              <w:t xml:space="preserve">评优课  </w:t>
            </w:r>
            <w:r>
              <w:rPr>
                <w:rFonts w:hint="eastAsia" w:ascii="宋体" w:hAnsi="宋体" w:eastAsia="宋体" w:cs="宋体"/>
                <w:bCs/>
              </w:rPr>
              <w:t xml:space="preserve">                                                                                                                                                                             1）评优课广场可概览发布的所有评优课活动概览，支持通过关键字在广场上搜索相应评优课活动、广场评优课活动智能/最新/最热排序</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2）评优课活动广场支持优课活动的“未开始”“进行中”“已结束”状态的筛选；支持“我创建的”“我管理的”“我参与的”优课活动快速检索</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3）支持学科组长/管理员创建优课活动（基础信息+活动设置），支持的活动设置有：“自主报名或邀请特定人员参与”方式，“大众网络评选、评委评审”方式，自定义评分量表、奖项设置、评委是否公开</w:t>
            </w:r>
            <w:r>
              <w:rPr>
                <w:rFonts w:hint="eastAsia" w:ascii="宋体" w:hAnsi="宋体" w:eastAsia="宋体" w:cs="宋体"/>
                <w:bCs/>
              </w:rPr>
            </w:r>
            <w:r/>
          </w:p>
          <w:p>
            <w:pPr>
              <w:pStyle w:val="912"/>
              <w:ind w:firstLine="420"/>
              <w:spacing w:after="200" w:line="276" w:lineRule="auto"/>
              <w:rPr>
                <w:rFonts w:hint="eastAsia" w:ascii="宋体" w:hAnsi="宋体" w:eastAsia="宋体" w:cs="宋体"/>
                <w:bCs/>
              </w:rPr>
            </w:pPr>
            <w:r>
              <w:rPr>
                <w:rFonts w:hint="eastAsia" w:ascii="宋体" w:hAnsi="宋体" w:eastAsia="宋体" w:cs="宋体"/>
                <w:bCs/>
              </w:rPr>
              <w:t xml:space="preserve">4）支持评优课活动的分享,支持学科组长/管理员在报名开始前对活动方案进行编辑、删除 </w:t>
            </w:r>
            <w:r>
              <w:rPr>
                <w:rFonts w:hint="eastAsia" w:ascii="宋体" w:hAnsi="宋体" w:eastAsia="宋体" w:cs="宋体"/>
                <w:bCs/>
              </w:rPr>
            </w:r>
            <w:r/>
          </w:p>
          <w:p>
            <w:pPr>
              <w:pStyle w:val="912"/>
              <w:ind w:firstLine="480"/>
              <w:spacing w:after="200" w:line="276" w:lineRule="auto"/>
              <w:rPr>
                <w:rFonts w:hint="eastAsia" w:ascii="宋体" w:hAnsi="宋体" w:eastAsia="宋体" w:cs="宋体"/>
                <w:bCs/>
              </w:rPr>
            </w:pPr>
            <w:r>
              <w:rPr>
                <w:rFonts w:hint="eastAsia" w:ascii="宋体" w:hAnsi="宋体" w:eastAsia="宋体" w:cs="宋体"/>
                <w:bCs/>
                <w:sz w:val="24"/>
              </w:rPr>
              <w:t xml:space="preserve">★</w:t>
            </w:r>
            <w:r>
              <w:rPr>
                <w:rFonts w:hint="eastAsia" w:ascii="宋体" w:hAnsi="宋体" w:eastAsia="宋体" w:cs="宋体"/>
                <w:bCs/>
              </w:rPr>
              <w:t xml:space="preserve">5）支持用户在“优课作品”列表界面对审核通过的课例做“学段”“年级”“学科”（自定义标签）的快速检索筛选（提供官方研修平台网址(网站备案号)、功能截图等证明文件扫描件并加盖供应商电子签章）</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6）支持整个活动过程中，学科组长/管理员通过“活动跟进”随时查看活动开展情况：报名跟进、评审跟进、优课管理                                                                                       ★网络研修平台需与智能交互多媒体、教学一体机为同一品牌</w:t>
            </w:r>
            <w:r>
              <w:rPr>
                <w:rFonts w:hint="eastAsia" w:ascii="宋体" w:hAnsi="宋体" w:eastAsia="宋体" w:cs="宋体"/>
                <w:bCs/>
              </w:rPr>
            </w:r>
            <w:r/>
          </w:p>
        </w:tc>
        <w:tc>
          <w:tcPr>
            <w:tcW w:w="936" w:type="dxa"/>
            <w:vAlign w:val="center"/>
            <w:textDirection w:val="lrTb"/>
            <w:noWrap/>
          </w:tcPr>
          <w:p>
            <w:pPr>
              <w:pStyle w:val="912"/>
              <w:spacing w:after="200" w:line="276" w:lineRule="auto"/>
              <w:rPr>
                <w:rFonts w:ascii="宋体" w:hAnsi="宋体" w:eastAsia="宋体" w:cs="宋体"/>
                <w:bCs/>
              </w:rPr>
            </w:pPr>
            <w:r>
              <w:rPr>
                <w:rFonts w:hint="eastAsia" w:ascii="宋体" w:hAnsi="宋体" w:eastAsia="宋体" w:cs="宋体"/>
                <w:bCs/>
              </w:rPr>
              <w:t xml:space="preserve">2</w:t>
            </w:r>
            <w:r>
              <w:rPr>
                <w:rFonts w:ascii="宋体" w:hAnsi="宋体" w:eastAsia="宋体" w:cs="宋体"/>
                <w:bCs/>
              </w:rPr>
            </w:r>
            <w:r/>
          </w:p>
        </w:tc>
      </w:tr>
      <w:tr>
        <w:trPr/>
        <w:tc>
          <w:tcPr>
            <w:tcW w:w="1465" w:type="dxa"/>
            <w:vAlign w:val="center"/>
            <w:textDirection w:val="lrTb"/>
            <w:noWrap/>
          </w:tcPr>
          <w:p>
            <w:pPr>
              <w:pStyle w:val="912"/>
              <w:ind w:firstLine="0"/>
              <w:spacing w:after="200" w:line="276" w:lineRule="auto"/>
              <w:rPr>
                <w:rFonts w:hint="eastAsia" w:ascii="宋体" w:hAnsi="宋体" w:eastAsia="宋体" w:cs="宋体"/>
                <w:bCs/>
              </w:rPr>
            </w:pPr>
            <w:r>
              <w:rPr>
                <w:rFonts w:hint="eastAsia" w:ascii="宋体" w:hAnsi="宋体" w:eastAsia="宋体" w:cs="宋体"/>
                <w:bCs/>
              </w:rPr>
            </w:r>
            <w:r/>
          </w:p>
          <w:p>
            <w:pPr>
              <w:pStyle w:val="912"/>
              <w:ind w:firstLine="0"/>
              <w:spacing w:after="200" w:line="276" w:lineRule="auto"/>
              <w:rPr>
                <w:rFonts w:hint="eastAsia" w:ascii="宋体" w:hAnsi="宋体" w:eastAsia="宋体" w:cs="宋体"/>
                <w:bCs/>
              </w:rPr>
            </w:pPr>
            <w:r>
              <w:rPr>
                <w:rFonts w:hint="eastAsia" w:ascii="宋体" w:hAnsi="宋体" w:eastAsia="宋体" w:cs="宋体"/>
                <w:bCs/>
              </w:rPr>
            </w:r>
            <w:r/>
          </w:p>
          <w:p>
            <w:pPr>
              <w:pStyle w:val="912"/>
              <w:ind w:firstLine="0"/>
              <w:spacing w:after="200" w:line="276" w:lineRule="auto"/>
              <w:rPr>
                <w:rFonts w:hint="eastAsia" w:ascii="宋体" w:hAnsi="宋体" w:eastAsia="宋体" w:cs="宋体"/>
                <w:bCs/>
              </w:rPr>
            </w:pPr>
            <w:r>
              <w:rPr>
                <w:rFonts w:hint="eastAsia" w:ascii="宋体" w:hAnsi="宋体" w:eastAsia="宋体" w:cs="宋体"/>
                <w:bCs/>
              </w:rPr>
            </w:r>
            <w:r/>
          </w:p>
          <w:p>
            <w:pPr>
              <w:pStyle w:val="912"/>
              <w:ind w:firstLine="0"/>
              <w:spacing w:after="200" w:line="276" w:lineRule="auto"/>
              <w:rPr>
                <w:rFonts w:hint="eastAsia" w:ascii="宋体" w:hAnsi="宋体" w:eastAsia="宋体" w:cs="宋体"/>
                <w:bCs/>
              </w:rPr>
            </w:pPr>
            <w:r>
              <w:rPr>
                <w:rFonts w:hint="eastAsia" w:ascii="宋体" w:hAnsi="宋体" w:eastAsia="宋体" w:cs="宋体"/>
                <w:bCs/>
              </w:rPr>
            </w:r>
            <w:r/>
          </w:p>
          <w:p>
            <w:pPr>
              <w:pStyle w:val="912"/>
              <w:ind w:firstLine="0"/>
              <w:spacing w:after="200" w:line="276" w:lineRule="auto"/>
              <w:rPr>
                <w:rFonts w:hint="eastAsia" w:ascii="宋体" w:hAnsi="宋体" w:eastAsia="宋体" w:cs="宋体"/>
                <w:bCs/>
              </w:rPr>
            </w:pPr>
            <w:r>
              <w:rPr>
                <w:rFonts w:hint="eastAsia" w:ascii="宋体" w:hAnsi="宋体" w:eastAsia="宋体" w:cs="宋体"/>
                <w:bCs/>
              </w:rPr>
              <w:t xml:space="preserve">AI课堂分析平台</w:t>
            </w:r>
            <w:r>
              <w:rPr>
                <w:rFonts w:hint="eastAsia" w:ascii="宋体" w:hAnsi="宋体" w:eastAsia="宋体" w:cs="宋体"/>
                <w:bCs/>
              </w:rPr>
            </w:r>
            <w:r/>
          </w:p>
        </w:tc>
        <w:tc>
          <w:tcPr>
            <w:tcW w:w="8219" w:type="dxa"/>
            <w:vAlign w:val="center"/>
            <w:textDirection w:val="lrTb"/>
            <w:noWrap/>
          </w:tcPr>
          <w:p>
            <w:pPr>
              <w:pStyle w:val="912"/>
              <w:spacing w:after="200" w:line="276" w:lineRule="auto"/>
              <w:rPr>
                <w:rFonts w:hint="eastAsia" w:ascii="宋体" w:hAnsi="宋体" w:eastAsia="宋体" w:cs="宋体"/>
                <w:bCs/>
              </w:rPr>
            </w:pPr>
            <w:r>
              <w:rPr>
                <w:rFonts w:hint="eastAsia" w:ascii="宋体" w:hAnsi="宋体" w:eastAsia="宋体" w:cs="宋体"/>
                <w:bCs/>
              </w:rPr>
              <w:t xml:space="preserve">一.平台基础</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1.平台架构：平台采用B/S架构进行设计，支持谷歌、微软、360等主流浏览器的访问，方便用户进行平台的使用;</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2.AI分析课程展示功能：支持查看已分析的课程，并可从学科、学段、教师名称、课程名称、学校名称等多个维度进行课程的检索，课程默认按发布顺序进行排序，也可按浏览量进行排序;</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3.预约AI分析课程功能：支持教师按需从平台上进行AI分析课程的预约，预约时可关联录播教室，利用录播能力进行课堂画面的采集，课程预约时可选择默认量表进行课堂的评价，同时支持自建量表进行更聚焦、更有针对性的分析;</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4.AI分析计划表查看功能：支持教师查看个人预约的分析课表计划、课表可按日、周、月进行查看，且支持教研员与管理员查看区域课表计划，可从时间维度如日、周、月；地点维度如全区、学校、教室；人员维度三个维度进行区域课表的检索查看，全面地了解区域的分析课表安排;</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二.AI课堂分析</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★1.支持讲台授课、教师书写、教师巡视、板书授课、师生互动等维度的教师教学行为分析;（提供官方研修平台网址(网站备案号)、功能截图等证明文件描件并加盖供应商电子签章）</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2.支持对讲台授课、板书行为、师生互动、教师巡视、师生互动等多种维度的教师行为进行切片整理，并可以秒为颗粒度在时间轴上进行打点标记，生成教师行为分析时序图，点击对应行为的时间切片可实时预览对应行为的视频片段，有效帮助提升教师教学反思回看效率;</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3.支持对学生举手、学生回答问题、学生小组讨论、学生上讲台等多种维度的学生行为进行切片整理，并可以秒为颗粒度在时间轴上进行打点标记，生成学生行为分析时序图，点击对应行为的时间切片可实时预览对应行为的视频片段;（提供官方研修平台网址(网站备案号)、功能截图等证明文件扫描件并加盖供应商电子签章）</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4.支持将教师、学生在课堂上的行为如讲台授课、学生讨论、板书、师生互动、教师巡视、学生上讲台等进行占比分析并生成对应的可视化图表;</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5.支持将教师在教室中的活动区域按照左侧、中部、右侧三个区域的活动占比情况进行饼形图分析展示;</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6.支持通过语音识别算法将整堂课音频按照发言时间点、发言内容转写成文字，通过课程摘要进行文本展示，并可导出Word版进行下载保存;</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7.支持对课堂教学中的高频词进行统计展示，可以得出哪些词汇是课堂教学中使用最频繁的。高频词包括代词、连接词、语气词等通过课堂时间轴线进行打点时序图展示，通过点击时序片段浏览对应高频词的视频片段;</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8.支持在课堂语音转录的课程摘要文本中的相关敏感词进行屏蔽或星显展示;</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★9.支持学生群体的抬头率分析，以分钟为颗粒度进行统计分析并通过曲线图的形式进行展示;（提供官方研修平台网址(网站备案号)、功能截图等证明文件扫描件并加盖供应商电子签章）</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10.支持对课堂中学生出勤人数进行人脸识别检测分析并进行数据化展示;</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11.支持通过课堂学生行为的数据采进行分析并生成课堂饱满度和课堂关注度;</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12.支持通过语音识别算法对课堂音频进行课堂语速分析，计算生成教师课堂语速、课堂发言总字数功能;</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13.支持生成课堂分析报告，报告可在线预览并可pdf格式进行下载。</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三.量表评价</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1.支持通过默认量表和自建量表进行评价;</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 (1)默认量表评价：可从教学目标、教学设计、教材处理、教学流程、教学方法、教学效果几个维度进行评价;</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 (2)自建量表评价：支持用户结合学科、学段进行自行建立量表，包括一级、二级指标的定义及分数的确认;</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2.评分统计：可统计所有评分者的平均分并进行展示;</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3.评价列表功能：支持通过列表查看各教师或教研员的评价详情，针对发布课程本人或教研员，可对评价的内容进行删除操作;</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4.支持课程发布者开启或关闭量表评价功能;</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5.打点评论功能：支持用户新增评论并与视频进行关联，点击评论内容可跳转至对应视频片段进行回溯。同时支持以评论列表的形式展示评论内容，方便课程发布者本人或教研员对评论内容进行管理;</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四.同课异构对比</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1.筛选课程：可按从学科、学段、教师、等维度筛选两堂需要对比的课程;</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2.课堂基础分析数据对比：支持对比课堂的学生出勤人数、学生抬头率、课堂关注度、平均语速等基础数据;</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3.课堂时序图对比：支持从教师教学行为、学生学习行为两个维度进行师生行为的对比包括教师讲授、板书授课、学生起立、上台分享等维度;</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4.师生行为占比对比：可通过师生行为占比的对比快速了解课堂教学的结构与安排;</w:t>
            </w:r>
            <w:r>
              <w:rPr>
                <w:rFonts w:hint="eastAsia" w:ascii="宋体" w:hAnsi="宋体" w:eastAsia="宋体" w:cs="宋体"/>
                <w:bCs/>
              </w:rPr>
            </w:r>
            <w:r/>
          </w:p>
          <w:p>
            <w:pPr>
              <w:pStyle w:val="912"/>
              <w:spacing w:after="200" w:line="276" w:lineRule="auto"/>
              <w:rPr>
                <w:rFonts w:hint="eastAsia" w:ascii="宋体" w:hAnsi="宋体" w:eastAsia="宋体" w:cs="宋体"/>
                <w:bCs/>
              </w:rPr>
            </w:pPr>
            <w:r>
              <w:rPr>
                <w:rFonts w:hint="eastAsia" w:ascii="宋体" w:hAnsi="宋体" w:eastAsia="宋体" w:cs="宋体"/>
                <w:bCs/>
              </w:rPr>
              <w:t xml:space="preserve">5.教学高频词对比：支持对比课堂教学高频词，了解课堂教学的重点。</w:t>
            </w:r>
            <w:r>
              <w:rPr>
                <w:rFonts w:hint="eastAsia" w:ascii="宋体" w:hAnsi="宋体" w:eastAsia="宋体" w:cs="宋体"/>
                <w:bCs/>
              </w:rPr>
            </w:r>
            <w:r/>
          </w:p>
          <w:p>
            <w:pPr>
              <w:pStyle w:val="1020"/>
              <w:rPr>
                <w:rFonts w:hint="eastAsia"/>
              </w:rPr>
            </w:pPr>
            <w:r>
              <w:rPr>
                <w:rFonts w:hint="eastAsia" w:ascii="宋体" w:hAnsi="宋体" w:cs="宋体"/>
                <w:bCs/>
                <w:szCs w:val="21"/>
              </w:rPr>
              <w:t xml:space="preserve">★</w:t>
            </w:r>
            <w:r>
              <w:rPr>
                <w:rFonts w:hint="eastAsia" w:ascii="宋体" w:hAnsi="宋体" w:cs="宋体"/>
                <w:bCs/>
                <w:sz w:val="21"/>
                <w:szCs w:val="21"/>
              </w:rPr>
              <w:t xml:space="preserve">AI课堂分析平台</w:t>
            </w:r>
            <w:r>
              <w:rPr>
                <w:rFonts w:hint="eastAsia" w:ascii="宋体" w:hAnsi="宋体" w:cs="宋体"/>
                <w:bCs/>
                <w:szCs w:val="21"/>
              </w:rPr>
              <w:t xml:space="preserve">需与智能交互多媒体、教学一体机为同一品牌</w:t>
            </w:r>
            <w:r>
              <w:rPr>
                <w:rFonts w:hint="eastAsia"/>
              </w:rPr>
            </w:r>
            <w:r/>
          </w:p>
        </w:tc>
        <w:tc>
          <w:tcPr>
            <w:tcW w:w="936" w:type="dxa"/>
            <w:vAlign w:val="center"/>
            <w:textDirection w:val="lrTb"/>
            <w:noWrap/>
          </w:tcPr>
          <w:p>
            <w:pPr>
              <w:pStyle w:val="1020"/>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r>
      <w:tr>
        <w:trPr/>
        <w:tc>
          <w:tcPr>
            <w:tcW w:w="1465" w:type="dxa"/>
            <w:vAlign w:val="center"/>
            <w:textDirection w:val="lrTb"/>
            <w:noWrap/>
          </w:tcPr>
          <w:p>
            <w:pPr>
              <w:pStyle w:val="703"/>
              <w:contextualSpacing/>
              <w:jc w:val="left"/>
              <w:spacing w:line="360" w:lineRule="exact"/>
              <w:rPr>
                <w:rFonts w:hint="eastAsia" w:ascii="宋体" w:hAnsi="宋体" w:cs="宋体"/>
                <w:bCs/>
                <w:szCs w:val="21"/>
              </w:rPr>
            </w:pPr>
            <w:r>
              <w:rPr>
                <w:rFonts w:hint="eastAsia" w:ascii="宋体" w:hAnsi="宋体" w:cs="宋体"/>
                <w:bCs/>
              </w:rPr>
              <w:t xml:space="preserve">推拉绿板</w:t>
            </w:r>
            <w:r>
              <w:rPr>
                <w:rFonts w:hint="eastAsia" w:ascii="宋体" w:hAnsi="宋体" w:cs="宋体"/>
                <w:bCs/>
                <w:szCs w:val="21"/>
              </w:rPr>
            </w:r>
            <w:r/>
          </w:p>
        </w:tc>
        <w:tc>
          <w:tcPr>
            <w:tcW w:w="8219" w:type="dxa"/>
            <w:vAlign w:val="center"/>
            <w:textDirection w:val="lrTb"/>
            <w:noWrap/>
          </w:tcPr>
          <w:p>
            <w:pPr>
              <w:pStyle w:val="703"/>
              <w:contextualSpacing/>
              <w:rPr>
                <w:rFonts w:hint="eastAsia" w:ascii="宋体" w:hAnsi="宋体" w:cs="宋体"/>
                <w:bCs/>
                <w:sz w:val="20"/>
                <w:szCs w:val="20"/>
              </w:rPr>
            </w:pPr>
            <w:r>
              <w:rPr>
                <w:rFonts w:hint="eastAsia" w:ascii="宋体" w:hAnsi="宋体" w:cs="宋体"/>
                <w:bCs/>
                <w:sz w:val="20"/>
                <w:szCs w:val="20"/>
              </w:rPr>
              <w:t xml:space="preserve">1.结构：双层结构，内层为两块固定书写板左右各一块，中间预留放置电子产品空间，外层为两块滑动书写板。</w:t>
            </w:r>
            <w:r>
              <w:rPr>
                <w:rFonts w:hint="eastAsia" w:ascii="宋体" w:hAnsi="宋体" w:cs="宋体"/>
                <w:bCs/>
                <w:sz w:val="20"/>
                <w:szCs w:val="20"/>
              </w:rPr>
            </w:r>
            <w:r/>
          </w:p>
          <w:p>
            <w:pPr>
              <w:pStyle w:val="703"/>
              <w:contextualSpacing/>
              <w:rPr>
                <w:rFonts w:hint="eastAsia" w:ascii="宋体" w:hAnsi="宋体" w:cs="宋体"/>
                <w:bCs/>
                <w:sz w:val="20"/>
                <w:szCs w:val="20"/>
              </w:rPr>
            </w:pPr>
            <w:r>
              <w:rPr>
                <w:rFonts w:hint="eastAsia" w:ascii="宋体" w:hAnsi="宋体" w:cs="宋体"/>
                <w:bCs/>
                <w:sz w:val="20"/>
                <w:szCs w:val="20"/>
              </w:rPr>
              <w:t xml:space="preserve">2.尺寸：≥4300mm×1300mm，可根据所配电子产品适当调整，确保与电子产品的有效配套。</w:t>
            </w:r>
            <w:r>
              <w:rPr>
                <w:rFonts w:hint="eastAsia" w:ascii="宋体" w:hAnsi="宋体" w:cs="宋体"/>
                <w:bCs/>
                <w:sz w:val="20"/>
                <w:szCs w:val="20"/>
              </w:rPr>
            </w:r>
            <w:r/>
          </w:p>
          <w:p>
            <w:pPr>
              <w:pStyle w:val="703"/>
              <w:contextualSpacing/>
              <w:rPr>
                <w:rFonts w:hint="eastAsia" w:ascii="宋体" w:hAnsi="宋体" w:cs="宋体"/>
                <w:bCs/>
                <w:sz w:val="20"/>
                <w:szCs w:val="20"/>
              </w:rPr>
            </w:pPr>
            <w:r>
              <w:rPr>
                <w:rFonts w:hint="eastAsia" w:ascii="宋体" w:hAnsi="宋体" w:cs="宋体"/>
                <w:bCs/>
                <w:sz w:val="20"/>
                <w:szCs w:val="20"/>
              </w:rPr>
              <w:t xml:space="preserve">3.内板：边框采用折边工艺，左右彻底无边框，上下边框正面高度不超8mm，隐藏在上边框内，正面观看整套黑板浑然一体，无传统教学板格栅化分格效果，更具美观，并有效增加书写面积。</w:t>
            </w:r>
            <w:r>
              <w:rPr>
                <w:rFonts w:hint="eastAsia" w:ascii="宋体" w:hAnsi="宋体" w:cs="宋体"/>
                <w:bCs/>
                <w:sz w:val="20"/>
                <w:szCs w:val="20"/>
              </w:rPr>
            </w:r>
            <w:r/>
          </w:p>
          <w:p>
            <w:pPr>
              <w:pStyle w:val="703"/>
              <w:contextualSpacing/>
              <w:rPr>
                <w:rFonts w:hint="eastAsia" w:ascii="宋体" w:hAnsi="宋体" w:cs="宋体"/>
                <w:bCs/>
                <w:sz w:val="20"/>
                <w:szCs w:val="20"/>
              </w:rPr>
            </w:pPr>
            <w:r>
              <w:rPr>
                <w:rFonts w:hint="eastAsia" w:ascii="宋体" w:hAnsi="宋体" w:cs="宋体"/>
                <w:bCs/>
                <w:sz w:val="20"/>
                <w:szCs w:val="20"/>
              </w:rPr>
              <w:t xml:space="preserve">4.板面：采用优质烤漆板面，板面颜色：亚光绿色。夹层：高密度聚苯乙烯板；背板：镀锌钢板；甲醛释放量≤0.025mg/L。</w:t>
            </w:r>
            <w:r>
              <w:rPr>
                <w:rFonts w:hint="eastAsia" w:ascii="宋体" w:hAnsi="宋体" w:cs="宋体"/>
                <w:bCs/>
                <w:sz w:val="20"/>
                <w:szCs w:val="20"/>
              </w:rPr>
            </w:r>
            <w:r/>
          </w:p>
          <w:p>
            <w:pPr>
              <w:pStyle w:val="703"/>
              <w:contextualSpacing/>
              <w:rPr>
                <w:rFonts w:hint="eastAsia" w:ascii="宋体" w:hAnsi="宋体" w:cs="宋体"/>
                <w:bCs/>
                <w:sz w:val="20"/>
                <w:szCs w:val="20"/>
              </w:rPr>
            </w:pPr>
            <w:r>
              <w:rPr>
                <w:rFonts w:hint="eastAsia" w:ascii="宋体" w:hAnsi="宋体" w:cs="宋体"/>
                <w:bCs/>
                <w:sz w:val="20"/>
                <w:szCs w:val="20"/>
              </w:rPr>
              <w:t xml:space="preserve">5.滑块：采用聚四氟乙烯材质，耐高温，耐腐蚀，自润滑，耐磨，滑块与外框紧密接触，有效避免内板前后晃动，具有滑动板拉动轻便顺畅、无滚动噪音等优点，书写体验度高。自阻尼设计，避免于滑动板书写时左右晃动。</w:t>
            </w:r>
            <w:r>
              <w:rPr>
                <w:rFonts w:hint="eastAsia" w:ascii="宋体" w:hAnsi="宋体" w:cs="宋体"/>
                <w:bCs/>
                <w:sz w:val="20"/>
                <w:szCs w:val="20"/>
              </w:rPr>
            </w:r>
            <w:r/>
          </w:p>
          <w:p>
            <w:pPr>
              <w:pStyle w:val="703"/>
              <w:contextualSpacing/>
              <w:rPr>
                <w:rFonts w:hint="eastAsia" w:ascii="宋体" w:hAnsi="宋体" w:cs="宋体"/>
                <w:bCs/>
                <w:sz w:val="20"/>
                <w:szCs w:val="20"/>
              </w:rPr>
            </w:pPr>
            <w:r>
              <w:rPr>
                <w:rFonts w:hint="eastAsia" w:ascii="宋体" w:hAnsi="宋体" w:cs="宋体"/>
                <w:bCs/>
                <w:sz w:val="20"/>
                <w:szCs w:val="20"/>
              </w:rPr>
              <w:t xml:space="preserve">★6.边框：采用高级耐腐蚀香槟色铝合金，边框应具有良好的耐磨性及耐腐蚀性，通过GB/T10125-2021中性盐雾240小时耐腐蚀实验</w:t>
            </w:r>
            <w:r>
              <w:rPr>
                <w:rFonts w:hint="eastAsia" w:ascii="宋体" w:hAnsi="宋体" w:cs="宋体"/>
                <w:bCs/>
                <w:szCs w:val="21"/>
              </w:rPr>
              <w:t xml:space="preserve">（需提供国家认可认证的检测机构出具的检测报告并加盖供应商电子公章）</w:t>
            </w:r>
            <w:r>
              <w:rPr>
                <w:rFonts w:hint="eastAsia" w:ascii="宋体" w:hAnsi="宋体" w:cs="宋体"/>
                <w:bCs/>
                <w:sz w:val="20"/>
                <w:szCs w:val="20"/>
              </w:rPr>
              <w:t xml:space="preserve">。</w:t>
            </w:r>
            <w:r>
              <w:rPr>
                <w:rFonts w:hint="eastAsia" w:ascii="宋体" w:hAnsi="宋体" w:cs="宋体"/>
                <w:bCs/>
                <w:sz w:val="20"/>
                <w:szCs w:val="20"/>
              </w:rPr>
            </w:r>
            <w:r/>
          </w:p>
          <w:p>
            <w:pPr>
              <w:pStyle w:val="703"/>
              <w:contextualSpacing/>
              <w:spacing w:line="360" w:lineRule="exact"/>
              <w:rPr>
                <w:rFonts w:hint="eastAsia" w:ascii="宋体" w:hAnsi="宋体" w:cs="宋体"/>
                <w:bCs/>
                <w:szCs w:val="21"/>
              </w:rPr>
            </w:pPr>
            <w:r>
              <w:rPr>
                <w:rFonts w:hint="eastAsia" w:ascii="宋体" w:hAnsi="宋体" w:cs="宋体"/>
                <w:bCs/>
                <w:sz w:val="20"/>
                <w:szCs w:val="20"/>
              </w:rPr>
              <w:t xml:space="preserve">包角：采用抗老化高强度ABS工程塑料注塑成型，采用双壁成腔流线型设计，黑板品牌标识与包角一次模具成型，无尖角毛刺，符合GB21027-2007《学生用品的安全通用要求》。</w:t>
            </w:r>
            <w:r>
              <w:rPr>
                <w:rFonts w:hint="eastAsia" w:ascii="宋体" w:hAnsi="宋体" w:cs="宋体"/>
                <w:bCs/>
                <w:szCs w:val="21"/>
              </w:rPr>
            </w:r>
            <w:r/>
          </w:p>
        </w:tc>
        <w:tc>
          <w:tcPr>
            <w:tcW w:w="936"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r>
            <w:r/>
          </w:p>
        </w:tc>
      </w:tr>
      <w:tr>
        <w:trPr/>
        <w:tc>
          <w:tcPr>
            <w:tcW w:w="1465" w:type="dxa"/>
            <w:vAlign w:val="center"/>
            <w:textDirection w:val="lrTb"/>
            <w:noWrap/>
          </w:tcPr>
          <w:p>
            <w:pPr>
              <w:pStyle w:val="703"/>
              <w:contextualSpacing/>
              <w:jc w:val="left"/>
              <w:spacing w:line="360" w:lineRule="exact"/>
              <w:rPr>
                <w:rFonts w:hint="eastAsia" w:ascii="宋体" w:hAnsi="宋体" w:cs="宋体"/>
                <w:bCs/>
                <w:szCs w:val="21"/>
              </w:rPr>
            </w:pPr>
            <w:r>
              <w:rPr>
                <w:rFonts w:hint="eastAsia" w:ascii="宋体" w:hAnsi="宋体" w:cs="宋体"/>
                <w:bCs/>
                <w:szCs w:val="21"/>
              </w:rPr>
              <w:t xml:space="preserve">安装</w:t>
            </w:r>
            <w:r>
              <w:rPr>
                <w:rFonts w:hint="eastAsia" w:ascii="宋体" w:hAnsi="宋体" w:cs="宋体"/>
                <w:bCs/>
                <w:szCs w:val="21"/>
              </w:rPr>
            </w:r>
            <w:r/>
          </w:p>
        </w:tc>
        <w:tc>
          <w:tcPr>
            <w:tcW w:w="8219" w:type="dxa"/>
            <w:vAlign w:val="center"/>
            <w:textDirection w:val="lrTb"/>
            <w:noWrap/>
          </w:tcPr>
          <w:p>
            <w:pPr>
              <w:pStyle w:val="703"/>
              <w:contextualSpacing/>
              <w:spacing w:line="360" w:lineRule="exact"/>
              <w:rPr>
                <w:rFonts w:hint="eastAsia" w:ascii="宋体" w:hAnsi="宋体" w:cs="宋体"/>
                <w:bCs/>
                <w:szCs w:val="21"/>
              </w:rPr>
            </w:pPr>
            <w:r>
              <w:rPr>
                <w:rFonts w:hint="eastAsia" w:ascii="宋体" w:hAnsi="宋体" w:cs="宋体"/>
                <w:bCs/>
                <w:szCs w:val="21"/>
              </w:rPr>
              <w:t xml:space="preserve">1.根据各教室实际情况，按照智能交互多媒体安装要求进行强弱电布线集成（多媒体供电前端须单独接漏电保护器，电源线规格不低于RVV3*1.5、网络线规格不低于超五类网线，国标线材），讲台电源插座带DC5V1A USB取电口，如要地面走线，需含地面钢质走线槽、各接配件、连接件及辅材等；</w:t>
            </w:r>
            <w:r>
              <w:rPr>
                <w:rFonts w:hint="eastAsia" w:ascii="宋体" w:hAnsi="宋体" w:cs="宋体"/>
                <w:bCs/>
                <w:szCs w:val="21"/>
              </w:rPr>
            </w:r>
            <w:r/>
          </w:p>
          <w:p>
            <w:pPr>
              <w:pStyle w:val="703"/>
              <w:contextualSpacing/>
              <w:spacing w:line="360" w:lineRule="exact"/>
              <w:rPr>
                <w:rFonts w:hint="eastAsia" w:ascii="宋体" w:hAnsi="宋体" w:cs="宋体"/>
                <w:bCs/>
                <w:szCs w:val="21"/>
              </w:rPr>
            </w:pPr>
            <w:r>
              <w:rPr>
                <w:rFonts w:hint="eastAsia" w:ascii="宋体" w:hAnsi="宋体" w:cs="宋体"/>
                <w:bCs/>
                <w:szCs w:val="21"/>
              </w:rPr>
              <w:t xml:space="preserve">2.整体布局要求美观、牢固、合理、无安全隐患。</w:t>
            </w:r>
            <w:r>
              <w:rPr>
                <w:rFonts w:hint="eastAsia" w:ascii="宋体" w:hAnsi="宋体" w:cs="宋体"/>
                <w:bCs/>
                <w:szCs w:val="21"/>
              </w:rPr>
            </w:r>
            <w:r/>
          </w:p>
        </w:tc>
        <w:tc>
          <w:tcPr>
            <w:tcW w:w="936" w:type="dxa"/>
            <w:vAlign w:val="center"/>
            <w:textDirection w:val="lrTb"/>
            <w:noWrap/>
          </w:tcPr>
          <w:p>
            <w:pPr>
              <w:pStyle w:val="703"/>
              <w:contextualSpacing/>
              <w:spacing w:line="360" w:lineRule="exact"/>
              <w:rPr>
                <w:rFonts w:ascii="宋体" w:hAnsi="宋体" w:cs="宋体"/>
                <w:bCs/>
                <w:szCs w:val="21"/>
              </w:rPr>
            </w:pPr>
            <w:r>
              <w:rPr>
                <w:rFonts w:hint="eastAsia" w:ascii="宋体" w:hAnsi="宋体" w:cs="宋体"/>
                <w:bCs/>
                <w:szCs w:val="21"/>
              </w:rPr>
              <w:t xml:space="preserve">70</w:t>
            </w:r>
            <w:r>
              <w:rPr>
                <w:rFonts w:ascii="宋体" w:hAnsi="宋体" w:cs="宋体"/>
                <w:bCs/>
                <w:szCs w:val="21"/>
              </w:rPr>
            </w:r>
            <w:r/>
          </w:p>
        </w:tc>
      </w:tr>
    </w:tbl>
    <w:p>
      <w:pPr>
        <w:pStyle w:val="703"/>
        <w:rPr>
          <w:rFonts w:hint="eastAsia" w:ascii="仿宋" w:hAnsi="仿宋" w:eastAsia="仿宋"/>
        </w:rPr>
        <w:sectPr>
          <w:headerReference w:type="default" r:id="rId9"/>
          <w:footerReference w:type="default" r:id="rId11"/>
          <w:footnotePr/>
          <w:endnotePr/>
          <w:type w:val="nextPage"/>
          <w:pgSz w:w="11906" w:h="16838" w:orient="portrait"/>
          <w:pgMar w:top="1440" w:right="1276" w:bottom="1440" w:left="1134" w:header="851" w:footer="992" w:gutter="0"/>
          <w:pgNumType w:start="1"/>
          <w:cols w:num="1" w:sep="0" w:space="1701" w:equalWidth="1"/>
          <w:docGrid w:linePitch="360"/>
        </w:sectPr>
      </w:pPr>
      <w:r>
        <w:rPr>
          <w:rFonts w:hint="eastAsia" w:ascii="仿宋" w:hAnsi="仿宋" w:eastAsia="仿宋"/>
        </w:rPr>
      </w:r>
      <w:r/>
    </w:p>
    <w:p>
      <w:pPr>
        <w:pStyle w:val="735"/>
        <w:jc w:val="both"/>
        <w:rPr>
          <w:rFonts w:hint="eastAsia" w:ascii="宋体" w:hAnsi="宋体" w:eastAsia="仿宋" w:cs="宋体"/>
        </w:rPr>
      </w:pPr>
      <w:r>
        <w:rPr>
          <w:rFonts w:hint="eastAsia" w:ascii="宋体" w:hAnsi="宋体" w:eastAsia="宋体" w:cs="宋体"/>
          <w:bCs/>
          <w:szCs w:val="21"/>
        </w:rPr>
        <w:t xml:space="preserve">★.</w:t>
      </w:r>
      <w:r>
        <w:rPr>
          <w:rFonts w:ascii="仿宋" w:hAnsi="仿宋" w:eastAsia="仿宋" w:cs="仿宋"/>
          <w:color w:val="000000"/>
          <w:szCs w:val="28"/>
        </w:rPr>
        <w:t xml:space="preserve">本项目整体质保三年，自验收合格后算起</w:t>
      </w:r>
      <w:r>
        <w:rPr>
          <w:rFonts w:hint="eastAsia" w:ascii="仿宋" w:hAnsi="仿宋" w:eastAsia="仿宋" w:cs="仿宋"/>
          <w:color w:val="000000"/>
          <w:szCs w:val="28"/>
        </w:rPr>
        <w:t xml:space="preserve">。</w:t>
      </w:r>
      <w:r>
        <w:rPr>
          <w:rFonts w:hint="eastAsia" w:ascii="宋体" w:hAnsi="宋体" w:eastAsia="仿宋" w:cs="宋体"/>
        </w:rPr>
      </w:r>
      <w:r/>
    </w:p>
    <w:p>
      <w:pPr>
        <w:pStyle w:val="703"/>
        <w:ind w:firstLine="480"/>
        <w:spacing w:line="360" w:lineRule="auto"/>
        <w:rPr>
          <w:rFonts w:hint="eastAsia" w:ascii="宋体" w:hAnsi="宋体"/>
          <w:color w:val="000000"/>
          <w:sz w:val="24"/>
        </w:rPr>
      </w:pPr>
      <w:r>
        <w:rPr>
          <w:rFonts w:hint="eastAsia" w:ascii="宋体" w:hAnsi="宋体"/>
          <w:color w:val="000000"/>
          <w:sz w:val="24"/>
        </w:rPr>
      </w:r>
      <w:r/>
    </w:p>
    <w:p>
      <w:pPr>
        <w:pStyle w:val="703"/>
        <w:ind w:firstLine="241"/>
        <w:spacing w:line="520" w:lineRule="exact"/>
        <w:rPr>
          <w:rFonts w:hint="eastAsia" w:ascii="宋体" w:hAnsi="宋体" w:cs="楷体_GB2312"/>
          <w:bCs/>
          <w:sz w:val="28"/>
          <w:szCs w:val="28"/>
        </w:rPr>
      </w:pPr>
      <w:r>
        <w:rPr>
          <w:rFonts w:hint="eastAsia"/>
          <w:b/>
          <w:bCs/>
          <w:sz w:val="24"/>
        </w:rPr>
        <w:t xml:space="preserve">三、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rPr>
          <w:rFonts w:hint="eastAsia" w:ascii="宋体" w:hAnsi="宋体" w:cs="楷体_GB2312"/>
          <w:bCs/>
          <w:sz w:val="28"/>
          <w:szCs w:val="28"/>
        </w:rPr>
      </w:r>
      <w:r/>
    </w:p>
    <w:p>
      <w:pPr>
        <w:pStyle w:val="703"/>
        <w:ind w:firstLine="482"/>
        <w:jc w:val="left"/>
        <w:spacing w:line="520" w:lineRule="exact"/>
        <w:rPr>
          <w:rFonts w:hint="eastAsia" w:ascii="宋体" w:hAnsi="宋体"/>
          <w:sz w:val="24"/>
        </w:rPr>
      </w:pPr>
      <w:r>
        <w:rPr>
          <w:rFonts w:hint="eastAsia" w:ascii="宋体" w:hAnsi="宋体" w:cs="楷体_GB2312"/>
          <w:b/>
          <w:bCs/>
          <w:sz w:val="24"/>
        </w:rPr>
        <w:t xml:space="preserve">四、本项目采购标的对应的中小企业划分标准所属行业为</w:t>
      </w:r>
      <w:r>
        <w:rPr>
          <w:rFonts w:hint="eastAsia" w:ascii="宋体" w:hAnsi="宋体" w:cs="楷体_GB2312"/>
          <w:b/>
          <w:bCs/>
          <w:sz w:val="24"/>
          <w:u w:val="single"/>
        </w:rPr>
        <w:t xml:space="preserve">工业</w:t>
      </w:r>
      <w:r>
        <w:rPr>
          <w:rFonts w:hint="eastAsia" w:ascii="宋体" w:hAnsi="宋体" w:cs="楷体_GB2312"/>
          <w:b/>
          <w:bCs/>
          <w:sz w:val="24"/>
        </w:rPr>
        <w:t xml:space="preserve">。</w:t>
      </w:r>
      <w:r>
        <w:rPr>
          <w:rFonts w:hint="eastAsia" w:ascii="宋体" w:hAnsi="宋体"/>
          <w:sz w:val="24"/>
        </w:rPr>
      </w:r>
      <w:r/>
    </w:p>
    <w:p>
      <w:pPr>
        <w:pStyle w:val="743"/>
        <w:ind w:firstLine="482"/>
        <w:spacing w:line="520" w:lineRule="exact"/>
        <w:rPr>
          <w:rFonts w:hint="eastAsia" w:hAnsi="宋体" w:cs="仿宋"/>
          <w:b/>
          <w:bCs/>
          <w:sz w:val="24"/>
          <w:szCs w:val="24"/>
        </w:rPr>
      </w:pPr>
      <w:r>
        <w:rPr>
          <w:rFonts w:hint="eastAsia" w:hAnsi="宋体" w:cs="宋体"/>
          <w:b/>
          <w:sz w:val="24"/>
          <w:szCs w:val="24"/>
        </w:rPr>
        <w:t xml:space="preserve">五、执行标准:本项目其他未提及的技术要求应当符合</w:t>
      </w:r>
      <w:r>
        <w:rPr>
          <w:rFonts w:hint="eastAsia" w:hAnsi="宋体" w:cs="宋体"/>
          <w:b/>
          <w:sz w:val="24"/>
          <w:szCs w:val="24"/>
          <w:u w:val="single"/>
        </w:rPr>
        <w:t xml:space="preserve">国家强制性（如没有国家强制性标准的则按行业标准执行）</w:t>
      </w:r>
      <w:r>
        <w:rPr>
          <w:rFonts w:hint="eastAsia" w:hAnsi="宋体" w:cs="宋体"/>
          <w:b/>
          <w:sz w:val="24"/>
          <w:szCs w:val="24"/>
        </w:rPr>
        <w:t xml:space="preserve">标准的要求。</w:t>
      </w:r>
      <w:r>
        <w:rPr>
          <w:rFonts w:hint="eastAsia" w:hAnsi="宋体" w:cs="仿宋"/>
          <w:b/>
          <w:bCs/>
          <w:sz w:val="24"/>
          <w:szCs w:val="24"/>
        </w:rPr>
      </w:r>
      <w:r/>
    </w:p>
    <w:p>
      <w:pPr>
        <w:pStyle w:val="704"/>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27" w:name="_Toc109231707"/>
      <w:r>
        <w:rPr>
          <w:rFonts w:hint="eastAsia" w:hAnsi="宋体"/>
          <w:bCs/>
          <w:color w:val="000000"/>
          <w:sz w:val="36"/>
          <w:szCs w:val="44"/>
        </w:rPr>
        <w:t xml:space="preserve">第二章   响 应 文 件 格 式</w:t>
      </w:r>
      <w:bookmarkEnd w:id="27"/>
      <w:r>
        <w:rPr>
          <w:rFonts w:hint="eastAsia" w:hAnsi="宋体"/>
          <w:bCs/>
          <w:color w:val="000000"/>
          <w:sz w:val="36"/>
          <w:szCs w:val="44"/>
        </w:rPr>
      </w:r>
      <w:r/>
    </w:p>
    <w:p>
      <w:pPr>
        <w:pStyle w:val="703"/>
        <w:rPr>
          <w:rFonts w:hint="eastAsia" w:ascii="宋体" w:hAnsi="宋体"/>
          <w:sz w:val="28"/>
        </w:rPr>
      </w:pPr>
      <w:r>
        <w:rPr>
          <w:rFonts w:hint="eastAsia" w:ascii="宋体" w:hAnsi="宋体"/>
          <w:sz w:val="28"/>
        </w:rPr>
      </w:r>
      <w:r/>
    </w:p>
    <w:p>
      <w:pPr>
        <w:pStyle w:val="743"/>
        <w:ind w:firstLine="2240"/>
        <w:rPr>
          <w:rFonts w:hint="eastAsia" w:hAnsi="宋体"/>
          <w:sz w:val="32"/>
        </w:rPr>
      </w:pPr>
      <w:r>
        <w:rPr>
          <w:rFonts w:hint="eastAsia" w:hAnsi="宋体"/>
          <w:sz w:val="32"/>
        </w:rPr>
      </w:r>
      <w:r/>
    </w:p>
    <w:p>
      <w:pPr>
        <w:pStyle w:val="703"/>
        <w:rPr>
          <w:rFonts w:hint="eastAsia" w:ascii="宋体" w:hAnsi="宋体"/>
          <w:sz w:val="28"/>
        </w:rPr>
      </w:pPr>
      <w:r>
        <w:rPr>
          <w:rFonts w:hint="eastAsia" w:ascii="宋体" w:hAnsi="宋体"/>
          <w:sz w:val="28"/>
        </w:rPr>
      </w:r>
      <w:r/>
    </w:p>
    <w:p>
      <w:pPr>
        <w:pStyle w:val="703"/>
        <w:rPr>
          <w:rFonts w:hint="eastAsia" w:ascii="宋体" w:hAnsi="宋体"/>
          <w:bCs/>
          <w:sz w:val="32"/>
        </w:rPr>
      </w:pPr>
      <w:r>
        <w:rPr>
          <w:rFonts w:hint="eastAsia" w:ascii="宋体" w:hAnsi="宋体"/>
          <w:bCs/>
          <w:sz w:val="32"/>
        </w:rPr>
      </w:r>
      <w:r/>
    </w:p>
    <w:p>
      <w:pPr>
        <w:pStyle w:val="703"/>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743"/>
        <w:rPr>
          <w:rFonts w:hint="eastAsia" w:hAnsi="宋体"/>
          <w:b/>
          <w:sz w:val="32"/>
        </w:rPr>
      </w:pPr>
      <w:r>
        <w:rPr>
          <w:rFonts w:hint="eastAsia" w:hAnsi="宋体"/>
          <w:b/>
          <w:sz w:val="32"/>
        </w:rPr>
      </w:r>
      <w:r/>
    </w:p>
    <w:p>
      <w:pPr>
        <w:pStyle w:val="743"/>
        <w:ind w:firstLine="1066"/>
        <w:rPr>
          <w:rFonts w:hint="eastAsia" w:hAnsi="宋体"/>
          <w:b/>
          <w:sz w:val="36"/>
          <w:szCs w:val="24"/>
        </w:rPr>
      </w:pPr>
      <w:r>
        <w:rPr>
          <w:rFonts w:hint="eastAsia" w:hAnsi="宋体"/>
          <w:b/>
          <w:sz w:val="36"/>
          <w:szCs w:val="24"/>
        </w:rPr>
      </w:r>
      <w:r/>
    </w:p>
    <w:p>
      <w:pPr>
        <w:pStyle w:val="743"/>
        <w:ind w:firstLine="1066"/>
        <w:rPr>
          <w:rFonts w:hint="eastAsia" w:hAnsi="宋体"/>
          <w:b/>
          <w:sz w:val="36"/>
          <w:szCs w:val="24"/>
        </w:rPr>
      </w:pPr>
      <w:r>
        <w:rPr>
          <w:rFonts w:hint="eastAsia" w:hAnsi="宋体"/>
          <w:b/>
          <w:sz w:val="36"/>
          <w:szCs w:val="24"/>
        </w:rPr>
      </w:r>
      <w:r/>
    </w:p>
    <w:p>
      <w:pPr>
        <w:pStyle w:val="743"/>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703"/>
        <w:spacing w:line="400" w:lineRule="exact"/>
        <w:rPr>
          <w:rFonts w:hint="eastAsia" w:ascii="宋体" w:hAnsi="宋体"/>
          <w:b/>
          <w:sz w:val="32"/>
          <w:szCs w:val="20"/>
        </w:rPr>
      </w:pPr>
      <w:r>
        <w:rPr>
          <w:rFonts w:hint="eastAsia" w:ascii="宋体" w:hAnsi="宋体"/>
          <w:b/>
          <w:sz w:val="32"/>
          <w:szCs w:val="20"/>
        </w:rPr>
      </w:r>
      <w:r/>
    </w:p>
    <w:p>
      <w:pPr>
        <w:pStyle w:val="703"/>
        <w:spacing w:line="400" w:lineRule="exact"/>
        <w:rPr>
          <w:rFonts w:hint="eastAsia" w:ascii="宋体" w:hAnsi="宋体"/>
          <w:b/>
          <w:sz w:val="32"/>
          <w:szCs w:val="20"/>
        </w:rPr>
      </w:pPr>
      <w:r>
        <w:rPr>
          <w:rFonts w:hint="eastAsia" w:ascii="宋体" w:hAnsi="宋体"/>
          <w:b/>
          <w:sz w:val="32"/>
          <w:szCs w:val="20"/>
        </w:rPr>
      </w:r>
      <w:r/>
    </w:p>
    <w:p>
      <w:pPr>
        <w:pStyle w:val="703"/>
        <w:spacing w:line="400" w:lineRule="exact"/>
        <w:rPr>
          <w:rFonts w:hint="eastAsia" w:ascii="宋体" w:hAnsi="宋体"/>
          <w:b/>
          <w:sz w:val="32"/>
          <w:szCs w:val="20"/>
        </w:rPr>
      </w:pPr>
      <w:r>
        <w:rPr>
          <w:rFonts w:hint="eastAsia" w:ascii="宋体" w:hAnsi="宋体"/>
          <w:b/>
          <w:sz w:val="32"/>
          <w:szCs w:val="20"/>
        </w:rPr>
      </w:r>
      <w:r/>
    </w:p>
    <w:p>
      <w:pPr>
        <w:pStyle w:val="703"/>
        <w:spacing w:line="400" w:lineRule="exact"/>
        <w:rPr>
          <w:rFonts w:hint="eastAsia" w:ascii="宋体" w:hAnsi="宋体"/>
          <w:b/>
          <w:sz w:val="32"/>
          <w:szCs w:val="20"/>
        </w:rPr>
      </w:pPr>
      <w:r>
        <w:rPr>
          <w:rFonts w:hint="eastAsia" w:ascii="宋体" w:hAnsi="宋体"/>
          <w:b/>
          <w:sz w:val="32"/>
          <w:szCs w:val="20"/>
        </w:rPr>
      </w:r>
      <w:r/>
    </w:p>
    <w:p>
      <w:pPr>
        <w:pStyle w:val="703"/>
        <w:spacing w:line="400" w:lineRule="exact"/>
        <w:rPr>
          <w:rFonts w:hint="eastAsia" w:ascii="宋体" w:hAnsi="宋体"/>
          <w:b/>
          <w:sz w:val="32"/>
          <w:szCs w:val="20"/>
        </w:rPr>
      </w:pPr>
      <w:r>
        <w:rPr>
          <w:rFonts w:hint="eastAsia" w:ascii="宋体" w:hAnsi="宋体"/>
          <w:b/>
          <w:sz w:val="32"/>
          <w:szCs w:val="20"/>
        </w:rPr>
      </w:r>
      <w:r/>
    </w:p>
    <w:p>
      <w:pPr>
        <w:pStyle w:val="703"/>
        <w:ind w:firstLine="1789"/>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743"/>
        <w:ind w:firstLine="843"/>
        <w:rPr>
          <w:rFonts w:hint="eastAsia" w:hAnsi="宋体"/>
          <w:b/>
          <w:bCs/>
          <w:sz w:val="28"/>
        </w:rPr>
      </w:pPr>
      <w:r>
        <w:rPr>
          <w:rFonts w:hint="eastAsia" w:hAnsi="宋体"/>
          <w:b/>
          <w:bCs/>
          <w:sz w:val="28"/>
        </w:rPr>
        <w:t xml:space="preserve">  </w:t>
      </w:r>
      <w:r>
        <w:rPr>
          <w:rFonts w:hint="eastAsia" w:hAnsi="宋体"/>
          <w:b/>
          <w:bCs/>
          <w:sz w:val="28"/>
        </w:rPr>
      </w:r>
      <w:r/>
    </w:p>
    <w:p>
      <w:pPr>
        <w:pStyle w:val="743"/>
        <w:ind w:firstLine="843"/>
        <w:rPr>
          <w:rFonts w:hint="eastAsia" w:hAnsi="宋体"/>
          <w:b/>
          <w:bCs/>
          <w:sz w:val="28"/>
        </w:rPr>
      </w:pPr>
      <w:r>
        <w:rPr>
          <w:rFonts w:hint="eastAsia" w:hAnsi="宋体"/>
          <w:b/>
          <w:bCs/>
          <w:sz w:val="28"/>
        </w:rPr>
      </w:r>
      <w:r/>
    </w:p>
    <w:p>
      <w:pPr>
        <w:pStyle w:val="743"/>
        <w:jc w:val="center"/>
        <w:rPr>
          <w:rFonts w:hint="eastAsia" w:hAnsi="宋体"/>
          <w:b/>
          <w:bCs/>
          <w:sz w:val="36"/>
          <w:szCs w:val="36"/>
        </w:rPr>
      </w:pPr>
      <w:r>
        <w:rPr>
          <w:rFonts w:hint="eastAsia" w:hAnsi="宋体"/>
          <w:b/>
          <w:bCs/>
          <w:sz w:val="36"/>
          <w:szCs w:val="36"/>
        </w:rPr>
      </w:r>
      <w:r/>
    </w:p>
    <w:p>
      <w:pPr>
        <w:pStyle w:val="743"/>
        <w:jc w:val="center"/>
        <w:rPr>
          <w:rFonts w:hint="eastAsia" w:hAnsi="宋体"/>
          <w:b/>
          <w:bCs/>
          <w:sz w:val="36"/>
          <w:szCs w:val="36"/>
        </w:rPr>
      </w:pPr>
      <w:r>
        <w:rPr>
          <w:rFonts w:hint="eastAsia" w:hAnsi="宋体"/>
          <w:b/>
          <w:bCs/>
          <w:sz w:val="36"/>
          <w:szCs w:val="36"/>
        </w:rPr>
      </w:r>
      <w:r/>
    </w:p>
    <w:p>
      <w:pPr>
        <w:pStyle w:val="743"/>
        <w:ind w:firstLine="2465"/>
        <w:rPr>
          <w:rFonts w:hint="eastAsia" w:hAnsi="宋体"/>
          <w:b/>
          <w:sz w:val="36"/>
          <w:szCs w:val="24"/>
        </w:rPr>
      </w:pPr>
      <w:r>
        <w:rPr>
          <w:rFonts w:hint="eastAsia" w:hAnsi="宋体"/>
          <w:b/>
          <w:sz w:val="36"/>
          <w:szCs w:val="24"/>
        </w:rPr>
        <w:t xml:space="preserve">二0二四年    月    日</w:t>
      </w:r>
      <w:r>
        <w:rPr>
          <w:rFonts w:hint="eastAsia" w:hAnsi="宋体"/>
          <w:b/>
          <w:sz w:val="36"/>
          <w:szCs w:val="24"/>
        </w:rPr>
      </w:r>
      <w:r/>
    </w:p>
    <w:p>
      <w:pPr>
        <w:pStyle w:val="743"/>
        <w:rPr>
          <w:rFonts w:hint="eastAsia" w:hAnsi="宋体"/>
          <w:b/>
          <w:sz w:val="32"/>
        </w:rPr>
      </w:pPr>
      <w:r>
        <w:rPr>
          <w:rFonts w:hint="eastAsia" w:hAnsi="宋体"/>
          <w:b/>
          <w:sz w:val="32"/>
        </w:rPr>
      </w:r>
      <w:r/>
    </w:p>
    <w:p>
      <w:pPr>
        <w:pStyle w:val="703"/>
        <w:spacing w:line="640" w:lineRule="exact"/>
        <w:rPr>
          <w:rFonts w:ascii="宋体" w:hAnsi="宋体"/>
          <w:sz w:val="28"/>
          <w:szCs w:val="28"/>
        </w:rPr>
      </w:pPr>
      <w:r>
        <w:rPr>
          <w:rFonts w:ascii="宋体" w:hAnsi="宋体"/>
          <w:sz w:val="28"/>
          <w:szCs w:val="28"/>
        </w:rPr>
      </w:r>
      <w:r/>
    </w:p>
    <w:p>
      <w:pPr>
        <w:pStyle w:val="703"/>
        <w:spacing w:line="640" w:lineRule="exact"/>
        <w:rPr>
          <w:rFonts w:ascii="宋体" w:hAnsi="宋体"/>
          <w:sz w:val="28"/>
          <w:szCs w:val="28"/>
        </w:rPr>
      </w:pPr>
      <w:r>
        <w:rPr>
          <w:rFonts w:ascii="宋体" w:hAnsi="宋体"/>
          <w:sz w:val="28"/>
          <w:szCs w:val="28"/>
        </w:rPr>
      </w:r>
      <w:r/>
    </w:p>
    <w:p>
      <w:pPr>
        <w:pStyle w:val="703"/>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703"/>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703"/>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w:t>
      </w: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3"/>
        <w:rPr>
          <w:rFonts w:hint="eastAsia" w:ascii="宋体" w:hAnsi="宋体"/>
          <w:bCs/>
          <w:sz w:val="28"/>
        </w:rPr>
      </w:pPr>
      <w:r>
        <w:rPr>
          <w:rFonts w:hint="eastAsia" w:ascii="宋体" w:hAnsi="宋体"/>
          <w:bCs/>
          <w:sz w:val="28"/>
        </w:rPr>
      </w:r>
      <w:r/>
    </w:p>
    <w:p>
      <w:pPr>
        <w:pStyle w:val="705"/>
        <w:jc w:val="center"/>
        <w:spacing w:before="0" w:after="0" w:line="300" w:lineRule="auto"/>
        <w:rPr>
          <w:rFonts w:hint="eastAsia" w:ascii="宋体" w:hAnsi="宋体" w:eastAsia="宋体"/>
          <w:bCs/>
          <w:sz w:val="28"/>
          <w:szCs w:val="28"/>
        </w:rPr>
      </w:pPr>
      <w:r/>
      <w:bookmarkStart w:id="28" w:name="_Toc109231708"/>
      <w:r>
        <w:rPr>
          <w:rFonts w:hint="eastAsia" w:ascii="宋体" w:hAnsi="宋体" w:eastAsia="宋体"/>
          <w:bCs/>
          <w:sz w:val="28"/>
          <w:szCs w:val="28"/>
        </w:rPr>
        <w:t xml:space="preserve">一、磋商函</w:t>
      </w:r>
      <w:bookmarkEnd w:id="28"/>
      <w:r>
        <w:rPr>
          <w:rFonts w:hint="eastAsia" w:ascii="宋体" w:hAnsi="宋体" w:eastAsia="宋体"/>
          <w:bCs/>
          <w:sz w:val="28"/>
          <w:szCs w:val="28"/>
        </w:rPr>
      </w:r>
      <w:r/>
    </w:p>
    <w:p>
      <w:pPr>
        <w:pStyle w:val="703"/>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879"/>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）磋商文件（包括更正公告，如果有的话）收悉，我们经详细审阅和研究，现决定参加本项目磋商。同时，正式授权下述签字人</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w:t>
      </w:r>
      <w:r>
        <w:rPr>
          <w:rFonts w:hint="eastAsia" w:ascii="宋体" w:hAnsi="宋体"/>
        </w:rPr>
        <w:t xml:space="preserve">全权处理本次项目磋商的有关事宜。</w:t>
      </w:r>
      <w:r>
        <w:rPr>
          <w:rFonts w:ascii="宋体" w:hAnsi="宋体"/>
        </w:rPr>
      </w:r>
      <w:r/>
    </w:p>
    <w:p>
      <w:pPr>
        <w:pStyle w:val="703"/>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sz w:val="24"/>
        </w:rPr>
      </w:r>
      <w:r/>
    </w:p>
    <w:p>
      <w:pPr>
        <w:pStyle w:val="703"/>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rPr>
          <w:rFonts w:hint="eastAsia" w:ascii="宋体" w:hAnsi="宋体"/>
          <w:sz w:val="24"/>
        </w:rPr>
      </w:r>
      <w:r/>
    </w:p>
    <w:p>
      <w:pPr>
        <w:pStyle w:val="703"/>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sz w:val="24"/>
        </w:rPr>
      </w:r>
      <w:r/>
    </w:p>
    <w:p>
      <w:pPr>
        <w:pStyle w:val="703"/>
        <w:ind w:firstLine="480"/>
        <w:spacing w:line="640" w:lineRule="exact"/>
        <w:rPr>
          <w:rFonts w:ascii="宋体" w:hAnsi="宋体"/>
          <w:sz w:val="24"/>
        </w:rPr>
      </w:pPr>
      <w:r>
        <w:rPr>
          <w:rFonts w:hint="eastAsia" w:ascii="宋体" w:hAnsi="宋体"/>
          <w:sz w:val="24"/>
        </w:rPr>
        <w:t xml:space="preserve">4、我公司郑重承诺:我公司具备履行合同所必需的设备和专业技术能力。</w:t>
      </w:r>
      <w:r>
        <w:rPr>
          <w:rFonts w:ascii="宋体" w:hAnsi="宋体"/>
          <w:sz w:val="24"/>
        </w:rPr>
      </w:r>
      <w:r/>
    </w:p>
    <w:p>
      <w:pPr>
        <w:pStyle w:val="703"/>
        <w:ind w:firstLine="480"/>
        <w:spacing w:line="640" w:lineRule="exact"/>
        <w:rPr>
          <w:rFonts w:hint="eastAsia" w:ascii="宋体" w:hAnsi="宋体"/>
          <w:sz w:val="24"/>
        </w:rPr>
      </w:pPr>
      <w:r>
        <w:rPr>
          <w:rFonts w:hint="eastAsia" w:ascii="宋体" w:hAnsi="宋体"/>
          <w:sz w:val="24"/>
        </w:rPr>
        <w:t xml:space="preserve">5、我公司郑重承诺:我公司具备《中华人民共和国政府采购法》第二十二条第一款规定的六项条件。</w:t>
      </w:r>
      <w:r>
        <w:rPr>
          <w:rFonts w:hint="eastAsia" w:ascii="宋体" w:hAnsi="宋体"/>
          <w:sz w:val="24"/>
        </w:rPr>
      </w:r>
      <w:r/>
    </w:p>
    <w:p>
      <w:pPr>
        <w:pStyle w:val="879"/>
        <w:spacing w:before="0" w:after="0" w:line="640" w:lineRule="exact"/>
        <w:rPr>
          <w:rFonts w:hint="eastAsia" w:ascii="宋体" w:hAnsi="宋体"/>
        </w:rPr>
      </w:pPr>
      <w:r>
        <w:rPr>
          <w:rFonts w:hint="eastAsia" w:ascii="宋体" w:hAnsi="宋体"/>
        </w:rPr>
        <w:t xml:space="preserve">6、按照磋商文件中规定各项要求，我方愿以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rPr>
        <w:t xml:space="preserve">元）的磋商总报价并按磋商文件的规定要求提供</w:t>
      </w:r>
      <w:r>
        <w:rPr>
          <w:rFonts w:hint="eastAsia" w:ascii="宋体" w:hAnsi="宋体"/>
        </w:rPr>
        <w:t xml:space="preserve">货物和</w:t>
      </w:r>
      <w:r>
        <w:rPr>
          <w:rFonts w:hint="eastAsia" w:ascii="宋体" w:hAnsi="宋体" w:cs="Arial"/>
        </w:rPr>
        <w:t xml:space="preserve">服务。</w:t>
      </w:r>
      <w:r>
        <w:rPr>
          <w:rFonts w:hint="eastAsia" w:ascii="宋体" w:hAnsi="宋体"/>
        </w:rPr>
      </w:r>
      <w:r/>
    </w:p>
    <w:p>
      <w:pPr>
        <w:pStyle w:val="703"/>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、如果我们成交，我们将按磋商文件规定的时间提供货物和服务。</w:t>
      </w:r>
      <w:r>
        <w:rPr>
          <w:rFonts w:hint="eastAsia" w:ascii="宋体" w:hAnsi="宋体"/>
          <w:sz w:val="24"/>
        </w:rPr>
      </w:r>
      <w:r/>
    </w:p>
    <w:p>
      <w:pPr>
        <w:pStyle w:val="703"/>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sz w:val="24"/>
        </w:rPr>
      </w:r>
      <w:r/>
    </w:p>
    <w:p>
      <w:pPr>
        <w:pStyle w:val="703"/>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、我们同意向贵方提供贵方可能要求的与磋商有关的任何证据或资料，并保证所提供的都是真实的、准确的。</w:t>
      </w:r>
      <w:r>
        <w:rPr>
          <w:rFonts w:hint="eastAsia" w:ascii="宋体" w:hAnsi="宋体"/>
          <w:sz w:val="24"/>
        </w:rPr>
      </w:r>
      <w:r/>
    </w:p>
    <w:p>
      <w:pPr>
        <w:pStyle w:val="703"/>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、一旦我方成交，我方将按照磋商文件的规定，严格履行合同的责任和义务，并保证按磋商文件中规定的时间内提供货物和服务。</w:t>
      </w:r>
      <w:r>
        <w:rPr>
          <w:rFonts w:hint="eastAsia" w:ascii="宋体" w:hAnsi="宋体"/>
          <w:sz w:val="24"/>
        </w:rPr>
      </w:r>
      <w:r/>
    </w:p>
    <w:p>
      <w:pPr>
        <w:pStyle w:val="879"/>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u w:val="single"/>
        </w:rPr>
        <w:t xml:space="preserve">  （电子签章）           </w:t>
      </w:r>
      <w:r>
        <w:rPr>
          <w:rFonts w:hint="eastAsia" w:ascii="宋体" w:hAnsi="宋体"/>
          <w:u w:val="single"/>
        </w:rPr>
      </w:r>
      <w:r/>
    </w:p>
    <w:p>
      <w:pPr>
        <w:pStyle w:val="879"/>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u w:val="single"/>
        </w:rPr>
        <w:t xml:space="preserve">             </w:t>
      </w:r>
      <w:r>
        <w:rPr>
          <w:rFonts w:hint="eastAsia" w:ascii="宋体" w:hAnsi="宋体"/>
        </w:rPr>
        <w:t xml:space="preserve">邮编:</w:t>
      </w:r>
      <w:r>
        <w:rPr>
          <w:rFonts w:hint="eastAsia" w:ascii="宋体" w:hAnsi="宋体"/>
          <w:u w:val="single"/>
        </w:rPr>
        <w:t xml:space="preserve">             </w:t>
      </w:r>
      <w:r>
        <w:rPr>
          <w:rFonts w:hint="eastAsia" w:ascii="宋体" w:hAnsi="宋体"/>
        </w:rPr>
      </w:r>
      <w:r/>
    </w:p>
    <w:p>
      <w:pPr>
        <w:pStyle w:val="703"/>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rPr>
          <w:rFonts w:hint="eastAsia" w:ascii="宋体" w:hAnsi="宋体"/>
          <w:sz w:val="24"/>
          <w:u w:val="single"/>
        </w:rPr>
      </w:r>
      <w:r/>
    </w:p>
    <w:p>
      <w:pPr>
        <w:pStyle w:val="743"/>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u w:val="single"/>
        </w:rPr>
        <w:t xml:space="preserve">（电子签章或电子签字）   </w:t>
      </w:r>
      <w:r>
        <w:rPr>
          <w:rFonts w:hint="eastAsia" w:hAnsi="宋体"/>
          <w:sz w:val="24"/>
          <w:szCs w:val="24"/>
          <w:u w:val="single"/>
        </w:rPr>
      </w:r>
      <w:r/>
    </w:p>
    <w:p>
      <w:pPr>
        <w:pStyle w:val="743"/>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u w:val="single"/>
        </w:rPr>
        <w:t xml:space="preserve">                               </w:t>
      </w:r>
      <w:r>
        <w:rPr>
          <w:rFonts w:hint="eastAsia" w:hAnsi="宋体"/>
          <w:sz w:val="24"/>
          <w:szCs w:val="24"/>
        </w:rPr>
      </w:r>
      <w:r/>
    </w:p>
    <w:p>
      <w:pPr>
        <w:pStyle w:val="743"/>
        <w:ind w:firstLine="2880"/>
        <w:spacing w:line="640" w:lineRule="exact"/>
        <w:rPr>
          <w:rFonts w:hint="eastAsia" w:hAnsi="宋体"/>
          <w:sz w:val="24"/>
          <w:szCs w:val="24"/>
        </w:rPr>
      </w:pPr>
      <w:r>
        <w:rPr>
          <w:rFonts w:hint="eastAsia" w:hAnsi="宋体"/>
          <w:sz w:val="24"/>
          <w:szCs w:val="24"/>
        </w:rPr>
        <w:t xml:space="preserve">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int="eastAsia" w:hAnsi="宋体"/>
          <w:sz w:val="24"/>
          <w:szCs w:val="24"/>
        </w:rPr>
      </w:r>
      <w:r/>
    </w:p>
    <w:p>
      <w:pPr>
        <w:pStyle w:val="703"/>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5"/>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29" w:name="_Toc109231709"/>
      <w:r>
        <w:rPr>
          <w:rFonts w:hint="eastAsia" w:ascii="宋体" w:hAnsi="宋体" w:eastAsia="宋体"/>
          <w:bCs/>
          <w:sz w:val="28"/>
          <w:szCs w:val="28"/>
        </w:rPr>
        <w:t xml:space="preserve">二、报价一览表</w:t>
      </w:r>
      <w:bookmarkEnd w:id="29"/>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703"/>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703"/>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703"/>
              <w:jc w:val="center"/>
              <w:spacing w:line="360" w:lineRule="auto"/>
              <w:rPr>
                <w:rFonts w:hint="eastAsia" w:ascii="宋体" w:hAnsi="宋体"/>
                <w:sz w:val="24"/>
              </w:rPr>
            </w:pPr>
            <w:r>
              <w:rPr>
                <w:rFonts w:hint="eastAsia" w:ascii="宋体" w:hAnsi="宋体"/>
                <w:sz w:val="24"/>
              </w:rPr>
              <w:t xml:space="preserve">磋商总报价</w:t>
            </w:r>
            <w:r>
              <w:rPr>
                <w:rFonts w:hint="eastAsia" w:ascii="宋体" w:hAnsi="宋体"/>
                <w:sz w:val="24"/>
              </w:rPr>
            </w:r>
            <w:r/>
          </w:p>
        </w:tc>
        <w:tc>
          <w:tcPr>
            <w:tcW w:w="6727" w:type="dxa"/>
            <w:vAlign w:val="center"/>
            <w:textDirection w:val="lrTb"/>
            <w:noWrap w:val="false"/>
          </w:tcPr>
          <w:p>
            <w:pPr>
              <w:pStyle w:val="703"/>
              <w:spacing w:line="360" w:lineRule="auto"/>
              <w:rPr>
                <w:rFonts w:hint="eastAsia" w:ascii="宋体" w:hAnsi="宋体"/>
                <w:sz w:val="24"/>
                <w:u w:val="single"/>
              </w:rPr>
            </w:pPr>
            <w:r>
              <w:rPr>
                <w:rFonts w:hint="eastAsia" w:ascii="宋体" w:hAnsi="宋体"/>
                <w:sz w:val="24"/>
              </w:rPr>
              <w:t xml:space="preserve">（小写）¥ </w:t>
            </w:r>
            <w:r>
              <w:rPr>
                <w:rFonts w:hint="eastAsia" w:ascii="宋体" w:hAnsi="宋体"/>
                <w:sz w:val="24"/>
                <w:u w:val="single"/>
              </w:rPr>
              <w:t xml:space="preserve">                              元</w:t>
            </w:r>
            <w:r>
              <w:rPr>
                <w:rFonts w:hint="eastAsia" w:ascii="宋体" w:hAnsi="宋体"/>
                <w:sz w:val="24"/>
                <w:u w:val="single"/>
              </w:rPr>
            </w:r>
            <w:r/>
          </w:p>
          <w:p>
            <w:pPr>
              <w:pStyle w:val="703"/>
              <w:spacing w:line="360" w:lineRule="auto"/>
              <w:rPr>
                <w:rFonts w:hint="eastAsia" w:ascii="宋体" w:hAnsi="宋体"/>
                <w:sz w:val="24"/>
              </w:rPr>
            </w:pPr>
            <w:r>
              <w:rPr>
                <w:rFonts w:hint="eastAsia" w:ascii="宋体" w:hAnsi="宋体"/>
                <w:sz w:val="24"/>
              </w:rPr>
              <w:t xml:space="preserve">（大写）人民币</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万</w:t>
            </w:r>
            <w:r>
              <w:rPr>
                <w:rFonts w:hint="eastAsia" w:ascii="宋体" w:hAnsi="宋体"/>
                <w:sz w:val="24"/>
                <w:u w:val="single"/>
              </w:rPr>
              <w:t xml:space="preserve">  </w:t>
            </w:r>
            <w:r>
              <w:rPr>
                <w:rFonts w:hint="eastAsia" w:ascii="宋体" w:hAnsi="宋体"/>
                <w:sz w:val="24"/>
              </w:rPr>
              <w:t xml:space="preserve">仟</w:t>
            </w:r>
            <w:r>
              <w:rPr>
                <w:rFonts w:hint="eastAsia" w:ascii="宋体" w:hAnsi="宋体"/>
                <w:sz w:val="24"/>
                <w:u w:val="single"/>
              </w:rPr>
              <w:t xml:space="preserve">  </w:t>
            </w:r>
            <w:r>
              <w:rPr>
                <w:rFonts w:hint="eastAsia" w:ascii="宋体" w:hAnsi="宋体"/>
                <w:sz w:val="24"/>
              </w:rPr>
              <w:t xml:space="preserve">佰</w:t>
            </w:r>
            <w:r>
              <w:rPr>
                <w:rFonts w:hint="eastAsia" w:ascii="宋体" w:hAnsi="宋体"/>
                <w:sz w:val="24"/>
                <w:u w:val="single"/>
              </w:rPr>
              <w:t xml:space="preserve">  </w:t>
            </w:r>
            <w:r>
              <w:rPr>
                <w:rFonts w:hint="eastAsia" w:ascii="宋体" w:hAnsi="宋体"/>
                <w:sz w:val="24"/>
              </w:rPr>
              <w:t xml:space="preserve">拾</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703"/>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703"/>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sz w:val="24"/>
          <w:u w:val="single"/>
        </w:rPr>
        <w:t xml:space="preserve">  （电子签章或电子签字）             </w:t>
      </w:r>
      <w:r>
        <w:rPr>
          <w:rFonts w:hint="eastAsia" w:ascii="宋体" w:hAnsi="宋体"/>
          <w:sz w:val="24"/>
          <w:u w:val="single"/>
        </w:rPr>
      </w:r>
      <w:r/>
    </w:p>
    <w:p>
      <w:pPr>
        <w:pStyle w:val="703"/>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743"/>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43"/>
        <w:ind w:right="561" w:firstLine="830"/>
        <w:spacing w:line="480" w:lineRule="exact"/>
        <w:rPr>
          <w:rFonts w:hint="eastAsia" w:hAnsi="宋体"/>
          <w:b/>
          <w:bCs/>
          <w:sz w:val="28"/>
          <w:szCs w:val="28"/>
        </w:rPr>
      </w:pPr>
      <w:r>
        <w:rPr>
          <w:rFonts w:hint="eastAsia" w:hAnsi="宋体"/>
          <w:b/>
          <w:bCs/>
          <w:sz w:val="28"/>
          <w:szCs w:val="28"/>
        </w:rPr>
      </w:r>
      <w:r/>
    </w:p>
    <w:p>
      <w:pPr>
        <w:pStyle w:val="703"/>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ascii="宋体" w:hAnsi="宋体"/>
          <w:bCs/>
          <w:spacing w:val="20"/>
          <w:sz w:val="32"/>
          <w:szCs w:val="32"/>
        </w:rPr>
      </w:pPr>
      <w:r>
        <w:rPr>
          <w:rFonts w:ascii="宋体" w:hAnsi="宋体"/>
          <w:bCs/>
          <w:spacing w:val="20"/>
          <w:sz w:val="32"/>
          <w:szCs w:val="32"/>
        </w:rPr>
      </w:r>
      <w:r/>
    </w:p>
    <w:p>
      <w:pPr>
        <w:pStyle w:val="703"/>
        <w:ind w:firstLine="3394"/>
        <w:spacing w:line="440" w:lineRule="exact"/>
        <w:rPr>
          <w:rFonts w:ascii="宋体" w:hAnsi="宋体"/>
          <w:bCs/>
          <w:spacing w:val="20"/>
          <w:sz w:val="32"/>
          <w:szCs w:val="32"/>
        </w:rPr>
      </w:pPr>
      <w:r>
        <w:rPr>
          <w:rFonts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3"/>
        <w:ind w:firstLine="3394"/>
        <w:spacing w:line="440" w:lineRule="exact"/>
        <w:rPr>
          <w:rFonts w:ascii="宋体" w:hAnsi="宋体"/>
          <w:bCs/>
          <w:spacing w:val="20"/>
          <w:sz w:val="32"/>
          <w:szCs w:val="32"/>
        </w:rPr>
      </w:pPr>
      <w:r>
        <w:rPr>
          <w:rFonts w:ascii="宋体" w:hAnsi="宋体"/>
          <w:bCs/>
          <w:spacing w:val="20"/>
          <w:sz w:val="32"/>
          <w:szCs w:val="32"/>
        </w:rPr>
      </w:r>
      <w:r/>
    </w:p>
    <w:p>
      <w:pPr>
        <w:pStyle w:val="703"/>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5"/>
        <w:jc w:val="center"/>
        <w:spacing w:before="0" w:after="0" w:line="300" w:lineRule="auto"/>
        <w:rPr>
          <w:rFonts w:hint="eastAsia" w:ascii="宋体" w:hAnsi="宋体" w:eastAsia="宋体"/>
          <w:bCs/>
          <w:sz w:val="28"/>
          <w:szCs w:val="28"/>
        </w:rPr>
      </w:pPr>
      <w:r/>
      <w:bookmarkStart w:id="30" w:name="_Toc109231710"/>
      <w:r>
        <w:rPr>
          <w:rFonts w:hint="eastAsia" w:ascii="宋体" w:hAnsi="宋体" w:eastAsia="宋体"/>
          <w:bCs/>
          <w:sz w:val="28"/>
          <w:szCs w:val="28"/>
        </w:rPr>
        <w:t xml:space="preserve">三、报价明细表</w:t>
      </w:r>
      <w:bookmarkEnd w:id="30"/>
      <w:r>
        <w:rPr>
          <w:rFonts w:hint="eastAsia" w:ascii="宋体" w:hAnsi="宋体" w:eastAsia="宋体"/>
          <w:bCs/>
          <w:sz w:val="28"/>
          <w:szCs w:val="28"/>
        </w:rPr>
      </w:r>
      <w:r/>
    </w:p>
    <w:p>
      <w:pPr>
        <w:pStyle w:val="703"/>
        <w:jc w:val="center"/>
        <w:spacing w:line="440" w:lineRule="exact"/>
        <w:rPr>
          <w:rFonts w:hint="eastAsia" w:ascii="宋体" w:hAnsi="宋体"/>
          <w:sz w:val="24"/>
        </w:rPr>
      </w:pPr>
      <w:r/>
      <w:bookmarkStart w:id="31" w:name="_Toc62225067"/>
      <w:r/>
      <w:bookmarkStart w:id="32" w:name="_Toc455472187"/>
      <w:r>
        <w:rPr>
          <w:rFonts w:hint="eastAsia" w:ascii="宋体" w:hAnsi="宋体"/>
          <w:sz w:val="24"/>
        </w:rPr>
        <w:t xml:space="preserve">（根据磋商文件第一章第五部分要求的内容逐条填写）</w:t>
      </w:r>
      <w:bookmarkEnd w:id="31"/>
      <w:r/>
      <w:bookmarkEnd w:id="32"/>
      <w:r>
        <w:rPr>
          <w:rFonts w:hint="eastAsia" w:ascii="宋体" w:hAnsi="宋体"/>
          <w:sz w:val="24"/>
        </w:rPr>
      </w:r>
      <w:r/>
    </w:p>
    <w:tbl>
      <w:tblPr>
        <w:tblW w:w="10065"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1134"/>
        <w:gridCol w:w="851"/>
      </w:tblGrid>
      <w:tr>
        <w:trPr>
          <w:trHeight w:val="680"/>
        </w:trPr>
        <w:tc>
          <w:tcPr>
            <w:tcW w:w="567" w:type="dxa"/>
            <w:vAlign w:val="center"/>
            <w:textDirection w:val="lrTb"/>
            <w:noWrap w:val="false"/>
          </w:tcPr>
          <w:p>
            <w:pPr>
              <w:pStyle w:val="743"/>
              <w:spacing w:line="340" w:lineRule="exact"/>
              <w:rPr>
                <w:rFonts w:hint="eastAsia" w:hAnsi="宋体"/>
                <w:sz w:val="24"/>
                <w:szCs w:val="24"/>
              </w:rPr>
            </w:pPr>
            <w:r>
              <w:rPr>
                <w:rFonts w:hint="eastAsia" w:hAnsi="宋体"/>
                <w:sz w:val="24"/>
                <w:szCs w:val="24"/>
              </w:rPr>
              <w:t xml:space="preserve">序号</w:t>
            </w: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货物名称</w:t>
            </w: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品牌型号</w:t>
            </w:r>
            <w:r>
              <w:rPr>
                <w:rFonts w:hint="eastAsia" w:hAnsi="宋体"/>
                <w:sz w:val="24"/>
                <w:szCs w:val="24"/>
              </w:rPr>
            </w:r>
            <w:r/>
          </w:p>
        </w:tc>
        <w:tc>
          <w:tcPr>
            <w:tcW w:w="709" w:type="dxa"/>
            <w:vAlign w:val="center"/>
            <w:textDirection w:val="lrTb"/>
            <w:noWrap w:val="false"/>
          </w:tcPr>
          <w:p>
            <w:pPr>
              <w:pStyle w:val="743"/>
              <w:ind w:left="120" w:hanging="120"/>
              <w:spacing w:line="340" w:lineRule="exact"/>
              <w:rPr>
                <w:rFonts w:hint="eastAsia" w:hAnsi="宋体"/>
                <w:sz w:val="24"/>
                <w:szCs w:val="24"/>
              </w:rPr>
            </w:pPr>
            <w:r>
              <w:rPr>
                <w:rFonts w:hint="eastAsia" w:hAnsi="宋体"/>
                <w:sz w:val="24"/>
                <w:szCs w:val="24"/>
              </w:rPr>
              <w:t xml:space="preserve">数量</w:t>
            </w:r>
            <w:r>
              <w:rPr>
                <w:rFonts w:hint="eastAsia" w:hAnsi="宋体"/>
                <w:sz w:val="24"/>
                <w:szCs w:val="24"/>
              </w:rPr>
            </w:r>
            <w:r/>
          </w:p>
        </w:tc>
        <w:tc>
          <w:tcPr>
            <w:tcW w:w="708" w:type="dxa"/>
            <w:vAlign w:val="center"/>
            <w:textDirection w:val="lrTb"/>
            <w:noWrap w:val="false"/>
          </w:tcPr>
          <w:p>
            <w:pPr>
              <w:pStyle w:val="743"/>
              <w:spacing w:line="340" w:lineRule="exact"/>
              <w:rPr>
                <w:rFonts w:hint="eastAsia" w:hAnsi="宋体"/>
                <w:sz w:val="24"/>
                <w:szCs w:val="24"/>
              </w:rPr>
            </w:pPr>
            <w:r>
              <w:rPr>
                <w:rFonts w:hint="eastAsia" w:hAnsi="宋体"/>
                <w:sz w:val="24"/>
                <w:szCs w:val="24"/>
              </w:rPr>
              <w:t xml:space="preserve">单位</w:t>
            </w: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单价</w:t>
            </w: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总价</w:t>
            </w: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生产</w:t>
            </w:r>
            <w:r>
              <w:rPr>
                <w:rFonts w:hint="eastAsia" w:hAnsi="宋体"/>
                <w:sz w:val="24"/>
                <w:szCs w:val="24"/>
              </w:rPr>
            </w:r>
            <w:r/>
          </w:p>
          <w:p>
            <w:pPr>
              <w:pStyle w:val="743"/>
              <w:jc w:val="center"/>
              <w:spacing w:line="340" w:lineRule="exact"/>
              <w:rPr>
                <w:rFonts w:hint="eastAsia" w:hAnsi="宋体"/>
                <w:sz w:val="24"/>
                <w:szCs w:val="24"/>
              </w:rPr>
            </w:pPr>
            <w:r>
              <w:rPr>
                <w:rFonts w:hint="eastAsia" w:hAnsi="宋体"/>
                <w:sz w:val="24"/>
                <w:szCs w:val="24"/>
              </w:rPr>
              <w:t xml:space="preserve">厂商</w:t>
            </w: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产地</w:t>
            </w: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质保期</w:t>
            </w:r>
            <w:r>
              <w:rPr>
                <w:rFonts w:hint="eastAsia" w:hAnsi="宋体"/>
                <w:sz w:val="24"/>
                <w:szCs w:val="24"/>
              </w:rPr>
            </w:r>
            <w:r/>
          </w:p>
        </w:tc>
        <w:tc>
          <w:tcPr>
            <w:tcW w:w="851" w:type="dxa"/>
            <w:vAlign w:val="center"/>
            <w:textDirection w:val="lrTb"/>
            <w:noWrap w:val="false"/>
          </w:tcPr>
          <w:p>
            <w:pPr>
              <w:pStyle w:val="703"/>
              <w:jc w:val="center"/>
              <w:widowControl/>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1</w:t>
            </w: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必填</w:t>
            </w:r>
            <w:r>
              <w:rPr>
                <w:rFonts w:hint="eastAsia" w:hAnsi="宋体"/>
                <w:sz w:val="24"/>
                <w:szCs w:val="24"/>
              </w:rPr>
            </w:r>
            <w:r/>
          </w:p>
        </w:tc>
        <w:tc>
          <w:tcPr>
            <w:tcW w:w="851" w:type="dxa"/>
            <w:vAlign w:val="center"/>
            <w:textDirection w:val="lrTb"/>
            <w:noWrap w:val="false"/>
          </w:tcPr>
          <w:p>
            <w:pPr>
              <w:pStyle w:val="703"/>
              <w:jc w:val="center"/>
            </w:pPr>
            <w:r>
              <w:rPr>
                <w:rFonts w:hint="eastAsia" w:hAnsi="宋体"/>
                <w:sz w:val="24"/>
              </w:rPr>
              <w:t xml:space="preserve">必填</w:t>
            </w:r>
            <w:r/>
          </w:p>
        </w:tc>
        <w:tc>
          <w:tcPr>
            <w:tcW w:w="992" w:type="dxa"/>
            <w:vAlign w:val="center"/>
            <w:textDirection w:val="lrTb"/>
            <w:noWrap w:val="false"/>
          </w:tcPr>
          <w:p>
            <w:pPr>
              <w:pStyle w:val="703"/>
              <w:jc w:val="center"/>
            </w:pPr>
            <w:r>
              <w:rPr>
                <w:rFonts w:hint="eastAsia" w:hAnsi="宋体"/>
                <w:sz w:val="24"/>
              </w:rPr>
              <w:t xml:space="preserve">必填</w:t>
            </w:r>
            <w:r/>
          </w:p>
        </w:tc>
        <w:tc>
          <w:tcPr>
            <w:tcW w:w="851" w:type="dxa"/>
            <w:vAlign w:val="center"/>
            <w:textDirection w:val="lrTb"/>
            <w:noWrap w:val="false"/>
          </w:tcPr>
          <w:p>
            <w:pPr>
              <w:pStyle w:val="703"/>
              <w:jc w:val="center"/>
            </w:pPr>
            <w:r>
              <w:rPr>
                <w:rFonts w:hint="eastAsia" w:hAnsi="宋体"/>
                <w:sz w:val="24"/>
              </w:rPr>
              <w:t xml:space="preserve">必填</w:t>
            </w:r>
            <w:r/>
          </w:p>
        </w:tc>
        <w:tc>
          <w:tcPr>
            <w:tcW w:w="850" w:type="dxa"/>
            <w:vAlign w:val="center"/>
            <w:textDirection w:val="lrTb"/>
            <w:noWrap w:val="false"/>
          </w:tcPr>
          <w:p>
            <w:pPr>
              <w:pStyle w:val="703"/>
              <w:jc w:val="center"/>
            </w:pPr>
            <w:r>
              <w:rPr>
                <w:rFonts w:hint="eastAsia" w:hAnsi="宋体"/>
                <w:sz w:val="24"/>
              </w:rPr>
              <w:t xml:space="preserve">必填</w:t>
            </w:r>
            <w:r/>
          </w:p>
        </w:tc>
        <w:tc>
          <w:tcPr>
            <w:tcW w:w="1134" w:type="dxa"/>
            <w:vAlign w:val="center"/>
            <w:textDirection w:val="lrTb"/>
            <w:noWrap w:val="false"/>
          </w:tcPr>
          <w:p>
            <w:pPr>
              <w:pStyle w:val="703"/>
              <w:jc w:val="center"/>
            </w:pPr>
            <w:r>
              <w:rPr>
                <w:rFonts w:hint="eastAsia" w:hAnsi="宋体"/>
                <w:sz w:val="24"/>
              </w:rPr>
              <w:t xml:space="preserve">必填</w:t>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2</w:t>
            </w: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3</w:t>
            </w: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w:t>
            </w: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t xml:space="preserve">安装调试、培训、售后服务等其他所有费用</w:t>
            </w: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tcW w:w="567"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24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31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9"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708"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992"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0"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1134" w:type="dxa"/>
            <w:vAlign w:val="center"/>
            <w:textDirection w:val="lrTb"/>
            <w:noWrap w:val="false"/>
          </w:tcPr>
          <w:p>
            <w:pPr>
              <w:pStyle w:val="743"/>
              <w:jc w:val="center"/>
              <w:spacing w:line="340" w:lineRule="exact"/>
              <w:rPr>
                <w:rFonts w:hint="eastAsia" w:hAnsi="宋体"/>
                <w:sz w:val="24"/>
                <w:szCs w:val="24"/>
              </w:rPr>
            </w:pPr>
            <w:r>
              <w:rPr>
                <w:rFonts w:hint="eastAsia" w:hAnsi="宋体"/>
                <w:sz w:val="24"/>
                <w:szCs w:val="24"/>
              </w:rPr>
            </w:r>
            <w:r/>
          </w:p>
        </w:tc>
        <w:tc>
          <w:tcPr>
            <w:tcW w:w="851" w:type="dxa"/>
            <w:vAlign w:val="top"/>
            <w:textDirection w:val="lrTb"/>
            <w:noWrap w:val="false"/>
          </w:tcPr>
          <w:p>
            <w:pPr>
              <w:pStyle w:val="703"/>
              <w:jc w:val="left"/>
              <w:widowControl/>
              <w:rPr>
                <w:rFonts w:hint="eastAsia" w:ascii="宋体" w:hAnsi="宋体"/>
                <w:sz w:val="24"/>
              </w:rPr>
            </w:pPr>
            <w:r>
              <w:rPr>
                <w:rFonts w:hint="eastAsia" w:ascii="宋体" w:hAnsi="宋体"/>
                <w:sz w:val="24"/>
              </w:rPr>
            </w:r>
            <w:r/>
          </w:p>
        </w:tc>
      </w:tr>
      <w:tr>
        <w:trPr>
          <w:trHeight w:val="680"/>
        </w:trPr>
        <w:tc>
          <w:tcPr>
            <w:gridSpan w:val="11"/>
            <w:tcW w:w="10065" w:type="dxa"/>
            <w:vAlign w:val="center"/>
            <w:textDirection w:val="lrTb"/>
            <w:noWrap w:val="false"/>
          </w:tcPr>
          <w:p>
            <w:pPr>
              <w:pStyle w:val="703"/>
              <w:jc w:val="left"/>
              <w:widowControl/>
              <w:rPr>
                <w:rFonts w:hint="eastAsia" w:ascii="宋体" w:hAnsi="宋体"/>
                <w:sz w:val="24"/>
              </w:rPr>
            </w:pPr>
            <w:r>
              <w:rPr>
                <w:rFonts w:hint="eastAsia" w:ascii="宋体" w:hAnsi="宋体"/>
                <w:sz w:val="24"/>
              </w:rPr>
              <w:t xml:space="preserve">磋商总报价（人民币大写）：</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r>
            <w:r/>
          </w:p>
        </w:tc>
      </w:tr>
    </w:tbl>
    <w:p>
      <w:pPr>
        <w:pStyle w:val="703"/>
        <w:spacing w:line="44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703"/>
        <w:spacing w:line="44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743"/>
        <w:spacing w:line="440" w:lineRule="exact"/>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743"/>
        <w:ind w:left="-178" w:firstLine="352"/>
        <w:spacing w:line="440" w:lineRule="exact"/>
        <w:rPr>
          <w:rFonts w:hint="eastAsia" w:hAnsi="宋体"/>
          <w:sz w:val="24"/>
          <w:szCs w:val="24"/>
        </w:rPr>
      </w:pPr>
      <w:r>
        <w:rPr>
          <w:rFonts w:hint="eastAsia" w:hAnsi="宋体"/>
          <w:sz w:val="24"/>
          <w:szCs w:val="24"/>
        </w:rPr>
        <w:t xml:space="preserve">（1）此表为表样，行数可自行添加，但表式不变。</w:t>
      </w:r>
      <w:r>
        <w:rPr>
          <w:rFonts w:hint="eastAsia" w:hAnsi="宋体"/>
          <w:sz w:val="24"/>
          <w:szCs w:val="24"/>
        </w:rPr>
      </w:r>
      <w:r/>
    </w:p>
    <w:p>
      <w:pPr>
        <w:pStyle w:val="743"/>
        <w:ind w:left="-178" w:firstLine="352"/>
        <w:spacing w:line="440" w:lineRule="exact"/>
        <w:rPr>
          <w:rFonts w:hint="eastAsia" w:hAnsi="宋体"/>
          <w:sz w:val="24"/>
          <w:szCs w:val="24"/>
        </w:rPr>
      </w:pPr>
      <w:r>
        <w:rPr>
          <w:rFonts w:hint="eastAsia" w:hAnsi="宋体"/>
          <w:sz w:val="24"/>
          <w:szCs w:val="24"/>
        </w:rPr>
        <w:t xml:space="preserve">（2）上述表中的单价应包括全部安装、调试、培训、技术服务、必不可少的部件、标准备件、专用工具等费用。</w:t>
      </w:r>
      <w:r>
        <w:rPr>
          <w:rFonts w:hint="eastAsia" w:hAnsi="宋体"/>
          <w:sz w:val="24"/>
          <w:szCs w:val="24"/>
        </w:rPr>
      </w:r>
      <w:r/>
    </w:p>
    <w:p>
      <w:pPr>
        <w:pStyle w:val="743"/>
        <w:ind w:left="-178" w:firstLine="352"/>
        <w:spacing w:line="440" w:lineRule="exact"/>
        <w:rPr>
          <w:rFonts w:hint="eastAsia" w:hAnsi="宋体"/>
          <w:sz w:val="24"/>
          <w:szCs w:val="24"/>
        </w:rPr>
      </w:pPr>
      <w:r>
        <w:rPr>
          <w:rFonts w:hint="eastAsia" w:hAnsi="宋体"/>
          <w:sz w:val="24"/>
          <w:szCs w:val="24"/>
        </w:rPr>
        <w:t xml:space="preserve">（3）如果单价和总价不符时，以单价为准。</w:t>
      </w:r>
      <w:r>
        <w:rPr>
          <w:rFonts w:hint="eastAsia" w:hAnsi="宋体"/>
          <w:sz w:val="24"/>
          <w:szCs w:val="24"/>
        </w:rPr>
      </w:r>
      <w:r/>
    </w:p>
    <w:p>
      <w:pPr>
        <w:pStyle w:val="743"/>
        <w:ind w:left="-178" w:firstLine="352"/>
        <w:spacing w:line="440" w:lineRule="exact"/>
        <w:rPr>
          <w:rFonts w:hint="eastAsia" w:hAnsi="宋体"/>
          <w:sz w:val="24"/>
          <w:szCs w:val="24"/>
        </w:rPr>
      </w:pPr>
      <w:r>
        <w:rPr>
          <w:rFonts w:hint="eastAsia" w:hAnsi="宋体"/>
          <w:sz w:val="24"/>
          <w:szCs w:val="24"/>
        </w:rPr>
        <w:t xml:space="preserve">（4）价格应按照供应商须知第11条的要求报价。</w:t>
      </w:r>
      <w:r>
        <w:rPr>
          <w:rFonts w:hint="eastAsia" w:hAnsi="宋体"/>
          <w:sz w:val="24"/>
          <w:szCs w:val="24"/>
        </w:rPr>
      </w:r>
      <w:r/>
    </w:p>
    <w:p>
      <w:pPr>
        <w:pStyle w:val="703"/>
        <w:spacing w:line="360" w:lineRule="auto"/>
        <w:rPr>
          <w:rFonts w:hint="eastAsia" w:ascii="宋体" w:hAnsi="宋体"/>
          <w:bCs/>
          <w:spacing w:val="20"/>
          <w:sz w:val="24"/>
        </w:rPr>
      </w:pPr>
      <w:r>
        <w:rPr>
          <w:rFonts w:hint="eastAsia" w:ascii="宋体" w:hAnsi="宋体"/>
          <w:bCs/>
          <w:spacing w:val="20"/>
          <w:sz w:val="24"/>
        </w:rPr>
      </w:r>
      <w:r/>
    </w:p>
    <w:p>
      <w:pPr>
        <w:pStyle w:val="705"/>
        <w:jc w:val="center"/>
        <w:spacing w:before="0" w:after="0" w:line="300" w:lineRule="auto"/>
        <w:rPr>
          <w:rFonts w:hint="eastAsia" w:ascii="宋体" w:hAnsi="宋体" w:eastAsia="宋体"/>
          <w:bCs/>
          <w:sz w:val="28"/>
          <w:szCs w:val="28"/>
        </w:rPr>
      </w:pPr>
      <w:r/>
      <w:bookmarkStart w:id="33" w:name="_Toc62225068"/>
      <w:r/>
      <w:bookmarkStart w:id="34" w:name="_Toc455472188"/>
      <w:r/>
      <w:bookmarkStart w:id="35" w:name="_Toc109231711"/>
      <w:r>
        <w:rPr>
          <w:rFonts w:hint="eastAsia" w:ascii="宋体" w:hAnsi="宋体" w:eastAsia="宋体"/>
          <w:bCs/>
          <w:sz w:val="28"/>
          <w:szCs w:val="28"/>
        </w:rPr>
        <w:t xml:space="preserve">四、技术规格响应偏离表</w:t>
      </w:r>
      <w:bookmarkEnd w:id="33"/>
      <w:r/>
      <w:bookmarkEnd w:id="34"/>
      <w:r/>
      <w:bookmarkEnd w:id="35"/>
      <w:r>
        <w:rPr>
          <w:rFonts w:hint="eastAsia" w:ascii="宋体" w:hAnsi="宋体" w:eastAsia="宋体"/>
          <w:bCs/>
          <w:sz w:val="28"/>
          <w:szCs w:val="28"/>
        </w:rPr>
      </w:r>
      <w:r/>
    </w:p>
    <w:p>
      <w:pPr>
        <w:pStyle w:val="703"/>
        <w:ind w:firstLine="120"/>
        <w:jc w:val="center"/>
        <w:spacing w:line="520" w:lineRule="exact"/>
        <w:rPr>
          <w:rFonts w:hint="eastAsia" w:ascii="宋体" w:hAnsi="宋体"/>
          <w:sz w:val="24"/>
        </w:rPr>
      </w:pPr>
      <w:r/>
      <w:bookmarkStart w:id="36" w:name="_Toc455472189"/>
      <w:r/>
      <w:bookmarkStart w:id="37" w:name="_Toc62225069"/>
      <w:r>
        <w:rPr>
          <w:rFonts w:hint="eastAsia" w:ascii="宋体" w:hAnsi="宋体"/>
          <w:sz w:val="24"/>
        </w:rPr>
        <w:t xml:space="preserve">（根据磋商文件第一章第五部分要求的内容逐条填写）</w:t>
      </w:r>
      <w:bookmarkEnd w:id="36"/>
      <w:r/>
      <w:bookmarkEnd w:id="37"/>
      <w:r>
        <w:rPr>
          <w:rFonts w:hint="eastAsia" w:ascii="宋体" w:hAnsi="宋体"/>
          <w:sz w:val="24"/>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t xml:space="preserve">序号</w:t>
            </w: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t xml:space="preserve">项目采购需求中主要技术</w:t>
            </w:r>
            <w:r>
              <w:rPr>
                <w:rFonts w:hint="eastAsia" w:ascii="宋体" w:hAnsi="宋体" w:cs="Arial"/>
                <w:sz w:val="24"/>
              </w:rPr>
            </w:r>
            <w:r/>
          </w:p>
          <w:p>
            <w:pPr>
              <w:pStyle w:val="703"/>
              <w:jc w:val="center"/>
              <w:rPr>
                <w:rFonts w:hint="eastAsia" w:ascii="宋体" w:hAnsi="宋体" w:cs="Arial"/>
                <w:sz w:val="24"/>
              </w:rPr>
            </w:pPr>
            <w:r>
              <w:rPr>
                <w:rFonts w:hint="eastAsia" w:ascii="宋体" w:hAnsi="宋体" w:cs="Arial"/>
                <w:sz w:val="24"/>
              </w:rPr>
              <w:t xml:space="preserve">条款描述</w:t>
            </w: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t xml:space="preserve">所报产品规格、型号及相应技术参数描述</w:t>
            </w:r>
            <w:r>
              <w:rPr>
                <w:rFonts w:hint="eastAsia" w:ascii="宋体" w:hAnsi="宋体" w:cs="Arial"/>
                <w:sz w:val="24"/>
              </w:rPr>
            </w:r>
            <w:r/>
          </w:p>
        </w:tc>
        <w:tc>
          <w:tcPr>
            <w:tcW w:w="1080" w:type="dxa"/>
            <w:vAlign w:val="center"/>
            <w:textDirection w:val="lrTb"/>
            <w:noWrap w:val="false"/>
          </w:tcPr>
          <w:p>
            <w:pPr>
              <w:pStyle w:val="703"/>
              <w:ind w:firstLine="240"/>
              <w:rPr>
                <w:rFonts w:hint="eastAsia" w:ascii="宋体" w:hAnsi="宋体" w:cs="Arial"/>
                <w:sz w:val="24"/>
              </w:rPr>
            </w:pPr>
            <w:r>
              <w:rPr>
                <w:rFonts w:hint="eastAsia" w:ascii="宋体" w:hAnsi="宋体" w:cs="Arial"/>
                <w:sz w:val="24"/>
              </w:rPr>
              <w:t xml:space="preserve">偏离</w:t>
            </w:r>
            <w:r>
              <w:rPr>
                <w:rFonts w:hint="eastAsia" w:ascii="宋体" w:hAnsi="宋体" w:cs="Arial"/>
                <w:sz w:val="24"/>
              </w:rPr>
            </w:r>
            <w:r/>
          </w:p>
          <w:p>
            <w:pPr>
              <w:pStyle w:val="703"/>
              <w:ind w:firstLine="240"/>
              <w:rPr>
                <w:rFonts w:hint="eastAsia" w:ascii="宋体" w:hAnsi="宋体" w:cs="Arial"/>
                <w:sz w:val="24"/>
              </w:rPr>
            </w:pPr>
            <w:r>
              <w:rPr>
                <w:rFonts w:hint="eastAsia" w:ascii="宋体" w:hAnsi="宋体" w:cs="Arial"/>
                <w:sz w:val="24"/>
              </w:rPr>
              <w:t xml:space="preserve">情况</w:t>
            </w: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pStyle w:val="703"/>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pStyle w:val="703"/>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pStyle w:val="703"/>
              <w:jc w:val="center"/>
              <w:spacing w:line="360" w:lineRule="auto"/>
              <w:rPr>
                <w:rFonts w:hint="eastAsia" w:ascii="宋体" w:hAnsi="宋体" w:cs="Arial"/>
                <w:sz w:val="24"/>
              </w:rPr>
            </w:pPr>
            <w:r>
              <w:rPr>
                <w:rFonts w:hint="eastAsia" w:ascii="宋体" w:hAnsi="宋体" w:cs="Arial"/>
                <w:sz w:val="24"/>
              </w:rPr>
            </w:r>
            <w:r/>
          </w:p>
        </w:tc>
      </w:tr>
    </w:tbl>
    <w:p>
      <w:pPr>
        <w:pStyle w:val="703"/>
        <w:ind w:firstLine="120"/>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703"/>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703"/>
        <w:spacing w:line="440" w:lineRule="exact"/>
        <w:rPr>
          <w:rFonts w:ascii="宋体" w:hAnsi="宋体"/>
          <w:sz w:val="24"/>
        </w:rPr>
      </w:pPr>
      <w:r>
        <w:rPr>
          <w:rFonts w:hint="eastAsia" w:ascii="宋体" w:hAnsi="宋体"/>
          <w:sz w:val="24"/>
        </w:rPr>
        <w:t xml:space="preserve">     注：（</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rPr>
          <w:rFonts w:ascii="宋体" w:hAnsi="宋体"/>
          <w:sz w:val="24"/>
        </w:rPr>
      </w:r>
      <w:r/>
    </w:p>
    <w:p>
      <w:pPr>
        <w:pStyle w:val="703"/>
        <w:ind w:firstLine="360"/>
        <w:spacing w:line="440" w:lineRule="exact"/>
        <w:rPr>
          <w:rFonts w:hint="eastAsia"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rPr>
          <w:rFonts w:hint="eastAsia" w:ascii="宋体" w:hAnsi="宋体"/>
          <w:sz w:val="24"/>
        </w:rPr>
      </w:r>
      <w:r/>
    </w:p>
    <w:p>
      <w:pPr>
        <w:pStyle w:val="703"/>
        <w:ind w:firstLine="360"/>
        <w:spacing w:line="440" w:lineRule="exact"/>
        <w:rPr>
          <w:rFonts w:ascii="宋体" w:hAnsi="宋体"/>
          <w:sz w:val="24"/>
        </w:rPr>
      </w:pPr>
      <w:r>
        <w:rPr>
          <w:rFonts w:hint="eastAsia" w:ascii="宋体" w:hAnsi="宋体"/>
          <w:sz w:val="24"/>
        </w:rPr>
        <w:t xml:space="preserve">（3）磋商供应商必须仔细阅读本磋商文件第一章第五部分中所有技术规范条款和相关功能要求，并将响应情况及偏离情况逐项填入上表。</w:t>
      </w:r>
      <w:r>
        <w:rPr>
          <w:rFonts w:ascii="宋体" w:hAnsi="宋体"/>
          <w:sz w:val="24"/>
        </w:rPr>
      </w:r>
      <w:r/>
    </w:p>
    <w:p>
      <w:pPr>
        <w:pStyle w:val="703"/>
        <w:ind w:firstLine="360"/>
        <w:spacing w:line="440" w:lineRule="exact"/>
        <w:rPr>
          <w:rFonts w:ascii="宋体" w:hAnsi="宋体"/>
          <w:sz w:val="24"/>
        </w:rPr>
      </w:pPr>
      <w:r>
        <w:rPr>
          <w:rFonts w:ascii="宋体" w:hAnsi="宋体"/>
          <w:sz w:val="24"/>
        </w:rPr>
      </w:r>
      <w:r/>
    </w:p>
    <w:p>
      <w:pPr>
        <w:pStyle w:val="703"/>
        <w:ind w:firstLine="360"/>
        <w:spacing w:line="440" w:lineRule="exact"/>
        <w:rPr>
          <w:rFonts w:hint="eastAsia" w:ascii="宋体" w:hAnsi="宋体"/>
          <w:bCs/>
          <w:sz w:val="24"/>
        </w:rPr>
      </w:pPr>
      <w:r>
        <w:rPr>
          <w:rFonts w:hint="eastAsia" w:ascii="宋体" w:hAnsi="宋体"/>
          <w:bCs/>
          <w:sz w:val="24"/>
        </w:rPr>
      </w:r>
      <w:r/>
    </w:p>
    <w:p>
      <w:pPr>
        <w:pStyle w:val="705"/>
        <w:jc w:val="center"/>
        <w:spacing w:before="0" w:after="0" w:line="300" w:lineRule="auto"/>
        <w:rPr>
          <w:rFonts w:hint="eastAsia" w:ascii="宋体" w:hAnsi="宋体" w:eastAsia="宋体"/>
          <w:bCs/>
          <w:sz w:val="28"/>
          <w:szCs w:val="28"/>
        </w:rPr>
      </w:pPr>
      <w:r/>
      <w:bookmarkStart w:id="38" w:name="_Toc109231712"/>
      <w:r>
        <w:rPr>
          <w:rFonts w:hint="eastAsia" w:ascii="宋体" w:hAnsi="宋体" w:eastAsia="宋体"/>
          <w:bCs/>
          <w:sz w:val="28"/>
          <w:szCs w:val="28"/>
        </w:rPr>
        <w:t xml:space="preserve">五、服务承诺</w:t>
      </w:r>
      <w:bookmarkEnd w:id="38"/>
      <w:r>
        <w:rPr>
          <w:rFonts w:hint="eastAsia" w:ascii="宋体" w:hAnsi="宋体" w:eastAsia="宋体"/>
          <w:bCs/>
          <w:sz w:val="28"/>
          <w:szCs w:val="28"/>
        </w:rPr>
      </w:r>
      <w:r/>
    </w:p>
    <w:p>
      <w:pPr>
        <w:pStyle w:val="703"/>
        <w:jc w:val="center"/>
        <w:spacing w:line="440" w:lineRule="exact"/>
        <w:rPr>
          <w:rFonts w:hint="eastAsia" w:ascii="宋体" w:hAnsi="宋体"/>
          <w:bCs/>
          <w:sz w:val="28"/>
          <w:szCs w:val="28"/>
        </w:rPr>
      </w:pPr>
      <w:r/>
      <w:bookmarkStart w:id="39" w:name="_Toc509824938"/>
      <w:r/>
      <w:bookmarkStart w:id="40" w:name="_Toc47511991"/>
      <w:r/>
      <w:bookmarkStart w:id="41" w:name="_Toc47512090"/>
      <w:r/>
      <w:bookmarkStart w:id="42" w:name="_Toc455472191"/>
      <w:r>
        <w:rPr>
          <w:rFonts w:hint="eastAsia" w:ascii="宋体" w:hAnsi="宋体"/>
          <w:bCs/>
          <w:sz w:val="28"/>
          <w:szCs w:val="28"/>
        </w:rPr>
        <w:t xml:space="preserve">（</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39"/>
      <w:r/>
      <w:bookmarkEnd w:id="40"/>
      <w:r/>
      <w:bookmarkEnd w:id="41"/>
      <w:r/>
      <w:bookmarkEnd w:id="42"/>
      <w:r>
        <w:rPr>
          <w:rFonts w:hint="eastAsia" w:ascii="宋体" w:hAnsi="宋体"/>
          <w:bCs/>
          <w:sz w:val="28"/>
          <w:szCs w:val="28"/>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3"/>
        <w:spacing w:line="440" w:lineRule="exact"/>
        <w:rPr>
          <w:rFonts w:hint="eastAsia" w:ascii="宋体" w:hAnsi="宋体"/>
          <w:bCs/>
          <w:sz w:val="32"/>
          <w:szCs w:val="32"/>
        </w:rPr>
      </w:pPr>
      <w:r>
        <w:rPr>
          <w:rFonts w:hint="eastAsia" w:ascii="宋体" w:hAnsi="宋体"/>
          <w:bCs/>
          <w:sz w:val="32"/>
          <w:szCs w:val="32"/>
        </w:rPr>
      </w:r>
      <w:r/>
    </w:p>
    <w:p>
      <w:pPr>
        <w:pStyle w:val="705"/>
        <w:jc w:val="center"/>
        <w:spacing w:before="0" w:after="0" w:line="300" w:lineRule="auto"/>
        <w:rPr>
          <w:rFonts w:hint="eastAsia" w:ascii="宋体" w:hAnsi="宋体" w:eastAsia="宋体"/>
          <w:bCs/>
          <w:sz w:val="28"/>
          <w:szCs w:val="28"/>
        </w:rPr>
      </w:pPr>
      <w:r/>
      <w:bookmarkStart w:id="43" w:name="_Toc109231713"/>
      <w:r>
        <w:rPr>
          <w:rFonts w:hint="eastAsia" w:ascii="宋体" w:hAnsi="宋体" w:eastAsia="宋体"/>
          <w:bCs/>
          <w:sz w:val="28"/>
          <w:szCs w:val="28"/>
        </w:rPr>
        <w:t xml:space="preserve">六、资质审查时磋商供应商必须提交的资格证明文件</w:t>
      </w:r>
      <w:bookmarkEnd w:id="43"/>
      <w:r>
        <w:rPr>
          <w:rFonts w:hint="eastAsia" w:ascii="宋体" w:hAnsi="宋体" w:eastAsia="宋体"/>
          <w:bCs/>
          <w:sz w:val="28"/>
          <w:szCs w:val="28"/>
        </w:rPr>
      </w:r>
      <w:r/>
    </w:p>
    <w:p>
      <w:pPr>
        <w:pStyle w:val="703"/>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703"/>
        <w:ind w:firstLine="360"/>
        <w:spacing w:line="520" w:lineRule="exact"/>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（必须提供，格式按照第九部分示范格式一要求）和</w:t>
      </w:r>
      <w:r>
        <w:rPr>
          <w:rFonts w:hint="eastAsia" w:ascii="宋体" w:hAnsi="宋体"/>
          <w:bCs/>
          <w:sz w:val="24"/>
        </w:rPr>
        <w:t xml:space="preserve">法定代表人身份证</w:t>
      </w:r>
      <w:r>
        <w:rPr>
          <w:rFonts w:hint="eastAsia" w:ascii="宋体" w:hAnsi="宋体"/>
          <w:sz w:val="24"/>
        </w:rPr>
        <w:t xml:space="preserve">；</w:t>
      </w:r>
      <w:r>
        <w:rPr>
          <w:rFonts w:hint="eastAsia" w:ascii="宋体" w:hAnsi="宋体"/>
          <w:bCs/>
          <w:sz w:val="24"/>
        </w:rPr>
        <w:t xml:space="preserve">（</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r>
      <w:r/>
    </w:p>
    <w:p>
      <w:pPr>
        <w:pStyle w:val="703"/>
        <w:ind w:firstLine="360"/>
        <w:spacing w:line="520" w:lineRule="exact"/>
        <w:rPr>
          <w:rFonts w:hint="eastAsia" w:ascii="宋体" w:hAnsi="宋体"/>
          <w:sz w:val="24"/>
        </w:rPr>
      </w:pPr>
      <w:r>
        <w:rPr>
          <w:rFonts w:hint="eastAsia" w:ascii="宋体" w:hAnsi="宋体"/>
          <w:sz w:val="24"/>
        </w:rPr>
        <w:t xml:space="preserve">（2）磋商供应商提供授权委托书（扫描件并加盖磋商供应商电子签章，必须提供，格式详见第九部分示范格式二）和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3、提供《失信行为“双公示”承诺书》（详见示范格式五）。（扫描件并加盖磋商供应商电子签章，必须提供）</w:t>
      </w:r>
      <w:r>
        <w:rPr>
          <w:rFonts w:hint="eastAsia" w:ascii="宋体" w:hAnsi="宋体"/>
          <w:sz w:val="24"/>
        </w:rPr>
      </w:r>
      <w:r/>
    </w:p>
    <w:p>
      <w:pPr>
        <w:pStyle w:val="703"/>
        <w:ind w:firstLine="480"/>
        <w:spacing w:line="520" w:lineRule="exact"/>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采购人根据采购项目的特殊要求，规定磋商供应商还须具备的特定条件：无。</w:t>
      </w:r>
      <w:r>
        <w:rPr>
          <w:rFonts w:hint="eastAsia" w:ascii="宋体" w:hAnsi="宋体"/>
          <w:sz w:val="24"/>
          <w:lang w:val="zh-CN"/>
        </w:rPr>
      </w:r>
      <w:r/>
    </w:p>
    <w:p>
      <w:pPr>
        <w:pStyle w:val="703"/>
        <w:ind w:firstLine="480"/>
        <w:spacing w:line="520" w:lineRule="exact"/>
        <w:rPr>
          <w:rFonts w:hint="eastAsia" w:ascii="宋体" w:hAnsi="宋体"/>
          <w:sz w:val="24"/>
        </w:rPr>
      </w:pPr>
      <w:r>
        <w:rPr>
          <w:rFonts w:hint="eastAsia" w:ascii="宋体" w:hAnsi="宋体"/>
          <w:sz w:val="24"/>
        </w:rPr>
        <w:t xml:space="preserve">5、落实政府采购政策需满足的资格要求（提供下列任一项材料即可，</w:t>
      </w:r>
      <w:r>
        <w:rPr>
          <w:rFonts w:hint="eastAsia" w:ascii="宋体" w:hAnsi="宋体"/>
          <w:sz w:val="24"/>
          <w:lang w:val="zh-CN"/>
        </w:rPr>
        <w:t xml:space="preserve">非专门面向中小企业或者预留份额的采购项目，本项无需提供</w:t>
      </w:r>
      <w:r>
        <w:rPr>
          <w:rFonts w:hint="eastAsia" w:ascii="宋体" w:hAnsi="宋体"/>
          <w:sz w:val="24"/>
        </w:rPr>
        <w:t xml:space="preserve">）</w:t>
      </w:r>
      <w:r>
        <w:rPr>
          <w:rFonts w:hint="eastAsia" w:ascii="宋体" w:hAnsi="宋体"/>
          <w:sz w:val="24"/>
        </w:rPr>
        <w:t xml:space="preserve">：</w:t>
      </w:r>
      <w:r>
        <w:rPr>
          <w:rFonts w:hint="eastAsia" w:ascii="宋体" w:hAnsi="宋体"/>
          <w:sz w:val="24"/>
        </w:rPr>
      </w:r>
      <w:r/>
    </w:p>
    <w:p>
      <w:pPr>
        <w:pStyle w:val="703"/>
        <w:ind w:firstLine="480"/>
        <w:spacing w:line="520" w:lineRule="exact"/>
        <w:rPr>
          <w:rFonts w:hint="eastAsia" w:ascii="宋体" w:hAnsi="宋体"/>
          <w:bCs/>
          <w:sz w:val="24"/>
        </w:rPr>
      </w:pPr>
      <w:r>
        <w:rPr>
          <w:rFonts w:hint="eastAsia" w:ascii="宋体" w:hAnsi="宋体"/>
          <w:bCs/>
          <w:sz w:val="24"/>
        </w:rPr>
        <w:t xml:space="preserve">（1）《中小企业声明函》（详见示范格式三）；</w:t>
      </w: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（2）《残疾人福利性单位声明函》（详见示范格式四）；</w:t>
      </w: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sz w:val="24"/>
        </w:rPr>
        <w:t xml:space="preserve">（3）由省级以上监狱管理局、戒毒管理局（含新疆生产建设兵团）出具的属于监狱企业的证明文件）（加盖出具单位公章的电子件）。</w:t>
      </w:r>
      <w:r>
        <w:rPr>
          <w:rFonts w:hint="eastAsia" w:ascii="宋体" w:hAnsi="宋体"/>
          <w:sz w:val="24"/>
        </w:rPr>
      </w:r>
      <w:r/>
    </w:p>
    <w:p>
      <w:pPr>
        <w:pStyle w:val="703"/>
        <w:ind w:firstLine="551"/>
        <w:spacing w:line="520" w:lineRule="exact"/>
        <w:rPr>
          <w:rFonts w:hint="eastAsia" w:ascii="宋体" w:hAnsi="宋体"/>
          <w:sz w:val="24"/>
        </w:rPr>
      </w:pPr>
      <w:r>
        <w:rPr>
          <w:rFonts w:hint="eastAsia" w:ascii="宋体" w:hAnsi="宋体"/>
          <w:b/>
          <w:sz w:val="28"/>
          <w:szCs w:val="28"/>
        </w:rPr>
        <w:t xml:space="preserve">注:</w:t>
      </w:r>
      <w:r>
        <w:rPr>
          <w:rFonts w:hint="eastAsia" w:ascii="宋体" w:hAnsi="宋体"/>
          <w:sz w:val="24"/>
        </w:rPr>
        <w:t xml:space="preserve"> （1）上述相关原件，成交供应商必须在签订合同时提交采购人审查，成交供应商未能提供上述所有原件的，则取消其成交资格。</w:t>
      </w:r>
      <w:r>
        <w:rPr>
          <w:rFonts w:hint="eastAsia" w:ascii="宋体" w:hAnsi="宋体"/>
          <w:sz w:val="24"/>
        </w:rPr>
      </w:r>
      <w:r/>
    </w:p>
    <w:p>
      <w:pPr>
        <w:pStyle w:val="703"/>
        <w:ind w:firstLine="710"/>
        <w:spacing w:line="520" w:lineRule="exact"/>
        <w:rPr>
          <w:rFonts w:hint="eastAsia" w:ascii="宋体" w:hAnsi="宋体"/>
          <w:sz w:val="24"/>
        </w:rPr>
      </w:pPr>
      <w:r>
        <w:rPr>
          <w:rFonts w:hint="eastAsia" w:ascii="宋体" w:hAnsi="宋体"/>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sz w:val="24"/>
        </w:rPr>
      </w:r>
      <w:r/>
    </w:p>
    <w:p>
      <w:pPr>
        <w:pStyle w:val="703"/>
        <w:ind w:firstLine="720"/>
        <w:spacing w:line="440" w:lineRule="exact"/>
        <w:rPr>
          <w:rFonts w:ascii="宋体" w:hAnsi="宋体"/>
          <w:b/>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rPr>
          <w:rFonts w:ascii="宋体" w:hAnsi="宋体"/>
          <w:b/>
          <w:sz w:val="24"/>
        </w:rPr>
      </w:r>
      <w:r/>
    </w:p>
    <w:p>
      <w:pPr>
        <w:pStyle w:val="703"/>
        <w:ind w:firstLine="321"/>
        <w:spacing w:line="560" w:lineRule="exact"/>
        <w:rPr>
          <w:rFonts w:hint="eastAsia" w:ascii="宋体" w:hAnsi="宋体"/>
          <w:b/>
          <w:sz w:val="32"/>
          <w:szCs w:val="32"/>
        </w:rPr>
      </w:pPr>
      <w:r>
        <w:rPr>
          <w:rFonts w:hint="eastAsia" w:ascii="宋体" w:hAnsi="宋体"/>
          <w:b/>
          <w:sz w:val="32"/>
          <w:szCs w:val="32"/>
        </w:rPr>
      </w:r>
      <w:r/>
    </w:p>
    <w:p>
      <w:pPr>
        <w:pStyle w:val="703"/>
        <w:spacing w:line="440" w:lineRule="exact"/>
        <w:rPr>
          <w:rFonts w:hint="eastAsia" w:ascii="宋体" w:hAnsi="宋体"/>
          <w:b/>
          <w:sz w:val="32"/>
          <w:szCs w:val="32"/>
        </w:rPr>
      </w:pPr>
      <w:r>
        <w:rPr>
          <w:rFonts w:hint="eastAsia" w:ascii="宋体" w:hAnsi="宋体"/>
          <w:b/>
          <w:sz w:val="32"/>
          <w:szCs w:val="32"/>
        </w:rPr>
      </w:r>
      <w:r/>
    </w:p>
    <w:p>
      <w:pPr>
        <w:pStyle w:val="703"/>
        <w:spacing w:line="440" w:lineRule="exact"/>
        <w:rPr>
          <w:rFonts w:hint="eastAsia" w:ascii="宋体" w:hAnsi="宋体"/>
          <w:b/>
          <w:sz w:val="32"/>
          <w:szCs w:val="32"/>
        </w:rPr>
      </w:pPr>
      <w:r>
        <w:rPr>
          <w:rFonts w:hint="eastAsia" w:ascii="宋体" w:hAnsi="宋体"/>
          <w:b/>
          <w:sz w:val="32"/>
          <w:szCs w:val="32"/>
        </w:rPr>
      </w:r>
      <w:r/>
    </w:p>
    <w:p>
      <w:pPr>
        <w:pStyle w:val="705"/>
        <w:jc w:val="center"/>
        <w:spacing w:before="0" w:after="0" w:line="300" w:lineRule="auto"/>
        <w:rPr>
          <w:rFonts w:hint="eastAsia" w:ascii="宋体" w:hAnsi="宋体" w:eastAsia="宋体"/>
          <w:bCs/>
          <w:sz w:val="28"/>
          <w:szCs w:val="28"/>
        </w:rPr>
      </w:pPr>
      <w:r/>
      <w:bookmarkStart w:id="44" w:name="_Toc109231714"/>
      <w:r>
        <w:rPr>
          <w:rFonts w:hint="eastAsia" w:ascii="宋体" w:hAnsi="宋体" w:eastAsia="宋体"/>
          <w:bCs/>
          <w:sz w:val="28"/>
          <w:szCs w:val="28"/>
        </w:rPr>
      </w:r>
      <w:r/>
    </w:p>
    <w:p>
      <w:pPr>
        <w:pStyle w:val="70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七、最终价格评审时磋商供应商需提供的证明文件</w:t>
      </w:r>
      <w:bookmarkEnd w:id="44"/>
      <w:r>
        <w:rPr>
          <w:rFonts w:hint="eastAsia" w:ascii="宋体" w:hAnsi="宋体" w:eastAsia="宋体"/>
          <w:bCs/>
          <w:sz w:val="28"/>
          <w:szCs w:val="28"/>
        </w:rPr>
      </w:r>
      <w:r/>
    </w:p>
    <w:p>
      <w:pPr>
        <w:pStyle w:val="703"/>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703"/>
        <w:spacing w:line="440" w:lineRule="exact"/>
        <w:rPr>
          <w:rFonts w:hint="eastAsia" w:ascii="宋体" w:hAnsi="宋体"/>
          <w:sz w:val="28"/>
        </w:rPr>
      </w:pPr>
      <w:r>
        <w:rPr>
          <w:rFonts w:hint="eastAsia" w:ascii="宋体" w:hAnsi="宋体"/>
          <w:sz w:val="28"/>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ascii="宋体" w:hAnsi="宋体" w:cs="Arial"/>
          <w:bCs/>
          <w:sz w:val="32"/>
          <w:szCs w:val="32"/>
        </w:rPr>
      </w:pPr>
      <w:r>
        <w:rPr>
          <w:rFonts w:ascii="宋体" w:hAnsi="宋体" w:cs="Arial"/>
          <w:bCs/>
          <w:sz w:val="32"/>
          <w:szCs w:val="32"/>
        </w:rPr>
      </w:r>
      <w:r/>
    </w:p>
    <w:p>
      <w:pPr>
        <w:pStyle w:val="703"/>
        <w:spacing w:line="440" w:lineRule="exact"/>
        <w:rPr>
          <w:rFonts w:ascii="宋体" w:hAnsi="宋体" w:cs="Arial"/>
          <w:bCs/>
          <w:sz w:val="32"/>
          <w:szCs w:val="32"/>
        </w:rPr>
      </w:pPr>
      <w:r>
        <w:rPr>
          <w:rFonts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3"/>
        <w:spacing w:line="440" w:lineRule="exact"/>
        <w:rPr>
          <w:rFonts w:hint="eastAsia" w:ascii="宋体" w:hAnsi="宋体" w:cs="Arial"/>
          <w:bCs/>
          <w:sz w:val="32"/>
          <w:szCs w:val="32"/>
        </w:rPr>
      </w:pPr>
      <w:r>
        <w:rPr>
          <w:rFonts w:hint="eastAsia" w:ascii="宋体" w:hAnsi="宋体" w:cs="Arial"/>
          <w:bCs/>
          <w:sz w:val="32"/>
          <w:szCs w:val="32"/>
        </w:rPr>
      </w:r>
      <w:r/>
    </w:p>
    <w:p>
      <w:pPr>
        <w:pStyle w:val="705"/>
        <w:jc w:val="center"/>
        <w:spacing w:before="0" w:after="0" w:line="300" w:lineRule="auto"/>
        <w:rPr>
          <w:rFonts w:hint="eastAsia" w:ascii="宋体" w:hAnsi="宋体" w:eastAsia="宋体"/>
          <w:bCs/>
          <w:sz w:val="28"/>
          <w:szCs w:val="28"/>
        </w:rPr>
      </w:pPr>
      <w:r/>
      <w:bookmarkStart w:id="45" w:name="_Toc109231715"/>
      <w:r>
        <w:rPr>
          <w:rFonts w:hint="eastAsia" w:ascii="宋体" w:hAnsi="宋体" w:eastAsia="宋体"/>
          <w:bCs/>
          <w:sz w:val="28"/>
          <w:szCs w:val="28"/>
        </w:rPr>
        <w:t xml:space="preserve">八、磋商供应商认为有必要提供并说明的其它资料</w:t>
      </w:r>
      <w:bookmarkEnd w:id="45"/>
      <w:r>
        <w:rPr>
          <w:rFonts w:hint="eastAsia" w:ascii="宋体" w:hAnsi="宋体" w:eastAsia="宋体"/>
          <w:bCs/>
          <w:sz w:val="28"/>
          <w:szCs w:val="28"/>
        </w:rPr>
      </w:r>
      <w:r/>
    </w:p>
    <w:p>
      <w:pPr>
        <w:pStyle w:val="703"/>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703"/>
        <w:ind w:firstLine="1320"/>
        <w:jc w:val="left"/>
        <w:spacing w:line="520" w:lineRule="exact"/>
        <w:widowControl/>
        <w:rPr>
          <w:rFonts w:hint="eastAsia" w:ascii="宋体" w:hAnsi="宋体"/>
          <w:sz w:val="24"/>
        </w:rPr>
      </w:pPr>
      <w:r>
        <w:rPr>
          <w:rFonts w:hint="eastAsia" w:ascii="宋体" w:hAnsi="宋体"/>
          <w:sz w:val="24"/>
        </w:rPr>
      </w:r>
      <w:r/>
    </w:p>
    <w:p>
      <w:pPr>
        <w:pStyle w:val="703"/>
        <w:ind w:firstLine="1320"/>
        <w:jc w:val="left"/>
        <w:spacing w:line="520" w:lineRule="exact"/>
        <w:widowControl/>
        <w:rPr>
          <w:rFonts w:hint="eastAsia" w:ascii="宋体" w:hAnsi="宋体"/>
          <w:sz w:val="24"/>
        </w:rPr>
      </w:pPr>
      <w:r>
        <w:rPr>
          <w:rFonts w:hint="eastAsia" w:ascii="宋体" w:hAnsi="宋体"/>
          <w:sz w:val="24"/>
        </w:rPr>
      </w:r>
      <w:r/>
    </w:p>
    <w:p>
      <w:pPr>
        <w:pStyle w:val="703"/>
        <w:ind w:firstLine="1320"/>
        <w:jc w:val="left"/>
        <w:spacing w:line="520" w:lineRule="exact"/>
        <w:widowControl/>
        <w:rPr>
          <w:rFonts w:hint="eastAsia" w:ascii="宋体" w:hAnsi="宋体"/>
          <w:sz w:val="24"/>
        </w:rPr>
      </w:pPr>
      <w:r>
        <w:rPr>
          <w:rFonts w:hint="eastAsia" w:ascii="宋体" w:hAnsi="宋体"/>
          <w:sz w:val="24"/>
        </w:rPr>
      </w:r>
      <w:r/>
    </w:p>
    <w:p>
      <w:pPr>
        <w:pStyle w:val="703"/>
        <w:ind w:firstLine="1320"/>
        <w:jc w:val="left"/>
        <w:spacing w:line="520" w:lineRule="exact"/>
        <w:widowControl/>
        <w:rPr>
          <w:rFonts w:hint="eastAsia" w:ascii="宋体" w:hAnsi="宋体"/>
          <w:sz w:val="24"/>
        </w:rPr>
      </w:pPr>
      <w:r>
        <w:rPr>
          <w:rFonts w:hint="eastAsia" w:ascii="宋体" w:hAnsi="宋体"/>
          <w:sz w:val="24"/>
        </w:rPr>
      </w:r>
      <w:r/>
    </w:p>
    <w:p>
      <w:pPr>
        <w:pStyle w:val="703"/>
        <w:ind w:firstLine="1320"/>
        <w:jc w:val="left"/>
        <w:spacing w:line="520" w:lineRule="exact"/>
        <w:widowControl/>
        <w:rPr>
          <w:rFonts w:hint="eastAsia" w:ascii="宋体" w:hAnsi="宋体"/>
          <w:sz w:val="24"/>
        </w:rPr>
      </w:pPr>
      <w:r>
        <w:rPr>
          <w:rFonts w:hint="eastAsia" w:ascii="宋体" w:hAnsi="宋体"/>
          <w:sz w:val="24"/>
        </w:rPr>
      </w:r>
      <w:r/>
    </w:p>
    <w:p>
      <w:pPr>
        <w:pStyle w:val="703"/>
        <w:ind w:firstLine="1320"/>
        <w:jc w:val="left"/>
        <w:spacing w:line="520" w:lineRule="exact"/>
        <w:widowControl/>
        <w:rPr>
          <w:rFonts w:hint="eastAsia" w:ascii="宋体" w:hAnsi="宋体"/>
          <w:sz w:val="24"/>
        </w:rPr>
      </w:pPr>
      <w:r>
        <w:rPr>
          <w:rFonts w:hint="eastAsia" w:ascii="宋体" w:hAnsi="宋体"/>
          <w:sz w:val="24"/>
        </w:rPr>
      </w:r>
      <w:r/>
    </w:p>
    <w:p>
      <w:pPr>
        <w:pStyle w:val="705"/>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6" w:name="_Toc109231716"/>
      <w:r>
        <w:rPr>
          <w:rFonts w:hint="eastAsia" w:ascii="宋体" w:hAnsi="宋体" w:eastAsia="宋体"/>
          <w:bCs/>
          <w:sz w:val="28"/>
          <w:szCs w:val="28"/>
        </w:rPr>
        <w:t xml:space="preserve">九、示范格式</w:t>
      </w:r>
      <w:bookmarkEnd w:id="46"/>
      <w:r>
        <w:rPr>
          <w:rFonts w:hint="eastAsia" w:ascii="宋体" w:hAnsi="宋体" w:eastAsia="宋体"/>
          <w:bCs/>
          <w:sz w:val="28"/>
          <w:szCs w:val="28"/>
        </w:rPr>
      </w:r>
      <w:r/>
    </w:p>
    <w:p>
      <w:pPr>
        <w:pStyle w:val="703"/>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703"/>
        <w:ind w:firstLine="3054"/>
        <w:spacing w:line="640" w:lineRule="exact"/>
        <w:rPr>
          <w:rFonts w:hint="eastAsia" w:ascii="宋体" w:hAnsi="宋体"/>
          <w:b/>
          <w:bCs/>
          <w:sz w:val="36"/>
          <w:szCs w:val="36"/>
        </w:rPr>
      </w:pPr>
      <w:r>
        <w:rPr>
          <w:rFonts w:hint="eastAsia" w:ascii="宋体" w:hAnsi="宋体"/>
          <w:b/>
          <w:bCs/>
          <w:sz w:val="36"/>
          <w:szCs w:val="36"/>
        </w:rPr>
      </w:r>
      <w:r/>
    </w:p>
    <w:p>
      <w:pPr>
        <w:pStyle w:val="703"/>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703"/>
        <w:ind w:firstLine="560"/>
        <w:spacing w:line="640" w:lineRule="exact"/>
        <w:rPr>
          <w:rFonts w:hint="eastAsia" w:ascii="宋体" w:hAnsi="宋体"/>
          <w:sz w:val="28"/>
        </w:rPr>
      </w:pPr>
      <w:r>
        <w:rPr>
          <w:rFonts w:hint="eastAsia" w:ascii="宋体" w:hAnsi="宋体"/>
          <w:sz w:val="28"/>
        </w:rPr>
      </w:r>
      <w:r/>
    </w:p>
    <w:p>
      <w:pPr>
        <w:pStyle w:val="703"/>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703"/>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703"/>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703"/>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703"/>
        <w:ind w:firstLine="280"/>
        <w:spacing w:line="640" w:lineRule="exact"/>
        <w:rPr>
          <w:rFonts w:ascii="宋体" w:hAnsi="宋体" w:cs="楷体_GB2312"/>
          <w:sz w:val="24"/>
        </w:rPr>
      </w:pPr>
      <w:r>
        <w:rPr>
          <w:rFonts w:ascii="宋体" w:hAnsi="宋体" w:cs="楷体_GB2312"/>
          <w:sz w:val="24"/>
        </w:rPr>
      </w:r>
      <w:r/>
    </w:p>
    <w:p>
      <w:pPr>
        <w:pStyle w:val="703"/>
        <w:spacing w:line="640" w:lineRule="exact"/>
        <w:rPr>
          <w:rFonts w:hint="eastAsia" w:ascii="宋体" w:hAnsi="宋体" w:cs="楷体_GB2312"/>
          <w:sz w:val="24"/>
          <w:lang w:val="zh-CN"/>
        </w:rPr>
      </w:pPr>
      <w:r>
        <w:rPr>
          <w:rFonts w:hint="eastAsia" w:ascii="宋体" w:hAnsi="宋体" w:cs="楷体_GB2312"/>
          <w:sz w:val="24"/>
          <w:lang w:val="zh-CN"/>
        </w:rPr>
      </w:r>
      <w:r/>
    </w:p>
    <w:p>
      <w:pPr>
        <w:pStyle w:val="703"/>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703"/>
        <w:ind w:firstLine="4800"/>
        <w:spacing w:line="640" w:lineRule="exact"/>
        <w:rPr>
          <w:rFonts w:hint="eastAsia" w:ascii="宋体" w:hAnsi="宋体"/>
          <w:sz w:val="24"/>
        </w:rPr>
      </w:pPr>
      <w:r>
        <w:rPr>
          <w:rFonts w:hint="eastAsia" w:ascii="宋体" w:hAnsi="宋体"/>
          <w:sz w:val="24"/>
        </w:rPr>
      </w:r>
      <w:r/>
    </w:p>
    <w:p>
      <w:pPr>
        <w:pStyle w:val="703"/>
        <w:spacing w:line="640" w:lineRule="exact"/>
        <w:rPr>
          <w:rFonts w:hint="eastAsia" w:ascii="宋体" w:hAnsi="宋体"/>
          <w:sz w:val="24"/>
        </w:rPr>
      </w:pPr>
      <w:r>
        <w:rPr>
          <w:rFonts w:hint="eastAsia" w:ascii="宋体" w:hAnsi="宋体"/>
          <w:sz w:val="24"/>
        </w:rPr>
      </w:r>
      <w:r/>
    </w:p>
    <w:p>
      <w:pPr>
        <w:pStyle w:val="703"/>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703"/>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3"/>
        <w:ind w:firstLine="2736"/>
        <w:spacing w:line="640" w:lineRule="exact"/>
        <w:rPr>
          <w:rFonts w:hint="eastAsia" w:ascii="宋体" w:hAnsi="宋体"/>
          <w:bCs/>
          <w:sz w:val="24"/>
        </w:rPr>
      </w:pPr>
      <w:r>
        <w:rPr>
          <w:rFonts w:hint="eastAsia" w:ascii="宋体" w:hAnsi="宋体"/>
          <w:bCs/>
          <w:sz w:val="24"/>
        </w:rPr>
      </w:r>
      <w:r/>
    </w:p>
    <w:p>
      <w:pPr>
        <w:pStyle w:val="703"/>
        <w:ind w:firstLine="480"/>
        <w:spacing w:line="640" w:lineRule="exact"/>
        <w:rPr>
          <w:rFonts w:hint="eastAsia"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rPr>
          <w:rFonts w:hint="eastAsia" w:ascii="宋体" w:hAnsi="宋体"/>
          <w:sz w:val="24"/>
        </w:rPr>
      </w:r>
      <w:r/>
    </w:p>
    <w:p>
      <w:pPr>
        <w:pStyle w:val="703"/>
        <w:ind w:firstLine="480"/>
        <w:spacing w:line="640" w:lineRule="exact"/>
        <w:rPr>
          <w:rFonts w:hint="eastAsia" w:ascii="宋体" w:hAnsi="宋体"/>
          <w:bCs/>
          <w:sz w:val="24"/>
        </w:rPr>
      </w:pPr>
      <w:r>
        <w:rPr>
          <w:rFonts w:hint="eastAsia" w:ascii="宋体" w:hAnsi="宋体"/>
          <w:bCs/>
          <w:sz w:val="24"/>
        </w:rPr>
      </w:r>
      <w:r/>
    </w:p>
    <w:p>
      <w:pPr>
        <w:pStyle w:val="743"/>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703"/>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703"/>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703"/>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703"/>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703"/>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703"/>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703"/>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采购项目的政府采购活动，受托人有权在该磋商活动中，以我单位的名义签署磋商函和响应文件，与采购人或代理机构协商、澄清、解释，签订合同书并执行一切与此有关的事项。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703"/>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703"/>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703"/>
        <w:ind w:firstLine="600"/>
        <w:spacing w:line="520" w:lineRule="exact"/>
        <w:rPr>
          <w:rFonts w:hint="eastAsia" w:ascii="宋体" w:hAnsi="宋体"/>
          <w:sz w:val="24"/>
        </w:rPr>
      </w:pPr>
      <w:r>
        <w:rPr>
          <w:rFonts w:hint="eastAsia" w:ascii="宋体" w:hAnsi="宋体"/>
          <w:sz w:val="24"/>
        </w:rPr>
      </w:r>
      <w:r/>
    </w:p>
    <w:p>
      <w:pPr>
        <w:pStyle w:val="703"/>
        <w:ind w:firstLine="600"/>
        <w:spacing w:line="520" w:lineRule="exact"/>
        <w:rPr>
          <w:rFonts w:hint="eastAsia" w:ascii="宋体" w:hAnsi="宋体"/>
          <w:sz w:val="24"/>
        </w:rPr>
      </w:pPr>
      <w:r>
        <w:rPr>
          <w:rFonts w:hint="eastAsia" w:ascii="宋体" w:hAnsi="宋体"/>
          <w:sz w:val="24"/>
        </w:rPr>
      </w:r>
      <w:r/>
    </w:p>
    <w:p>
      <w:pPr>
        <w:pStyle w:val="703"/>
        <w:ind w:firstLine="600"/>
        <w:spacing w:line="520" w:lineRule="exact"/>
        <w:rPr>
          <w:rFonts w:hint="eastAsia" w:ascii="宋体" w:hAnsi="宋体"/>
          <w:sz w:val="24"/>
        </w:rPr>
      </w:pPr>
      <w:r>
        <w:rPr>
          <w:rFonts w:hint="eastAsia" w:ascii="宋体" w:hAnsi="宋体"/>
          <w:sz w:val="24"/>
        </w:rPr>
      </w:r>
      <w:r/>
    </w:p>
    <w:p>
      <w:pPr>
        <w:pStyle w:val="703"/>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703"/>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703"/>
        <w:ind w:firstLine="480"/>
        <w:spacing w:line="520" w:lineRule="exact"/>
        <w:rPr>
          <w:rFonts w:hint="eastAsia" w:ascii="宋体" w:hAnsi="宋体"/>
          <w:bCs/>
          <w:sz w:val="24"/>
        </w:rPr>
      </w:pPr>
      <w:r>
        <w:rPr>
          <w:rFonts w:hint="eastAsia" w:ascii="宋体" w:hAnsi="宋体"/>
          <w:bCs/>
          <w:sz w:val="24"/>
        </w:rPr>
      </w:r>
      <w:r/>
    </w:p>
    <w:p>
      <w:pPr>
        <w:pStyle w:val="703"/>
        <w:ind w:firstLine="480"/>
        <w:spacing w:line="520" w:lineRule="exact"/>
        <w:rPr>
          <w:rFonts w:hint="eastAsia" w:ascii="宋体" w:hAnsi="宋体"/>
          <w:bCs/>
          <w:sz w:val="24"/>
        </w:rPr>
      </w:pPr>
      <w:r>
        <w:rPr>
          <w:rFonts w:hint="eastAsia" w:ascii="宋体" w:hAnsi="宋体"/>
          <w:bCs/>
          <w:sz w:val="24"/>
        </w:rPr>
      </w:r>
      <w:r/>
    </w:p>
    <w:p>
      <w:pPr>
        <w:pStyle w:val="703"/>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rPr>
          <w:rFonts w:hint="eastAsia" w:ascii="宋体" w:hAnsi="宋体"/>
          <w:sz w:val="24"/>
        </w:rPr>
      </w:r>
      <w:r/>
    </w:p>
    <w:p>
      <w:pPr>
        <w:pStyle w:val="703"/>
        <w:spacing w:line="520" w:lineRule="exact"/>
        <w:rPr>
          <w:rFonts w:hint="eastAsia" w:ascii="宋体" w:hAnsi="宋体"/>
          <w:sz w:val="28"/>
          <w:szCs w:val="28"/>
        </w:rPr>
      </w:pPr>
      <w:r>
        <w:rPr>
          <w:rFonts w:hint="eastAsia" w:ascii="宋体" w:hAnsi="宋体"/>
          <w:sz w:val="28"/>
          <w:szCs w:val="28"/>
        </w:rPr>
      </w:r>
      <w:r/>
    </w:p>
    <w:p>
      <w:pPr>
        <w:pStyle w:val="703"/>
        <w:ind w:left="-359" w:firstLine="357"/>
        <w:spacing w:line="640" w:lineRule="exact"/>
        <w:rPr>
          <w:rFonts w:hint="eastAsia" w:ascii="宋体" w:hAnsi="宋体"/>
          <w:b/>
          <w:sz w:val="28"/>
          <w:szCs w:val="28"/>
        </w:rPr>
      </w:pPr>
      <w:r>
        <w:rPr>
          <w:rFonts w:hint="eastAsia" w:ascii="宋体" w:hAnsi="宋体"/>
          <w:b/>
          <w:sz w:val="32"/>
        </w:rPr>
        <w:t xml:space="preserve">示范格式三</w:t>
      </w:r>
      <w:r>
        <w:rPr>
          <w:rFonts w:hint="eastAsia" w:ascii="宋体" w:hAnsi="宋体"/>
          <w:b/>
          <w:sz w:val="28"/>
          <w:szCs w:val="28"/>
        </w:rPr>
      </w:r>
      <w:r/>
    </w:p>
    <w:p>
      <w:pPr>
        <w:pStyle w:val="703"/>
        <w:jc w:val="center"/>
        <w:spacing w:line="640" w:lineRule="exact"/>
        <w:rPr>
          <w:rFonts w:hint="eastAsia" w:ascii="宋体" w:hAnsi="宋体"/>
          <w:b/>
          <w:bCs/>
          <w:sz w:val="24"/>
        </w:rPr>
      </w:pPr>
      <w:r>
        <w:rPr>
          <w:rFonts w:hint="eastAsia" w:ascii="宋体" w:hAnsi="宋体"/>
          <w:b/>
          <w:bCs/>
          <w:sz w:val="24"/>
        </w:rPr>
        <w:t xml:space="preserve">中小企业声明函（货物）</w:t>
      </w:r>
      <w:r>
        <w:rPr>
          <w:rFonts w:hint="eastAsia" w:ascii="宋体" w:hAnsi="宋体"/>
          <w:b/>
          <w:bCs/>
          <w:sz w:val="24"/>
        </w:rPr>
      </w:r>
      <w:r/>
    </w:p>
    <w:p>
      <w:pPr>
        <w:pStyle w:val="726"/>
        <w:ind w:firstLine="480"/>
        <w:spacing w:line="60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726"/>
        <w:ind w:firstLine="480"/>
        <w:spacing w:line="600" w:lineRule="exact"/>
        <w:rPr>
          <w:rFonts w:ascii="宋体" w:hAnsi="宋体"/>
          <w:bCs/>
          <w:sz w:val="24"/>
        </w:rPr>
      </w:pPr>
      <w:r>
        <w:rPr>
          <w:rFonts w:hint="eastAsia" w:ascii="宋体" w:hAnsi="宋体"/>
          <w:bCs/>
          <w:sz w:val="24"/>
        </w:rPr>
        <w:t xml:space="preserve">本公司郑重声明，根据《政府采购促进中小企业发展管理办法》（财库﹝2020﹞46 号）的规定，本公司参加</w:t>
      </w:r>
      <w:r>
        <w:rPr>
          <w:rFonts w:hint="eastAsia" w:ascii="宋体" w:hAnsi="宋体"/>
          <w:bCs/>
          <w:sz w:val="24"/>
          <w:u w:val="single"/>
        </w:rPr>
        <w:t xml:space="preserve">（单位名称）</w:t>
      </w:r>
      <w:r>
        <w:rPr>
          <w:rFonts w:hint="eastAsia" w:ascii="宋体" w:hAnsi="宋体"/>
          <w:bCs/>
          <w:sz w:val="24"/>
        </w:rPr>
        <w:t xml:space="preserve">的</w:t>
      </w:r>
      <w:r>
        <w:rPr>
          <w:rFonts w:hint="eastAsia" w:ascii="宋体" w:hAnsi="宋体"/>
          <w:bCs/>
          <w:sz w:val="24"/>
          <w:u w:val="single"/>
        </w:rPr>
        <w:t xml:space="preserve">（项目名称）</w:t>
      </w:r>
      <w:r>
        <w:rPr>
          <w:rFonts w:hint="eastAsia" w:ascii="宋体" w:hAnsi="宋体"/>
          <w:bCs/>
          <w:sz w:val="24"/>
        </w:rPr>
        <w:t xml:space="preserve">采购活动，提供的货物全部由符合政策要求的中小企业制造。相关企业的具体情况如下： </w:t>
      </w:r>
      <w:r>
        <w:rPr>
          <w:rFonts w:ascii="宋体" w:hAnsi="宋体"/>
          <w:bCs/>
          <w:sz w:val="24"/>
        </w:rPr>
      </w:r>
      <w:r/>
    </w:p>
    <w:p>
      <w:pPr>
        <w:pStyle w:val="726"/>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726"/>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 （标的名称）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rPr>
          <w:rFonts w:ascii="宋体" w:hAnsi="宋体"/>
          <w:bCs/>
          <w:sz w:val="24"/>
        </w:rPr>
      </w:r>
      <w:r/>
    </w:p>
    <w:p>
      <w:pPr>
        <w:pStyle w:val="726"/>
        <w:ind w:firstLine="480"/>
        <w:spacing w:line="600" w:lineRule="exact"/>
        <w:rPr>
          <w:rFonts w:ascii="宋体" w:hAnsi="宋体"/>
          <w:bCs/>
          <w:sz w:val="24"/>
        </w:rPr>
      </w:pPr>
      <w:r>
        <w:rPr>
          <w:rFonts w:ascii="宋体" w:hAnsi="宋体"/>
          <w:bCs/>
          <w:sz w:val="24"/>
        </w:rPr>
        <w:t xml:space="preserve">………</w:t>
      </w:r>
      <w:r>
        <w:rPr>
          <w:rFonts w:ascii="宋体" w:hAnsi="宋体"/>
          <w:bCs/>
          <w:sz w:val="24"/>
        </w:rPr>
      </w:r>
      <w:r/>
    </w:p>
    <w:p>
      <w:pPr>
        <w:pStyle w:val="726"/>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rPr>
          <w:rFonts w:ascii="宋体" w:hAnsi="宋体"/>
          <w:bCs/>
          <w:sz w:val="24"/>
        </w:rPr>
      </w:r>
      <w:r/>
    </w:p>
    <w:p>
      <w:pPr>
        <w:pStyle w:val="726"/>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rPr>
          <w:rFonts w:ascii="宋体" w:hAnsi="宋体"/>
          <w:bCs/>
          <w:sz w:val="24"/>
        </w:rPr>
      </w:r>
      <w:r/>
    </w:p>
    <w:p>
      <w:pPr>
        <w:pStyle w:val="726"/>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供应商</w:t>
      </w:r>
      <w:r>
        <w:rPr>
          <w:rFonts w:hint="eastAsia" w:ascii="宋体" w:hAnsi="宋体"/>
          <w:bCs/>
          <w:sz w:val="24"/>
          <w:lang w:val="zh-CN"/>
        </w:rPr>
        <w:t xml:space="preserve">:</w:t>
      </w:r>
      <w:r>
        <w:rPr>
          <w:rFonts w:hint="eastAsia" w:ascii="宋体" w:hAnsi="宋体"/>
          <w:bCs/>
          <w:sz w:val="24"/>
          <w:u w:val="single"/>
          <w:lang w:val="zh-CN"/>
        </w:rPr>
        <w:t xml:space="preserve">        （电子签章）     </w:t>
      </w:r>
      <w:r>
        <w:rPr>
          <w:rFonts w:ascii="宋体" w:hAnsi="宋体"/>
          <w:bCs/>
          <w:sz w:val="24"/>
          <w:u w:val="single"/>
          <w:lang w:val="zh-CN"/>
        </w:rPr>
      </w:r>
      <w:r/>
    </w:p>
    <w:p>
      <w:pPr>
        <w:pStyle w:val="726"/>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u w:val="single"/>
        </w:rPr>
        <w:t xml:space="preserve">（电子签章或电子签字）</w:t>
      </w:r>
      <w:r>
        <w:rPr>
          <w:rFonts w:ascii="宋体" w:hAnsi="宋体"/>
          <w:bCs/>
          <w:sz w:val="24"/>
          <w:u w:val="single"/>
          <w:lang w:val="zh-CN"/>
        </w:rPr>
      </w:r>
      <w:r/>
    </w:p>
    <w:p>
      <w:pPr>
        <w:pStyle w:val="726"/>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bCs/>
          <w:sz w:val="24"/>
          <w:lang w:val="zh-CN"/>
        </w:rPr>
      </w:r>
      <w:r/>
    </w:p>
    <w:p>
      <w:pPr>
        <w:pStyle w:val="703"/>
        <w:ind w:firstLine="480"/>
        <w:jc w:val="left"/>
        <w:spacing w:line="720" w:lineRule="exact"/>
        <w:rPr>
          <w:rFonts w:ascii="宋体" w:hAnsi="宋体"/>
        </w:rPr>
      </w:pPr>
      <w:r>
        <w:rPr>
          <w:rFonts w:hint="eastAsia" w:ascii="宋体" w:hAnsi="宋体"/>
          <w:bCs/>
          <w:sz w:val="24"/>
        </w:rPr>
        <w:t xml:space="preserve">注：从业人员、营业收入、资产总额填报上一年度数据，无上一年度数据的新成立企业可不填报。</w:t>
      </w:r>
      <w:r>
        <w:rPr>
          <w:rFonts w:ascii="宋体" w:hAnsi="宋体"/>
        </w:rPr>
      </w:r>
      <w:r/>
    </w:p>
    <w:p>
      <w:pPr>
        <w:pStyle w:val="726"/>
        <w:ind w:firstLine="0"/>
        <w:spacing w:line="600" w:lineRule="exact"/>
        <w:rPr>
          <w:rFonts w:hint="eastAsia" w:ascii="宋体" w:hAnsi="宋体"/>
          <w:bCs/>
          <w:sz w:val="24"/>
        </w:rPr>
      </w:pPr>
      <w:r>
        <w:rPr>
          <w:rFonts w:hint="eastAsia" w:ascii="宋体" w:hAnsi="宋体"/>
          <w:bCs/>
          <w:sz w:val="24"/>
        </w:rPr>
      </w:r>
      <w:r/>
    </w:p>
    <w:p>
      <w:pPr>
        <w:pStyle w:val="703"/>
        <w:jc w:val="left"/>
        <w:spacing w:line="640" w:lineRule="exact"/>
        <w:widowControl/>
        <w:rPr>
          <w:rFonts w:ascii="宋体" w:hAnsi="宋体" w:cs="宋体"/>
          <w:b/>
          <w:bCs/>
          <w:sz w:val="24"/>
        </w:rPr>
      </w:pPr>
      <w:r>
        <w:rPr>
          <w:rFonts w:hint="eastAsia" w:ascii="宋体" w:hAnsi="宋体"/>
          <w:b/>
          <w:sz w:val="32"/>
        </w:rPr>
        <w:t xml:space="preserve">示范格式四        </w:t>
      </w:r>
      <w:r>
        <w:rPr>
          <w:rFonts w:ascii="宋体" w:hAnsi="宋体" w:cs="宋体"/>
          <w:b/>
          <w:bCs/>
          <w:sz w:val="24"/>
        </w:rPr>
      </w:r>
      <w:r/>
    </w:p>
    <w:p>
      <w:pPr>
        <w:pStyle w:val="703"/>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rPr>
          <w:rFonts w:ascii="宋体" w:hAnsi="宋体" w:cs="宋体"/>
          <w:sz w:val="24"/>
        </w:rPr>
      </w:r>
      <w:r/>
    </w:p>
    <w:p>
      <w:pPr>
        <w:pStyle w:val="726"/>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ascii="宋体" w:hAnsi="宋体"/>
          <w:bCs/>
          <w:sz w:val="24"/>
        </w:rPr>
      </w:r>
      <w:r/>
    </w:p>
    <w:p>
      <w:pPr>
        <w:pStyle w:val="726"/>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sz w:val="24"/>
        </w:rPr>
      </w:r>
      <w:r/>
    </w:p>
    <w:p>
      <w:pPr>
        <w:pStyle w:val="726"/>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rPr>
          <w:rFonts w:ascii="宋体" w:hAnsi="宋体"/>
          <w:bCs/>
          <w:sz w:val="24"/>
        </w:rPr>
      </w:r>
      <w:r/>
    </w:p>
    <w:p>
      <w:pPr>
        <w:pStyle w:val="726"/>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726"/>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sz w:val="24"/>
        </w:rPr>
        <w:t xml:space="preserve">本公司对上述声明的真实性负责。如有虚假，将依法承担相应责任。</w:t>
      </w:r>
      <w:r>
        <w:rPr>
          <w:rFonts w:ascii="宋体" w:hAnsi="宋体"/>
          <w:sz w:val="24"/>
        </w:rPr>
      </w:r>
      <w:r/>
    </w:p>
    <w:p>
      <w:pPr>
        <w:pStyle w:val="703"/>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703"/>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703"/>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703"/>
        <w:ind w:firstLine="484"/>
        <w:spacing w:line="640" w:lineRule="exact"/>
        <w:rPr>
          <w:rFonts w:ascii="宋体" w:hAnsi="宋体" w:cs="仿宋_GB2312"/>
          <w:sz w:val="24"/>
        </w:rPr>
      </w:pPr>
      <w:r>
        <w:rPr>
          <w:rFonts w:ascii="宋体" w:hAnsi="宋体" w:cs="仿宋_GB2312"/>
          <w:sz w:val="24"/>
        </w:rPr>
      </w:r>
      <w:r/>
    </w:p>
    <w:p>
      <w:pPr>
        <w:pStyle w:val="703"/>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非残疾人福利性单位不需提供此函。</w:t>
      </w:r>
      <w:r>
        <w:rPr>
          <w:rFonts w:ascii="宋体" w:hAnsi="宋体"/>
          <w:sz w:val="24"/>
        </w:rPr>
      </w:r>
      <w:r/>
    </w:p>
    <w:p>
      <w:pPr>
        <w:pStyle w:val="703"/>
      </w:pPr>
      <w:r/>
      <w:r/>
    </w:p>
    <w:p>
      <w:pPr>
        <w:pStyle w:val="703"/>
      </w:pPr>
      <w:r/>
      <w:r/>
    </w:p>
    <w:p>
      <w:pPr>
        <w:pStyle w:val="703"/>
      </w:pPr>
      <w:r/>
      <w:r/>
    </w:p>
    <w:p>
      <w:pPr>
        <w:pStyle w:val="703"/>
      </w:pPr>
      <w:r/>
      <w:r/>
    </w:p>
    <w:p>
      <w:pPr>
        <w:pStyle w:val="703"/>
        <w:spacing w:line="520" w:lineRule="exact"/>
        <w:rPr>
          <w:rFonts w:hint="eastAsia" w:ascii="楷体" w:hAnsi="楷体" w:eastAsia="楷体"/>
          <w:sz w:val="28"/>
          <w:szCs w:val="28"/>
        </w:rPr>
      </w:pPr>
      <w:r/>
      <w:bookmarkEnd w:id="0"/>
      <w:r>
        <w:rPr>
          <w:rFonts w:hint="eastAsia" w:ascii="楷体" w:hAnsi="楷体" w:eastAsia="楷体"/>
          <w:sz w:val="28"/>
          <w:szCs w:val="28"/>
        </w:rPr>
      </w:r>
      <w:r/>
    </w:p>
    <w:p>
      <w:pPr>
        <w:pStyle w:val="703"/>
        <w:spacing w:line="520" w:lineRule="exact"/>
        <w:rPr>
          <w:rFonts w:hint="eastAsia" w:ascii="楷体" w:hAnsi="楷体" w:eastAsia="楷体"/>
          <w:sz w:val="28"/>
          <w:szCs w:val="28"/>
        </w:rPr>
      </w:pPr>
      <w:r>
        <w:rPr>
          <w:rFonts w:hint="eastAsia" w:ascii="楷体" w:hAnsi="楷体" w:eastAsia="楷体"/>
          <w:sz w:val="28"/>
          <w:szCs w:val="28"/>
        </w:rPr>
      </w:r>
      <w:r/>
    </w:p>
    <w:p>
      <w:pPr>
        <w:pStyle w:val="703"/>
        <w:spacing w:line="520" w:lineRule="exact"/>
        <w:rPr>
          <w:rFonts w:hint="eastAsia" w:ascii="楷体" w:hAnsi="楷体" w:eastAsia="楷体"/>
          <w:sz w:val="28"/>
          <w:szCs w:val="28"/>
        </w:rPr>
      </w:pPr>
      <w:r>
        <w:rPr>
          <w:rFonts w:hint="eastAsia" w:ascii="楷体" w:hAnsi="楷体" w:eastAsia="楷体"/>
          <w:sz w:val="28"/>
          <w:szCs w:val="28"/>
        </w:rPr>
      </w:r>
      <w:r/>
    </w:p>
    <w:p>
      <w:pPr>
        <w:pStyle w:val="703"/>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703"/>
        <w:jc w:val="center"/>
        <w:rPr>
          <w:rFonts w:ascii="宋体" w:hAnsi="宋体" w:cs="方正小标宋简体"/>
          <w:b/>
          <w:bCs/>
          <w:sz w:val="24"/>
        </w:rPr>
      </w:pPr>
      <w:r>
        <w:rPr>
          <w:rFonts w:hint="eastAsia" w:ascii="宋体" w:hAnsi="宋体" w:cs="方正小标宋简体"/>
          <w:b/>
          <w:bCs/>
          <w:sz w:val="24"/>
        </w:rPr>
        <w:t xml:space="preserve">失信行为“双公示”承诺书</w:t>
      </w:r>
      <w:r>
        <w:rPr>
          <w:rFonts w:ascii="宋体" w:hAnsi="宋体" w:cs="方正小标宋简体"/>
          <w:b/>
          <w:bCs/>
          <w:sz w:val="24"/>
        </w:rPr>
      </w:r>
      <w:r/>
    </w:p>
    <w:p>
      <w:pPr>
        <w:pStyle w:val="703"/>
        <w:rPr>
          <w:rFonts w:ascii="等线" w:hAnsi="等线" w:eastAsia="等线"/>
        </w:rPr>
      </w:pPr>
      <w:r>
        <w:rPr>
          <w:rFonts w:ascii="等线" w:hAnsi="等线" w:eastAsia="等线"/>
        </w:rPr>
      </w:r>
      <w:r/>
    </w:p>
    <w:p>
      <w:pPr>
        <w:pStyle w:val="703"/>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1、严格遵守《中华人民共和国政府采购法》和《中华人民共和国政府采购法实施条例》以及江苏省建设工程招投标管理的有关法律法规，依法依规参与本项目竞标。</w:t>
      </w:r>
      <w:r>
        <w:rPr>
          <w:rFonts w:ascii="宋体" w:hAnsi="宋体" w:cs="仿宋_GB2312"/>
          <w:sz w:val="24"/>
        </w:rPr>
      </w:r>
      <w:r/>
    </w:p>
    <w:p>
      <w:pPr>
        <w:pStyle w:val="703"/>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rPr>
          <w:rFonts w:ascii="宋体" w:hAnsi="宋体" w:cs="仿宋_GB2312"/>
          <w:sz w:val="24"/>
        </w:rPr>
      </w:r>
      <w:r/>
    </w:p>
    <w:p>
      <w:pPr>
        <w:pStyle w:val="703"/>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rPr>
          <w:rFonts w:ascii="宋体" w:hAnsi="宋体" w:cs="仿宋_GB2312"/>
          <w:sz w:val="24"/>
        </w:rPr>
      </w:r>
      <w:r/>
    </w:p>
    <w:p>
      <w:pPr>
        <w:pStyle w:val="703"/>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rPr>
          <w:rFonts w:ascii="宋体" w:hAnsi="宋体" w:cs="仿宋_GB2312"/>
          <w:sz w:val="24"/>
        </w:rPr>
      </w:r>
      <w:r/>
    </w:p>
    <w:p>
      <w:pPr>
        <w:pStyle w:val="703"/>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rPr>
          <w:rFonts w:ascii="宋体" w:hAnsi="宋体" w:cs="仿宋_GB2312"/>
          <w:sz w:val="24"/>
        </w:rPr>
      </w:r>
      <w:r/>
    </w:p>
    <w:p>
      <w:pPr>
        <w:pStyle w:val="703"/>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rPr>
          <w:rFonts w:ascii="宋体" w:hAnsi="宋体" w:cs="仿宋_GB2312"/>
          <w:sz w:val="24"/>
        </w:rPr>
      </w:r>
      <w:r/>
    </w:p>
    <w:p>
      <w:pPr>
        <w:pStyle w:val="703"/>
        <w:ind w:firstLine="480"/>
        <w:spacing w:line="560" w:lineRule="exact"/>
        <w:rPr>
          <w:rFonts w:hint="eastAsia" w:ascii="宋体" w:hAnsi="宋体" w:cs="仿宋_GB2312"/>
          <w:sz w:val="24"/>
        </w:rPr>
      </w:pPr>
      <w:r>
        <w:rPr>
          <w:rFonts w:hint="eastAsia" w:ascii="宋体" w:hAnsi="宋体" w:cs="仿宋_GB2312"/>
          <w:sz w:val="24"/>
        </w:rPr>
        <w:t xml:space="preserve">特此承诺！</w:t>
      </w:r>
      <w:r>
        <w:rPr>
          <w:rFonts w:hint="eastAsia" w:ascii="宋体" w:hAnsi="宋体" w:cs="仿宋_GB2312"/>
          <w:sz w:val="24"/>
        </w:rPr>
      </w:r>
      <w:r/>
    </w:p>
    <w:p>
      <w:pPr>
        <w:pStyle w:val="703"/>
        <w:jc w:val="center"/>
        <w:spacing w:line="560" w:lineRule="exact"/>
        <w:rPr>
          <w:rFonts w:hint="eastAsia" w:ascii="宋体" w:hAnsi="宋体" w:cs="仿宋_GB2312"/>
          <w:sz w:val="24"/>
        </w:rPr>
      </w:pPr>
      <w:r>
        <w:rPr>
          <w:rFonts w:hint="eastAsia" w:ascii="宋体" w:hAnsi="宋体" w:cs="仿宋_GB2312"/>
          <w:sz w:val="24"/>
        </w:rPr>
        <w:t xml:space="preserve">    </w:t>
      </w:r>
      <w:r>
        <w:rPr>
          <w:rFonts w:hint="eastAsia" w:ascii="宋体" w:hAnsi="宋体" w:cs="仿宋_GB2312"/>
          <w:sz w:val="24"/>
        </w:rPr>
      </w:r>
      <w:r/>
    </w:p>
    <w:p>
      <w:pPr>
        <w:pStyle w:val="703"/>
        <w:jc w:val="center"/>
        <w:spacing w:line="560" w:lineRule="exact"/>
        <w:rPr>
          <w:rFonts w:ascii="宋体" w:hAnsi="宋体" w:cs="仿宋_GB2312"/>
          <w:sz w:val="24"/>
        </w:rPr>
      </w:pPr>
      <w:r>
        <w:rPr>
          <w:rFonts w:hint="eastAsia" w:ascii="宋体" w:hAnsi="宋体" w:cs="仿宋_GB2312"/>
          <w:sz w:val="24"/>
        </w:rPr>
        <w:t xml:space="preserve"> 供应商（电子签章）：</w:t>
      </w:r>
      <w:r>
        <w:rPr>
          <w:rFonts w:ascii="宋体" w:hAnsi="宋体" w:cs="仿宋_GB2312"/>
          <w:sz w:val="24"/>
        </w:rPr>
      </w:r>
      <w:r/>
    </w:p>
    <w:p>
      <w:pPr>
        <w:pStyle w:val="703"/>
        <w:jc w:val="center"/>
        <w:spacing w:line="560" w:lineRule="exact"/>
        <w:rPr>
          <w:rFonts w:ascii="宋体" w:hAnsi="宋体" w:cs="仿宋_GB2312"/>
          <w:sz w:val="24"/>
        </w:rPr>
      </w:pPr>
      <w:r>
        <w:rPr>
          <w:rFonts w:hint="eastAsia" w:ascii="宋体" w:hAnsi="宋体" w:cs="仿宋_GB2312"/>
          <w:sz w:val="24"/>
        </w:rPr>
        <w:t xml:space="preserve">   法定代表人（电子签章或电子签字）：</w:t>
      </w:r>
      <w:r>
        <w:rPr>
          <w:rFonts w:ascii="宋体" w:hAnsi="宋体" w:cs="仿宋_GB2312"/>
          <w:sz w:val="24"/>
        </w:rPr>
      </w:r>
      <w:r/>
    </w:p>
    <w:p>
      <w:pPr>
        <w:pStyle w:val="703"/>
        <w:jc w:val="right"/>
        <w:spacing w:line="560" w:lineRule="exact"/>
        <w:rPr>
          <w:rFonts w:ascii="宋体" w:hAnsi="宋体" w:cs="仿宋_GB2312"/>
          <w:sz w:val="24"/>
        </w:rPr>
      </w:pPr>
      <w:r>
        <w:rPr>
          <w:rFonts w:hint="eastAsia" w:ascii="宋体" w:hAnsi="宋体" w:cs="仿宋_GB2312"/>
          <w:sz w:val="24"/>
        </w:rPr>
        <w:t xml:space="preserve">   年   月   日</w:t>
      </w:r>
      <w:r>
        <w:rPr>
          <w:rFonts w:ascii="宋体" w:hAnsi="宋体" w:cs="仿宋_GB2312"/>
          <w:sz w:val="24"/>
        </w:rPr>
      </w:r>
      <w:r/>
    </w:p>
    <w:sectPr>
      <w:headerReference w:type="default" r:id="rId10"/>
      <w:footerReference w:type="default" r:id="rId12"/>
      <w:footerReference w:type="even"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Estrangelo Edessa">
    <w:panose1 w:val="03080402000500000000"/>
  </w:font>
  <w:font w:name="Wingdings">
    <w:panose1 w:val="05000000000000000000"/>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52"/>
      <w:tabs>
        <w:tab w:val="center" w:pos="474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right" w:pos="8306" w:leader="none"/>
      </w:tabs>
      <w:rPr>
        <w:rStyle w:val="779"/>
      </w:rPr>
      <w:framePr w:wrap="around" w:vAnchor="text" w:hAnchor="margin" w:xAlign="center" w:y="1"/>
    </w:pPr>
    <w:r>
      <w:fldChar w:fldCharType="begin"/>
    </w:r>
    <w:r>
      <w:rPr>
        <w:rStyle w:val="779"/>
      </w:rPr>
      <w:instrText xml:space="preserve">PAGE  </w:instrText>
    </w:r>
    <w:r>
      <w:fldChar w:fldCharType="separate"/>
    </w:r>
    <w:r>
      <w:rPr>
        <w:rStyle w:val="779"/>
      </w:rPr>
      <w:t xml:space="preserve">34</w:t>
    </w:r>
    <w:r>
      <w:fldChar w:fldCharType="end"/>
    </w:r>
    <w:r>
      <w:rPr>
        <w:rStyle w:val="779"/>
      </w:rPr>
    </w:r>
    <w:r/>
  </w:p>
  <w:p>
    <w:pPr>
      <w:pStyle w:val="7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right" w:pos="8306" w:leader="none"/>
      </w:tabs>
      <w:rPr>
        <w:rStyle w:val="779"/>
      </w:rPr>
      <w:framePr w:wrap="around" w:vAnchor="text" w:hAnchor="margin" w:xAlign="center" w:y="1"/>
    </w:pPr>
    <w:r>
      <w:fldChar w:fldCharType="begin"/>
    </w:r>
    <w:r>
      <w:rPr>
        <w:rStyle w:val="779"/>
      </w:rPr>
      <w:instrText xml:space="preserve">PAGE  </w:instrText>
    </w:r>
    <w:r>
      <w:fldChar w:fldCharType="end"/>
    </w:r>
    <w:r>
      <w:rPr>
        <w:rStyle w:val="779"/>
      </w:rPr>
    </w:r>
    <w:r/>
  </w:p>
  <w:p>
    <w:pPr>
      <w:pStyle w:val="752"/>
      <w:tabs>
        <w:tab w:val="center" w:pos="4153" w:leader="none"/>
        <w:tab w:val="right" w:pos="8306" w:leader="none"/>
      </w:tabs>
    </w:pPr>
    <w:r/>
    <w:r/>
  </w:p>
  <w:p>
    <w:pPr>
      <w:pStyle w:val="703"/>
    </w:pPr>
    <w:r/>
    <w:r/>
  </w:p>
  <w:p>
    <w:pPr>
      <w:pStyle w:val="703"/>
    </w:pPr>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pPr>
    <w:r>
      <w:rPr>
        <w:rFonts w:hint="eastAsia" w:ascii="华文仿宋" w:hAnsi="华文仿宋"/>
        <w:sz w:val="24"/>
      </w:rPr>
      <w:t xml:space="preserve">涟水县“苏采云政府采购一体化平台”竞争性磋商文件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rPr>
        <w:rFonts w:hint="eastAsia" w:ascii="华文仿宋" w:hAnsi="华文仿宋"/>
        <w:sz w:val="24"/>
      </w:rPr>
    </w:pPr>
    <w:r>
      <w:rPr>
        <w:rFonts w:hint="eastAsia" w:ascii="华文仿宋" w:hAnsi="华文仿宋"/>
        <w:sz w:val="24"/>
      </w:rPr>
      <w:t xml:space="preserve">涟水县“苏采云政府采购一体化平台”竞争性磋商文件</w:t>
    </w:r>
    <w:r>
      <w:rPr>
        <w:rFonts w:hint="eastAsia" w:ascii="华文仿宋" w:hAnsi="华文仿宋"/>
        <w:sz w:val="24"/>
      </w:rPr>
    </w:r>
    <w:r/>
  </w:p>
  <w:p>
    <w:pPr>
      <w:pStyle w:val="7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5"/>
      <w:isLgl w:val="false"/>
      <w:suff w:val="tab"/>
      <w:lvlText w:val=""/>
      <w:lvlJc w:val="left"/>
      <w:pPr>
        <w:pStyle w:val="70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01"/>
      <w:isLgl w:val="false"/>
      <w:suff w:val="tab"/>
      <w:lvlText w:val=""/>
      <w:lvlJc w:val="left"/>
      <w:pPr>
        <w:pStyle w:val="703"/>
        <w:ind w:left="970" w:hanging="250"/>
        <w:tabs>
          <w:tab w:val="num" w:pos="720" w:leader="none"/>
        </w:tabs>
      </w:pPr>
      <w:rPr>
        <w:rFonts w:ascii="Wingdings" w:hAnsi="Wingdings"/>
      </w:rPr>
    </w:lvl>
    <w:lvl w:ilvl="1">
      <w:start w:val="1"/>
      <w:numFmt w:val="bullet"/>
      <w:isLgl w:val="false"/>
      <w:suff w:val="tab"/>
      <w:lvlText w:val=""/>
      <w:lvlJc w:val="left"/>
      <w:pPr>
        <w:pStyle w:val="703"/>
        <w:ind w:left="789" w:hanging="420"/>
        <w:tabs>
          <w:tab w:val="num" w:pos="789" w:leader="none"/>
        </w:tabs>
      </w:pPr>
      <w:rPr>
        <w:rFonts w:ascii="Wingdings" w:hAnsi="Wingdings"/>
      </w:rPr>
    </w:lvl>
    <w:lvl w:ilvl="2">
      <w:start w:val="1"/>
      <w:numFmt w:val="bullet"/>
      <w:isLgl w:val="false"/>
      <w:suff w:val="tab"/>
      <w:lvlText w:val=""/>
      <w:lvlJc w:val="left"/>
      <w:pPr>
        <w:pStyle w:val="703"/>
        <w:ind w:left="1209" w:hanging="420"/>
        <w:tabs>
          <w:tab w:val="num" w:pos="1209" w:leader="none"/>
        </w:tabs>
      </w:pPr>
      <w:rPr>
        <w:rFonts w:ascii="Wingdings" w:hAnsi="Wingdings"/>
      </w:rPr>
    </w:lvl>
    <w:lvl w:ilvl="3">
      <w:start w:val="1"/>
      <w:numFmt w:val="bullet"/>
      <w:isLgl w:val="false"/>
      <w:suff w:val="tab"/>
      <w:lvlText w:val=""/>
      <w:lvlJc w:val="left"/>
      <w:pPr>
        <w:pStyle w:val="703"/>
        <w:ind w:left="1629" w:hanging="420"/>
        <w:tabs>
          <w:tab w:val="num" w:pos="1629" w:leader="none"/>
        </w:tabs>
      </w:pPr>
      <w:rPr>
        <w:rFonts w:ascii="Wingdings" w:hAnsi="Wingdings"/>
      </w:rPr>
    </w:lvl>
    <w:lvl w:ilvl="4">
      <w:start w:val="1"/>
      <w:numFmt w:val="bullet"/>
      <w:isLgl w:val="false"/>
      <w:suff w:val="tab"/>
      <w:lvlText w:val=""/>
      <w:lvlJc w:val="left"/>
      <w:pPr>
        <w:pStyle w:val="703"/>
        <w:ind w:left="2049" w:hanging="420"/>
        <w:tabs>
          <w:tab w:val="num" w:pos="2049" w:leader="none"/>
        </w:tabs>
      </w:pPr>
      <w:rPr>
        <w:rFonts w:ascii="Wingdings" w:hAnsi="Wingdings"/>
      </w:rPr>
    </w:lvl>
    <w:lvl w:ilvl="5">
      <w:start w:val="1"/>
      <w:numFmt w:val="bullet"/>
      <w:isLgl w:val="false"/>
      <w:suff w:val="tab"/>
      <w:lvlText w:val=""/>
      <w:lvlJc w:val="left"/>
      <w:pPr>
        <w:pStyle w:val="703"/>
        <w:ind w:left="2469" w:hanging="420"/>
        <w:tabs>
          <w:tab w:val="num" w:pos="2469" w:leader="none"/>
        </w:tabs>
      </w:pPr>
      <w:rPr>
        <w:rFonts w:ascii="Wingdings" w:hAnsi="Wingdings"/>
      </w:rPr>
    </w:lvl>
    <w:lvl w:ilvl="6">
      <w:start w:val="1"/>
      <w:numFmt w:val="bullet"/>
      <w:isLgl w:val="false"/>
      <w:suff w:val="tab"/>
      <w:lvlText w:val=""/>
      <w:lvlJc w:val="left"/>
      <w:pPr>
        <w:pStyle w:val="703"/>
        <w:ind w:left="2889" w:hanging="420"/>
        <w:tabs>
          <w:tab w:val="num" w:pos="2889" w:leader="none"/>
        </w:tabs>
      </w:pPr>
      <w:rPr>
        <w:rFonts w:ascii="Wingdings" w:hAnsi="Wingdings"/>
      </w:rPr>
    </w:lvl>
    <w:lvl w:ilvl="7">
      <w:start w:val="1"/>
      <w:numFmt w:val="bullet"/>
      <w:isLgl w:val="false"/>
      <w:suff w:val="tab"/>
      <w:lvlText w:val=""/>
      <w:lvlJc w:val="left"/>
      <w:pPr>
        <w:pStyle w:val="703"/>
        <w:ind w:left="3309" w:hanging="420"/>
        <w:tabs>
          <w:tab w:val="num" w:pos="3309" w:leader="none"/>
        </w:tabs>
      </w:pPr>
      <w:rPr>
        <w:rFonts w:ascii="Wingdings" w:hAnsi="Wingdings"/>
      </w:rPr>
    </w:lvl>
    <w:lvl w:ilvl="8">
      <w:start w:val="1"/>
      <w:numFmt w:val="bullet"/>
      <w:isLgl w:val="false"/>
      <w:suff w:val="tab"/>
      <w:lvlText w:val=""/>
      <w:lvlJc w:val="left"/>
      <w:pPr>
        <w:pStyle w:val="703"/>
        <w:ind w:left="3729" w:hanging="420"/>
        <w:tabs>
          <w:tab w:val="num" w:pos="3729" w:leader="none"/>
        </w:tabs>
      </w:pPr>
      <w:rPr>
        <w:rFonts w:ascii="Wingdings" w:hAnsi="Wingdings"/>
      </w:rPr>
    </w:lvl>
  </w:abstractNum>
  <w:abstractNum w:abstractNumId="2">
    <w:multiLevelType w:val="hybridMultilevel"/>
    <w:lvl w:ilvl="0">
      <w:start w:val="1"/>
      <w:numFmt w:val="chineseCountingThousand"/>
      <w:isLgl w:val="false"/>
      <w:suff w:val="space"/>
      <w:lvlText w:val="第%1章"/>
      <w:lvlJc w:val="left"/>
      <w:pPr>
        <w:pStyle w:val="703"/>
        <w:ind w:left="3403" w:firstLine="0"/>
      </w:pPr>
      <w:rPr>
        <w:rFonts w:hint="eastAsia"/>
      </w:rPr>
    </w:lvl>
    <w:lvl w:ilvl="1">
      <w:start w:val="1"/>
      <w:numFmt w:val="decimal"/>
      <w:isLgl w:val="false"/>
      <w:suff w:val="space"/>
      <w:lvlText w:val="%1.%2"/>
      <w:lvlJc w:val="left"/>
      <w:pPr>
        <w:pStyle w:val="703"/>
        <w:ind w:left="0" w:firstLine="0"/>
      </w:pPr>
      <w:rPr>
        <w:rFonts w:hint="eastAsia"/>
      </w:rPr>
    </w:lvl>
    <w:lvl w:ilvl="2">
      <w:start w:val="1"/>
      <w:numFmt w:val="decimal"/>
      <w:isLgl w:val="false"/>
      <w:suff w:val="space"/>
      <w:lvlText w:val="%1.%2.%3"/>
      <w:lvlJc w:val="left"/>
      <w:pPr>
        <w:pStyle w:val="703"/>
        <w:ind w:left="0" w:firstLine="0"/>
      </w:pPr>
      <w:rPr>
        <w:rFonts w:ascii="Times New Roman" w:hAnsi="Times New Roman" w:cs="Times New Roman"/>
        <w:sz w:val="32"/>
        <w:szCs w:val="32"/>
      </w:rPr>
    </w:lvl>
    <w:lvl w:ilvl="3">
      <w:start w:val="1"/>
      <w:numFmt w:val="decimal"/>
      <w:pStyle w:val="707"/>
      <w:isLgl w:val="false"/>
      <w:suff w:val="space"/>
      <w:lvlText w:val="%1.%2.%3.%4"/>
      <w:lvlJc w:val="left"/>
      <w:pPr>
        <w:pStyle w:val="703"/>
        <w:ind w:left="3060" w:firstLine="0"/>
      </w:pPr>
      <w:rPr>
        <w:rFonts w:hint="eastAsia"/>
      </w:rPr>
    </w:lvl>
    <w:lvl w:ilvl="4">
      <w:start w:val="1"/>
      <w:numFmt w:val="decimal"/>
      <w:isLgl w:val="false"/>
      <w:suff w:val="space"/>
      <w:lvlText w:val="%1.%2.%3.%4.%5"/>
      <w:lvlJc w:val="left"/>
      <w:pPr>
        <w:pStyle w:val="703"/>
        <w:ind w:left="3060" w:firstLine="0"/>
      </w:pPr>
      <w:rPr>
        <w:rFonts w:hint="eastAsia"/>
      </w:rPr>
    </w:lvl>
    <w:lvl w:ilvl="5">
      <w:start w:val="1"/>
      <w:numFmt w:val="decimal"/>
      <w:isLgl w:val="false"/>
      <w:suff w:val="space"/>
      <w:lvlText w:val="%1.%2.%3.%4.%5.%6"/>
      <w:lvlJc w:val="left"/>
      <w:pPr>
        <w:pStyle w:val="703"/>
        <w:ind w:left="3060" w:firstLine="0"/>
      </w:pPr>
      <w:rPr>
        <w:rFonts w:hint="eastAsia"/>
      </w:rPr>
    </w:lvl>
    <w:lvl w:ilvl="6">
      <w:start w:val="1"/>
      <w:numFmt w:val="decimal"/>
      <w:isLgl w:val="false"/>
      <w:suff w:val="nothing"/>
      <w:lvlText w:val=""/>
      <w:lvlJc w:val="left"/>
      <w:pPr>
        <w:pStyle w:val="703"/>
        <w:ind w:left="3060" w:firstLine="0"/>
      </w:pPr>
      <w:rPr>
        <w:rFonts w:hint="eastAsia"/>
      </w:rPr>
    </w:lvl>
    <w:lvl w:ilvl="7">
      <w:start w:val="1"/>
      <w:numFmt w:val="decimal"/>
      <w:isLgl w:val="false"/>
      <w:suff w:val="nothing"/>
      <w:lvlText w:val=""/>
      <w:lvlJc w:val="left"/>
      <w:pPr>
        <w:pStyle w:val="703"/>
        <w:ind w:left="3060" w:firstLine="0"/>
      </w:pPr>
      <w:rPr>
        <w:rFonts w:hint="eastAsia"/>
      </w:rPr>
    </w:lvl>
    <w:lvl w:ilvl="8">
      <w:start w:val="1"/>
      <w:numFmt w:val="decimal"/>
      <w:isLgl w:val="false"/>
      <w:suff w:val="nothing"/>
      <w:lvlText w:val=""/>
      <w:lvlJc w:val="left"/>
      <w:pPr>
        <w:pStyle w:val="703"/>
        <w:ind w:left="3060" w:firstLine="0"/>
      </w:pPr>
      <w:rPr>
        <w:rFonts w:hint="eastAsia"/>
      </w:rPr>
    </w:lvl>
  </w:abstractNum>
  <w:abstractNum w:abstractNumId="3">
    <w:multiLevelType w:val="hybridMultilevel"/>
    <w:lvl w:ilvl="0">
      <w:start w:val="1"/>
      <w:numFmt w:val="decimal"/>
      <w:pStyle w:val="725"/>
      <w:isLgl w:val="false"/>
      <w:suff w:val="space"/>
      <w:lvlText w:val="%1."/>
      <w:lvlJc w:val="left"/>
      <w:pPr>
        <w:pStyle w:val="703"/>
        <w:ind w:left="1838" w:hanging="420"/>
      </w:pPr>
    </w:lvl>
    <w:lvl w:ilvl="1">
      <w:start w:val="1"/>
      <w:numFmt w:val="lowerLetter"/>
      <w:isLgl w:val="false"/>
      <w:suff w:val="tab"/>
      <w:lvlText w:val="%2)"/>
      <w:lvlJc w:val="left"/>
      <w:pPr>
        <w:pStyle w:val="703"/>
        <w:ind w:left="1320" w:hanging="420"/>
      </w:pPr>
    </w:lvl>
    <w:lvl w:ilvl="2">
      <w:start w:val="1"/>
      <w:numFmt w:val="lowerRoman"/>
      <w:isLgl w:val="false"/>
      <w:suff w:val="tab"/>
      <w:lvlText w:val="%3."/>
      <w:lvlJc w:val="right"/>
      <w:pPr>
        <w:pStyle w:val="703"/>
        <w:ind w:left="1740" w:hanging="420"/>
      </w:pPr>
    </w:lvl>
    <w:lvl w:ilvl="3">
      <w:start w:val="1"/>
      <w:numFmt w:val="decimal"/>
      <w:isLgl w:val="false"/>
      <w:suff w:val="tab"/>
      <w:lvlText w:val="%4."/>
      <w:lvlJc w:val="left"/>
      <w:pPr>
        <w:pStyle w:val="703"/>
        <w:ind w:left="2160" w:hanging="420"/>
      </w:pPr>
    </w:lvl>
    <w:lvl w:ilvl="4">
      <w:start w:val="1"/>
      <w:numFmt w:val="lowerLetter"/>
      <w:isLgl w:val="false"/>
      <w:suff w:val="tab"/>
      <w:lvlText w:val="%5)"/>
      <w:lvlJc w:val="left"/>
      <w:pPr>
        <w:pStyle w:val="703"/>
        <w:ind w:left="2580" w:hanging="420"/>
      </w:pPr>
    </w:lvl>
    <w:lvl w:ilvl="5">
      <w:start w:val="1"/>
      <w:numFmt w:val="lowerRoman"/>
      <w:isLgl w:val="false"/>
      <w:suff w:val="tab"/>
      <w:lvlText w:val="%6."/>
      <w:lvlJc w:val="right"/>
      <w:pPr>
        <w:pStyle w:val="703"/>
        <w:ind w:left="3000" w:hanging="420"/>
      </w:pPr>
    </w:lvl>
    <w:lvl w:ilvl="6">
      <w:start w:val="1"/>
      <w:numFmt w:val="decimal"/>
      <w:isLgl w:val="false"/>
      <w:suff w:val="tab"/>
      <w:lvlText w:val="%7."/>
      <w:lvlJc w:val="left"/>
      <w:pPr>
        <w:pStyle w:val="703"/>
        <w:ind w:left="3420" w:hanging="420"/>
      </w:pPr>
    </w:lvl>
    <w:lvl w:ilvl="7">
      <w:start w:val="1"/>
      <w:numFmt w:val="lowerLetter"/>
      <w:isLgl w:val="false"/>
      <w:suff w:val="tab"/>
      <w:lvlText w:val="%8)"/>
      <w:lvlJc w:val="left"/>
      <w:pPr>
        <w:pStyle w:val="703"/>
        <w:ind w:left="3840" w:hanging="420"/>
      </w:pPr>
    </w:lvl>
    <w:lvl w:ilvl="8">
      <w:start w:val="1"/>
      <w:numFmt w:val="lowerRoman"/>
      <w:isLgl w:val="false"/>
      <w:suff w:val="tab"/>
      <w:lvlText w:val="%9."/>
      <w:lvlJc w:val="right"/>
      <w:pPr>
        <w:pStyle w:val="703"/>
        <w:ind w:left="4260" w:hanging="420"/>
      </w:pPr>
    </w:lvl>
  </w:abstractNum>
  <w:abstractNum w:abstractNumId="4">
    <w:multiLevelType w:val="hybridMultilevel"/>
    <w:lvl w:ilvl="0">
      <w:start w:val="1"/>
      <w:numFmt w:val="decimal"/>
      <w:isLgl w:val="false"/>
      <w:suff w:val="tab"/>
      <w:lvlText w:val="%1"/>
      <w:lvlJc w:val="left"/>
      <w:pPr>
        <w:pStyle w:val="703"/>
        <w:ind w:left="432" w:hanging="432"/>
        <w:tabs>
          <w:tab w:val="num" w:pos="432" w:leader="none"/>
        </w:tabs>
      </w:pPr>
    </w:lvl>
    <w:lvl w:ilvl="1">
      <w:start w:val="1"/>
      <w:numFmt w:val="decimal"/>
      <w:isLgl w:val="false"/>
      <w:suff w:val="tab"/>
      <w:lvlText w:val="%1.%2"/>
      <w:lvlJc w:val="left"/>
      <w:pPr>
        <w:pStyle w:val="703"/>
        <w:ind w:left="576" w:hanging="576"/>
        <w:tabs>
          <w:tab w:val="num" w:pos="576" w:leader="none"/>
        </w:tabs>
      </w:pPr>
    </w:lvl>
    <w:lvl w:ilvl="2">
      <w:start w:val="1"/>
      <w:numFmt w:val="decimal"/>
      <w:pStyle w:val="706"/>
      <w:isLgl w:val="false"/>
      <w:suff w:val="tab"/>
      <w:lvlText w:val="%1.%2.%3"/>
      <w:lvlJc w:val="left"/>
      <w:pPr>
        <w:pStyle w:val="703"/>
        <w:ind w:left="720" w:hanging="720"/>
        <w:tabs>
          <w:tab w:val="num" w:pos="720" w:leader="none"/>
        </w:tabs>
      </w:pPr>
    </w:lvl>
    <w:lvl w:ilvl="3">
      <w:start w:val="1"/>
      <w:numFmt w:val="decimal"/>
      <w:isLgl w:val="false"/>
      <w:suff w:val="tab"/>
      <w:lvlText w:val="%1.%2.%3.%4"/>
      <w:lvlJc w:val="left"/>
      <w:pPr>
        <w:pStyle w:val="703"/>
        <w:ind w:left="864" w:hanging="864"/>
        <w:tabs>
          <w:tab w:val="num" w:pos="864" w:leader="none"/>
        </w:tabs>
      </w:pPr>
    </w:lvl>
    <w:lvl w:ilvl="4">
      <w:start w:val="1"/>
      <w:numFmt w:val="decimal"/>
      <w:isLgl w:val="false"/>
      <w:suff w:val="tab"/>
      <w:lvlText w:val="%1.%2.%3.%4.%5"/>
      <w:lvlJc w:val="left"/>
      <w:pPr>
        <w:pStyle w:val="703"/>
        <w:ind w:left="1008" w:hanging="1008"/>
        <w:tabs>
          <w:tab w:val="num" w:pos="1008" w:leader="none"/>
        </w:tabs>
      </w:pPr>
    </w:lvl>
    <w:lvl w:ilvl="5">
      <w:start w:val="1"/>
      <w:numFmt w:val="decimal"/>
      <w:isLgl w:val="false"/>
      <w:suff w:val="tab"/>
      <w:lvlText w:val="%1.%2.%3.%4.%5.%6"/>
      <w:lvlJc w:val="left"/>
      <w:pPr>
        <w:pStyle w:val="703"/>
        <w:ind w:left="1152" w:hanging="1152"/>
        <w:tabs>
          <w:tab w:val="num" w:pos="1152" w:leader="none"/>
        </w:tabs>
      </w:pPr>
    </w:lvl>
    <w:lvl w:ilvl="6">
      <w:start w:val="1"/>
      <w:numFmt w:val="decimal"/>
      <w:isLgl w:val="false"/>
      <w:suff w:val="tab"/>
      <w:lvlText w:val="%1.%2.%3.%4.%5.%6.%7"/>
      <w:lvlJc w:val="left"/>
      <w:pPr>
        <w:pStyle w:val="703"/>
        <w:ind w:left="1296" w:hanging="1296"/>
        <w:tabs>
          <w:tab w:val="num" w:pos="1296" w:leader="none"/>
        </w:tabs>
      </w:pPr>
    </w:lvl>
    <w:lvl w:ilvl="7">
      <w:start w:val="1"/>
      <w:numFmt w:val="decimal"/>
      <w:isLgl w:val="false"/>
      <w:suff w:val="tab"/>
      <w:lvlText w:val="%1.%2.%3.%4.%5.%6.%7.%8"/>
      <w:lvlJc w:val="left"/>
      <w:pPr>
        <w:pStyle w:val="703"/>
        <w:ind w:left="1440" w:hanging="1440"/>
        <w:tabs>
          <w:tab w:val="num" w:pos="1440" w:leader="none"/>
        </w:tabs>
      </w:pPr>
    </w:lvl>
    <w:lvl w:ilvl="8">
      <w:start w:val="1"/>
      <w:numFmt w:val="decimal"/>
      <w:isLgl w:val="false"/>
      <w:suff w:val="tab"/>
      <w:lvlText w:val="%1.%2.%3.%4.%5.%6.%7.%8.%9"/>
      <w:lvlJc w:val="left"/>
      <w:pPr>
        <w:pStyle w:val="703"/>
        <w:ind w:left="1584" w:hanging="1584"/>
        <w:tabs>
          <w:tab w:val="num" w:pos="1584" w:leader="none"/>
        </w:tabs>
      </w:pPr>
    </w:lvl>
  </w:abstractNum>
  <w:abstractNum w:abstractNumId="5">
    <w:multiLevelType w:val="hybridMultilevel"/>
    <w:lvl w:ilvl="0">
      <w:start w:val="1"/>
      <w:numFmt w:val="chineseCountingThousand"/>
      <w:isLgl w:val="false"/>
      <w:suff w:val="space"/>
      <w:lvlText w:val="%1. "/>
      <w:lvlJc w:val="left"/>
      <w:pPr>
        <w:pStyle w:val="703"/>
        <w:ind w:left="907" w:hanging="907"/>
      </w:pPr>
      <w:rPr>
        <w:rFonts w:hint="eastAsia"/>
      </w:rPr>
    </w:lvl>
    <w:lvl w:ilvl="1">
      <w:start w:val="1"/>
      <w:numFmt w:val="decimal"/>
      <w:isLgl w:val="false"/>
      <w:suff w:val="space"/>
      <w:lvlText w:val="%1.%2 "/>
      <w:lvlJc w:val="left"/>
      <w:pPr>
        <w:pStyle w:val="703"/>
        <w:ind w:left="794" w:hanging="794"/>
      </w:pPr>
    </w:lvl>
    <w:lvl w:ilvl="2">
      <w:start w:val="0"/>
      <w:numFmt w:val="decimal"/>
      <w:isLgl w:val="false"/>
      <w:suff w:val="tab"/>
      <w:lvlText w:val=""/>
      <w:lvlJc w:val="left"/>
      <w:pPr>
        <w:pStyle w:val="703"/>
        <w:tabs>
          <w:tab w:val="num" w:pos="360" w:leader="none"/>
        </w:tabs>
      </w:pPr>
      <w:rPr>
        <w:rFonts w:cs="Times New Roman"/>
      </w:rPr>
    </w:lvl>
    <w:lvl w:ilvl="3">
      <w:start w:val="0"/>
      <w:numFmt w:val="decimal"/>
      <w:isLgl w:val="false"/>
      <w:suff w:val="tab"/>
      <w:lvlText w:val=""/>
      <w:lvlJc w:val="left"/>
      <w:pPr>
        <w:pStyle w:val="703"/>
        <w:tabs>
          <w:tab w:val="num" w:pos="360" w:leader="none"/>
        </w:tabs>
      </w:pPr>
      <w:rPr>
        <w:rFonts w:cs="Times New Roman"/>
      </w:rPr>
    </w:lvl>
    <w:lvl w:ilvl="4">
      <w:start w:val="0"/>
      <w:numFmt w:val="decimal"/>
      <w:pStyle w:val="1018"/>
      <w:isLgl w:val="false"/>
      <w:suff w:val="tab"/>
      <w:lvlText w:val=""/>
      <w:lvlJc w:val="left"/>
      <w:pPr>
        <w:pStyle w:val="703"/>
      </w:pPr>
      <w:rPr>
        <w:rFonts w:cs="Times New Roman"/>
      </w:rPr>
    </w:lvl>
    <w:lvl w:ilvl="5">
      <w:start w:val="0"/>
      <w:numFmt w:val="decimal"/>
      <w:isLgl w:val="false"/>
      <w:suff w:val="tab"/>
      <w:lvlText w:val=""/>
      <w:lvlJc w:val="left"/>
      <w:pPr>
        <w:pStyle w:val="703"/>
      </w:pPr>
      <w:rPr>
        <w:rFonts w:cs="Times New Roman"/>
      </w:rPr>
    </w:lvl>
    <w:lvl w:ilvl="6">
      <w:start w:val="0"/>
      <w:numFmt w:val="decimal"/>
      <w:isLgl w:val="false"/>
      <w:suff w:val="tab"/>
      <w:lvlText w:val=""/>
      <w:lvlJc w:val="left"/>
      <w:pPr>
        <w:pStyle w:val="703"/>
      </w:pPr>
      <w:rPr>
        <w:rFonts w:cs="Times New Roman"/>
      </w:rPr>
    </w:lvl>
    <w:lvl w:ilvl="7">
      <w:start w:val="0"/>
      <w:numFmt w:val="decimal"/>
      <w:isLgl w:val="false"/>
      <w:suff w:val="tab"/>
      <w:lvlText w:val=""/>
      <w:lvlJc w:val="left"/>
      <w:pPr>
        <w:pStyle w:val="703"/>
      </w:pPr>
      <w:rPr>
        <w:rFonts w:cs="Times New Roman"/>
      </w:rPr>
    </w:lvl>
    <w:lvl w:ilvl="8">
      <w:start w:val="0"/>
      <w:numFmt w:val="decimal"/>
      <w:isLgl w:val="false"/>
      <w:suff w:val="tab"/>
      <w:lvlText w:val=""/>
      <w:lvlJc w:val="left"/>
      <w:pPr>
        <w:pStyle w:val="703"/>
      </w:pPr>
      <w:rPr>
        <w:rFonts w:cs="Times New Roman"/>
      </w:rPr>
    </w:lvl>
  </w:abstractNum>
  <w:abstractNum w:abstractNumId="6">
    <w:multiLevelType w:val="hybridMultilevel"/>
    <w:lvl w:ilvl="0">
      <w:start w:val="1"/>
      <w:numFmt w:val="decimal"/>
      <w:pStyle w:val="990"/>
      <w:isLgl w:val="false"/>
      <w:suff w:val="tab"/>
      <w:lvlText w:val="%1."/>
      <w:lvlJc w:val="left"/>
      <w:pPr>
        <w:pStyle w:val="703"/>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703"/>
        <w:ind w:left="1320" w:hanging="420"/>
      </w:pPr>
    </w:lvl>
    <w:lvl w:ilvl="2">
      <w:start w:val="1"/>
      <w:numFmt w:val="lowerRoman"/>
      <w:isLgl w:val="false"/>
      <w:suff w:val="tab"/>
      <w:lvlText w:val="%3."/>
      <w:lvlJc w:val="right"/>
      <w:pPr>
        <w:pStyle w:val="703"/>
        <w:ind w:left="1740" w:hanging="420"/>
      </w:pPr>
    </w:lvl>
    <w:lvl w:ilvl="3">
      <w:start w:val="1"/>
      <w:numFmt w:val="decimal"/>
      <w:isLgl w:val="false"/>
      <w:suff w:val="tab"/>
      <w:lvlText w:val="%4."/>
      <w:lvlJc w:val="left"/>
      <w:pPr>
        <w:pStyle w:val="703"/>
        <w:ind w:left="2160" w:hanging="420"/>
      </w:pPr>
    </w:lvl>
    <w:lvl w:ilvl="4">
      <w:start w:val="1"/>
      <w:numFmt w:val="lowerLetter"/>
      <w:isLgl w:val="false"/>
      <w:suff w:val="tab"/>
      <w:lvlText w:val="%5)"/>
      <w:lvlJc w:val="left"/>
      <w:pPr>
        <w:pStyle w:val="703"/>
        <w:ind w:left="2580" w:hanging="420"/>
      </w:pPr>
    </w:lvl>
    <w:lvl w:ilvl="5">
      <w:start w:val="1"/>
      <w:numFmt w:val="lowerRoman"/>
      <w:isLgl w:val="false"/>
      <w:suff w:val="tab"/>
      <w:lvlText w:val="%6."/>
      <w:lvlJc w:val="right"/>
      <w:pPr>
        <w:pStyle w:val="703"/>
        <w:ind w:left="3000" w:hanging="420"/>
      </w:pPr>
    </w:lvl>
    <w:lvl w:ilvl="6">
      <w:start w:val="1"/>
      <w:numFmt w:val="decimal"/>
      <w:isLgl w:val="false"/>
      <w:suff w:val="tab"/>
      <w:lvlText w:val="%7."/>
      <w:lvlJc w:val="left"/>
      <w:pPr>
        <w:pStyle w:val="703"/>
        <w:ind w:left="3420" w:hanging="420"/>
      </w:pPr>
    </w:lvl>
    <w:lvl w:ilvl="7">
      <w:start w:val="1"/>
      <w:numFmt w:val="lowerLetter"/>
      <w:isLgl w:val="false"/>
      <w:suff w:val="tab"/>
      <w:lvlText w:val="%8)"/>
      <w:lvlJc w:val="left"/>
      <w:pPr>
        <w:pStyle w:val="703"/>
        <w:ind w:left="3840" w:hanging="420"/>
      </w:pPr>
    </w:lvl>
    <w:lvl w:ilvl="8">
      <w:start w:val="1"/>
      <w:numFmt w:val="lowerRoman"/>
      <w:isLgl w:val="false"/>
      <w:suff w:val="tab"/>
      <w:lvlText w:val="%9."/>
      <w:lvlJc w:val="right"/>
      <w:pPr>
        <w:pStyle w:val="703"/>
        <w:ind w:left="4260" w:hanging="420"/>
      </w:pPr>
    </w:lvl>
  </w:abstractNum>
  <w:num w:numId="1">
    <w:abstractNumId w:val="4"/>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sz w:val="21"/>
      <w:szCs w:val="24"/>
      <w:lang w:val="en-US" w:eastAsia="zh-CN" w:bidi="ar-SA"/>
    </w:rPr>
  </w:style>
  <w:style w:type="paragraph" w:styleId="704">
    <w:name w:val="标题 1"/>
    <w:basedOn w:val="703"/>
    <w:next w:val="703"/>
    <w:link w:val="715"/>
    <w:qFormat/>
    <w:pPr>
      <w:keepLines/>
      <w:keepNext/>
      <w:spacing w:before="340" w:after="330" w:line="578" w:lineRule="auto"/>
      <w:outlineLvl w:val="0"/>
    </w:pPr>
    <w:rPr>
      <w:rFonts w:ascii="宋体"/>
      <w:b/>
      <w:color w:val="000000"/>
      <w:sz w:val="44"/>
      <w:szCs w:val="20"/>
    </w:rPr>
  </w:style>
  <w:style w:type="paragraph" w:styleId="705">
    <w:name w:val="标题 2"/>
    <w:basedOn w:val="703"/>
    <w:next w:val="703"/>
    <w:link w:val="716"/>
    <w:qFormat/>
    <w:pPr>
      <w:keepLines/>
      <w:keepNext/>
      <w:spacing w:before="260" w:after="260" w:line="413" w:lineRule="auto"/>
      <w:outlineLvl w:val="1"/>
    </w:pPr>
    <w:rPr>
      <w:rFonts w:ascii="Arial" w:hAnsi="Arial" w:eastAsia="黑体"/>
      <w:b/>
      <w:sz w:val="32"/>
      <w:szCs w:val="20"/>
    </w:rPr>
  </w:style>
  <w:style w:type="paragraph" w:styleId="706">
    <w:name w:val="标题 3"/>
    <w:basedOn w:val="703"/>
    <w:next w:val="703"/>
    <w:link w:val="717"/>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07">
    <w:name w:val="标题 4"/>
    <w:basedOn w:val="703"/>
    <w:next w:val="703"/>
    <w:link w:val="718"/>
    <w:qFormat/>
    <w:pPr>
      <w:numPr>
        <w:ilvl w:val="3"/>
        <w:numId w:val="2"/>
      </w:numPr>
      <w:jc w:val="left"/>
      <w:keepLines/>
      <w:keepNext/>
      <w:spacing w:line="376" w:lineRule="auto"/>
      <w:outlineLvl w:val="3"/>
    </w:pPr>
    <w:rPr>
      <w:rFonts w:ascii="Arial" w:hAnsi="Arial" w:eastAsia="楷体"/>
      <w:b/>
      <w:bCs/>
      <w:sz w:val="28"/>
      <w:szCs w:val="28"/>
    </w:rPr>
  </w:style>
  <w:style w:type="paragraph" w:styleId="708">
    <w:name w:val="标题 5"/>
    <w:basedOn w:val="703"/>
    <w:next w:val="703"/>
    <w:link w:val="719"/>
    <w:qFormat/>
    <w:pPr>
      <w:keepLines/>
      <w:keepNext/>
      <w:spacing w:before="280" w:after="290" w:line="376" w:lineRule="auto"/>
      <w:outlineLvl w:val="4"/>
    </w:pPr>
    <w:rPr>
      <w:b/>
      <w:bCs/>
      <w:sz w:val="28"/>
      <w:szCs w:val="28"/>
    </w:rPr>
  </w:style>
  <w:style w:type="paragraph" w:styleId="709">
    <w:name w:val="标题 6"/>
    <w:basedOn w:val="703"/>
    <w:next w:val="703"/>
    <w:link w:val="720"/>
    <w:qFormat/>
    <w:pPr>
      <w:keepLines/>
      <w:keepNext/>
      <w:spacing w:before="240" w:after="64" w:line="320" w:lineRule="auto"/>
      <w:outlineLvl w:val="5"/>
    </w:pPr>
    <w:rPr>
      <w:rFonts w:ascii="Cambria" w:hAnsi="Cambria"/>
      <w:b/>
      <w:bCs/>
      <w:sz w:val="24"/>
    </w:rPr>
  </w:style>
  <w:style w:type="paragraph" w:styleId="710">
    <w:name w:val="标题 7"/>
    <w:basedOn w:val="703"/>
    <w:next w:val="703"/>
    <w:link w:val="721"/>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11">
    <w:name w:val="标题 8"/>
    <w:basedOn w:val="703"/>
    <w:next w:val="703"/>
    <w:link w:val="722"/>
    <w:qFormat/>
    <w:pPr>
      <w:keepLines/>
      <w:keepNext/>
      <w:spacing w:before="240" w:after="64" w:line="317" w:lineRule="auto"/>
      <w:outlineLvl w:val="7"/>
    </w:pPr>
    <w:rPr>
      <w:rFonts w:ascii="Cambria" w:hAnsi="Cambria"/>
      <w:sz w:val="24"/>
    </w:rPr>
  </w:style>
  <w:style w:type="paragraph" w:styleId="712">
    <w:name w:val="标题 9"/>
    <w:basedOn w:val="703"/>
    <w:next w:val="703"/>
    <w:link w:val="723"/>
    <w:qFormat/>
    <w:pPr>
      <w:keepLines/>
      <w:keepNext/>
      <w:spacing w:before="240" w:after="64" w:line="317" w:lineRule="auto"/>
      <w:outlineLvl w:val="8"/>
    </w:pPr>
    <w:rPr>
      <w:rFonts w:ascii="Cambria" w:hAnsi="Cambria"/>
      <w:szCs w:val="21"/>
    </w:rPr>
  </w:style>
  <w:style w:type="character" w:styleId="713">
    <w:name w:val="默认段落字体"/>
    <w:next w:val="713"/>
    <w:link w:val="703"/>
    <w:semiHidden/>
  </w:style>
  <w:style w:type="table" w:styleId="714">
    <w:name w:val="普通表格"/>
    <w:next w:val="714"/>
    <w:link w:val="703"/>
    <w:semiHidden/>
    <w:tblPr/>
  </w:style>
  <w:style w:type="character" w:styleId="715">
    <w:name w:val="标题 1 字符1"/>
    <w:next w:val="715"/>
    <w:link w:val="704"/>
    <w:qFormat/>
    <w:rPr>
      <w:rFonts w:ascii="宋体"/>
      <w:b/>
      <w:color w:val="000000"/>
      <w:sz w:val="44"/>
    </w:rPr>
  </w:style>
  <w:style w:type="character" w:styleId="716">
    <w:name w:val="标题 2 字符1"/>
    <w:next w:val="716"/>
    <w:link w:val="705"/>
    <w:qFormat/>
    <w:rPr>
      <w:rFonts w:ascii="Arial" w:hAnsi="Arial" w:eastAsia="黑体"/>
      <w:b/>
      <w:sz w:val="32"/>
      <w:lang w:val="en-US" w:eastAsia="zh-CN" w:bidi="ar-SA"/>
    </w:rPr>
  </w:style>
  <w:style w:type="character" w:styleId="717">
    <w:name w:val="标题 3 字符1"/>
    <w:next w:val="717"/>
    <w:link w:val="706"/>
    <w:qFormat/>
    <w:rPr>
      <w:rFonts w:ascii="宋体"/>
      <w:b/>
      <w:color w:val="000000"/>
      <w:sz w:val="32"/>
    </w:rPr>
  </w:style>
  <w:style w:type="character" w:styleId="718">
    <w:name w:val="标题 4 字符1"/>
    <w:next w:val="718"/>
    <w:link w:val="707"/>
    <w:rPr>
      <w:rFonts w:ascii="Arial" w:hAnsi="Arial" w:eastAsia="楷体"/>
      <w:b/>
      <w:bCs/>
      <w:sz w:val="28"/>
      <w:szCs w:val="28"/>
    </w:rPr>
  </w:style>
  <w:style w:type="character" w:styleId="719">
    <w:name w:val="标题 5 字符1"/>
    <w:next w:val="719"/>
    <w:link w:val="708"/>
    <w:qFormat/>
    <w:rPr>
      <w:b/>
      <w:bCs/>
      <w:sz w:val="28"/>
      <w:szCs w:val="28"/>
    </w:rPr>
  </w:style>
  <w:style w:type="character" w:styleId="720">
    <w:name w:val="标题 6 字符1"/>
    <w:next w:val="720"/>
    <w:link w:val="709"/>
    <w:qFormat/>
    <w:rPr>
      <w:rFonts w:ascii="Cambria" w:hAnsi="Cambria"/>
      <w:b/>
      <w:bCs/>
      <w:sz w:val="24"/>
      <w:szCs w:val="24"/>
    </w:rPr>
  </w:style>
  <w:style w:type="character" w:styleId="721">
    <w:name w:val="标题 7 字符1"/>
    <w:next w:val="721"/>
    <w:link w:val="710"/>
    <w:qFormat/>
    <w:rPr>
      <w:rFonts w:ascii="仿宋_GB2312" w:hAnsi="仿宋_GB2312" w:eastAsia="仿宋_GB2312"/>
      <w:b/>
      <w:bCs/>
      <w:sz w:val="24"/>
      <w:szCs w:val="24"/>
    </w:rPr>
  </w:style>
  <w:style w:type="character" w:styleId="722">
    <w:name w:val="标题 8 字符1"/>
    <w:next w:val="722"/>
    <w:link w:val="711"/>
    <w:qFormat/>
    <w:rPr>
      <w:rFonts w:ascii="Cambria" w:hAnsi="Cambria"/>
      <w:sz w:val="24"/>
      <w:szCs w:val="24"/>
    </w:rPr>
  </w:style>
  <w:style w:type="character" w:styleId="723">
    <w:name w:val="标题 9 字符1"/>
    <w:next w:val="723"/>
    <w:link w:val="712"/>
    <w:qFormat/>
    <w:rPr>
      <w:rFonts w:ascii="Cambria" w:hAnsi="Cambria"/>
      <w:sz w:val="21"/>
      <w:szCs w:val="21"/>
    </w:rPr>
  </w:style>
  <w:style w:type="paragraph" w:styleId="724">
    <w:name w:val="目录 7"/>
    <w:basedOn w:val="703"/>
    <w:next w:val="703"/>
    <w:link w:val="703"/>
    <w:qFormat/>
    <w:pPr>
      <w:ind w:left="2520"/>
    </w:pPr>
    <w:rPr>
      <w:rFonts w:ascii="Calibri" w:hAnsi="Calibri"/>
      <w:szCs w:val="22"/>
    </w:rPr>
  </w:style>
  <w:style w:type="paragraph" w:styleId="725">
    <w:name w:val="列表编号 2"/>
    <w:basedOn w:val="703"/>
    <w:next w:val="725"/>
    <w:link w:val="703"/>
    <w:pPr>
      <w:numPr>
        <w:ilvl w:val="0"/>
        <w:numId w:val="3"/>
      </w:numPr>
      <w:ind w:firstLine="0"/>
      <w:tabs>
        <w:tab w:val="left" w:pos="780" w:leader="none"/>
      </w:tabs>
    </w:pPr>
  </w:style>
  <w:style w:type="paragraph" w:styleId="726">
    <w:name w:val="正文缩进"/>
    <w:basedOn w:val="703"/>
    <w:next w:val="726"/>
    <w:link w:val="727"/>
    <w:qFormat/>
    <w:pPr>
      <w:ind w:firstLine="420"/>
    </w:pPr>
  </w:style>
  <w:style w:type="character" w:styleId="727">
    <w:name w:val="正文缩进 字符"/>
    <w:next w:val="727"/>
    <w:link w:val="726"/>
    <w:qFormat/>
    <w:rPr>
      <w:sz w:val="21"/>
      <w:szCs w:val="24"/>
    </w:rPr>
  </w:style>
  <w:style w:type="paragraph" w:styleId="728">
    <w:name w:val="题注"/>
    <w:basedOn w:val="703"/>
    <w:next w:val="703"/>
    <w:link w:val="703"/>
    <w:qFormat/>
    <w:pPr>
      <w:jc w:val="center"/>
      <w:spacing w:line="360" w:lineRule="auto"/>
    </w:pPr>
    <w:rPr>
      <w:rFonts w:ascii="Arial" w:hAnsi="Arial" w:cs="Arial"/>
      <w:sz w:val="24"/>
      <w:szCs w:val="20"/>
    </w:rPr>
  </w:style>
  <w:style w:type="paragraph" w:styleId="729">
    <w:name w:val="文档结构图"/>
    <w:basedOn w:val="703"/>
    <w:next w:val="729"/>
    <w:link w:val="730"/>
    <w:qFormat/>
    <w:pPr>
      <w:shd w:val="clear" w:color="auto" w:fill="000080"/>
    </w:pPr>
  </w:style>
  <w:style w:type="character" w:styleId="730">
    <w:name w:val="文档结构图 字符"/>
    <w:next w:val="730"/>
    <w:link w:val="729"/>
    <w:qFormat/>
    <w:rPr>
      <w:sz w:val="21"/>
      <w:szCs w:val="24"/>
      <w:shd w:val="clear" w:color="auto" w:fill="000080"/>
    </w:rPr>
  </w:style>
  <w:style w:type="paragraph" w:styleId="731">
    <w:name w:val="引文目录标题"/>
    <w:basedOn w:val="703"/>
    <w:next w:val="703"/>
    <w:link w:val="703"/>
    <w:uiPriority w:val="99"/>
    <w:unhideWhenUsed/>
    <w:qFormat/>
    <w:pPr>
      <w:spacing w:before="120"/>
    </w:pPr>
    <w:rPr>
      <w:rFonts w:ascii="Arial" w:hAnsi="Arial" w:cs="宋体"/>
      <w:sz w:val="24"/>
    </w:rPr>
  </w:style>
  <w:style w:type="paragraph" w:styleId="732">
    <w:name w:val="批注文字"/>
    <w:basedOn w:val="703"/>
    <w:next w:val="732"/>
    <w:link w:val="733"/>
    <w:qFormat/>
    <w:pPr>
      <w:jc w:val="left"/>
    </w:pPr>
  </w:style>
  <w:style w:type="character" w:styleId="733">
    <w:name w:val="批注文字 字符1"/>
    <w:next w:val="733"/>
    <w:link w:val="732"/>
    <w:rPr>
      <w:sz w:val="21"/>
      <w:szCs w:val="24"/>
    </w:rPr>
  </w:style>
  <w:style w:type="paragraph" w:styleId="734">
    <w:name w:val="正文文本 3"/>
    <w:basedOn w:val="703"/>
    <w:next w:val="734"/>
    <w:link w:val="703"/>
    <w:qFormat/>
    <w:pPr>
      <w:jc w:val="center"/>
    </w:pPr>
    <w:rPr>
      <w:rFonts w:eastAsia="黑体"/>
      <w:sz w:val="72"/>
    </w:rPr>
  </w:style>
  <w:style w:type="paragraph" w:styleId="735">
    <w:name w:val="正文文本"/>
    <w:basedOn w:val="703"/>
    <w:next w:val="735"/>
    <w:link w:val="736"/>
    <w:qFormat/>
    <w:pPr>
      <w:jc w:val="center"/>
    </w:pPr>
    <w:rPr>
      <w:rFonts w:eastAsia="仿宋_GB2312"/>
      <w:sz w:val="28"/>
    </w:rPr>
  </w:style>
  <w:style w:type="character" w:styleId="736">
    <w:name w:val="正文文本 字符1"/>
    <w:next w:val="736"/>
    <w:link w:val="735"/>
    <w:qFormat/>
    <w:rPr>
      <w:rFonts w:eastAsia="仿宋_GB2312"/>
      <w:sz w:val="28"/>
      <w:szCs w:val="24"/>
    </w:rPr>
  </w:style>
  <w:style w:type="paragraph" w:styleId="737">
    <w:name w:val="正文文本缩进"/>
    <w:basedOn w:val="703"/>
    <w:next w:val="737"/>
    <w:link w:val="738"/>
    <w:qFormat/>
    <w:pPr>
      <w:ind w:left="420"/>
      <w:spacing w:after="120"/>
    </w:pPr>
  </w:style>
  <w:style w:type="character" w:styleId="738">
    <w:name w:val="正文文本缩进 字符"/>
    <w:next w:val="738"/>
    <w:link w:val="737"/>
    <w:qFormat/>
    <w:rPr>
      <w:sz w:val="21"/>
      <w:szCs w:val="24"/>
    </w:rPr>
  </w:style>
  <w:style w:type="paragraph" w:styleId="739">
    <w:name w:val="文本块"/>
    <w:basedOn w:val="703"/>
    <w:next w:val="739"/>
    <w:link w:val="703"/>
    <w:qFormat/>
    <w:pPr>
      <w:ind w:left="420" w:right="33"/>
      <w:jc w:val="left"/>
    </w:pPr>
    <w:rPr>
      <w:sz w:val="24"/>
      <w:szCs w:val="20"/>
    </w:rPr>
  </w:style>
  <w:style w:type="paragraph" w:styleId="740">
    <w:name w:val="索引 4"/>
    <w:basedOn w:val="703"/>
    <w:next w:val="703"/>
    <w:link w:val="703"/>
    <w:qFormat/>
    <w:pPr>
      <w:ind w:left="600"/>
    </w:pPr>
  </w:style>
  <w:style w:type="paragraph" w:styleId="741">
    <w:name w:val="目录 5"/>
    <w:basedOn w:val="703"/>
    <w:next w:val="703"/>
    <w:link w:val="703"/>
    <w:qFormat/>
    <w:pPr>
      <w:ind w:left="1680"/>
    </w:pPr>
  </w:style>
  <w:style w:type="paragraph" w:styleId="742">
    <w:name w:val="目录 3"/>
    <w:basedOn w:val="703"/>
    <w:next w:val="703"/>
    <w:link w:val="703"/>
    <w:uiPriority w:val="39"/>
    <w:qFormat/>
    <w:pPr>
      <w:ind w:left="840"/>
    </w:pPr>
  </w:style>
  <w:style w:type="paragraph" w:styleId="743">
    <w:name w:val="纯文本"/>
    <w:basedOn w:val="703"/>
    <w:next w:val="743"/>
    <w:link w:val="744"/>
    <w:qFormat/>
    <w:rPr>
      <w:rFonts w:ascii="宋体" w:hAnsi="Courier New"/>
      <w:szCs w:val="20"/>
    </w:rPr>
  </w:style>
  <w:style w:type="character" w:styleId="744">
    <w:name w:val="纯文本 字符1"/>
    <w:next w:val="744"/>
    <w:link w:val="743"/>
    <w:qFormat/>
    <w:rPr>
      <w:rFonts w:ascii="宋体" w:hAnsi="Courier New" w:eastAsia="宋体"/>
      <w:sz w:val="21"/>
      <w:lang w:val="en-US" w:eastAsia="zh-CN" w:bidi="ar-SA"/>
    </w:rPr>
  </w:style>
  <w:style w:type="paragraph" w:styleId="745">
    <w:name w:val="列表项目符号 5"/>
    <w:basedOn w:val="703"/>
    <w:next w:val="745"/>
    <w:link w:val="703"/>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746">
    <w:name w:val="目录 8"/>
    <w:basedOn w:val="703"/>
    <w:next w:val="703"/>
    <w:link w:val="703"/>
    <w:qFormat/>
    <w:pPr>
      <w:ind w:left="2940"/>
    </w:pPr>
    <w:rPr>
      <w:rFonts w:ascii="Calibri" w:hAnsi="Calibri"/>
      <w:szCs w:val="22"/>
    </w:rPr>
  </w:style>
  <w:style w:type="paragraph" w:styleId="747">
    <w:name w:val="日期"/>
    <w:basedOn w:val="703"/>
    <w:next w:val="703"/>
    <w:link w:val="748"/>
    <w:qFormat/>
    <w:pPr>
      <w:ind w:left="100"/>
    </w:pPr>
    <w:rPr>
      <w:rFonts w:ascii="黑体" w:eastAsia="黑体"/>
      <w:sz w:val="72"/>
    </w:rPr>
  </w:style>
  <w:style w:type="character" w:styleId="748">
    <w:name w:val="日期 字符"/>
    <w:next w:val="748"/>
    <w:link w:val="747"/>
    <w:qFormat/>
    <w:rPr>
      <w:rFonts w:ascii="黑体" w:eastAsia="黑体"/>
      <w:sz w:val="72"/>
      <w:szCs w:val="24"/>
    </w:rPr>
  </w:style>
  <w:style w:type="paragraph" w:styleId="749">
    <w:name w:val="正文文本缩进 2"/>
    <w:basedOn w:val="703"/>
    <w:next w:val="749"/>
    <w:link w:val="703"/>
    <w:qFormat/>
    <w:pPr>
      <w:ind w:right="-2" w:firstLine="540"/>
      <w:tabs>
        <w:tab w:val="left" w:pos="9741" w:leader="none"/>
      </w:tabs>
    </w:pPr>
    <w:rPr>
      <w:rFonts w:eastAsia="仿宋_GB2312"/>
      <w:sz w:val="28"/>
    </w:rPr>
  </w:style>
  <w:style w:type="paragraph" w:styleId="750">
    <w:name w:val="批注框文本"/>
    <w:basedOn w:val="703"/>
    <w:next w:val="750"/>
    <w:link w:val="751"/>
    <w:qFormat/>
    <w:rPr>
      <w:sz w:val="18"/>
      <w:szCs w:val="18"/>
    </w:rPr>
  </w:style>
  <w:style w:type="character" w:styleId="751">
    <w:name w:val="批注框文本 字符1"/>
    <w:next w:val="751"/>
    <w:link w:val="750"/>
    <w:qFormat/>
    <w:rPr>
      <w:sz w:val="18"/>
      <w:szCs w:val="18"/>
    </w:rPr>
  </w:style>
  <w:style w:type="paragraph" w:styleId="752">
    <w:name w:val="页脚"/>
    <w:basedOn w:val="703"/>
    <w:next w:val="752"/>
    <w:link w:val="753"/>
    <w:uiPriority w:val="99"/>
    <w:qFormat/>
    <w:pPr>
      <w:jc w:val="left"/>
      <w:tabs>
        <w:tab w:val="center" w:pos="4153" w:leader="none"/>
        <w:tab w:val="right" w:pos="8306" w:leader="none"/>
      </w:tabs>
    </w:pPr>
    <w:rPr>
      <w:sz w:val="18"/>
      <w:szCs w:val="18"/>
    </w:rPr>
  </w:style>
  <w:style w:type="character" w:styleId="753">
    <w:name w:val="页脚 字符1"/>
    <w:next w:val="753"/>
    <w:link w:val="752"/>
    <w:uiPriority w:val="99"/>
    <w:qFormat/>
    <w:rPr>
      <w:rFonts w:eastAsia="宋体"/>
      <w:sz w:val="18"/>
      <w:szCs w:val="18"/>
      <w:lang w:val="en-US" w:eastAsia="zh-CN" w:bidi="ar-SA"/>
    </w:rPr>
  </w:style>
  <w:style w:type="paragraph" w:styleId="754">
    <w:name w:val="页眉"/>
    <w:basedOn w:val="703"/>
    <w:next w:val="754"/>
    <w:link w:val="755"/>
    <w:qFormat/>
    <w:pPr>
      <w:jc w:val="center"/>
      <w:tabs>
        <w:tab w:val="center" w:pos="4153" w:leader="none"/>
        <w:tab w:val="right" w:pos="8306" w:leader="none"/>
      </w:tabs>
      <w:pBdr>
        <w:bottom w:val="single" w:color="000000" w:sz="6" w:space="1"/>
      </w:pBdr>
    </w:pPr>
    <w:rPr>
      <w:sz w:val="18"/>
      <w:szCs w:val="18"/>
    </w:rPr>
  </w:style>
  <w:style w:type="character" w:styleId="755">
    <w:name w:val="页眉 字符1"/>
    <w:next w:val="755"/>
    <w:link w:val="754"/>
    <w:qFormat/>
    <w:rPr>
      <w:rFonts w:eastAsia="宋体"/>
      <w:sz w:val="18"/>
      <w:szCs w:val="18"/>
      <w:lang w:val="en-US" w:eastAsia="zh-CN" w:bidi="ar-SA"/>
    </w:rPr>
  </w:style>
  <w:style w:type="paragraph" w:styleId="756">
    <w:name w:val="目录 1"/>
    <w:basedOn w:val="703"/>
    <w:next w:val="703"/>
    <w:link w:val="703"/>
    <w:uiPriority w:val="39"/>
    <w:qFormat/>
  </w:style>
  <w:style w:type="paragraph" w:styleId="757">
    <w:name w:val="目录 4"/>
    <w:basedOn w:val="703"/>
    <w:next w:val="703"/>
    <w:link w:val="703"/>
    <w:qFormat/>
    <w:pPr>
      <w:ind w:left="1260"/>
    </w:pPr>
  </w:style>
  <w:style w:type="paragraph" w:styleId="758">
    <w:name w:val="副标题"/>
    <w:basedOn w:val="703"/>
    <w:next w:val="703"/>
    <w:link w:val="759"/>
    <w:qFormat/>
    <w:pPr>
      <w:jc w:val="center"/>
      <w:spacing w:before="240" w:after="60" w:line="312" w:lineRule="auto"/>
      <w:outlineLvl w:val="1"/>
    </w:pPr>
    <w:rPr>
      <w:rFonts w:ascii="Cambria" w:hAnsi="Cambria"/>
      <w:b/>
      <w:bCs/>
      <w:sz w:val="32"/>
      <w:szCs w:val="32"/>
    </w:rPr>
  </w:style>
  <w:style w:type="character" w:styleId="759">
    <w:name w:val="副标题 字符"/>
    <w:next w:val="759"/>
    <w:link w:val="758"/>
    <w:qFormat/>
    <w:rPr>
      <w:rFonts w:ascii="Cambria" w:hAnsi="Cambria"/>
      <w:b/>
      <w:bCs/>
      <w:sz w:val="32"/>
      <w:szCs w:val="32"/>
    </w:rPr>
  </w:style>
  <w:style w:type="paragraph" w:styleId="760">
    <w:name w:val="列表"/>
    <w:basedOn w:val="703"/>
    <w:next w:val="760"/>
    <w:link w:val="703"/>
    <w:uiPriority w:val="99"/>
    <w:unhideWhenUsed/>
    <w:qFormat/>
    <w:pPr>
      <w:contextualSpacing/>
      <w:ind w:left="200" w:hanging="200"/>
    </w:pPr>
  </w:style>
  <w:style w:type="paragraph" w:styleId="761">
    <w:name w:val="脚注文本"/>
    <w:basedOn w:val="703"/>
    <w:next w:val="761"/>
    <w:link w:val="762"/>
    <w:qFormat/>
    <w:pPr>
      <w:jc w:val="left"/>
    </w:pPr>
    <w:rPr>
      <w:sz w:val="18"/>
      <w:szCs w:val="18"/>
    </w:rPr>
  </w:style>
  <w:style w:type="character" w:styleId="762">
    <w:name w:val="脚注文本 字符"/>
    <w:next w:val="762"/>
    <w:link w:val="761"/>
    <w:qFormat/>
    <w:rPr>
      <w:sz w:val="18"/>
      <w:szCs w:val="18"/>
    </w:rPr>
  </w:style>
  <w:style w:type="paragraph" w:styleId="763">
    <w:name w:val="目录 6"/>
    <w:basedOn w:val="703"/>
    <w:next w:val="703"/>
    <w:link w:val="703"/>
    <w:qFormat/>
    <w:pPr>
      <w:ind w:left="2100"/>
    </w:pPr>
    <w:rPr>
      <w:rFonts w:ascii="Calibri" w:hAnsi="Calibri"/>
      <w:szCs w:val="22"/>
    </w:rPr>
  </w:style>
  <w:style w:type="paragraph" w:styleId="764">
    <w:name w:val="正文文本缩进 3"/>
    <w:basedOn w:val="703"/>
    <w:next w:val="764"/>
    <w:link w:val="703"/>
    <w:uiPriority w:val="99"/>
    <w:qFormat/>
    <w:pPr>
      <w:ind w:firstLine="435"/>
    </w:pPr>
    <w:rPr>
      <w:rFonts w:ascii="仿宋_GB2312" w:hAnsi="宋体" w:eastAsia="仿宋_GB2312"/>
      <w:sz w:val="28"/>
    </w:rPr>
  </w:style>
  <w:style w:type="paragraph" w:styleId="765">
    <w:name w:val="目录 2"/>
    <w:basedOn w:val="703"/>
    <w:next w:val="703"/>
    <w:link w:val="703"/>
    <w:uiPriority w:val="39"/>
    <w:qFormat/>
    <w:pPr>
      <w:ind w:left="420"/>
    </w:pPr>
  </w:style>
  <w:style w:type="paragraph" w:styleId="766">
    <w:name w:val="目录 9"/>
    <w:basedOn w:val="703"/>
    <w:next w:val="703"/>
    <w:link w:val="703"/>
    <w:qFormat/>
    <w:pPr>
      <w:ind w:left="3360"/>
    </w:pPr>
    <w:rPr>
      <w:rFonts w:ascii="Calibri" w:hAnsi="Calibri"/>
      <w:szCs w:val="22"/>
    </w:rPr>
  </w:style>
  <w:style w:type="paragraph" w:styleId="767">
    <w:name w:val="正文文本 2"/>
    <w:basedOn w:val="703"/>
    <w:next w:val="767"/>
    <w:link w:val="703"/>
    <w:uiPriority w:val="99"/>
    <w:rPr>
      <w:rFonts w:ascii="仿宋_GB2312" w:eastAsia="仿宋_GB2312"/>
      <w:sz w:val="28"/>
    </w:rPr>
  </w:style>
  <w:style w:type="paragraph" w:styleId="768">
    <w:name w:val="普通(网站)"/>
    <w:basedOn w:val="703"/>
    <w:next w:val="768"/>
    <w:link w:val="703"/>
    <w:qFormat/>
    <w:pPr>
      <w:jc w:val="left"/>
      <w:spacing w:before="100" w:beforeAutospacing="1" w:after="100" w:afterAutospacing="1"/>
      <w:widowControl/>
    </w:pPr>
    <w:rPr>
      <w:rFonts w:ascii="宋体" w:hAnsi="Calibri" w:cs="宋体"/>
      <w:sz w:val="24"/>
    </w:rPr>
  </w:style>
  <w:style w:type="paragraph" w:styleId="769">
    <w:name w:val="标题"/>
    <w:basedOn w:val="703"/>
    <w:next w:val="703"/>
    <w:link w:val="770"/>
    <w:qFormat/>
    <w:pPr>
      <w:jc w:val="center"/>
      <w:spacing w:before="240" w:after="60" w:line="360" w:lineRule="auto"/>
      <w:outlineLvl w:val="0"/>
    </w:pPr>
    <w:rPr>
      <w:rFonts w:ascii="Cambria" w:hAnsi="Cambria"/>
      <w:b/>
      <w:bCs/>
      <w:sz w:val="32"/>
      <w:szCs w:val="32"/>
    </w:rPr>
  </w:style>
  <w:style w:type="character" w:styleId="770">
    <w:name w:val="标题 字符"/>
    <w:next w:val="770"/>
    <w:link w:val="769"/>
    <w:qFormat/>
    <w:rPr>
      <w:rFonts w:ascii="Cambria" w:hAnsi="Cambria"/>
      <w:b/>
      <w:bCs/>
      <w:sz w:val="32"/>
      <w:szCs w:val="32"/>
      <w:lang w:bidi="ar-SA"/>
    </w:rPr>
  </w:style>
  <w:style w:type="paragraph" w:styleId="771">
    <w:name w:val="批注主题"/>
    <w:basedOn w:val="732"/>
    <w:next w:val="732"/>
    <w:link w:val="772"/>
    <w:qFormat/>
    <w:rPr>
      <w:b/>
      <w:bCs/>
    </w:rPr>
  </w:style>
  <w:style w:type="character" w:styleId="772">
    <w:name w:val="批注主题 字符1"/>
    <w:next w:val="772"/>
    <w:link w:val="771"/>
    <w:qFormat/>
    <w:rPr>
      <w:b/>
      <w:bCs/>
      <w:sz w:val="21"/>
      <w:szCs w:val="24"/>
    </w:rPr>
  </w:style>
  <w:style w:type="paragraph" w:styleId="773">
    <w:name w:val="正文首行缩进"/>
    <w:basedOn w:val="735"/>
    <w:next w:val="773"/>
    <w:link w:val="774"/>
    <w:qFormat/>
    <w:pPr>
      <w:ind w:firstLine="420"/>
      <w:jc w:val="both"/>
      <w:spacing w:after="120"/>
    </w:pPr>
    <w:rPr>
      <w:sz w:val="21"/>
    </w:rPr>
  </w:style>
  <w:style w:type="character" w:styleId="774">
    <w:name w:val="正文文本首行缩进 字符1"/>
    <w:next w:val="774"/>
    <w:link w:val="773"/>
    <w:rPr>
      <w:rFonts w:eastAsia="仿宋_GB2312"/>
      <w:sz w:val="21"/>
      <w:szCs w:val="24"/>
    </w:rPr>
  </w:style>
  <w:style w:type="paragraph" w:styleId="775">
    <w:name w:val="正文首行缩进 2"/>
    <w:basedOn w:val="737"/>
    <w:next w:val="775"/>
    <w:link w:val="776"/>
    <w:qFormat/>
    <w:pPr>
      <w:ind w:firstLine="420"/>
    </w:pPr>
  </w:style>
  <w:style w:type="character" w:styleId="776">
    <w:name w:val="正文文本首行缩进 2 字符"/>
    <w:next w:val="776"/>
    <w:link w:val="775"/>
  </w:style>
  <w:style w:type="table" w:styleId="777">
    <w:name w:val="网格型"/>
    <w:basedOn w:val="714"/>
    <w:next w:val="777"/>
    <w:link w:val="703"/>
    <w:unhideWhenUsed/>
    <w:qFormat/>
    <w:tblPr/>
  </w:style>
  <w:style w:type="character" w:styleId="778">
    <w:name w:val="要点"/>
    <w:next w:val="778"/>
    <w:link w:val="703"/>
    <w:qFormat/>
    <w:rPr>
      <w:b/>
      <w:bCs/>
    </w:rPr>
  </w:style>
  <w:style w:type="character" w:styleId="779">
    <w:name w:val="页码"/>
    <w:next w:val="779"/>
    <w:link w:val="703"/>
    <w:qFormat/>
  </w:style>
  <w:style w:type="character" w:styleId="780">
    <w:name w:val="已访问的超链接"/>
    <w:next w:val="780"/>
    <w:link w:val="703"/>
    <w:rPr>
      <w:color w:val="5c5c5c"/>
      <w:u w:val="none"/>
    </w:rPr>
  </w:style>
  <w:style w:type="character" w:styleId="781">
    <w:name w:val="强调"/>
    <w:next w:val="781"/>
    <w:link w:val="703"/>
    <w:qFormat/>
    <w:rPr>
      <w:i/>
      <w:iCs/>
    </w:rPr>
  </w:style>
  <w:style w:type="character" w:styleId="782">
    <w:name w:val="HTML 定义"/>
    <w:next w:val="782"/>
    <w:link w:val="703"/>
    <w:rPr>
      <w:i w:val="0"/>
      <w:iCs w:val="0"/>
    </w:rPr>
  </w:style>
  <w:style w:type="character" w:styleId="783">
    <w:name w:val="HTML 打字机"/>
    <w:next w:val="783"/>
    <w:link w:val="703"/>
    <w:rPr>
      <w:rFonts w:ascii="monospace" w:hAnsi="monospace" w:eastAsia="monospace" w:cs="monospace"/>
      <w:sz w:val="20"/>
    </w:rPr>
  </w:style>
  <w:style w:type="character" w:styleId="784">
    <w:name w:val="HTML 缩写"/>
    <w:next w:val="784"/>
    <w:link w:val="703"/>
  </w:style>
  <w:style w:type="character" w:styleId="785">
    <w:name w:val="HTML 变量"/>
    <w:next w:val="785"/>
    <w:link w:val="703"/>
    <w:rPr>
      <w:i w:val="0"/>
      <w:iCs w:val="0"/>
    </w:rPr>
  </w:style>
  <w:style w:type="character" w:styleId="786">
    <w:name w:val="超链接"/>
    <w:next w:val="786"/>
    <w:link w:val="703"/>
    <w:uiPriority w:val="99"/>
    <w:qFormat/>
    <w:rPr>
      <w:color w:val="5c5c5c"/>
      <w:u w:val="none"/>
    </w:rPr>
  </w:style>
  <w:style w:type="character" w:styleId="787">
    <w:name w:val="HTML 代码"/>
    <w:next w:val="787"/>
    <w:link w:val="703"/>
    <w:unhideWhenUsed/>
    <w:qFormat/>
    <w:rPr>
      <w:rFonts w:ascii="Courier New" w:hAnsi="Courier New"/>
      <w:sz w:val="20"/>
    </w:rPr>
  </w:style>
  <w:style w:type="character" w:styleId="788">
    <w:name w:val="批注引用"/>
    <w:next w:val="788"/>
    <w:link w:val="703"/>
    <w:qFormat/>
    <w:rPr>
      <w:sz w:val="21"/>
      <w:szCs w:val="21"/>
    </w:rPr>
  </w:style>
  <w:style w:type="character" w:styleId="789">
    <w:name w:val="HTML 引文"/>
    <w:next w:val="789"/>
    <w:link w:val="703"/>
    <w:rPr>
      <w:i w:val="0"/>
      <w:iCs w:val="0"/>
    </w:rPr>
  </w:style>
  <w:style w:type="character" w:styleId="790">
    <w:name w:val="脚注引用"/>
    <w:next w:val="790"/>
    <w:link w:val="703"/>
    <w:qFormat/>
    <w:rPr>
      <w:vertAlign w:val="superscript"/>
    </w:rPr>
  </w:style>
  <w:style w:type="character" w:styleId="791">
    <w:name w:val="HTML 键盘"/>
    <w:next w:val="791"/>
    <w:link w:val="703"/>
    <w:rPr>
      <w:rFonts w:ascii="monospace" w:hAnsi="monospace" w:eastAsia="monospace" w:cs="monospace"/>
      <w:sz w:val="20"/>
    </w:rPr>
  </w:style>
  <w:style w:type="character" w:styleId="792">
    <w:name w:val="HTML 样本"/>
    <w:next w:val="792"/>
    <w:link w:val="703"/>
    <w:rPr>
      <w:rFonts w:ascii="monospace" w:hAnsi="monospace" w:eastAsia="monospace" w:cs="monospace"/>
    </w:rPr>
  </w:style>
  <w:style w:type="paragraph" w:styleId="793">
    <w:name w:val="xl62"/>
    <w:basedOn w:val="703"/>
    <w:next w:val="793"/>
    <w:link w:val="703"/>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4">
    <w:name w:val="xl50"/>
    <w:basedOn w:val="703"/>
    <w:next w:val="794"/>
    <w:link w:val="703"/>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95">
    <w:name w:val="xl59"/>
    <w:basedOn w:val="703"/>
    <w:next w:val="795"/>
    <w:link w:val="70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96">
    <w:name w:val="xl45"/>
    <w:basedOn w:val="703"/>
    <w:next w:val="796"/>
    <w:link w:val="703"/>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97">
    <w:name w:val="xl42"/>
    <w:basedOn w:val="703"/>
    <w:next w:val="797"/>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98">
    <w:name w:val="xl46"/>
    <w:basedOn w:val="703"/>
    <w:next w:val="798"/>
    <w:link w:val="703"/>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99">
    <w:name w:val="xl33"/>
    <w:basedOn w:val="703"/>
    <w:next w:val="799"/>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0">
    <w:name w:val="font13"/>
    <w:basedOn w:val="703"/>
    <w:next w:val="800"/>
    <w:link w:val="703"/>
    <w:pPr>
      <w:jc w:val="left"/>
      <w:spacing w:before="100" w:beforeAutospacing="1" w:after="100" w:afterAutospacing="1"/>
      <w:widowControl/>
    </w:pPr>
    <w:rPr>
      <w:rFonts w:eastAsia="Arial Unicode MS"/>
      <w:b/>
      <w:bCs/>
      <w:sz w:val="18"/>
      <w:szCs w:val="18"/>
    </w:rPr>
  </w:style>
  <w:style w:type="paragraph" w:styleId="801">
    <w:name w:val="一级缩进"/>
    <w:next w:val="801"/>
    <w:link w:val="703"/>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802">
    <w:name w:val="xl28"/>
    <w:basedOn w:val="703"/>
    <w:next w:val="80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3">
    <w:name w:val="xl86"/>
    <w:basedOn w:val="703"/>
    <w:next w:val="803"/>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4">
    <w:name w:val="xl69"/>
    <w:basedOn w:val="703"/>
    <w:next w:val="804"/>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5">
    <w:name w:val="xl32"/>
    <w:basedOn w:val="703"/>
    <w:next w:val="805"/>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6">
    <w:name w:val="font12"/>
    <w:basedOn w:val="703"/>
    <w:next w:val="806"/>
    <w:link w:val="703"/>
    <w:qFormat/>
    <w:pPr>
      <w:jc w:val="left"/>
      <w:spacing w:before="100" w:beforeAutospacing="1" w:after="100" w:afterAutospacing="1"/>
      <w:widowControl/>
    </w:pPr>
    <w:rPr>
      <w:rFonts w:eastAsia="Arial Unicode MS"/>
      <w:color w:val="333333"/>
      <w:sz w:val="18"/>
      <w:szCs w:val="18"/>
    </w:rPr>
  </w:style>
  <w:style w:type="paragraph" w:styleId="807">
    <w:name w:val="标题6"/>
    <w:basedOn w:val="709"/>
    <w:next w:val="703"/>
    <w:link w:val="703"/>
    <w:qFormat/>
    <w:pPr>
      <w:numPr>
        <w:ilvl w:val="0"/>
        <w:numId w:val="0"/>
      </w:numPr>
      <w:spacing w:before="0" w:after="0"/>
    </w:pPr>
    <w:rPr>
      <w:rFonts w:ascii="楷体" w:hAnsi="楷体" w:eastAsia="楷体"/>
    </w:rPr>
  </w:style>
  <w:style w:type="paragraph" w:styleId="808">
    <w:name w:val="xl44"/>
    <w:basedOn w:val="703"/>
    <w:next w:val="808"/>
    <w:link w:val="703"/>
    <w:qFormat/>
    <w:pPr>
      <w:jc w:val="right"/>
      <w:spacing w:before="100" w:beforeAutospacing="1" w:after="100" w:afterAutospacing="1"/>
      <w:widowControl/>
    </w:pPr>
    <w:rPr>
      <w:rFonts w:ascii="Arial Unicode MS" w:hAnsi="Arial Unicode MS" w:eastAsia="Arial Unicode MS"/>
      <w:sz w:val="24"/>
    </w:rPr>
  </w:style>
  <w:style w:type="paragraph" w:styleId="809">
    <w:name w:val="xl77"/>
    <w:basedOn w:val="703"/>
    <w:next w:val="80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10">
    <w:name w:val="xl74"/>
    <w:basedOn w:val="703"/>
    <w:next w:val="810"/>
    <w:link w:val="703"/>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1">
    <w:name w:val="xl79"/>
    <w:basedOn w:val="703"/>
    <w:next w:val="811"/>
    <w:link w:val="703"/>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12">
    <w:name w:val="xl72"/>
    <w:basedOn w:val="703"/>
    <w:next w:val="812"/>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3">
    <w:name w:val="font8"/>
    <w:basedOn w:val="703"/>
    <w:next w:val="813"/>
    <w:link w:val="703"/>
    <w:qFormat/>
    <w:pPr>
      <w:jc w:val="left"/>
      <w:spacing w:before="100" w:beforeAutospacing="1" w:after="100" w:afterAutospacing="1"/>
      <w:widowControl/>
    </w:pPr>
    <w:rPr>
      <w:rFonts w:eastAsia="Arial Unicode MS"/>
      <w:sz w:val="18"/>
      <w:szCs w:val="18"/>
    </w:rPr>
  </w:style>
  <w:style w:type="paragraph" w:styleId="814">
    <w:name w:val="xl70"/>
    <w:basedOn w:val="703"/>
    <w:next w:val="814"/>
    <w:link w:val="703"/>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15">
    <w:name w:val="xl63"/>
    <w:basedOn w:val="703"/>
    <w:next w:val="815"/>
    <w:link w:val="703"/>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16">
    <w:name w:val="font11"/>
    <w:basedOn w:val="703"/>
    <w:next w:val="816"/>
    <w:link w:val="703"/>
    <w:pPr>
      <w:jc w:val="left"/>
      <w:spacing w:before="100" w:beforeAutospacing="1" w:after="100" w:afterAutospacing="1"/>
      <w:widowControl/>
    </w:pPr>
    <w:rPr>
      <w:rFonts w:hint="eastAsia" w:ascii="宋体" w:hAnsi="宋体"/>
      <w:color w:val="333333"/>
      <w:sz w:val="18"/>
      <w:szCs w:val="18"/>
    </w:rPr>
  </w:style>
  <w:style w:type="paragraph" w:styleId="817">
    <w:name w:val="xl76"/>
    <w:basedOn w:val="703"/>
    <w:next w:val="817"/>
    <w:link w:val="70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18">
    <w:name w:val="xl75"/>
    <w:basedOn w:val="703"/>
    <w:next w:val="818"/>
    <w:link w:val="703"/>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19">
    <w:name w:val="xl65"/>
    <w:basedOn w:val="703"/>
    <w:next w:val="819"/>
    <w:link w:val="703"/>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20">
    <w:name w:val="默认段落字体 Para Char Char Char Char Char Char Char Char Char1 Char Char Char Char Char Char Char"/>
    <w:basedOn w:val="729"/>
    <w:next w:val="820"/>
    <w:link w:val="703"/>
    <w:qFormat/>
    <w:rPr>
      <w:rFonts w:ascii="Tahoma" w:hAnsi="Tahoma"/>
      <w:sz w:val="24"/>
    </w:rPr>
  </w:style>
  <w:style w:type="paragraph" w:styleId="821">
    <w:name w:val="font6"/>
    <w:basedOn w:val="703"/>
    <w:next w:val="821"/>
    <w:link w:val="703"/>
    <w:qFormat/>
    <w:pPr>
      <w:jc w:val="left"/>
      <w:spacing w:before="100" w:beforeAutospacing="1" w:after="100" w:afterAutospacing="1"/>
      <w:widowControl/>
    </w:pPr>
    <w:rPr>
      <w:rFonts w:eastAsia="Arial Unicode MS"/>
      <w:sz w:val="18"/>
      <w:szCs w:val="18"/>
    </w:rPr>
  </w:style>
  <w:style w:type="paragraph" w:styleId="822">
    <w:name w:val="xl61"/>
    <w:basedOn w:val="703"/>
    <w:next w:val="822"/>
    <w:link w:val="703"/>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23">
    <w:name w:val="xl66"/>
    <w:basedOn w:val="703"/>
    <w:next w:val="823"/>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4">
    <w:name w:val="xl82"/>
    <w:basedOn w:val="703"/>
    <w:next w:val="824"/>
    <w:link w:val="70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25">
    <w:name w:val="xl52"/>
    <w:basedOn w:val="703"/>
    <w:next w:val="825"/>
    <w:link w:val="703"/>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26">
    <w:name w:val="font10"/>
    <w:basedOn w:val="703"/>
    <w:next w:val="826"/>
    <w:link w:val="703"/>
    <w:pPr>
      <w:jc w:val="left"/>
      <w:spacing w:before="100" w:beforeAutospacing="1" w:after="100" w:afterAutospacing="1"/>
      <w:widowControl/>
    </w:pPr>
    <w:rPr>
      <w:rFonts w:eastAsia="Arial Unicode MS"/>
      <w:sz w:val="18"/>
      <w:szCs w:val="18"/>
    </w:rPr>
  </w:style>
  <w:style w:type="paragraph" w:styleId="827">
    <w:name w:val="xl56"/>
    <w:basedOn w:val="703"/>
    <w:next w:val="827"/>
    <w:link w:val="703"/>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28">
    <w:name w:val="样式 小四 行距: 1.5 倍行距"/>
    <w:basedOn w:val="703"/>
    <w:next w:val="828"/>
    <w:link w:val="703"/>
    <w:qFormat/>
    <w:pPr>
      <w:ind w:firstLine="480"/>
      <w:spacing w:line="360" w:lineRule="auto"/>
    </w:pPr>
    <w:rPr>
      <w:szCs w:val="20"/>
    </w:rPr>
  </w:style>
  <w:style w:type="paragraph" w:styleId="829">
    <w:name w:val="xl57"/>
    <w:basedOn w:val="703"/>
    <w:next w:val="829"/>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30">
    <w:name w:val="标书正文格式"/>
    <w:next w:val="830"/>
    <w:link w:val="703"/>
    <w:pPr>
      <w:ind w:firstLine="480"/>
      <w:jc w:val="both"/>
      <w:spacing w:line="360" w:lineRule="auto"/>
    </w:pPr>
    <w:rPr>
      <w:rFonts w:ascii="宋体" w:hAnsi="宋体"/>
      <w:sz w:val="24"/>
      <w:szCs w:val="24"/>
      <w:lang w:val="en-US" w:eastAsia="zh-CN" w:bidi="ar-SA"/>
    </w:rPr>
  </w:style>
  <w:style w:type="paragraph" w:styleId="831">
    <w:name w:val="font7"/>
    <w:basedOn w:val="703"/>
    <w:next w:val="831"/>
    <w:link w:val="703"/>
    <w:qFormat/>
    <w:pPr>
      <w:jc w:val="left"/>
      <w:spacing w:before="100" w:beforeAutospacing="1" w:after="100" w:afterAutospacing="1"/>
      <w:widowControl/>
    </w:pPr>
    <w:rPr>
      <w:rFonts w:eastAsia="Arial Unicode MS"/>
      <w:sz w:val="18"/>
      <w:szCs w:val="18"/>
    </w:rPr>
  </w:style>
  <w:style w:type="paragraph" w:styleId="832">
    <w:name w:val="xl73"/>
    <w:basedOn w:val="703"/>
    <w:next w:val="832"/>
    <w:link w:val="703"/>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3">
    <w:name w:val="xl68"/>
    <w:basedOn w:val="703"/>
    <w:next w:val="833"/>
    <w:link w:val="703"/>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4">
    <w:name w:val="xl37"/>
    <w:basedOn w:val="703"/>
    <w:next w:val="834"/>
    <w:link w:val="703"/>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5">
    <w:name w:val="xl48"/>
    <w:basedOn w:val="703"/>
    <w:next w:val="835"/>
    <w:link w:val="703"/>
    <w:pPr>
      <w:jc w:val="center"/>
      <w:spacing w:before="100" w:beforeAutospacing="1" w:after="100" w:afterAutospacing="1"/>
      <w:widowControl/>
    </w:pPr>
    <w:rPr>
      <w:rFonts w:ascii="Arial Unicode MS" w:hAnsi="Arial Unicode MS" w:eastAsia="Arial Unicode MS"/>
      <w:sz w:val="28"/>
      <w:szCs w:val="28"/>
    </w:rPr>
  </w:style>
  <w:style w:type="paragraph" w:styleId="836">
    <w:name w:val="xl51"/>
    <w:basedOn w:val="703"/>
    <w:next w:val="836"/>
    <w:link w:val="703"/>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37">
    <w:name w:val="xl53"/>
    <w:basedOn w:val="703"/>
    <w:next w:val="837"/>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38">
    <w:name w:val="xl78"/>
    <w:basedOn w:val="703"/>
    <w:next w:val="838"/>
    <w:link w:val="70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39">
    <w:name w:val="xl83"/>
    <w:basedOn w:val="703"/>
    <w:next w:val="839"/>
    <w:link w:val="70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0">
    <w:name w:val="xl41"/>
    <w:basedOn w:val="703"/>
    <w:next w:val="840"/>
    <w:link w:val="70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1">
    <w:name w:val="xl36"/>
    <w:basedOn w:val="703"/>
    <w:next w:val="841"/>
    <w:link w:val="703"/>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42">
    <w:name w:val="font5"/>
    <w:basedOn w:val="703"/>
    <w:next w:val="842"/>
    <w:link w:val="703"/>
    <w:qFormat/>
    <w:pPr>
      <w:jc w:val="left"/>
      <w:spacing w:before="100" w:beforeAutospacing="1" w:after="100" w:afterAutospacing="1"/>
      <w:widowControl/>
    </w:pPr>
    <w:rPr>
      <w:rFonts w:hint="eastAsia" w:ascii="宋体" w:hAnsi="宋体"/>
      <w:sz w:val="18"/>
      <w:szCs w:val="18"/>
    </w:rPr>
  </w:style>
  <w:style w:type="paragraph" w:styleId="843">
    <w:name w:val="xl55"/>
    <w:basedOn w:val="703"/>
    <w:next w:val="843"/>
    <w:link w:val="703"/>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4">
    <w:name w:val="xl67"/>
    <w:basedOn w:val="703"/>
    <w:next w:val="844"/>
    <w:link w:val="703"/>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5">
    <w:name w:val="xl64"/>
    <w:basedOn w:val="703"/>
    <w:next w:val="845"/>
    <w:link w:val="70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46">
    <w:name w:val="xl38"/>
    <w:basedOn w:val="703"/>
    <w:next w:val="846"/>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47">
    <w:name w:val="xl71"/>
    <w:basedOn w:val="703"/>
    <w:next w:val="847"/>
    <w:link w:val="703"/>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8">
    <w:name w:val="无间隔"/>
    <w:next w:val="848"/>
    <w:link w:val="703"/>
    <w:qFormat/>
    <w:pPr>
      <w:jc w:val="both"/>
      <w:widowControl w:val="off"/>
    </w:pPr>
    <w:rPr>
      <w:sz w:val="21"/>
      <w:szCs w:val="24"/>
      <w:lang w:val="en-US" w:eastAsia="zh-CN" w:bidi="ar-SA"/>
    </w:rPr>
  </w:style>
  <w:style w:type="paragraph" w:styleId="849">
    <w:name w:val="xl80"/>
    <w:basedOn w:val="703"/>
    <w:next w:val="849"/>
    <w:link w:val="703"/>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50">
    <w:name w:val="xl85"/>
    <w:basedOn w:val="703"/>
    <w:next w:val="850"/>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51">
    <w:name w:val="_"/>
    <w:basedOn w:val="703"/>
    <w:next w:val="851"/>
    <w:link w:val="703"/>
    <w:pPr>
      <w:ind w:left="480"/>
      <w:spacing w:line="360" w:lineRule="auto"/>
    </w:pPr>
    <w:rPr>
      <w:sz w:val="24"/>
      <w:szCs w:val="20"/>
    </w:rPr>
  </w:style>
  <w:style w:type="paragraph" w:styleId="852">
    <w:name w:val=" Char Char Char Char Char Char Char Char"/>
    <w:basedOn w:val="703"/>
    <w:next w:val="852"/>
    <w:link w:val="703"/>
    <w:pPr>
      <w:jc w:val="left"/>
      <w:spacing w:after="160" w:line="240" w:lineRule="exact"/>
      <w:widowControl/>
    </w:pPr>
    <w:rPr>
      <w:rFonts w:ascii="Verdana" w:hAnsi="Verdana"/>
      <w:sz w:val="20"/>
      <w:szCs w:val="20"/>
      <w:lang w:eastAsia="en-US"/>
    </w:rPr>
  </w:style>
  <w:style w:type="paragraph" w:styleId="853">
    <w:name w:val="xl31"/>
    <w:basedOn w:val="703"/>
    <w:next w:val="85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54">
    <w:name w:val="xl54"/>
    <w:basedOn w:val="703"/>
    <w:next w:val="85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55">
    <w:name w:val=" Char"/>
    <w:basedOn w:val="729"/>
    <w:next w:val="855"/>
    <w:link w:val="703"/>
    <w:pPr>
      <w:spacing w:line="360" w:lineRule="auto"/>
    </w:pPr>
    <w:rPr>
      <w:rFonts w:ascii="Tahoma" w:hAnsi="Tahoma"/>
      <w:sz w:val="24"/>
    </w:rPr>
  </w:style>
  <w:style w:type="paragraph" w:styleId="856">
    <w:name w:val="xl35"/>
    <w:basedOn w:val="703"/>
    <w:next w:val="856"/>
    <w:link w:val="703"/>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57">
    <w:name w:val="xl58"/>
    <w:basedOn w:val="703"/>
    <w:next w:val="857"/>
    <w:link w:val="7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58">
    <w:name w:val="xl30"/>
    <w:basedOn w:val="703"/>
    <w:next w:val="858"/>
    <w:link w:val="703"/>
    <w:qFormat/>
    <w:pPr>
      <w:jc w:val="left"/>
      <w:spacing w:before="100" w:beforeAutospacing="1" w:after="100" w:afterAutospacing="1"/>
      <w:widowControl/>
    </w:pPr>
    <w:rPr>
      <w:rFonts w:ascii="Arial Unicode MS" w:hAnsi="Arial Unicode MS" w:eastAsia="Arial Unicode MS"/>
      <w:sz w:val="18"/>
      <w:szCs w:val="18"/>
    </w:rPr>
  </w:style>
  <w:style w:type="paragraph" w:styleId="859">
    <w:name w:val="标题5"/>
    <w:basedOn w:val="708"/>
    <w:next w:val="703"/>
    <w:link w:val="860"/>
    <w:qFormat/>
    <w:pPr>
      <w:spacing w:before="0" w:after="0"/>
    </w:pPr>
    <w:rPr>
      <w:rFonts w:ascii="楷体" w:hAnsi="楷体" w:eastAsia="楷体"/>
    </w:rPr>
  </w:style>
  <w:style w:type="character" w:styleId="860">
    <w:name w:val="标题5 Char Char"/>
    <w:next w:val="860"/>
    <w:link w:val="859"/>
    <w:qFormat/>
    <w:rPr>
      <w:rFonts w:ascii="楷体" w:hAnsi="楷体" w:eastAsia="楷体"/>
      <w:b/>
      <w:bCs/>
      <w:sz w:val="28"/>
      <w:szCs w:val="28"/>
    </w:rPr>
  </w:style>
  <w:style w:type="paragraph" w:styleId="861">
    <w:name w:val="font9"/>
    <w:basedOn w:val="703"/>
    <w:next w:val="861"/>
    <w:link w:val="703"/>
    <w:qFormat/>
    <w:pPr>
      <w:jc w:val="left"/>
      <w:spacing w:before="100" w:beforeAutospacing="1" w:after="100" w:afterAutospacing="1"/>
      <w:widowControl/>
    </w:pPr>
    <w:rPr>
      <w:rFonts w:eastAsia="Arial Unicode MS"/>
      <w:b/>
      <w:bCs/>
      <w:color w:val="000000"/>
      <w:sz w:val="18"/>
      <w:szCs w:val="18"/>
    </w:rPr>
  </w:style>
  <w:style w:type="paragraph" w:styleId="862">
    <w:name w:val="xl39"/>
    <w:basedOn w:val="703"/>
    <w:next w:val="862"/>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3">
    <w:name w:val="Default"/>
    <w:next w:val="863"/>
    <w:link w:val="703"/>
    <w:uiPriority w:val="99"/>
    <w:qFormat/>
    <w:pPr>
      <w:widowControl w:val="off"/>
    </w:pPr>
    <w:rPr>
      <w:rFonts w:ascii="仿宋" w:eastAsia="仿宋" w:cs="仿宋"/>
      <w:color w:val="000000"/>
      <w:sz w:val="24"/>
      <w:szCs w:val="24"/>
      <w:lang w:val="en-US" w:eastAsia="zh-CN" w:bidi="ar-SA"/>
    </w:rPr>
  </w:style>
  <w:style w:type="paragraph" w:styleId="864">
    <w:name w:val=" Char Char Char Char Char Char Char Char Char Char Char Char Char"/>
    <w:basedOn w:val="703"/>
    <w:next w:val="864"/>
    <w:link w:val="703"/>
    <w:pPr>
      <w:jc w:val="left"/>
      <w:spacing w:after="160" w:line="240" w:lineRule="exact"/>
      <w:widowControl/>
    </w:pPr>
    <w:rPr>
      <w:rFonts w:ascii="Verdana" w:hAnsi="Verdana"/>
      <w:sz w:val="20"/>
      <w:szCs w:val="20"/>
      <w:lang w:eastAsia="en-US"/>
    </w:rPr>
  </w:style>
  <w:style w:type="paragraph" w:styleId="865">
    <w:name w:val="xl84"/>
    <w:basedOn w:val="703"/>
    <w:next w:val="865"/>
    <w:link w:val="7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6">
    <w:name w:val="xl34"/>
    <w:basedOn w:val="703"/>
    <w:next w:val="866"/>
    <w:link w:val="703"/>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67">
    <w:name w:val="xl29"/>
    <w:basedOn w:val="703"/>
    <w:next w:val="867"/>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8">
    <w:name w:val="xl40"/>
    <w:basedOn w:val="703"/>
    <w:next w:val="868"/>
    <w:link w:val="70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9">
    <w:name w:val="xl43"/>
    <w:basedOn w:val="703"/>
    <w:next w:val="869"/>
    <w:link w:val="703"/>
    <w:qFormat/>
    <w:pPr>
      <w:jc w:val="left"/>
      <w:spacing w:before="100" w:beforeAutospacing="1" w:after="100" w:afterAutospacing="1"/>
      <w:widowControl/>
    </w:pPr>
    <w:rPr>
      <w:rFonts w:ascii="Arial Unicode MS" w:hAnsi="Arial Unicode MS" w:eastAsia="Arial Unicode MS"/>
      <w:sz w:val="24"/>
    </w:rPr>
  </w:style>
  <w:style w:type="paragraph" w:styleId="870">
    <w:name w:val="xl47"/>
    <w:basedOn w:val="703"/>
    <w:next w:val="87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71">
    <w:name w:val="xl49"/>
    <w:basedOn w:val="703"/>
    <w:next w:val="871"/>
    <w:link w:val="7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72">
    <w:name w:val="Char Char Char Char"/>
    <w:basedOn w:val="729"/>
    <w:next w:val="872"/>
    <w:link w:val="703"/>
    <w:qFormat/>
    <w:pPr>
      <w:spacing w:line="360" w:lineRule="auto"/>
    </w:pPr>
    <w:rPr>
      <w:rFonts w:ascii="Tahoma" w:hAnsi="Tahoma"/>
      <w:sz w:val="24"/>
    </w:rPr>
  </w:style>
  <w:style w:type="paragraph" w:styleId="873">
    <w:name w:val="xl81"/>
    <w:basedOn w:val="703"/>
    <w:next w:val="873"/>
    <w:link w:val="703"/>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74">
    <w:name w:val="列表段落"/>
    <w:basedOn w:val="703"/>
    <w:next w:val="874"/>
    <w:link w:val="875"/>
    <w:qFormat/>
    <w:pPr>
      <w:ind w:firstLine="420"/>
    </w:pPr>
  </w:style>
  <w:style w:type="character" w:styleId="875">
    <w:name w:val="列表段落 字符1"/>
    <w:next w:val="875"/>
    <w:link w:val="874"/>
    <w:qFormat/>
    <w:rPr>
      <w:rFonts w:eastAsia="宋体"/>
      <w:sz w:val="21"/>
      <w:szCs w:val="24"/>
      <w:lang w:val="en-US" w:eastAsia="zh-CN" w:bidi="ar-SA"/>
    </w:rPr>
  </w:style>
  <w:style w:type="paragraph" w:styleId="876">
    <w:name w:val="Char"/>
    <w:basedOn w:val="703"/>
    <w:next w:val="876"/>
    <w:link w:val="703"/>
    <w:qFormat/>
    <w:pPr>
      <w:tabs>
        <w:tab w:val="left" w:pos="360" w:leader="none"/>
      </w:tabs>
    </w:pPr>
    <w:rPr>
      <w:sz w:val="24"/>
    </w:rPr>
  </w:style>
  <w:style w:type="paragraph" w:styleId="877">
    <w:name w:val="xl60"/>
    <w:basedOn w:val="703"/>
    <w:next w:val="877"/>
    <w:link w:val="7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78">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878"/>
    <w:link w:val="703"/>
    <w:qFormat/>
    <w:rPr>
      <w:rFonts w:ascii="宋体" w:hAnsi="Courier New" w:eastAsia="宋体"/>
      <w:sz w:val="21"/>
      <w:lang w:val="en-US" w:eastAsia="zh-CN" w:bidi="ar-SA"/>
    </w:rPr>
  </w:style>
  <w:style w:type="paragraph" w:styleId="879">
    <w:name w:val="普通正文"/>
    <w:basedOn w:val="703"/>
    <w:next w:val="879"/>
    <w:link w:val="703"/>
    <w:qFormat/>
    <w:pPr>
      <w:ind w:firstLine="480"/>
      <w:jc w:val="left"/>
      <w:spacing w:before="120" w:after="120" w:line="360" w:lineRule="auto"/>
    </w:pPr>
    <w:rPr>
      <w:rFonts w:ascii="Arial" w:hAnsi="Arial"/>
      <w:sz w:val="24"/>
    </w:rPr>
  </w:style>
  <w:style w:type="paragraph" w:styleId="880">
    <w:name w:val="默认段落字体 Para Char"/>
    <w:basedOn w:val="703"/>
    <w:next w:val="880"/>
    <w:link w:val="703"/>
    <w:qFormat/>
  </w:style>
  <w:style w:type="character" w:styleId="881">
    <w:name w:val="font51"/>
    <w:next w:val="881"/>
    <w:link w:val="703"/>
    <w:qFormat/>
    <w:rPr>
      <w:rFonts w:ascii="宋体" w:hAnsi="宋体" w:eastAsia="宋体" w:cs="宋体"/>
      <w:color w:val="000000"/>
      <w:sz w:val="22"/>
      <w:szCs w:val="22"/>
      <w:u w:val="none"/>
    </w:rPr>
  </w:style>
  <w:style w:type="character" w:styleId="882">
    <w:name w:val="font41"/>
    <w:next w:val="882"/>
    <w:link w:val="703"/>
    <w:qFormat/>
    <w:rPr>
      <w:rFonts w:ascii="宋体" w:hAnsi="宋体" w:eastAsia="宋体" w:cs="宋体"/>
      <w:color w:val="000000"/>
      <w:sz w:val="21"/>
      <w:szCs w:val="21"/>
      <w:u w:val="none"/>
    </w:rPr>
  </w:style>
  <w:style w:type="character" w:styleId="883">
    <w:name w:val="font91"/>
    <w:next w:val="883"/>
    <w:link w:val="703"/>
    <w:qFormat/>
    <w:rPr>
      <w:rFonts w:ascii="Times New Roman" w:hAnsi="Times New Roman" w:cs="Times New Roman"/>
      <w:i w:val="0"/>
      <w:color w:val="000000"/>
      <w:sz w:val="18"/>
      <w:szCs w:val="18"/>
      <w:u w:val="none"/>
    </w:rPr>
  </w:style>
  <w:style w:type="character" w:styleId="884">
    <w:name w:val="font81"/>
    <w:next w:val="884"/>
    <w:link w:val="703"/>
    <w:qFormat/>
    <w:rPr>
      <w:rFonts w:hint="eastAsia" w:ascii="宋体" w:hAnsi="宋体" w:eastAsia="宋体" w:cs="宋体"/>
      <w:i w:val="0"/>
      <w:color w:val="000000"/>
      <w:sz w:val="20"/>
      <w:szCs w:val="20"/>
      <w:u w:val="none"/>
    </w:rPr>
  </w:style>
  <w:style w:type="character" w:styleId="885">
    <w:name w:val="List Paragraph Char"/>
    <w:next w:val="885"/>
    <w:link w:val="886"/>
    <w:qFormat/>
    <w:rPr>
      <w:rFonts w:ascii="Calibri" w:hAnsi="Calibri"/>
      <w:lang w:bidi="ar-SA"/>
    </w:rPr>
  </w:style>
  <w:style w:type="paragraph" w:styleId="886">
    <w:name w:val="List Paragraph"/>
    <w:basedOn w:val="703"/>
    <w:next w:val="886"/>
    <w:link w:val="885"/>
    <w:qFormat/>
    <w:pPr>
      <w:ind w:firstLine="420"/>
    </w:pPr>
    <w:rPr>
      <w:rFonts w:ascii="Calibri" w:hAnsi="Calibri"/>
      <w:sz w:val="20"/>
      <w:szCs w:val="20"/>
    </w:rPr>
  </w:style>
  <w:style w:type="paragraph" w:styleId="887">
    <w:name w:val="_Style 2"/>
    <w:basedOn w:val="703"/>
    <w:next w:val="887"/>
    <w:link w:val="703"/>
    <w:qFormat/>
    <w:pPr>
      <w:ind w:firstLine="420"/>
      <w:jc w:val="left"/>
      <w:widowControl/>
    </w:pPr>
    <w:rPr>
      <w:rFonts w:ascii="宋体" w:hAnsi="宋体"/>
      <w:sz w:val="24"/>
    </w:rPr>
  </w:style>
  <w:style w:type="paragraph" w:styleId="888">
    <w:name w:val="列出段落1"/>
    <w:basedOn w:val="703"/>
    <w:next w:val="888"/>
    <w:link w:val="703"/>
    <w:qFormat/>
    <w:pPr>
      <w:ind w:firstLine="420"/>
    </w:pPr>
    <w:rPr>
      <w:szCs w:val="20"/>
    </w:rPr>
  </w:style>
  <w:style w:type="paragraph" w:styleId="889">
    <w:name w:val="Normal_2"/>
    <w:next w:val="889"/>
    <w:link w:val="703"/>
    <w:qFormat/>
    <w:pPr>
      <w:jc w:val="both"/>
      <w:spacing w:before="120" w:after="240"/>
    </w:pPr>
    <w:rPr>
      <w:rFonts w:ascii="Calibri" w:hAnsi="Calibri" w:eastAsia="Times New Roman"/>
      <w:sz w:val="22"/>
      <w:szCs w:val="22"/>
      <w:lang w:val="ru-RU" w:eastAsia="en-US" w:bidi="ar-SA"/>
    </w:rPr>
  </w:style>
  <w:style w:type="paragraph" w:styleId="890">
    <w:name w:val="正文2"/>
    <w:next w:val="890"/>
    <w:link w:val="703"/>
    <w:qFormat/>
    <w:pPr>
      <w:jc w:val="both"/>
      <w:widowControl w:val="off"/>
    </w:pPr>
    <w:rPr>
      <w:szCs w:val="24"/>
      <w:lang w:val="en-US" w:eastAsia="zh-CN" w:bidi="ar-SA"/>
    </w:rPr>
  </w:style>
  <w:style w:type="paragraph" w:styleId="891">
    <w:name w:val="_Style 1"/>
    <w:basedOn w:val="703"/>
    <w:next w:val="891"/>
    <w:link w:val="703"/>
    <w:qFormat/>
    <w:pPr>
      <w:ind w:firstLine="420"/>
    </w:pPr>
  </w:style>
  <w:style w:type="paragraph" w:styleId="892">
    <w:name w:val="正文 New New New New"/>
    <w:next w:val="892"/>
    <w:link w:val="703"/>
    <w:qFormat/>
    <w:pPr>
      <w:jc w:val="both"/>
      <w:widowControl w:val="off"/>
    </w:pPr>
    <w:rPr>
      <w:szCs w:val="24"/>
      <w:lang w:val="en-US" w:eastAsia="zh-CN" w:bidi="ar-SA"/>
    </w:rPr>
  </w:style>
  <w:style w:type="paragraph" w:styleId="893">
    <w:name w:val="List Paragraph1"/>
    <w:basedOn w:val="703"/>
    <w:next w:val="893"/>
    <w:link w:val="703"/>
    <w:qFormat/>
    <w:pPr>
      <w:ind w:firstLine="200"/>
    </w:pPr>
    <w:rPr>
      <w:rFonts w:ascii="Calibri" w:hAnsi="Calibri"/>
    </w:rPr>
  </w:style>
  <w:style w:type="paragraph" w:styleId="894">
    <w:name w:val="_Style 23"/>
    <w:basedOn w:val="703"/>
    <w:next w:val="894"/>
    <w:link w:val="703"/>
    <w:qFormat/>
    <w:pPr>
      <w:jc w:val="left"/>
      <w:spacing w:after="160" w:line="240" w:lineRule="exact"/>
      <w:widowControl/>
    </w:pPr>
  </w:style>
  <w:style w:type="paragraph" w:styleId="895">
    <w:name w:val="正文 A"/>
    <w:next w:val="895"/>
    <w:link w:val="703"/>
    <w:qFormat/>
    <w:pPr>
      <w:jc w:val="both"/>
      <w:widowControl w:val="off"/>
    </w:pPr>
    <w:rPr>
      <w:rFonts w:eastAsia="Arial Unicode MS" w:cs="Arial Unicode MS"/>
      <w:color w:val="000000"/>
      <w:sz w:val="21"/>
      <w:szCs w:val="21"/>
      <w:lang w:val="en-US" w:eastAsia="zh-CN" w:bidi="ar-SA"/>
    </w:rPr>
  </w:style>
  <w:style w:type="paragraph" w:styleId="896">
    <w:name w:val="Normal_0"/>
    <w:next w:val="896"/>
    <w:link w:val="703"/>
    <w:qFormat/>
    <w:rPr>
      <w:rFonts w:eastAsia="Times New Roman"/>
      <w:sz w:val="24"/>
      <w:szCs w:val="24"/>
      <w:lang w:val="en-US" w:eastAsia="zh-CN" w:bidi="ar-SA"/>
    </w:rPr>
  </w:style>
  <w:style w:type="paragraph" w:styleId="897">
    <w:name w:val="Normal_1"/>
    <w:next w:val="897"/>
    <w:link w:val="703"/>
    <w:qFormat/>
    <w:rPr>
      <w:rFonts w:eastAsia="Times New Roman"/>
      <w:sz w:val="24"/>
      <w:szCs w:val="24"/>
      <w:lang w:val="en-US" w:eastAsia="zh-CN" w:bidi="ar-SA"/>
    </w:rPr>
  </w:style>
  <w:style w:type="paragraph" w:styleId="898">
    <w:name w:val="Normal_3"/>
    <w:next w:val="898"/>
    <w:link w:val="703"/>
    <w:qFormat/>
    <w:rPr>
      <w:rFonts w:eastAsia="Times New Roman"/>
      <w:sz w:val="24"/>
      <w:szCs w:val="24"/>
      <w:lang w:val="en-US" w:eastAsia="zh-CN" w:bidi="ar-SA"/>
    </w:rPr>
  </w:style>
  <w:style w:type="paragraph" w:styleId="899">
    <w:name w:val="正文_0"/>
    <w:next w:val="899"/>
    <w:link w:val="703"/>
    <w:qFormat/>
    <w:pPr>
      <w:jc w:val="both"/>
      <w:widowControl w:val="off"/>
    </w:pPr>
    <w:rPr>
      <w:sz w:val="21"/>
      <w:szCs w:val="24"/>
      <w:lang w:val="en-US" w:eastAsia="zh-CN" w:bidi="ar-SA"/>
    </w:rPr>
  </w:style>
  <w:style w:type="character" w:styleId="900">
    <w:name w:val="纯文本 字符"/>
    <w:next w:val="900"/>
    <w:link w:val="703"/>
    <w:rPr>
      <w:rFonts w:ascii="宋体" w:hAnsi="Courier New" w:eastAsia="宋体"/>
      <w:sz w:val="21"/>
      <w:lang w:val="en-US" w:eastAsia="zh-CN" w:bidi="ar-SA"/>
    </w:rPr>
  </w:style>
  <w:style w:type="character" w:styleId="901">
    <w:name w:val="Plain Text Char"/>
    <w:next w:val="901"/>
    <w:link w:val="703"/>
    <w:qFormat/>
    <w:rPr>
      <w:rFonts w:ascii="宋体" w:hAnsi="Courier New" w:eastAsia="宋体"/>
      <w:sz w:val="21"/>
      <w:lang w:val="en-US" w:eastAsia="zh-CN" w:bidi="ar-SA"/>
    </w:rPr>
  </w:style>
  <w:style w:type="paragraph" w:styleId="902">
    <w:name w:val="p0 New New New New"/>
    <w:basedOn w:val="703"/>
    <w:next w:val="902"/>
    <w:link w:val="703"/>
    <w:pPr>
      <w:widowControl/>
    </w:pPr>
    <w:rPr>
      <w:rFonts w:ascii="Calibri" w:hAnsi="Calibri" w:cs="宋体"/>
      <w:szCs w:val="21"/>
    </w:rPr>
  </w:style>
  <w:style w:type="paragraph" w:styleId="903">
    <w:name w:val="Table Paragraph"/>
    <w:basedOn w:val="703"/>
    <w:next w:val="903"/>
    <w:link w:val="703"/>
    <w:uiPriority w:val="1"/>
    <w:qFormat/>
    <w:rPr>
      <w:rFonts w:ascii="宋体" w:hAnsi="宋体" w:cs="宋体"/>
    </w:rPr>
  </w:style>
  <w:style w:type="paragraph" w:styleId="904">
    <w:name w:val="01-章标题"/>
    <w:basedOn w:val="704"/>
    <w:next w:val="904"/>
    <w:link w:val="703"/>
    <w:qFormat/>
    <w:pPr>
      <w:ind w:left="100"/>
      <w:jc w:val="center"/>
      <w:keepLines w:val="0"/>
      <w:keepNext w:val="0"/>
      <w:spacing w:before="39" w:after="0" w:line="560" w:lineRule="exact"/>
    </w:pPr>
    <w:rPr>
      <w:rFonts w:ascii="楷体" w:hAnsi="楷体" w:eastAsia="楷体"/>
      <w:bCs/>
      <w:color w:val="000000"/>
      <w:szCs w:val="27"/>
    </w:rPr>
  </w:style>
  <w:style w:type="character" w:styleId="905">
    <w:name w:val="访问过的超链接1"/>
    <w:next w:val="905"/>
    <w:link w:val="703"/>
    <w:qFormat/>
    <w:rPr>
      <w:color w:val="800080"/>
      <w:u w:val="single"/>
    </w:rPr>
  </w:style>
  <w:style w:type="paragraph" w:styleId="906">
    <w:name w:val="Char Char Char Char Char Char Char Char"/>
    <w:basedOn w:val="703"/>
    <w:next w:val="906"/>
    <w:link w:val="703"/>
    <w:qFormat/>
    <w:pPr>
      <w:jc w:val="left"/>
      <w:spacing w:after="160" w:line="240" w:lineRule="exact"/>
      <w:widowControl/>
    </w:pPr>
    <w:rPr>
      <w:rFonts w:ascii="Verdana" w:hAnsi="Verdana"/>
      <w:sz w:val="20"/>
      <w:szCs w:val="20"/>
      <w:lang w:eastAsia="en-US"/>
    </w:rPr>
  </w:style>
  <w:style w:type="paragraph" w:styleId="907">
    <w:name w:val="Char Char Char Char Char Char Char Char Char Char Char Char Char"/>
    <w:basedOn w:val="703"/>
    <w:next w:val="907"/>
    <w:link w:val="703"/>
    <w:qFormat/>
    <w:pPr>
      <w:jc w:val="left"/>
      <w:spacing w:after="160" w:line="240" w:lineRule="exact"/>
      <w:widowControl/>
    </w:pPr>
    <w:rPr>
      <w:rFonts w:ascii="Verdana" w:hAnsi="Verdana"/>
      <w:sz w:val="20"/>
      <w:szCs w:val="20"/>
      <w:lang w:eastAsia="en-US"/>
    </w:rPr>
  </w:style>
  <w:style w:type="paragraph" w:styleId="908">
    <w:name w:val="List Paragraph11"/>
    <w:basedOn w:val="703"/>
    <w:next w:val="908"/>
    <w:link w:val="703"/>
    <w:qFormat/>
    <w:pPr>
      <w:ind w:firstLine="420"/>
    </w:pPr>
    <w:rPr>
      <w:rFonts w:ascii="Calibri" w:hAnsi="Calibri"/>
      <w:sz w:val="20"/>
      <w:szCs w:val="20"/>
    </w:rPr>
  </w:style>
  <w:style w:type="paragraph" w:styleId="909">
    <w:name w:val="1 正文"/>
    <w:basedOn w:val="703"/>
    <w:next w:val="909"/>
    <w:link w:val="703"/>
    <w:qFormat/>
    <w:pPr>
      <w:ind w:firstLine="420"/>
      <w:spacing w:line="360" w:lineRule="auto"/>
    </w:pPr>
    <w:rPr>
      <w:rFonts w:ascii="宋体" w:hAnsi="宋体"/>
    </w:rPr>
  </w:style>
  <w:style w:type="paragraph" w:styleId="910">
    <w:name w:val="样式 标题 2 + Times New Roman 四号 非加粗 段前: 5 磅 段后: 0 磅 行距: 固定值 20..."/>
    <w:basedOn w:val="705"/>
    <w:next w:val="910"/>
    <w:link w:val="703"/>
    <w:qFormat/>
    <w:pPr>
      <w:spacing w:before="100" w:after="0" w:line="400" w:lineRule="exact"/>
    </w:pPr>
    <w:rPr>
      <w:rFonts w:ascii="Times New Roman" w:hAnsi="Times New Roman" w:cs="宋体"/>
      <w:b w:val="0"/>
      <w:sz w:val="28"/>
    </w:rPr>
  </w:style>
  <w:style w:type="paragraph" w:styleId="911">
    <w:name w:val="样式 标题 3 + (中文) 黑体 小四 非加粗 段前: 7.8 磅 段后: 0 磅 行距: 固定值 20 磅"/>
    <w:basedOn w:val="706"/>
    <w:next w:val="911"/>
    <w:link w:val="703"/>
    <w:qFormat/>
    <w:pPr>
      <w:numPr>
        <w:ilvl w:val="0"/>
        <w:numId w:val="0"/>
      </w:numPr>
      <w:spacing w:before="0" w:after="0" w:line="400" w:lineRule="exact"/>
      <w:tabs>
        <w:tab w:val="left" w:pos="432" w:leader="none"/>
      </w:tabs>
    </w:pPr>
    <w:rPr>
      <w:rFonts w:ascii="Times New Roman" w:eastAsia="黑体" w:cs="宋体"/>
      <w:b w:val="0"/>
      <w:color w:val="000000"/>
      <w:sz w:val="24"/>
    </w:rPr>
  </w:style>
  <w:style w:type="paragraph" w:styleId="912">
    <w:name w:val="正文1"/>
    <w:next w:val="912"/>
    <w:link w:val="913"/>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913">
    <w:name w:val="正文1 字符"/>
    <w:next w:val="913"/>
    <w:link w:val="912"/>
    <w:qFormat/>
    <w:rPr>
      <w:rFonts w:ascii="Calibri" w:hAnsi="Calibri" w:eastAsia="Adobe 仿宋 Std R"/>
      <w:sz w:val="21"/>
      <w:szCs w:val="21"/>
      <w:lang w:bidi="ar-SA"/>
    </w:rPr>
  </w:style>
  <w:style w:type="character" w:styleId="914">
    <w:name w:val="Font Style30"/>
    <w:next w:val="914"/>
    <w:link w:val="703"/>
    <w:qFormat/>
    <w:rPr>
      <w:rFonts w:ascii="宋体" w:eastAsia="宋体" w:cs="宋体"/>
      <w:sz w:val="14"/>
      <w:szCs w:val="14"/>
    </w:rPr>
  </w:style>
  <w:style w:type="character" w:styleId="915">
    <w:name w:val="Font Style29"/>
    <w:next w:val="915"/>
    <w:link w:val="703"/>
    <w:rPr>
      <w:rFonts w:ascii="Arial" w:hAnsi="Arial" w:cs="Arial"/>
      <w:sz w:val="14"/>
      <w:szCs w:val="14"/>
    </w:rPr>
  </w:style>
  <w:style w:type="character" w:styleId="916">
    <w:name w:val="Font Style37"/>
    <w:next w:val="916"/>
    <w:link w:val="703"/>
    <w:qFormat/>
    <w:rPr>
      <w:rFonts w:ascii="Arial" w:hAnsi="Arial" w:cs="Arial"/>
      <w:sz w:val="16"/>
      <w:szCs w:val="16"/>
    </w:rPr>
  </w:style>
  <w:style w:type="character" w:styleId="917">
    <w:name w:val="Font Style28"/>
    <w:next w:val="917"/>
    <w:link w:val="703"/>
    <w:qFormat/>
    <w:rPr>
      <w:rFonts w:ascii="Constantia" w:hAnsi="Constantia" w:cs="Constantia"/>
      <w:sz w:val="28"/>
      <w:szCs w:val="28"/>
    </w:rPr>
  </w:style>
  <w:style w:type="character" w:styleId="918">
    <w:name w:val="apple-converted-space"/>
    <w:next w:val="918"/>
    <w:link w:val="703"/>
    <w:qFormat/>
  </w:style>
  <w:style w:type="character" w:styleId="919">
    <w:name w:val="Font Style36"/>
    <w:next w:val="919"/>
    <w:link w:val="703"/>
    <w:qFormat/>
    <w:rPr>
      <w:rFonts w:ascii="宋体" w:eastAsia="宋体" w:cs="宋体"/>
      <w:sz w:val="16"/>
      <w:szCs w:val="16"/>
    </w:rPr>
  </w:style>
  <w:style w:type="paragraph" w:styleId="920">
    <w:name w:val="Style12"/>
    <w:basedOn w:val="703"/>
    <w:next w:val="920"/>
    <w:link w:val="703"/>
    <w:qFormat/>
    <w:pPr>
      <w:jc w:val="left"/>
    </w:pPr>
    <w:rPr>
      <w:rFonts w:ascii="宋体"/>
      <w:sz w:val="24"/>
    </w:rPr>
  </w:style>
  <w:style w:type="paragraph" w:styleId="921">
    <w:name w:val="Style9"/>
    <w:basedOn w:val="703"/>
    <w:next w:val="921"/>
    <w:link w:val="703"/>
    <w:qFormat/>
    <w:pPr>
      <w:jc w:val="left"/>
    </w:pPr>
    <w:rPr>
      <w:rFonts w:ascii="宋体"/>
      <w:sz w:val="24"/>
    </w:rPr>
  </w:style>
  <w:style w:type="paragraph" w:styleId="922">
    <w:name w:val="我的样式"/>
    <w:basedOn w:val="704"/>
    <w:next w:val="703"/>
    <w:link w:val="703"/>
    <w:qFormat/>
    <w:pPr>
      <w:ind w:left="640"/>
      <w:spacing w:line="360" w:lineRule="auto"/>
    </w:pPr>
    <w:rPr>
      <w:rFonts w:ascii="仿宋_GB2312" w:eastAsia="仿宋_GB2312"/>
      <w:bCs/>
      <w:color w:val="000000"/>
      <w:sz w:val="32"/>
      <w:szCs w:val="30"/>
    </w:rPr>
  </w:style>
  <w:style w:type="paragraph" w:styleId="923">
    <w:name w:val="标题1"/>
    <w:basedOn w:val="704"/>
    <w:next w:val="703"/>
    <w:link w:val="703"/>
    <w:qFormat/>
    <w:pPr>
      <w:ind w:left="432" w:firstLine="288"/>
      <w:jc w:val="left"/>
      <w:spacing w:line="578" w:lineRule="atLeast"/>
    </w:pPr>
    <w:rPr>
      <w:rFonts w:ascii="Times New Roman"/>
      <w:bCs/>
      <w:color w:val="000000"/>
      <w:szCs w:val="44"/>
    </w:rPr>
  </w:style>
  <w:style w:type="paragraph" w:styleId="924">
    <w:name w:val="Style10"/>
    <w:basedOn w:val="703"/>
    <w:next w:val="924"/>
    <w:link w:val="703"/>
    <w:qFormat/>
    <w:pPr>
      <w:jc w:val="left"/>
    </w:pPr>
    <w:rPr>
      <w:rFonts w:ascii="宋体"/>
      <w:sz w:val="24"/>
    </w:rPr>
  </w:style>
  <w:style w:type="paragraph" w:styleId="925">
    <w:name w:val="正文（无缩进）"/>
    <w:basedOn w:val="703"/>
    <w:next w:val="925"/>
    <w:link w:val="703"/>
    <w:qFormat/>
    <w:pPr>
      <w:spacing w:line="360" w:lineRule="auto"/>
    </w:pPr>
    <w:rPr>
      <w:rFonts w:ascii="Calibri" w:hAnsi="Calibri"/>
      <w:sz w:val="24"/>
      <w:szCs w:val="21"/>
    </w:rPr>
  </w:style>
  <w:style w:type="paragraph" w:styleId="926">
    <w:name w:val="_Style 56"/>
    <w:basedOn w:val="729"/>
    <w:next w:val="926"/>
    <w:link w:val="703"/>
    <w:qFormat/>
    <w:pPr>
      <w:spacing w:line="436" w:lineRule="exact"/>
    </w:pPr>
    <w:rPr>
      <w:szCs w:val="20"/>
    </w:rPr>
  </w:style>
  <w:style w:type="paragraph" w:styleId="927">
    <w:name w:val="需求正文"/>
    <w:basedOn w:val="703"/>
    <w:next w:val="927"/>
    <w:link w:val="703"/>
    <w:qFormat/>
    <w:pPr>
      <w:ind w:firstLine="420"/>
      <w:spacing w:line="300" w:lineRule="auto"/>
    </w:pPr>
    <w:rPr>
      <w:szCs w:val="20"/>
    </w:rPr>
  </w:style>
  <w:style w:type="paragraph" w:styleId="928">
    <w:name w:val="表格正文"/>
    <w:next w:val="928"/>
    <w:link w:val="703"/>
    <w:qFormat/>
    <w:pPr>
      <w:spacing w:line="0" w:lineRule="atLeast"/>
    </w:pPr>
    <w:rPr>
      <w:sz w:val="24"/>
      <w:szCs w:val="24"/>
      <w:lang w:val="en-US" w:eastAsia="zh-CN" w:bidi="he-IL"/>
    </w:rPr>
  </w:style>
  <w:style w:type="paragraph" w:styleId="929">
    <w:name w:val="文档正文"/>
    <w:basedOn w:val="703"/>
    <w:next w:val="929"/>
    <w:link w:val="703"/>
    <w:qFormat/>
    <w:pPr>
      <w:ind w:firstLine="567"/>
      <w:spacing w:line="480" w:lineRule="atLeast"/>
    </w:pPr>
    <w:rPr>
      <w:rFonts w:ascii="仿宋_GB2312"/>
      <w:szCs w:val="20"/>
    </w:rPr>
  </w:style>
  <w:style w:type="paragraph" w:styleId="930">
    <w:name w:val="Char2"/>
    <w:basedOn w:val="703"/>
    <w:next w:val="930"/>
    <w:link w:val="703"/>
    <w:qFormat/>
    <w:pPr>
      <w:tabs>
        <w:tab w:val="left" w:pos="360" w:leader="none"/>
      </w:tabs>
    </w:pPr>
    <w:rPr>
      <w:sz w:val="24"/>
    </w:rPr>
  </w:style>
  <w:style w:type="paragraph" w:styleId="931">
    <w:name w:val="要点标题"/>
    <w:basedOn w:val="703"/>
    <w:next w:val="931"/>
    <w:link w:val="703"/>
    <w:qFormat/>
    <w:pPr>
      <w:ind w:left="420" w:hanging="420"/>
      <w:jc w:val="left"/>
      <w:tabs>
        <w:tab w:val="left" w:pos="420" w:leader="none"/>
      </w:tabs>
    </w:pPr>
    <w:rPr>
      <w:rFonts w:ascii="宋体" w:hAnsi="宋体"/>
      <w:b/>
      <w:sz w:val="24"/>
    </w:rPr>
  </w:style>
  <w:style w:type="paragraph" w:styleId="932">
    <w:name w:val="Char Char Char Char Char Char Char Char Char Char Char Char Char1"/>
    <w:basedOn w:val="703"/>
    <w:next w:val="932"/>
    <w:link w:val="703"/>
    <w:qFormat/>
    <w:pPr>
      <w:jc w:val="left"/>
      <w:spacing w:after="160" w:line="240" w:lineRule="exact"/>
      <w:widowControl/>
    </w:pPr>
    <w:rPr>
      <w:rFonts w:ascii="Verdana" w:hAnsi="Verdana"/>
      <w:sz w:val="20"/>
      <w:szCs w:val="20"/>
      <w:lang w:eastAsia="en-US"/>
    </w:rPr>
  </w:style>
  <w:style w:type="paragraph" w:styleId="933">
    <w:name w:val="DLP正文"/>
    <w:basedOn w:val="703"/>
    <w:next w:val="933"/>
    <w:link w:val="703"/>
    <w:qFormat/>
    <w:pPr>
      <w:ind w:firstLine="473"/>
      <w:spacing w:line="360" w:lineRule="auto"/>
    </w:pPr>
    <w:rPr>
      <w:rFonts w:hAnsi="宋体"/>
      <w:sz w:val="24"/>
    </w:rPr>
  </w:style>
  <w:style w:type="paragraph" w:styleId="934">
    <w:name w:val="正文_3_0"/>
    <w:next w:val="934"/>
    <w:link w:val="703"/>
    <w:qFormat/>
    <w:pPr>
      <w:jc w:val="both"/>
      <w:widowControl w:val="off"/>
    </w:pPr>
    <w:rPr>
      <w:sz w:val="21"/>
      <w:lang w:val="en-US" w:eastAsia="zh-CN" w:bidi="ar-SA"/>
    </w:rPr>
  </w:style>
  <w:style w:type="paragraph" w:styleId="935">
    <w:name w:val="Char Char Char1 Char Char Char Char"/>
    <w:basedOn w:val="703"/>
    <w:next w:val="935"/>
    <w:link w:val="703"/>
    <w:qFormat/>
    <w:pPr>
      <w:jc w:val="left"/>
      <w:spacing w:after="160" w:line="240" w:lineRule="exact"/>
      <w:widowControl/>
    </w:pPr>
    <w:rPr>
      <w:rFonts w:ascii="宋体" w:hAnsi="宋体"/>
      <w:b/>
      <w:sz w:val="28"/>
      <w:szCs w:val="28"/>
    </w:rPr>
  </w:style>
  <w:style w:type="paragraph" w:styleId="936">
    <w:name w:val="Char Char1 Char Char Char Char Char Char"/>
    <w:basedOn w:val="703"/>
    <w:next w:val="936"/>
    <w:link w:val="703"/>
    <w:qFormat/>
    <w:pPr>
      <w:jc w:val="center"/>
      <w:widowControl/>
    </w:pPr>
    <w:rPr>
      <w:rFonts w:ascii="宋体" w:hAnsi="宋体"/>
      <w:b/>
      <w:sz w:val="24"/>
      <w:lang w:eastAsia="en-US"/>
    </w:rPr>
  </w:style>
  <w:style w:type="paragraph" w:styleId="937">
    <w:name w:val="Style11"/>
    <w:basedOn w:val="703"/>
    <w:next w:val="937"/>
    <w:link w:val="703"/>
    <w:qFormat/>
    <w:pPr>
      <w:jc w:val="left"/>
      <w:spacing w:line="446" w:lineRule="exact"/>
    </w:pPr>
    <w:rPr>
      <w:rFonts w:ascii="宋体"/>
      <w:sz w:val="24"/>
    </w:rPr>
  </w:style>
  <w:style w:type="paragraph" w:styleId="938">
    <w:name w:val="正文（缩进） Char1"/>
    <w:basedOn w:val="703"/>
    <w:next w:val="938"/>
    <w:link w:val="703"/>
    <w:qFormat/>
    <w:pPr>
      <w:ind w:firstLine="480"/>
      <w:spacing w:line="360" w:lineRule="auto"/>
    </w:pPr>
    <w:rPr>
      <w:sz w:val="24"/>
    </w:rPr>
  </w:style>
  <w:style w:type="table" w:styleId="939">
    <w:name w:val="TableGrid1"/>
    <w:next w:val="939"/>
    <w:link w:val="703"/>
    <w:qFormat/>
    <w:rPr>
      <w:rFonts w:ascii="Calibri" w:hAnsi="Calibri"/>
      <w:sz w:val="21"/>
      <w:szCs w:val="22"/>
      <w:lang w:val="en-US" w:eastAsia="zh-CN" w:bidi="ar-SA"/>
    </w:rPr>
    <w:tblPr/>
  </w:style>
  <w:style w:type="paragraph" w:styleId="940">
    <w:name w:val="标题4"/>
    <w:basedOn w:val="703"/>
    <w:next w:val="940"/>
    <w:link w:val="941"/>
    <w:qFormat/>
    <w:pPr>
      <w:ind w:firstLine="454"/>
    </w:pPr>
    <w:rPr>
      <w:b/>
      <w:bCs/>
      <w:szCs w:val="21"/>
    </w:rPr>
  </w:style>
  <w:style w:type="character" w:styleId="941">
    <w:name w:val="标题4 Char Char"/>
    <w:next w:val="941"/>
    <w:link w:val="940"/>
    <w:qFormat/>
    <w:rPr>
      <w:b/>
      <w:bCs/>
      <w:sz w:val="21"/>
      <w:szCs w:val="21"/>
    </w:rPr>
  </w:style>
  <w:style w:type="paragraph" w:styleId="942">
    <w:name w:val="样式 样式 四号1 + 首行缩进:  2 字符"/>
    <w:basedOn w:val="703"/>
    <w:next w:val="942"/>
    <w:link w:val="703"/>
    <w:qFormat/>
    <w:pPr>
      <w:ind w:firstLine="480"/>
      <w:jc w:val="left"/>
      <w:spacing w:line="360" w:lineRule="auto"/>
    </w:pPr>
    <w:rPr>
      <w:rFonts w:cs="宋体"/>
      <w:sz w:val="24"/>
      <w:szCs w:val="20"/>
    </w:rPr>
  </w:style>
  <w:style w:type="paragraph" w:styleId="943">
    <w:name w:val="TOC 标题1"/>
    <w:basedOn w:val="704"/>
    <w:next w:val="703"/>
    <w:link w:val="703"/>
    <w:uiPriority w:val="39"/>
    <w:unhideWhenUsed/>
    <w:qFormat/>
    <w:pPr>
      <w:outlineLvl w:val="9"/>
    </w:pPr>
    <w:rPr>
      <w:rFonts w:ascii="Times New Roman"/>
      <w:bCs/>
      <w:color w:val="000000"/>
      <w:szCs w:val="44"/>
    </w:rPr>
  </w:style>
  <w:style w:type="character" w:styleId="944">
    <w:name w:val="书籍标题1"/>
    <w:next w:val="944"/>
    <w:link w:val="703"/>
    <w:qFormat/>
    <w:rPr>
      <w:b/>
      <w:bCs/>
      <w:smallCaps/>
      <w:spacing w:val="5"/>
    </w:rPr>
  </w:style>
  <w:style w:type="character" w:styleId="945">
    <w:name w:val="明显强调1"/>
    <w:next w:val="945"/>
    <w:link w:val="703"/>
    <w:qFormat/>
    <w:rPr>
      <w:b/>
      <w:bCs/>
      <w:i/>
      <w:iCs/>
      <w:color w:val="4f81bd"/>
    </w:rPr>
  </w:style>
  <w:style w:type="character" w:styleId="946">
    <w:name w:val="textcontents"/>
    <w:next w:val="946"/>
    <w:link w:val="703"/>
    <w:qFormat/>
    <w:rPr>
      <w:rFonts w:cs="Times New Roman"/>
    </w:rPr>
  </w:style>
  <w:style w:type="character" w:styleId="947">
    <w:name w:val="不明显强调1"/>
    <w:next w:val="947"/>
    <w:link w:val="703"/>
    <w:qFormat/>
    <w:rPr>
      <w:i/>
      <w:iCs/>
      <w:color w:val="808080"/>
    </w:rPr>
  </w:style>
  <w:style w:type="character" w:styleId="948">
    <w:name w:val="不明显参考1"/>
    <w:next w:val="948"/>
    <w:link w:val="703"/>
    <w:qFormat/>
    <w:rPr>
      <w:smallCaps/>
      <w:color w:val="c0504d"/>
      <w:u w:val="single"/>
    </w:rPr>
  </w:style>
  <w:style w:type="character" w:styleId="949">
    <w:name w:val="日期 Char1"/>
    <w:next w:val="949"/>
    <w:link w:val="703"/>
    <w:qFormat/>
    <w:rPr>
      <w:sz w:val="21"/>
      <w:szCs w:val="22"/>
    </w:rPr>
  </w:style>
  <w:style w:type="character" w:styleId="950">
    <w:name w:val="正文文本 Char1"/>
    <w:next w:val="950"/>
    <w:link w:val="703"/>
    <w:qFormat/>
    <w:rPr>
      <w:sz w:val="21"/>
      <w:szCs w:val="22"/>
    </w:rPr>
  </w:style>
  <w:style w:type="character" w:styleId="951">
    <w:name w:val="批注主题 Char1"/>
    <w:next w:val="951"/>
    <w:link w:val="703"/>
    <w:qFormat/>
    <w:rPr>
      <w:b/>
      <w:bCs/>
      <w:sz w:val="21"/>
      <w:szCs w:val="22"/>
    </w:rPr>
  </w:style>
  <w:style w:type="character" w:styleId="952">
    <w:name w:val="批注文字 Char Char"/>
    <w:next w:val="952"/>
    <w:link w:val="703"/>
    <w:qFormat/>
    <w:rPr>
      <w:rFonts w:ascii="宋体" w:hAnsi="Times New Roman" w:eastAsia="宋体" w:cs="Times New Roman"/>
      <w:sz w:val="28"/>
      <w:szCs w:val="20"/>
    </w:rPr>
  </w:style>
  <w:style w:type="character" w:styleId="953">
    <w:name w:val="引用 字符"/>
    <w:next w:val="953"/>
    <w:link w:val="954"/>
    <w:qFormat/>
    <w:rPr>
      <w:i/>
      <w:iCs/>
      <w:color w:val="000000"/>
      <w:sz w:val="21"/>
      <w:szCs w:val="22"/>
    </w:rPr>
  </w:style>
  <w:style w:type="paragraph" w:styleId="954">
    <w:name w:val="引用"/>
    <w:basedOn w:val="703"/>
    <w:next w:val="703"/>
    <w:link w:val="953"/>
    <w:qFormat/>
    <w:rPr>
      <w:i/>
      <w:iCs/>
      <w:color w:val="000000"/>
      <w:szCs w:val="22"/>
    </w:rPr>
  </w:style>
  <w:style w:type="character" w:styleId="955">
    <w:name w:val="引用 Char1"/>
    <w:next w:val="955"/>
    <w:link w:val="703"/>
    <w:uiPriority w:val="99"/>
    <w:qFormat/>
    <w:rPr>
      <w:i/>
      <w:iCs/>
      <w:color w:val="404040"/>
      <w:sz w:val="21"/>
      <w:szCs w:val="24"/>
    </w:rPr>
  </w:style>
  <w:style w:type="character" w:styleId="956">
    <w:name w:val="文档结构图 Char1"/>
    <w:next w:val="956"/>
    <w:link w:val="703"/>
    <w:qFormat/>
    <w:rPr>
      <w:rFonts w:ascii="宋体"/>
      <w:sz w:val="18"/>
      <w:szCs w:val="18"/>
    </w:rPr>
  </w:style>
  <w:style w:type="character" w:styleId="957">
    <w:name w:val="批注框文本 Char1"/>
    <w:next w:val="957"/>
    <w:link w:val="703"/>
    <w:qFormat/>
    <w:rPr>
      <w:sz w:val="18"/>
      <w:szCs w:val="18"/>
    </w:rPr>
  </w:style>
  <w:style w:type="character" w:styleId="958">
    <w:name w:val="明显引用 字符"/>
    <w:next w:val="958"/>
    <w:link w:val="959"/>
    <w:qFormat/>
    <w:rPr>
      <w:b/>
      <w:bCs/>
      <w:i/>
      <w:iCs/>
      <w:color w:val="4f81bd"/>
      <w:sz w:val="21"/>
      <w:szCs w:val="22"/>
    </w:rPr>
  </w:style>
  <w:style w:type="paragraph" w:styleId="959">
    <w:name w:val="明显引用"/>
    <w:basedOn w:val="703"/>
    <w:next w:val="703"/>
    <w:link w:val="958"/>
    <w:qFormat/>
    <w:pPr>
      <w:ind w:left="936" w:right="936"/>
      <w:spacing w:before="200" w:after="280"/>
      <w:pBdr>
        <w:bottom w:val="single" w:color="4F81BD" w:sz="4" w:space="4"/>
      </w:pBdr>
    </w:pPr>
    <w:rPr>
      <w:b/>
      <w:bCs/>
      <w:i/>
      <w:iCs/>
      <w:color w:val="4f81bd"/>
      <w:szCs w:val="22"/>
    </w:rPr>
  </w:style>
  <w:style w:type="character" w:styleId="960">
    <w:name w:val="明显引用 Char1"/>
    <w:next w:val="960"/>
    <w:link w:val="703"/>
    <w:uiPriority w:val="99"/>
    <w:qFormat/>
    <w:rPr>
      <w:i/>
      <w:iCs/>
      <w:color w:val="5b9bd5"/>
      <w:sz w:val="21"/>
      <w:szCs w:val="24"/>
    </w:rPr>
  </w:style>
  <w:style w:type="character" w:styleId="961">
    <w:name w:val="明显参考1"/>
    <w:next w:val="961"/>
    <w:link w:val="703"/>
    <w:qFormat/>
    <w:rPr>
      <w:b/>
      <w:bCs/>
      <w:smallCaps/>
      <w:color w:val="c0504d"/>
      <w:spacing w:val="5"/>
      <w:u w:val="single"/>
    </w:rPr>
  </w:style>
  <w:style w:type="character" w:styleId="962">
    <w:name w:val="副标题 Char1"/>
    <w:next w:val="962"/>
    <w:link w:val="703"/>
    <w:qFormat/>
    <w:rPr>
      <w:rFonts w:ascii="Calibri Light" w:hAnsi="Calibri Light" w:cs="Times New Roman"/>
      <w:b/>
      <w:bCs/>
      <w:sz w:val="32"/>
      <w:szCs w:val="32"/>
    </w:rPr>
  </w:style>
  <w:style w:type="character" w:styleId="963">
    <w:name w:val="标题 Char1"/>
    <w:next w:val="963"/>
    <w:link w:val="703"/>
    <w:qFormat/>
    <w:rPr>
      <w:rFonts w:ascii="Calibri Light" w:hAnsi="Calibri Light" w:cs="Times New Roman"/>
      <w:b/>
      <w:bCs/>
      <w:sz w:val="32"/>
      <w:szCs w:val="32"/>
    </w:rPr>
  </w:style>
  <w:style w:type="paragraph" w:styleId="964">
    <w:name w:val="修订1"/>
    <w:next w:val="964"/>
    <w:link w:val="703"/>
    <w:qFormat/>
    <w:rPr>
      <w:sz w:val="21"/>
      <w:szCs w:val="24"/>
      <w:lang w:val="en-US" w:eastAsia="zh-CN" w:bidi="ar-SA"/>
    </w:rPr>
  </w:style>
  <w:style w:type="paragraph" w:styleId="965">
    <w:name w:val="flNote"/>
    <w:basedOn w:val="703"/>
    <w:next w:val="965"/>
    <w:link w:val="703"/>
    <w:qFormat/>
    <w:pPr>
      <w:jc w:val="center"/>
      <w:spacing w:before="320" w:after="160" w:line="360" w:lineRule="atLeast"/>
    </w:pPr>
    <w:rPr>
      <w:rFonts w:ascii="Arial" w:eastAsia="黑体"/>
      <w:sz w:val="30"/>
      <w:szCs w:val="20"/>
    </w:rPr>
  </w:style>
  <w:style w:type="paragraph" w:styleId="966">
    <w:name w:val="空半行"/>
    <w:basedOn w:val="703"/>
    <w:next w:val="966"/>
    <w:link w:val="703"/>
    <w:qFormat/>
    <w:pPr>
      <w:spacing w:line="120" w:lineRule="exact"/>
    </w:pPr>
    <w:rPr>
      <w:rFonts w:eastAsia="仿宋_GB2312"/>
      <w:color w:val="ffffff"/>
      <w:sz w:val="30"/>
      <w:szCs w:val="20"/>
    </w:rPr>
  </w:style>
  <w:style w:type="character" w:styleId="967">
    <w:name w:val="正文缩进 Char2"/>
    <w:next w:val="967"/>
    <w:link w:val="703"/>
    <w:rPr>
      <w:sz w:val="21"/>
      <w:szCs w:val="24"/>
    </w:rPr>
  </w:style>
  <w:style w:type="character" w:styleId="968">
    <w:name w:val="NormalCharacter1"/>
    <w:next w:val="968"/>
    <w:link w:val="703"/>
    <w:semiHidden/>
  </w:style>
  <w:style w:type="paragraph" w:styleId="969">
    <w:name w:val="Body Text 21"/>
    <w:basedOn w:val="703"/>
    <w:next w:val="969"/>
    <w:link w:val="703"/>
    <w:qFormat/>
    <w:pPr>
      <w:spacing w:before="156" w:line="360" w:lineRule="auto"/>
    </w:pPr>
    <w:rPr>
      <w:rFonts w:ascii="Arial" w:hAnsi="Arial"/>
      <w:sz w:val="24"/>
    </w:rPr>
  </w:style>
  <w:style w:type="character" w:styleId="970">
    <w:name w:val="15"/>
    <w:next w:val="970"/>
    <w:link w:val="703"/>
    <w:qFormat/>
    <w:rPr>
      <w:rFonts w:ascii="Arial" w:hAnsi="Arial" w:cs="Arial"/>
      <w:b/>
      <w:bCs/>
      <w:sz w:val="28"/>
      <w:szCs w:val="28"/>
    </w:rPr>
  </w:style>
  <w:style w:type="character" w:styleId="971">
    <w:name w:val="批注文字 Char2"/>
    <w:next w:val="971"/>
    <w:link w:val="703"/>
    <w:uiPriority w:val="99"/>
    <w:qFormat/>
    <w:rPr>
      <w:szCs w:val="24"/>
    </w:rPr>
  </w:style>
  <w:style w:type="character" w:styleId="972">
    <w:name w:val="页眉 字符"/>
    <w:next w:val="972"/>
    <w:link w:val="703"/>
    <w:uiPriority w:val="99"/>
    <w:qFormat/>
    <w:rPr>
      <w:sz w:val="18"/>
      <w:szCs w:val="18"/>
    </w:rPr>
  </w:style>
  <w:style w:type="character" w:styleId="973">
    <w:name w:val="页脚 字符"/>
    <w:next w:val="973"/>
    <w:link w:val="703"/>
    <w:uiPriority w:val="99"/>
    <w:rPr>
      <w:sz w:val="18"/>
      <w:szCs w:val="18"/>
    </w:rPr>
  </w:style>
  <w:style w:type="character" w:styleId="974">
    <w:name w:val="标题 1 字符"/>
    <w:next w:val="974"/>
    <w:link w:val="703"/>
    <w:uiPriority w:val="9"/>
    <w:rPr>
      <w:rFonts w:ascii="宋体" w:hAnsi="宋体" w:eastAsia="宋体" w:cs="Times New Roman"/>
      <w:b/>
      <w:bCs/>
      <w:sz w:val="36"/>
      <w:szCs w:val="44"/>
    </w:rPr>
  </w:style>
  <w:style w:type="character" w:styleId="975">
    <w:name w:val="批注框文本 字符"/>
    <w:next w:val="975"/>
    <w:link w:val="703"/>
    <w:qFormat/>
    <w:rPr>
      <w:rFonts w:ascii="宋体" w:hAnsi="宋体" w:eastAsia="宋体" w:cs="宋体"/>
      <w:color w:val="262626"/>
      <w:spacing w:val="12"/>
      <w:sz w:val="18"/>
      <w:szCs w:val="18"/>
    </w:rPr>
  </w:style>
  <w:style w:type="character" w:styleId="976">
    <w:name w:val="标题 2 字符"/>
    <w:next w:val="976"/>
    <w:link w:val="703"/>
    <w:uiPriority w:val="9"/>
    <w:qFormat/>
    <w:rPr>
      <w:rFonts w:ascii="宋体" w:hAnsi="宋体" w:eastAsia="宋体" w:cs="Times New Roman"/>
      <w:b/>
      <w:bCs/>
      <w:sz w:val="32"/>
      <w:szCs w:val="32"/>
    </w:rPr>
  </w:style>
  <w:style w:type="paragraph" w:styleId="977">
    <w:name w:val="正文样式"/>
    <w:basedOn w:val="773"/>
    <w:next w:val="977"/>
    <w:link w:val="978"/>
    <w:qFormat/>
    <w:pPr>
      <w:ind w:firstLine="200"/>
      <w:spacing w:after="0" w:line="360" w:lineRule="auto"/>
    </w:pPr>
    <w:rPr>
      <w:rFonts w:ascii="宋体" w:hAnsi="宋体" w:eastAsia="宋体"/>
      <w:sz w:val="24"/>
    </w:rPr>
  </w:style>
  <w:style w:type="character" w:styleId="978">
    <w:name w:val="正文样式 Char"/>
    <w:next w:val="978"/>
    <w:link w:val="977"/>
    <w:qFormat/>
    <w:rPr>
      <w:rFonts w:ascii="宋体" w:hAnsi="宋体"/>
      <w:sz w:val="24"/>
      <w:szCs w:val="24"/>
    </w:rPr>
  </w:style>
  <w:style w:type="character" w:styleId="979">
    <w:name w:val="正文文本 字符"/>
    <w:next w:val="979"/>
    <w:link w:val="703"/>
    <w:uiPriority w:val="99"/>
    <w:semiHidden/>
    <w:qFormat/>
    <w:rPr>
      <w:rFonts w:ascii="宋体" w:hAnsi="宋体" w:eastAsia="宋体"/>
    </w:rPr>
  </w:style>
  <w:style w:type="character" w:styleId="980">
    <w:name w:val="正文文本首行缩进 字符"/>
    <w:next w:val="980"/>
    <w:link w:val="703"/>
    <w:uiPriority w:val="99"/>
    <w:semiHidden/>
    <w:qFormat/>
  </w:style>
  <w:style w:type="character" w:styleId="981">
    <w:name w:val="列表段落 字符"/>
    <w:next w:val="981"/>
    <w:link w:val="703"/>
    <w:uiPriority w:val="34"/>
    <w:qFormat/>
    <w:rPr>
      <w:rFonts w:ascii="宋体" w:hAnsi="宋体" w:eastAsia="宋体"/>
    </w:rPr>
  </w:style>
  <w:style w:type="character" w:styleId="982">
    <w:name w:val="标题 3 字符"/>
    <w:next w:val="982"/>
    <w:link w:val="703"/>
    <w:uiPriority w:val="9"/>
    <w:qFormat/>
    <w:rPr>
      <w:rFonts w:ascii="宋体" w:hAnsi="宋体" w:eastAsia="宋体"/>
      <w:b/>
      <w:bCs/>
      <w:sz w:val="30"/>
      <w:szCs w:val="32"/>
    </w:rPr>
  </w:style>
  <w:style w:type="character" w:styleId="983">
    <w:name w:val="标题 4 字符"/>
    <w:next w:val="983"/>
    <w:link w:val="703"/>
    <w:uiPriority w:val="9"/>
    <w:qFormat/>
    <w:rPr>
      <w:rFonts w:ascii="等线 Light" w:hAnsi="等线 Light" w:eastAsia="宋体"/>
      <w:b/>
      <w:bCs/>
      <w:sz w:val="28"/>
      <w:szCs w:val="32"/>
    </w:rPr>
  </w:style>
  <w:style w:type="character" w:styleId="984">
    <w:name w:val="标题 5 字符"/>
    <w:next w:val="984"/>
    <w:link w:val="703"/>
    <w:uiPriority w:val="9"/>
    <w:qFormat/>
    <w:rPr>
      <w:rFonts w:ascii="宋体" w:hAnsi="宋体" w:eastAsia="宋体"/>
      <w:b/>
      <w:bCs/>
      <w:sz w:val="28"/>
      <w:szCs w:val="28"/>
    </w:rPr>
  </w:style>
  <w:style w:type="paragraph" w:styleId="985">
    <w:name w:val="列出段落111"/>
    <w:basedOn w:val="703"/>
    <w:next w:val="985"/>
    <w:link w:val="703"/>
    <w:uiPriority w:val="34"/>
    <w:qFormat/>
    <w:pPr>
      <w:ind w:firstLine="420"/>
    </w:pPr>
    <w:rPr>
      <w:rFonts w:ascii="等线" w:hAnsi="等线" w:cs="Times New Roman"/>
      <w:sz w:val="24"/>
      <w:szCs w:val="22"/>
    </w:rPr>
  </w:style>
  <w:style w:type="character" w:styleId="986">
    <w:name w:val="招标正文 字符"/>
    <w:next w:val="986"/>
    <w:link w:val="987"/>
    <w:qFormat/>
    <w:rPr>
      <w:rFonts w:ascii="宋体" w:hAnsi="宋体"/>
      <w:sz w:val="24"/>
      <w:szCs w:val="24"/>
    </w:rPr>
  </w:style>
  <w:style w:type="paragraph" w:styleId="987">
    <w:name w:val="招标正文"/>
    <w:basedOn w:val="773"/>
    <w:next w:val="987"/>
    <w:link w:val="986"/>
    <w:qFormat/>
    <w:pPr>
      <w:ind w:firstLine="200"/>
      <w:spacing w:after="0" w:line="360" w:lineRule="auto"/>
    </w:pPr>
    <w:rPr>
      <w:rFonts w:ascii="宋体" w:hAnsi="宋体" w:eastAsia="宋体"/>
      <w:sz w:val="24"/>
    </w:rPr>
  </w:style>
  <w:style w:type="paragraph" w:styleId="988">
    <w:name w:val="正文（终）"/>
    <w:basedOn w:val="703"/>
    <w:next w:val="988"/>
    <w:link w:val="989"/>
    <w:qFormat/>
    <w:pPr>
      <w:ind w:firstLine="480"/>
      <w:spacing w:line="360" w:lineRule="auto"/>
    </w:pPr>
    <w:rPr>
      <w:sz w:val="24"/>
      <w:szCs w:val="20"/>
    </w:rPr>
  </w:style>
  <w:style w:type="character" w:styleId="989">
    <w:name w:val="正文（终） 字符"/>
    <w:next w:val="989"/>
    <w:link w:val="988"/>
    <w:qFormat/>
    <w:rPr>
      <w:sz w:val="24"/>
    </w:rPr>
  </w:style>
  <w:style w:type="paragraph" w:styleId="990">
    <w:name w:val="8级菜单新"/>
    <w:basedOn w:val="703"/>
    <w:next w:val="990"/>
    <w:link w:val="703"/>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991">
    <w:name w:val="投书正文"/>
    <w:basedOn w:val="703"/>
    <w:next w:val="991"/>
    <w:link w:val="992"/>
    <w:qFormat/>
    <w:pPr>
      <w:ind w:firstLine="480"/>
      <w:spacing w:line="360" w:lineRule="auto"/>
    </w:pPr>
    <w:rPr>
      <w:sz w:val="24"/>
      <w:szCs w:val="20"/>
    </w:rPr>
  </w:style>
  <w:style w:type="character" w:styleId="992">
    <w:name w:val="投书正文 Char"/>
    <w:next w:val="992"/>
    <w:link w:val="991"/>
    <w:qFormat/>
    <w:rPr>
      <w:sz w:val="24"/>
    </w:rPr>
  </w:style>
  <w:style w:type="character" w:styleId="993">
    <w:name w:val="标题 6 字符"/>
    <w:next w:val="993"/>
    <w:link w:val="703"/>
    <w:uiPriority w:val="9"/>
    <w:qFormat/>
    <w:rPr>
      <w:rFonts w:ascii="等线 Light" w:hAnsi="等线 Light" w:eastAsia="等线 Light" w:cs="Times New Roman"/>
      <w:b/>
      <w:bCs/>
      <w:sz w:val="24"/>
      <w:szCs w:val="24"/>
    </w:rPr>
  </w:style>
  <w:style w:type="character" w:styleId="994">
    <w:name w:val="标书正文 Char"/>
    <w:next w:val="994"/>
    <w:link w:val="995"/>
    <w:qFormat/>
    <w:rPr>
      <w:sz w:val="24"/>
      <w:szCs w:val="24"/>
    </w:rPr>
  </w:style>
  <w:style w:type="paragraph" w:styleId="995">
    <w:name w:val="标书正文"/>
    <w:basedOn w:val="773"/>
    <w:next w:val="995"/>
    <w:link w:val="994"/>
    <w:qFormat/>
    <w:pPr>
      <w:ind w:firstLine="200"/>
      <w:jc w:val="left"/>
      <w:spacing w:after="0" w:line="360" w:lineRule="auto"/>
    </w:pPr>
    <w:rPr>
      <w:rFonts w:eastAsia="宋体"/>
      <w:sz w:val="24"/>
    </w:rPr>
  </w:style>
  <w:style w:type="character" w:styleId="996">
    <w:name w:val="标题 7 字符"/>
    <w:next w:val="996"/>
    <w:link w:val="703"/>
    <w:uiPriority w:val="9"/>
    <w:semiHidden/>
    <w:qFormat/>
    <w:rPr>
      <w:rFonts w:ascii="宋体" w:hAnsi="宋体" w:eastAsia="宋体"/>
      <w:b/>
      <w:bCs/>
      <w:sz w:val="24"/>
      <w:szCs w:val="24"/>
    </w:rPr>
  </w:style>
  <w:style w:type="character" w:styleId="997">
    <w:name w:val="标题 8 字符"/>
    <w:next w:val="997"/>
    <w:link w:val="703"/>
    <w:uiPriority w:val="9"/>
    <w:semiHidden/>
    <w:qFormat/>
    <w:rPr>
      <w:rFonts w:ascii="等线 Light" w:hAnsi="等线 Light" w:eastAsia="等线 Light" w:cs="Times New Roman"/>
      <w:sz w:val="24"/>
      <w:szCs w:val="24"/>
    </w:rPr>
  </w:style>
  <w:style w:type="character" w:styleId="998">
    <w:name w:val="标题 9 字符"/>
    <w:next w:val="998"/>
    <w:link w:val="703"/>
    <w:uiPriority w:val="9"/>
    <w:semiHidden/>
    <w:qFormat/>
    <w:rPr>
      <w:rFonts w:ascii="等线 Light" w:hAnsi="等线 Light" w:eastAsia="等线 Light" w:cs="Times New Roman"/>
      <w:szCs w:val="21"/>
    </w:rPr>
  </w:style>
  <w:style w:type="character" w:styleId="999">
    <w:name w:val="智业正文 Char"/>
    <w:next w:val="999"/>
    <w:link w:val="1000"/>
    <w:qFormat/>
    <w:rPr>
      <w:rFonts w:ascii="宋体" w:hAnsi="宋体"/>
      <w:sz w:val="24"/>
      <w:szCs w:val="24"/>
    </w:rPr>
  </w:style>
  <w:style w:type="paragraph" w:styleId="1000">
    <w:name w:val="智业正文"/>
    <w:basedOn w:val="773"/>
    <w:next w:val="1000"/>
    <w:link w:val="999"/>
    <w:qFormat/>
    <w:pPr>
      <w:ind w:left="480" w:right="100" w:firstLine="200"/>
      <w:jc w:val="left"/>
      <w:spacing w:before="120" w:line="360" w:lineRule="auto"/>
    </w:pPr>
    <w:rPr>
      <w:rFonts w:ascii="宋体" w:hAnsi="宋体" w:eastAsia="宋体"/>
      <w:sz w:val="24"/>
    </w:rPr>
  </w:style>
  <w:style w:type="character" w:styleId="1001">
    <w:name w:val="样式 正文缩进 + 首行缩进:  2 字符 Char"/>
    <w:next w:val="1001"/>
    <w:link w:val="1002"/>
    <w:qFormat/>
    <w:rPr>
      <w:rFonts w:cs="宋体"/>
      <w:sz w:val="24"/>
    </w:rPr>
  </w:style>
  <w:style w:type="paragraph" w:styleId="1002">
    <w:name w:val="样式 正文缩进 + 首行缩进:  2 字符"/>
    <w:basedOn w:val="726"/>
    <w:next w:val="1002"/>
    <w:link w:val="1001"/>
    <w:qFormat/>
    <w:pPr>
      <w:ind w:firstLine="200"/>
      <w:spacing w:line="360" w:lineRule="auto"/>
    </w:pPr>
    <w:rPr>
      <w:sz w:val="24"/>
      <w:szCs w:val="20"/>
    </w:rPr>
  </w:style>
  <w:style w:type="character" w:styleId="1003">
    <w:name w:val="font21"/>
    <w:next w:val="1003"/>
    <w:link w:val="703"/>
    <w:qFormat/>
    <w:rPr>
      <w:rFonts w:hint="eastAsia" w:ascii="宋体" w:hAnsi="宋体" w:eastAsia="宋体" w:cs="宋体"/>
      <w:color w:val="000000"/>
      <w:sz w:val="20"/>
      <w:szCs w:val="20"/>
      <w:u w:val="none"/>
    </w:rPr>
  </w:style>
  <w:style w:type="character" w:styleId="1004">
    <w:name w:val="批注文字 字符"/>
    <w:next w:val="1004"/>
    <w:link w:val="703"/>
    <w:qFormat/>
    <w:rPr>
      <w:rFonts w:ascii="宋体" w:hAnsi="宋体" w:eastAsia="宋体"/>
    </w:rPr>
  </w:style>
  <w:style w:type="character" w:styleId="1005">
    <w:name w:val="批注主题 字符"/>
    <w:next w:val="1005"/>
    <w:link w:val="703"/>
    <w:uiPriority w:val="99"/>
    <w:semiHidden/>
    <w:qFormat/>
    <w:rPr>
      <w:rFonts w:ascii="宋体" w:hAnsi="宋体" w:eastAsia="宋体"/>
      <w:b/>
      <w:bCs/>
    </w:rPr>
  </w:style>
  <w:style w:type="paragraph" w:styleId="1006">
    <w:name w:val="正文格式正文"/>
    <w:basedOn w:val="703"/>
    <w:next w:val="1006"/>
    <w:link w:val="1007"/>
    <w:qFormat/>
    <w:pPr>
      <w:ind w:firstLine="480"/>
      <w:spacing w:line="360" w:lineRule="auto"/>
    </w:pPr>
    <w:rPr>
      <w:sz w:val="24"/>
      <w:szCs w:val="20"/>
    </w:rPr>
  </w:style>
  <w:style w:type="character" w:styleId="1007">
    <w:name w:val="正文格式正文 Char"/>
    <w:next w:val="1007"/>
    <w:link w:val="1006"/>
    <w:qFormat/>
    <w:rPr>
      <w:sz w:val="24"/>
    </w:rPr>
  </w:style>
  <w:style w:type="paragraph" w:styleId="1008">
    <w:name w:val="表头文本"/>
    <w:basedOn w:val="703"/>
    <w:next w:val="1008"/>
    <w:link w:val="703"/>
    <w:qFormat/>
    <w:pPr>
      <w:jc w:val="center"/>
    </w:pPr>
    <w:rPr>
      <w:b/>
      <w:sz w:val="24"/>
      <w:szCs w:val="20"/>
    </w:rPr>
  </w:style>
  <w:style w:type="paragraph" w:styleId="1009">
    <w:name w:val="_Style 4"/>
    <w:basedOn w:val="703"/>
    <w:next w:val="1009"/>
    <w:link w:val="703"/>
    <w:uiPriority w:val="34"/>
    <w:qFormat/>
    <w:pPr>
      <w:ind w:firstLine="420"/>
    </w:pPr>
    <w:rPr>
      <w:rFonts w:ascii="Calibri" w:hAnsi="Calibri"/>
      <w:szCs w:val="22"/>
    </w:rPr>
  </w:style>
  <w:style w:type="character" w:styleId="1010">
    <w:name w:val="font01"/>
    <w:next w:val="1010"/>
    <w:link w:val="703"/>
    <w:rPr>
      <w:rFonts w:hint="eastAsia" w:ascii="等线" w:hAnsi="等线" w:eastAsia="等线" w:cs="等线"/>
      <w:color w:val="000000"/>
      <w:sz w:val="22"/>
      <w:szCs w:val="22"/>
      <w:u w:val="none"/>
    </w:rPr>
  </w:style>
  <w:style w:type="character" w:styleId="1011">
    <w:name w:val="font61"/>
    <w:next w:val="1011"/>
    <w:link w:val="703"/>
    <w:rPr>
      <w:rFonts w:hint="eastAsia" w:ascii="等线" w:hAnsi="等线" w:eastAsia="等线" w:cs="等线"/>
      <w:color w:val="000000"/>
      <w:sz w:val="24"/>
      <w:szCs w:val="24"/>
      <w:u w:val="none"/>
    </w:rPr>
  </w:style>
  <w:style w:type="character" w:styleId="1012">
    <w:name w:val="hover"/>
    <w:next w:val="1012"/>
    <w:link w:val="703"/>
  </w:style>
  <w:style w:type="character" w:styleId="1013">
    <w:name w:val="hover1"/>
    <w:next w:val="1013"/>
    <w:link w:val="703"/>
    <w:rPr>
      <w:color w:val="2590eb"/>
      <w:shd w:val="clear" w:color="auto" w:fill="e9f4fd"/>
    </w:rPr>
  </w:style>
  <w:style w:type="character" w:styleId="1014">
    <w:name w:val="hover2"/>
    <w:next w:val="1014"/>
    <w:link w:val="703"/>
    <w:rPr>
      <w:color w:val="2590eb"/>
    </w:rPr>
  </w:style>
  <w:style w:type="character" w:styleId="1015">
    <w:name w:val="hover3"/>
    <w:next w:val="1015"/>
    <w:link w:val="703"/>
    <w:rPr>
      <w:color w:val="2590eb"/>
    </w:rPr>
  </w:style>
  <w:style w:type="paragraph" w:styleId="1016">
    <w:name w:val="段"/>
    <w:next w:val="703"/>
    <w:link w:val="703"/>
    <w:qFormat/>
    <w:pPr>
      <w:ind w:firstLine="200"/>
      <w:jc w:val="both"/>
    </w:pPr>
    <w:rPr>
      <w:rFonts w:ascii="宋体"/>
      <w:sz w:val="21"/>
      <w:szCs w:val="22"/>
      <w:lang w:val="en-US" w:eastAsia="zh-CN" w:bidi="ar-SA"/>
    </w:rPr>
  </w:style>
  <w:style w:type="paragraph" w:styleId="1017">
    <w:name w:val="表格内容 完"/>
    <w:basedOn w:val="703"/>
    <w:next w:val="1017"/>
    <w:link w:val="703"/>
    <w:qFormat/>
    <w:pPr>
      <w:ind w:left="25" w:right="25"/>
      <w:spacing w:before="60" w:after="60"/>
    </w:pPr>
    <w:rPr>
      <w:rFonts w:ascii="Times New Roman" w:hAnsi="Times New Roman" w:cs="Times New Roman"/>
      <w:szCs w:val="20"/>
    </w:rPr>
  </w:style>
  <w:style w:type="paragraph" w:styleId="1018">
    <w:name w:val="标题 5（有编号）（绿盟科技）"/>
    <w:basedOn w:val="703"/>
    <w:next w:val="1019"/>
    <w:link w:val="703"/>
    <w:qFormat/>
    <w:pPr>
      <w:numPr>
        <w:ilvl w:val="4"/>
        <w:numId w:val="7"/>
      </w:numPr>
      <w:jc w:val="left"/>
      <w:keepLines/>
      <w:keepNext/>
      <w:spacing w:before="280" w:after="156" w:line="377" w:lineRule="auto"/>
      <w:outlineLvl w:val="4"/>
    </w:pPr>
    <w:rPr>
      <w:rFonts w:ascii="Arial" w:hAnsi="Arial" w:eastAsia="黑体"/>
      <w:b/>
      <w:sz w:val="24"/>
      <w:szCs w:val="28"/>
    </w:rPr>
  </w:style>
  <w:style w:type="paragraph" w:styleId="1019">
    <w:name w:val="正文（绿盟科技）"/>
    <w:next w:val="1019"/>
    <w:link w:val="703"/>
    <w:qFormat/>
    <w:pPr>
      <w:spacing w:line="300" w:lineRule="auto"/>
    </w:pPr>
    <w:rPr>
      <w:rFonts w:ascii="Arial" w:hAnsi="Arial" w:cs="黑体"/>
      <w:sz w:val="21"/>
      <w:szCs w:val="21"/>
      <w:lang w:val="en-US" w:eastAsia="zh-CN" w:bidi="ar-SA"/>
    </w:rPr>
  </w:style>
  <w:style w:type="paragraph" w:styleId="1020">
    <w:name w:val="目录 11"/>
    <w:basedOn w:val="703"/>
    <w:next w:val="912"/>
    <w:link w:val="703"/>
    <w:qFormat/>
    <w:pPr>
      <w:jc w:val="left"/>
      <w:spacing w:after="100" w:line="259" w:lineRule="auto"/>
      <w:widowControl/>
    </w:pPr>
    <w:rPr>
      <w:rFonts w:ascii="Calibri" w:hAnsi="Calibri"/>
      <w:sz w:val="22"/>
      <w:szCs w:val="22"/>
    </w:rPr>
  </w:style>
  <w:style w:type="character" w:styleId="9851" w:default="1">
    <w:name w:val="Default Paragraph Font"/>
    <w:uiPriority w:val="1"/>
    <w:semiHidden/>
    <w:unhideWhenUsed/>
  </w:style>
  <w:style w:type="numbering" w:styleId="9852" w:default="1">
    <w:name w:val="No List"/>
    <w:uiPriority w:val="99"/>
    <w:semiHidden/>
    <w:unhideWhenUsed/>
  </w:style>
  <w:style w:type="table" w:styleId="98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严妍</cp:lastModifiedBy>
  <cp:revision>7</cp:revision>
  <dcterms:created xsi:type="dcterms:W3CDTF">2016-06-21T04:44:00Z</dcterms:created>
  <dcterms:modified xsi:type="dcterms:W3CDTF">2024-08-16T10:21:53Z</dcterms:modified>
</cp:coreProperties>
</file>