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12"/>
        <w:spacing w:before="120" w:beforeAutospacing="0" w:after="120" w:afterAutospacing="0" w:line="360" w:lineRule="auto"/>
        <w:rPr>
          <w:highlight w:val="none"/>
        </w:rPr>
      </w:pPr>
      <w:r>
        <w:rPr>
          <w:highlight w:val="none"/>
        </w:rPr>
        <w:t xml:space="preserve"> </w:t>
      </w:r>
      <w:r/>
    </w:p>
    <w:p>
      <w:pPr>
        <w:pStyle w:val="612"/>
        <w:spacing w:before="120" w:beforeAutospacing="0" w:after="120" w:afterAutospacing="0" w:line="360" w:lineRule="auto"/>
        <w:rPr>
          <w:highlight w:val="none"/>
        </w:rPr>
      </w:pPr>
      <w:r>
        <w:rPr>
          <w:highlight w:val="none"/>
        </w:rPr>
      </w:r>
      <w:r/>
    </w:p>
    <w:p>
      <w:pPr>
        <w:pStyle w:val="612"/>
        <w:spacing w:before="120" w:beforeAutospacing="0" w:after="120" w:afterAutospacing="0" w:line="360" w:lineRule="auto"/>
        <w:rPr>
          <w:highlight w:val="none"/>
        </w:rPr>
      </w:pPr>
      <w:r>
        <w:rPr>
          <w:highlight w:val="none"/>
        </w:rPr>
      </w:r>
      <w:r/>
    </w:p>
    <w:p>
      <w:pPr>
        <w:pStyle w:val="612"/>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 标 文 件</w:t>
      </w:r>
      <w:r/>
    </w:p>
    <w:p>
      <w:pPr>
        <w:pStyle w:val="612"/>
        <w:ind w:left="3202" w:hanging="1606"/>
        <w:jc w:val="both"/>
        <w:spacing w:before="120" w:beforeAutospacing="0" w:after="120" w:afterAutospacing="0" w:line="360" w:lineRule="auto"/>
        <w:rPr>
          <w:rFonts w:hint="eastAsia" w:ascii="Arial" w:hAnsi="Arial" w:cs="Arial" w:eastAsiaTheme="minorEastAsia"/>
          <w:b/>
          <w:color w:val="000000"/>
          <w:sz w:val="32"/>
          <w:szCs w:val="32"/>
          <w:highlight w:val="none"/>
          <w:lang w:eastAsia="zh-CN"/>
        </w:rPr>
      </w:pPr>
      <w:r>
        <w:rPr>
          <w:rFonts w:ascii="Arial" w:hAnsi="Arial" w:cs="Arial"/>
          <w:b/>
          <w:color w:val="000000"/>
          <w:sz w:val="32"/>
          <w:szCs w:val="32"/>
          <w:highlight w:val="none"/>
        </w:rPr>
        <w:t xml:space="preserve">项目名称：</w:t>
      </w:r>
      <w:r>
        <w:rPr>
          <w:rFonts w:hint="eastAsia" w:ascii="Arial" w:hAnsi="Arial" w:cs="Arial"/>
          <w:b/>
          <w:color w:val="000000"/>
          <w:sz w:val="32"/>
          <w:szCs w:val="32"/>
          <w:highlight w:val="none"/>
          <w:lang w:eastAsia="zh-CN"/>
        </w:rPr>
        <w:t xml:space="preserve">黄圩镇第二轮土地承包到期后再延长30年试点项目</w:t>
      </w:r>
      <w:r/>
    </w:p>
    <w:p>
      <w:pPr>
        <w:pStyle w:val="612"/>
        <w:ind w:firstLine="1606"/>
        <w:jc w:val="both"/>
        <w:spacing w:beforeAutospacing="0" w:afterAutospacing="0"/>
        <w:rPr>
          <w:highlight w:val="none"/>
        </w:rPr>
      </w:pPr>
      <w:r>
        <w:rPr>
          <w:rFonts w:ascii="Times New Roman" w:hAnsi="Times New Roman"/>
          <w:b/>
          <w:color w:val="000000"/>
          <w:sz w:val="32"/>
          <w:szCs w:val="32"/>
          <w:highlight w:val="none"/>
        </w:rPr>
        <w:t xml:space="preserve">项目编号：</w:t>
      </w:r>
      <w:r>
        <w:rPr>
          <w:rFonts w:hint="eastAsia" w:ascii="Times New Roman" w:hAnsi="Times New Roman"/>
          <w:b/>
          <w:color w:val="000000"/>
          <w:sz w:val="32"/>
          <w:szCs w:val="32"/>
          <w:highlight w:val="none"/>
        </w:rPr>
        <w:t xml:space="preserve">JSZC-320921-ZZGJ-G2025-0054</w:t>
      </w:r>
      <w:r/>
    </w:p>
    <w:p>
      <w:pPr>
        <w:pStyle w:val="612"/>
        <w:spacing w:beforeAutospacing="0" w:afterAutospacing="0" w:line="360" w:lineRule="auto"/>
        <w:rPr>
          <w:highlight w:val="none"/>
        </w:rPr>
      </w:pPr>
      <w:r>
        <w:rPr>
          <w:highlight w:val="none"/>
        </w:rPr>
        <w:t xml:space="preserve"> </w:t>
      </w:r>
      <w:r/>
    </w:p>
    <w:p>
      <w:pPr>
        <w:pStyle w:val="612"/>
        <w:spacing w:beforeAutospacing="0" w:afterAutospacing="0" w:line="360" w:lineRule="auto"/>
        <w:rPr>
          <w:highlight w:val="none"/>
        </w:rPr>
      </w:pPr>
      <w:r>
        <w:rPr>
          <w:highlight w:val="none"/>
        </w:rPr>
        <w:t xml:space="preserve"> </w:t>
      </w:r>
      <w:r/>
    </w:p>
    <w:p>
      <w:pPr>
        <w:pStyle w:val="612"/>
        <w:spacing w:beforeAutospacing="0" w:afterAutospacing="0" w:line="360" w:lineRule="auto"/>
        <w:rPr>
          <w:highlight w:val="none"/>
        </w:rPr>
      </w:pPr>
      <w:r>
        <w:rPr>
          <w:highlight w:val="none"/>
        </w:rPr>
        <w:t xml:space="preserve"> </w:t>
      </w:r>
      <w:r/>
    </w:p>
    <w:p>
      <w:pPr>
        <w:pStyle w:val="612"/>
        <w:spacing w:beforeAutospacing="0" w:afterAutospacing="0" w:line="360" w:lineRule="auto"/>
        <w:rPr>
          <w:highlight w:val="none"/>
        </w:rPr>
      </w:pPr>
      <w:r>
        <w:rPr>
          <w:highlight w:val="none"/>
        </w:rPr>
        <w:t xml:space="preserve"> </w:t>
      </w:r>
      <w:r/>
    </w:p>
    <w:p>
      <w:pPr>
        <w:pStyle w:val="612"/>
        <w:spacing w:beforeAutospacing="0" w:afterAutospacing="0" w:line="360" w:lineRule="auto"/>
        <w:rPr>
          <w:highlight w:val="none"/>
        </w:rPr>
      </w:pPr>
      <w:r>
        <w:rPr>
          <w:highlight w:val="none"/>
        </w:rPr>
        <w:t xml:space="preserve"> </w:t>
      </w:r>
      <w:r/>
    </w:p>
    <w:p>
      <w:pPr>
        <w:pStyle w:val="612"/>
        <w:spacing w:beforeAutospacing="0" w:afterAutospacing="0" w:line="360" w:lineRule="auto"/>
        <w:rPr>
          <w:highlight w:val="none"/>
        </w:rPr>
      </w:pPr>
      <w:r>
        <w:rPr>
          <w:highlight w:val="none"/>
        </w:rPr>
        <w:t xml:space="preserve"> </w:t>
      </w:r>
      <w:r/>
    </w:p>
    <w:p>
      <w:pPr>
        <w:pStyle w:val="612"/>
        <w:spacing w:beforeAutospacing="0" w:afterAutospacing="0" w:line="360" w:lineRule="auto"/>
        <w:rPr>
          <w:highlight w:val="none"/>
        </w:rPr>
      </w:pPr>
      <w:r>
        <w:rPr>
          <w:highlight w:val="none"/>
        </w:rPr>
        <w:t xml:space="preserve"> </w:t>
      </w:r>
      <w:r/>
    </w:p>
    <w:p>
      <w:pPr>
        <w:pStyle w:val="612"/>
        <w:jc w:val="center"/>
        <w:spacing w:before="120" w:beforeAutospacing="0" w:after="120" w:afterAutospacing="0" w:line="360" w:lineRule="auto"/>
        <w:rPr>
          <w:rFonts w:hint="eastAsia" w:ascii="Arial" w:hAnsi="Arial" w:cs="Arial"/>
          <w:b/>
          <w:color w:val="000000"/>
          <w:sz w:val="32"/>
          <w:szCs w:val="32"/>
          <w:highlight w:val="none"/>
          <w:lang w:val="en-US" w:eastAsia="zh-CN"/>
        </w:rPr>
      </w:pPr>
      <w:r>
        <w:rPr>
          <w:rFonts w:hint="eastAsia" w:ascii="Arial" w:hAnsi="Arial" w:cs="Arial"/>
          <w:b/>
          <w:color w:val="000000"/>
          <w:sz w:val="32"/>
          <w:szCs w:val="32"/>
          <w:highlight w:val="none"/>
          <w:lang w:val="en-US" w:eastAsia="zh-CN"/>
        </w:rPr>
        <w:t xml:space="preserve">响水县农业农村局</w:t>
      </w:r>
      <w:r/>
    </w:p>
    <w:p>
      <w:pPr>
        <w:pStyle w:val="612"/>
        <w:jc w:val="center"/>
        <w:spacing w:before="120" w:beforeAutospacing="0" w:after="120" w:afterAutospacing="0" w:line="360" w:lineRule="auto"/>
        <w:rPr>
          <w:highlight w:val="none"/>
        </w:rPr>
      </w:pPr>
      <w:r>
        <w:rPr>
          <w:rFonts w:hint="eastAsia" w:ascii="Arial" w:hAnsi="Arial" w:cs="Arial"/>
          <w:b/>
          <w:color w:val="000000"/>
          <w:sz w:val="32"/>
          <w:szCs w:val="32"/>
          <w:highlight w:val="none"/>
          <w:lang w:val="en-US" w:eastAsia="zh-CN"/>
        </w:rPr>
        <w:t xml:space="preserve">2025</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11</w:t>
      </w:r>
      <w:r>
        <w:rPr>
          <w:rFonts w:ascii="Arial" w:hAnsi="Arial" w:cs="Arial"/>
          <w:b/>
          <w:color w:val="000000"/>
          <w:sz w:val="32"/>
          <w:szCs w:val="32"/>
          <w:highlight w:val="none"/>
        </w:rPr>
        <w:t xml:space="preserve">月</w:t>
      </w:r>
      <w:r/>
    </w:p>
    <w:p>
      <w:pPr>
        <w:pStyle w:val="612"/>
        <w:spacing w:before="120" w:beforeAutospacing="0" w:after="120" w:afterAutospacing="0" w:line="360" w:lineRule="auto"/>
        <w:rPr>
          <w:highlight w:val="none"/>
        </w:rPr>
      </w:pPr>
      <w:r>
        <w:rPr>
          <w:rFonts w:ascii="Arial" w:hAnsi="Arial" w:cs="Arial"/>
          <w:color w:val="000000"/>
          <w:highlight w:val="none"/>
        </w:rPr>
        <w:t xml:space="preserve">                        </w:t>
      </w:r>
      <w:r/>
    </w:p>
    <w:p>
      <w:pPr>
        <w:pStyle w:val="612"/>
        <w:jc w:val="center"/>
        <w:spacing w:before="120" w:beforeAutospacing="0" w:after="120" w:afterAutospacing="0" w:line="360" w:lineRule="auto"/>
        <w:rPr>
          <w:highlight w:val="none"/>
        </w:rPr>
      </w:pPr>
      <w:r>
        <w:rPr>
          <w:highlight w:val="none"/>
        </w:rPr>
        <w:t xml:space="preserve"> </w:t>
      </w:r>
      <w:r/>
    </w:p>
    <w:p>
      <w:pPr>
        <w:pStyle w:val="612"/>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120614210"/>
      <w:r/>
      <w:bookmarkStart w:id="1" w:name="_Toc513029200"/>
      <w:r/>
      <w:bookmarkStart w:id="2" w:name="_Toc20823272"/>
      <w:r/>
      <w:bookmarkStart w:id="3" w:name="_Toc16938516"/>
      <w:r/>
      <w:bookmarkStart w:id="4" w:name="_Toc523127445"/>
      <w:r/>
      <w:bookmarkStart w:id="5" w:name="_Toc479757206"/>
      <w:r>
        <w:rPr>
          <w:rFonts w:ascii="Times New Roman" w:hAnsi="Times New Roman"/>
          <w:color w:val="000000"/>
          <w:sz w:val="21"/>
          <w:szCs w:val="21"/>
          <w:highlight w:val="none"/>
        </w:rPr>
        <w:t xml:space="preserve"> </w:t>
      </w:r>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612"/>
        <w:jc w:val="both"/>
        <w:spacing w:beforeAutospacing="0" w:afterAutospacing="0" w:line="480" w:lineRule="auto"/>
        <w:rPr>
          <w:highlight w:val="none"/>
        </w:rPr>
      </w:pPr>
      <w:r>
        <w:rPr>
          <w:highlight w:val="none"/>
        </w:rPr>
        <w:t xml:space="preserve"> </w:t>
      </w:r>
      <w:r/>
    </w:p>
    <w:p>
      <w:pPr>
        <w:pStyle w:val="612"/>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 </w:t>
      </w:r>
      <w:r/>
    </w:p>
    <w:p>
      <w:pPr>
        <w:pStyle w:val="612"/>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投标人须知…………………………………  </w:t>
      </w:r>
      <w:r/>
    </w:p>
    <w:p>
      <w:pPr>
        <w:pStyle w:val="612"/>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合同文本……………………………………</w:t>
      </w:r>
      <w:r/>
    </w:p>
    <w:p>
      <w:pPr>
        <w:pStyle w:val="612"/>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采购需求……………………………………</w:t>
      </w:r>
      <w:r/>
    </w:p>
    <w:p>
      <w:pPr>
        <w:pStyle w:val="612"/>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评标方法与评标标准………………………</w:t>
      </w:r>
      <w:r/>
    </w:p>
    <w:p>
      <w:pPr>
        <w:pStyle w:val="612"/>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投标文件格式………………………………</w:t>
      </w:r>
      <w:r/>
    </w:p>
    <w:p>
      <w:pPr>
        <w:pStyle w:val="612"/>
        <w:jc w:val="both"/>
        <w:spacing w:beforeAutospacing="0" w:afterAutospacing="0"/>
        <w:rPr>
          <w:highlight w:val="none"/>
        </w:rPr>
      </w:pPr>
      <w:r>
        <w:rPr>
          <w:highlight w:val="none"/>
        </w:rPr>
        <w:t xml:space="preserve"> </w:t>
      </w:r>
      <w:r/>
    </w:p>
    <w:p>
      <w:pPr>
        <w:pStyle w:val="612"/>
        <w:jc w:val="both"/>
        <w:spacing w:beforeAutospacing="0" w:afterAutospacing="0"/>
        <w:rPr>
          <w:highlight w:val="none"/>
        </w:rPr>
      </w:pPr>
      <w:r>
        <w:rPr>
          <w:highlight w:val="none"/>
        </w:rPr>
        <w:t xml:space="preserve"> </w:t>
      </w:r>
      <w:r/>
    </w:p>
    <w:p>
      <w:pPr>
        <w:pStyle w:val="612"/>
        <w:jc w:val="both"/>
        <w:spacing w:beforeAutospacing="0" w:afterAutospacing="0"/>
        <w:rPr>
          <w:highlight w:val="none"/>
        </w:rPr>
      </w:pPr>
      <w:r>
        <w:rPr>
          <w:highlight w:val="none"/>
        </w:rPr>
        <w:t xml:space="preserve"> </w:t>
      </w:r>
      <w:r/>
    </w:p>
    <w:p>
      <w:pPr>
        <w:pStyle w:val="612"/>
        <w:jc w:val="both"/>
        <w:spacing w:beforeAutospacing="0" w:afterAutospacing="0"/>
        <w:rPr>
          <w:highlight w:val="none"/>
        </w:rPr>
      </w:pPr>
      <w:r>
        <w:rPr>
          <w:highlight w:val="none"/>
        </w:rPr>
        <w:t xml:space="preserve"> </w:t>
      </w:r>
      <w:r/>
    </w:p>
    <w:p>
      <w:pPr>
        <w:pStyle w:val="612"/>
        <w:jc w:val="both"/>
        <w:spacing w:beforeAutospacing="0" w:afterAutospacing="0"/>
        <w:rPr>
          <w:highlight w:val="none"/>
        </w:rPr>
      </w:pPr>
      <w:r>
        <w:rPr>
          <w:highlight w:val="none"/>
        </w:rPr>
        <w:t xml:space="preserve"> </w:t>
      </w:r>
      <w:r/>
    </w:p>
    <w:p>
      <w:pPr>
        <w:pStyle w:val="612"/>
        <w:jc w:val="both"/>
        <w:spacing w:beforeAutospacing="0" w:afterAutospacing="0"/>
        <w:rPr>
          <w:highlight w:val="none"/>
        </w:rPr>
      </w:pPr>
      <w:r>
        <w:rPr>
          <w:highlight w:val="none"/>
        </w:rPr>
        <w:t xml:space="preserve"> </w:t>
      </w:r>
      <w:r/>
    </w:p>
    <w:p>
      <w:pPr>
        <w:pStyle w:val="612"/>
        <w:jc w:val="both"/>
        <w:spacing w:beforeAutospacing="0" w:afterAutospacing="0"/>
        <w:rPr>
          <w:highlight w:val="none"/>
        </w:rPr>
      </w:pPr>
      <w:r>
        <w:rPr>
          <w:highlight w:val="none"/>
        </w:rPr>
        <w:t xml:space="preserve"> </w:t>
      </w:r>
      <w:r/>
    </w:p>
    <w:p>
      <w:pPr>
        <w:pStyle w:val="612"/>
        <w:jc w:val="both"/>
        <w:spacing w:beforeAutospacing="0" w:afterAutospacing="0"/>
        <w:rPr>
          <w:highlight w:val="none"/>
        </w:rPr>
      </w:pPr>
      <w:r>
        <w:rPr>
          <w:highlight w:val="none"/>
        </w:rPr>
        <w:t xml:space="preserve"> </w:t>
      </w:r>
      <w:r/>
    </w:p>
    <w:p>
      <w:pPr>
        <w:pStyle w:val="612"/>
        <w:jc w:val="both"/>
        <w:spacing w:beforeAutospacing="0" w:afterAutospacing="0"/>
        <w:rPr>
          <w:highlight w:val="none"/>
        </w:rPr>
      </w:pPr>
      <w:r>
        <w:rPr>
          <w:highlight w:val="none"/>
        </w:rPr>
        <w:t xml:space="preserve"> </w:t>
      </w:r>
      <w:r/>
    </w:p>
    <w:p>
      <w:pPr>
        <w:pStyle w:val="612"/>
        <w:jc w:val="both"/>
        <w:spacing w:beforeAutospacing="0" w:afterAutospacing="0"/>
        <w:rPr>
          <w:highlight w:val="none"/>
        </w:rPr>
      </w:pPr>
      <w:r>
        <w:rPr>
          <w:highlight w:val="none"/>
        </w:rPr>
        <w:t xml:space="preserve"> </w:t>
      </w:r>
      <w:r/>
    </w:p>
    <w:p>
      <w:pPr>
        <w:pStyle w:val="612"/>
        <w:jc w:val="both"/>
        <w:spacing w:beforeAutospacing="0" w:afterAutospacing="0"/>
        <w:rPr>
          <w:highlight w:val="none"/>
        </w:rPr>
      </w:pPr>
      <w:r>
        <w:rPr>
          <w:highlight w:val="none"/>
        </w:rPr>
        <w:t xml:space="preserve"> </w:t>
      </w:r>
      <w:r/>
    </w:p>
    <w:p>
      <w:pPr>
        <w:pStyle w:val="612"/>
        <w:jc w:val="both"/>
        <w:spacing w:beforeAutospacing="0" w:afterAutospacing="0"/>
        <w:rPr>
          <w:highlight w:val="none"/>
        </w:rPr>
      </w:pPr>
      <w:r>
        <w:rPr>
          <w:highlight w:val="none"/>
        </w:rPr>
        <w:t xml:space="preserve"> </w:t>
      </w:r>
      <w:r/>
    </w:p>
    <w:p>
      <w:pPr>
        <w:pStyle w:val="612"/>
        <w:jc w:val="both"/>
        <w:spacing w:beforeAutospacing="0" w:afterAutospacing="0"/>
        <w:rPr>
          <w:highlight w:val="none"/>
        </w:rPr>
      </w:pPr>
      <w:r>
        <w:rPr>
          <w:highlight w:val="none"/>
        </w:rPr>
        <w:t xml:space="preserve"> </w:t>
      </w:r>
      <w:r/>
    </w:p>
    <w:p>
      <w:pPr>
        <w:pStyle w:val="612"/>
        <w:jc w:val="both"/>
        <w:spacing w:beforeAutospacing="0" w:afterAutospacing="0"/>
        <w:rPr>
          <w:highlight w:val="none"/>
        </w:rPr>
      </w:pPr>
      <w:r>
        <w:rPr>
          <w:highlight w:val="none"/>
        </w:rPr>
        <w:t xml:space="preserve"> </w:t>
      </w:r>
      <w:r/>
    </w:p>
    <w:p>
      <w:pPr>
        <w:pStyle w:val="612"/>
        <w:jc w:val="both"/>
        <w:spacing w:beforeAutospacing="0" w:afterAutospacing="0"/>
        <w:rPr>
          <w:highlight w:val="none"/>
        </w:rPr>
      </w:pPr>
      <w:r>
        <w:rPr>
          <w:highlight w:val="none"/>
        </w:rPr>
        <w:t xml:space="preserve"> </w:t>
      </w:r>
      <w:r/>
    </w:p>
    <w:p>
      <w:pPr>
        <w:pStyle w:val="612"/>
        <w:jc w:val="both"/>
        <w:spacing w:beforeAutospacing="0" w:afterAutospacing="0"/>
        <w:rPr>
          <w:highlight w:val="none"/>
        </w:rPr>
      </w:pPr>
      <w:r>
        <w:rPr>
          <w:highlight w:val="none"/>
        </w:rPr>
        <w:t xml:space="preserve"> </w:t>
      </w:r>
      <w:r/>
    </w:p>
    <w:p>
      <w:pPr>
        <w:pStyle w:val="612"/>
        <w:jc w:val="both"/>
        <w:spacing w:beforeAutospacing="0" w:afterAutospacing="0"/>
        <w:rPr>
          <w:highlight w:val="none"/>
        </w:rPr>
      </w:pPr>
      <w:r>
        <w:rPr>
          <w:highlight w:val="none"/>
        </w:rPr>
        <w:t xml:space="preserve"> </w:t>
      </w:r>
      <w:r/>
    </w:p>
    <w:p>
      <w:pPr>
        <w:pStyle w:val="612"/>
        <w:jc w:val="both"/>
        <w:spacing w:beforeAutospacing="0" w:afterAutospacing="0"/>
        <w:rPr>
          <w:highlight w:val="none"/>
        </w:rPr>
      </w:pPr>
      <w:r>
        <w:rPr>
          <w:highlight w:val="none"/>
        </w:rPr>
        <w:t xml:space="preserve"> </w:t>
      </w:r>
      <w:r/>
    </w:p>
    <w:p>
      <w:pPr>
        <w:pStyle w:val="612"/>
        <w:jc w:val="both"/>
        <w:spacing w:beforeAutospacing="0" w:afterAutospacing="0"/>
        <w:rPr>
          <w:highlight w:val="none"/>
        </w:rPr>
      </w:pPr>
      <w:r>
        <w:rPr>
          <w:highlight w:val="none"/>
        </w:rPr>
        <w:t xml:space="preserve"> </w:t>
      </w:r>
      <w:r/>
    </w:p>
    <w:p>
      <w:pPr>
        <w:pStyle w:val="612"/>
        <w:jc w:val="both"/>
        <w:spacing w:beforeAutospacing="0" w:afterAutospacing="0"/>
        <w:rPr>
          <w:highlight w:val="none"/>
        </w:rPr>
      </w:pPr>
      <w:r>
        <w:rPr>
          <w:highlight w:val="none"/>
        </w:rPr>
        <w:t xml:space="preserve"> </w:t>
      </w:r>
      <w:r/>
    </w:p>
    <w:p>
      <w:pPr>
        <w:pStyle w:val="612"/>
        <w:jc w:val="both"/>
        <w:spacing w:beforeAutospacing="0" w:afterAutospacing="0"/>
        <w:rPr>
          <w:highlight w:val="none"/>
        </w:rPr>
      </w:pPr>
      <w:r>
        <w:rPr>
          <w:highlight w:val="none"/>
        </w:rPr>
        <w:t xml:space="preserve"> </w:t>
      </w:r>
      <w:r/>
    </w:p>
    <w:p>
      <w:pPr>
        <w:pStyle w:val="612"/>
        <w:jc w:val="both"/>
        <w:spacing w:beforeAutospacing="0" w:afterAutospacing="0"/>
        <w:rPr>
          <w:highlight w:val="none"/>
        </w:rPr>
      </w:pPr>
      <w:r>
        <w:rPr>
          <w:highlight w:val="none"/>
        </w:rPr>
        <w:t xml:space="preserve"> </w:t>
      </w:r>
      <w:r/>
      <w:r/>
      <w:r>
        <w:rPr>
          <w:highlight w:val="none"/>
        </w:rPr>
        <w:t xml:space="preserve"> </w:t>
      </w:r>
      <w:r/>
      <w:r>
        <w:rPr>
          <w:highlight w:val="none"/>
        </w:rPr>
      </w:r>
      <w:r>
        <w:rPr>
          <w:highlight w:val="none"/>
        </w:rPr>
      </w:r>
    </w:p>
    <w:p>
      <w:pPr>
        <w:pStyle w:val="612"/>
        <w:jc w:val="center"/>
        <w:spacing w:beforeAutospacing="0" w:afterAutospacing="0"/>
        <w:rPr>
          <w:rFonts w:hint="default" w:eastAsia="黑体"/>
          <w:highlight w:val="none"/>
          <w:lang w:val="en-US" w:eastAsia="zh-CN"/>
        </w:rPr>
      </w:pPr>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612"/>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612"/>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lang w:eastAsia="zh-CN"/>
        </w:rPr>
        <w:t xml:space="preserve">黄圩镇第二轮土地承包到期后再延长30年试点项目</w:t>
      </w:r>
      <w:r>
        <w:rPr>
          <w:rFonts w:hint="eastAsia" w:ascii="宋体" w:hAnsi="宋体" w:eastAsia="宋体" w:cs="宋体"/>
          <w:color w:val="000000"/>
          <w:sz w:val="24"/>
          <w:szCs w:val="24"/>
          <w:highlight w:val="none"/>
        </w:rPr>
        <w:t xml:space="preserve">的潜在投标人可在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lang w:val="en-US" w:eastAsia="zh-CN"/>
        </w:rPr>
        <w:t xml:space="preserve">2025</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11</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27</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9</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北京时间）前递交投标文件。</w:t>
      </w:r>
      <w:r/>
    </w:p>
    <w:p>
      <w:pPr>
        <w:pStyle w:val="612"/>
        <w:ind w:firstLine="499"/>
        <w:jc w:val="both"/>
        <w:keepLines/>
        <w:keepNext/>
        <w:pageBreakBefore w:val="0"/>
        <w:spacing w:before="145" w:beforeAutospacing="0" w:after="145" w:afterAutospacing="0" w:line="400" w:lineRule="exact"/>
        <w:widowControl w:val="off"/>
        <w:rPr>
          <w:rFonts w:hint="eastAsia" w:ascii="宋体" w:hAnsi="宋体" w:eastAsia="宋体" w:cs="宋体"/>
          <w:sz w:val="24"/>
          <w:szCs w:val="24"/>
          <w:highlight w:val="none"/>
        </w:rPr>
      </w:pPr>
      <w:r/>
      <w:bookmarkStart w:id="6" w:name="_Toc38985263"/>
      <w:r/>
      <w:bookmarkStart w:id="7" w:name="_Toc28359002"/>
      <w:r/>
      <w:bookmarkStart w:id="8" w:name="_Hlk24379207"/>
      <w:r/>
      <w:bookmarkStart w:id="9" w:name="_Toc35393621"/>
      <w:r/>
      <w:bookmarkStart w:id="10" w:name="_Toc35393790"/>
      <w:r/>
      <w:bookmarkStart w:id="11" w:name="_Toc28359079"/>
      <w:r>
        <w:rPr>
          <w:rFonts w:hint="eastAsia" w:ascii="宋体" w:hAnsi="宋体" w:eastAsia="宋体" w:cs="宋体"/>
          <w:b/>
          <w:color w:val="000000"/>
          <w:sz w:val="24"/>
          <w:szCs w:val="24"/>
          <w:highlight w:val="none"/>
        </w:rPr>
        <w:t xml:space="preserve">一、项目基本情况</w:t>
      </w:r>
      <w:bookmarkEnd w:id="6"/>
      <w:r/>
      <w:bookmarkEnd w:id="7"/>
      <w:r/>
      <w:bookmarkEnd w:id="8"/>
      <w:r/>
      <w:bookmarkEnd w:id="9"/>
      <w:r/>
      <w:bookmarkEnd w:id="10"/>
      <w:r/>
      <w:bookmarkEnd w:id="11"/>
      <w:r/>
      <w:r/>
    </w:p>
    <w:p>
      <w:pPr>
        <w:pStyle w:val="612"/>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1.项目编号：JSZC-320921-ZZGJ-G2025-0054</w:t>
      </w:r>
      <w:r/>
    </w:p>
    <w:p>
      <w:pPr>
        <w:pStyle w:val="612"/>
        <w:ind w:firstLine="480"/>
        <w:jc w:val="both"/>
        <w:spacing w:beforeAutospacing="0" w:afterAutospacing="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黄圩镇第二轮土地承包到期后再延长30年试点项目</w:t>
      </w:r>
      <w:r/>
    </w:p>
    <w:p>
      <w:pPr>
        <w:pStyle w:val="612"/>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pStyle w:val="612"/>
        <w:ind w:firstLine="480"/>
        <w:jc w:val="both"/>
        <w:spacing w:beforeAutospacing="0" w:afterAutospacing="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分包1：51万元；分包2：49万元</w:t>
      </w:r>
      <w:r/>
    </w:p>
    <w:p>
      <w:pPr>
        <w:pStyle w:val="612"/>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val="en-US" w:eastAsia="zh-CN"/>
        </w:rPr>
        <w:t xml:space="preserve">分包1：51万元；分包2：49万元</w:t>
      </w:r>
      <w:r/>
    </w:p>
    <w:p>
      <w:pPr>
        <w:pStyle w:val="612"/>
        <w:ind w:firstLine="480"/>
        <w:jc w:val="both"/>
        <w:spacing w:beforeAutospacing="0" w:afterAutospacing="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.采购需求（简介）：黄圩镇第二轮土地承包到期后再延长30年试点项目，</w:t>
      </w:r>
      <w:r>
        <w:rPr>
          <w:rFonts w:hint="eastAsia" w:ascii="宋体" w:hAnsi="宋体" w:eastAsia="宋体" w:cs="宋体"/>
          <w:color w:val="000000"/>
          <w:sz w:val="24"/>
          <w:szCs w:val="24"/>
          <w:highlight w:val="none"/>
          <w:lang w:val="en-US" w:eastAsia="zh-CN"/>
        </w:rPr>
        <w:t xml:space="preserve">分包1</w:t>
      </w:r>
      <w:r>
        <w:rPr>
          <w:rFonts w:hint="eastAsia" w:ascii="宋体" w:hAnsi="宋体" w:eastAsia="宋体" w:cs="宋体"/>
          <w:color w:val="000000"/>
          <w:sz w:val="24"/>
          <w:szCs w:val="24"/>
          <w:highlight w:val="none"/>
        </w:rPr>
        <w:t xml:space="preserve">：负责双套村、云梯关村、龙马村、黄南居、东盛村的二轮延包试点工作；</w:t>
      </w:r>
      <w:r>
        <w:rPr>
          <w:rFonts w:hint="eastAsia" w:ascii="宋体" w:hAnsi="宋体" w:eastAsia="宋体" w:cs="宋体"/>
          <w:color w:val="000000"/>
          <w:sz w:val="24"/>
          <w:szCs w:val="24"/>
          <w:highlight w:val="none"/>
          <w:lang w:val="en-US" w:eastAsia="zh-CN"/>
        </w:rPr>
        <w:t xml:space="preserve">分包2</w:t>
      </w:r>
      <w:r>
        <w:rPr>
          <w:rFonts w:hint="eastAsia" w:ascii="宋体" w:hAnsi="宋体" w:eastAsia="宋体" w:cs="宋体"/>
          <w:color w:val="000000"/>
          <w:sz w:val="24"/>
          <w:szCs w:val="24"/>
          <w:highlight w:val="none"/>
        </w:rPr>
        <w:t xml:space="preserve">：负责黄圩居、黄北村、均平村、大兴村、云彩村的二轮延包试点工作</w:t>
      </w:r>
      <w:r>
        <w:rPr>
          <w:rFonts w:hint="eastAsia" w:ascii="宋体" w:hAnsi="宋体" w:eastAsia="宋体" w:cs="宋体"/>
          <w:color w:val="000000"/>
          <w:sz w:val="24"/>
          <w:szCs w:val="24"/>
          <w:highlight w:val="none"/>
          <w:lang w:eastAsia="zh-CN"/>
        </w:rPr>
        <w:t xml:space="preserve">。</w:t>
      </w:r>
      <w:r/>
    </w:p>
    <w:p>
      <w:pPr>
        <w:pStyle w:val="612"/>
        <w:jc w:val="left"/>
        <w:spacing w:beforeAutospacing="0" w:afterAutospacing="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本项目兼投不兼中，开标顺序为分包1</w:t>
      </w:r>
      <w:r>
        <w:rPr>
          <w:rFonts w:hint="default" w:ascii="Arial" w:hAnsi="Arial" w:eastAsia="宋体" w:cs="Arial"/>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分包2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 </w:t>
      </w:r>
      <w:r/>
    </w:p>
    <w:p>
      <w:pPr>
        <w:pStyle w:val="612"/>
        <w:ind w:firstLine="480"/>
        <w:jc w:val="both"/>
        <w:spacing w:beforeAutospacing="0" w:afterAutospacing="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.合同履行期限：具体实施进度根据响水县农业农村局实际工作进度安排实施（具体时间以省、市、县三级实际工作进度要求为准）</w:t>
      </w:r>
      <w:r>
        <w:rPr>
          <w:rFonts w:hint="eastAsia" w:ascii="宋体" w:hAnsi="宋体" w:eastAsia="宋体" w:cs="宋体"/>
          <w:color w:val="000000"/>
          <w:sz w:val="24"/>
          <w:szCs w:val="24"/>
          <w:highlight w:val="none"/>
          <w:lang w:eastAsia="zh-CN"/>
        </w:rPr>
        <w:t xml:space="preserve">。</w:t>
      </w:r>
      <w:r/>
    </w:p>
    <w:p>
      <w:pPr>
        <w:pStyle w:val="612"/>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本项目</w:t>
      </w:r>
      <w:r>
        <w:rPr>
          <w:rFonts w:hint="eastAsia" w:ascii="宋体" w:hAnsi="宋体" w:cs="宋体"/>
          <w:color w:val="000000"/>
          <w:sz w:val="24"/>
          <w:szCs w:val="24"/>
          <w:highlight w:val="none"/>
          <w:lang w:val="en-US" w:eastAsia="zh-CN"/>
        </w:rPr>
        <w:t xml:space="preserve">不</w:t>
      </w:r>
      <w:r>
        <w:rPr>
          <w:rFonts w:hint="eastAsia" w:ascii="宋体" w:hAnsi="宋体" w:cs="宋体"/>
          <w:color w:val="000000"/>
          <w:sz w:val="24"/>
          <w:szCs w:val="24"/>
          <w:highlight w:val="none"/>
        </w:rPr>
        <w:t xml:space="preserve">接受联合体投标</w:t>
      </w:r>
      <w:r>
        <w:rPr>
          <w:rFonts w:hint="eastAsia" w:ascii="宋体" w:hAnsi="宋体" w:eastAsia="宋体" w:cs="宋体"/>
          <w:color w:val="000000"/>
          <w:sz w:val="24"/>
          <w:szCs w:val="24"/>
          <w:highlight w:val="none"/>
        </w:rPr>
        <w:t xml:space="preserve">。</w:t>
      </w:r>
      <w:r/>
    </w:p>
    <w:p>
      <w:pPr>
        <w:pStyle w:val="612"/>
        <w:ind w:firstLine="499"/>
        <w:jc w:val="both"/>
        <w:keepLines/>
        <w:keepNext/>
        <w:pageBreakBefore w:val="0"/>
        <w:spacing w:before="145" w:beforeAutospacing="0" w:after="145" w:afterAutospacing="0" w:line="400" w:lineRule="exact"/>
        <w:widowControl w:val="off"/>
        <w:rPr>
          <w:rFonts w:hint="eastAsia" w:ascii="宋体" w:hAnsi="宋体" w:eastAsia="宋体" w:cs="宋体"/>
          <w:sz w:val="24"/>
          <w:szCs w:val="24"/>
          <w:highlight w:val="none"/>
        </w:rPr>
      </w:pPr>
      <w:r/>
      <w:bookmarkStart w:id="12" w:name="_Toc28359003"/>
      <w:r/>
      <w:bookmarkStart w:id="13" w:name="_Toc38985264"/>
      <w:r/>
      <w:bookmarkStart w:id="14" w:name="_Toc35393791"/>
      <w:r/>
      <w:bookmarkStart w:id="15" w:name="_Toc35393622"/>
      <w:r/>
      <w:bookmarkStart w:id="16" w:name="_Toc28359080"/>
      <w:r>
        <w:rPr>
          <w:rFonts w:hint="eastAsia" w:ascii="宋体" w:hAnsi="宋体" w:eastAsia="宋体" w:cs="宋体"/>
          <w:b/>
          <w:color w:val="000000"/>
          <w:sz w:val="24"/>
          <w:szCs w:val="24"/>
          <w:highlight w:val="none"/>
        </w:rPr>
        <w:t xml:space="preserve">二、申请人的资格要求：</w:t>
      </w:r>
      <w:bookmarkEnd w:id="12"/>
      <w:r/>
      <w:bookmarkEnd w:id="13"/>
      <w:r/>
      <w:bookmarkEnd w:id="14"/>
      <w:r/>
      <w:bookmarkEnd w:id="15"/>
      <w:r/>
      <w:bookmarkEnd w:id="16"/>
      <w:r/>
      <w:r/>
    </w:p>
    <w:p>
      <w:pPr>
        <w:pStyle w:val="612"/>
        <w:ind w:firstLine="48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612"/>
        <w:ind w:firstLine="48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1.1法人或者其他组织的营业执照等证明文件，自然人的身份证明；</w:t>
      </w:r>
      <w:r/>
    </w:p>
    <w:p>
      <w:pPr>
        <w:pStyle w:val="612"/>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rPr>
        <w:t xml:space="preserve">（成立不满一年无需提供）；</w:t>
      </w:r>
      <w:r/>
    </w:p>
    <w:p>
      <w:pPr>
        <w:pStyle w:val="612"/>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612"/>
        <w:ind w:firstLine="48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12"/>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612"/>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612"/>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12"/>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单位负责人为同一人或者存在直接控股、管理关系的不同供应商，不得参加同一合同项下的政府采购活动。</w:t>
      </w:r>
      <w:r/>
    </w:p>
    <w:p>
      <w:pPr>
        <w:pStyle w:val="612"/>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落实政府采购政策需满足的资格要求：本项目专门面向中小企业采购，所属行业为</w:t>
      </w:r>
      <w:r>
        <w:rPr>
          <w:rFonts w:hint="eastAsia" w:ascii="宋体" w:hAnsi="宋体" w:eastAsia="宋体" w:cs="宋体"/>
          <w:color w:val="000000"/>
          <w:sz w:val="24"/>
          <w:szCs w:val="24"/>
          <w:highlight w:val="none"/>
          <w:lang w:val="en-US" w:eastAsia="zh-CN"/>
        </w:rPr>
        <w:t xml:space="preserve">其他未列明行业</w:t>
      </w:r>
      <w:r>
        <w:rPr>
          <w:rFonts w:hint="eastAsia" w:ascii="宋体" w:hAnsi="宋体" w:eastAsia="宋体" w:cs="宋体"/>
          <w:color w:val="000000"/>
          <w:sz w:val="24"/>
          <w:szCs w:val="24"/>
          <w:highlight w:val="none"/>
        </w:rPr>
        <w:t xml:space="preserve">。投标人须为符合《关于印发中小企业划型标准规定的通知》 （工信部联企业[2011]300号） 文件的中小微企业（供应商投标时须提供《中小企业声明函》，否则按无效处理。）。</w:t>
      </w:r>
      <w:r/>
    </w:p>
    <w:p>
      <w:pPr>
        <w:pStyle w:val="612"/>
        <w:ind w:firstLine="480"/>
        <w:jc w:val="both"/>
        <w:spacing w:beforeAutospacing="0" w:afterAutospacing="0"/>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投标人具备有效期内的测绘乙级及以上资质。（专业范围须包含：界线与不动产测绘、地理信息系统工程、摄影测量与遥感、工程测量）</w:t>
      </w:r>
      <w:r>
        <w:rPr>
          <w:rFonts w:hint="eastAsia" w:ascii="宋体" w:hAnsi="宋体" w:eastAsia="宋体" w:cs="宋体"/>
          <w:color w:val="000000"/>
          <w:sz w:val="24"/>
          <w:szCs w:val="24"/>
          <w:highlight w:val="none"/>
          <w:lang w:val="en-US" w:eastAsia="zh-CN" w:bidi="ar-SA"/>
        </w:rPr>
        <w:t xml:space="preserve">。</w:t>
      </w:r>
      <w:r/>
    </w:p>
    <w:p>
      <w:pPr>
        <w:pStyle w:val="612"/>
        <w:ind w:firstLine="499"/>
        <w:jc w:val="both"/>
        <w:keepLines/>
        <w:keepNext/>
        <w:pageBreakBefore w:val="0"/>
        <w:spacing w:before="145" w:beforeAutospacing="0" w:after="145" w:afterAutospacing="0" w:line="40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三、获取招标文件</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bookmarkStart w:id="17" w:name="_Toc35393624"/>
      <w:r/>
      <w:bookmarkStart w:id="18" w:name="_Toc28359005"/>
      <w:r/>
      <w:bookmarkStart w:id="19" w:name="_Toc38985266"/>
      <w:r/>
      <w:bookmarkStart w:id="20" w:name="_Toc35393793"/>
      <w:r/>
      <w:bookmarkStart w:id="21" w:name="_Toc28359082"/>
      <w:r>
        <w:rPr>
          <w:rFonts w:hint="eastAsia" w:ascii="宋体" w:hAnsi="宋体" w:eastAsia="宋体" w:cs="宋体"/>
          <w:color w:val="000000"/>
          <w:sz w:val="24"/>
          <w:szCs w:val="24"/>
          <w:highlight w:val="none"/>
          <w:lang w:val="en-US" w:eastAsia="zh-CN" w:bidi="ar-SA"/>
        </w:rPr>
        <w:t xml:space="preserve">1.时间：</w:t>
      </w:r>
      <w:bookmarkEnd w:id="17"/>
      <w:r/>
      <w:bookmarkEnd w:id="18"/>
      <w:r/>
      <w:bookmarkEnd w:id="19"/>
      <w:r/>
      <w:bookmarkEnd w:id="20"/>
      <w:r/>
      <w:bookmarkEnd w:id="21"/>
      <w:r>
        <w:rPr>
          <w:rFonts w:hint="eastAsia" w:ascii="宋体" w:hAnsi="宋体" w:eastAsia="宋体" w:cs="宋体"/>
          <w:color w:val="000000"/>
          <w:sz w:val="24"/>
          <w:szCs w:val="24"/>
          <w:highlight w:val="none"/>
          <w:lang w:val="en-US" w:eastAsia="zh-CN" w:bidi="ar-SA"/>
        </w:rPr>
        <w:t xml:space="preserve">自招标文件公告发布之日起5个工作日。</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3.方式：本项目采用网上注册登记方式。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4.售价：0元</w:t>
      </w:r>
      <w:r/>
    </w:p>
    <w:p>
      <w:pPr>
        <w:pStyle w:val="612"/>
        <w:ind w:firstLine="499"/>
        <w:jc w:val="both"/>
        <w:keepLines/>
        <w:keepNext/>
        <w:pageBreakBefore w:val="0"/>
        <w:spacing w:before="145" w:beforeAutospacing="0" w:after="145"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四、提交投标文件截止时间、开标时间和地点</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bidi="ar-SA"/>
        </w:rPr>
        <w:t xml:space="preserve">时间：</w:t>
      </w:r>
      <w:r>
        <w:rPr>
          <w:rFonts w:hint="eastAsia" w:ascii="宋体" w:hAnsi="宋体" w:eastAsia="宋体" w:cs="宋体"/>
          <w:color w:val="000000"/>
          <w:sz w:val="24"/>
          <w:szCs w:val="24"/>
          <w:highlight w:val="none"/>
          <w:u w:val="single"/>
          <w:lang w:val="en-US" w:eastAsia="zh-CN"/>
        </w:rPr>
        <w:t xml:space="preserve">2025</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11</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27</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9</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 </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lang w:val="en-US" w:eastAsia="zh-CN" w:bidi="ar-SA"/>
        </w:rPr>
        <w:t xml:space="preserve">（北京时间）</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2.地点：苏采云“不见面”开标大厅。</w:t>
      </w:r>
      <w:r/>
    </w:p>
    <w:p>
      <w:pPr>
        <w:pStyle w:val="612"/>
        <w:ind w:firstLine="499"/>
        <w:jc w:val="both"/>
        <w:keepLines/>
        <w:keepNext/>
        <w:pageBreakBefore w:val="0"/>
        <w:spacing w:before="145" w:beforeAutospacing="0" w:after="145" w:afterAutospacing="0" w:line="400" w:lineRule="exact"/>
        <w:widowControl w:val="off"/>
        <w:rPr>
          <w:rFonts w:hint="eastAsia" w:ascii="宋体" w:hAnsi="宋体" w:eastAsia="宋体" w:cs="宋体"/>
          <w:sz w:val="24"/>
          <w:szCs w:val="24"/>
          <w:highlight w:val="none"/>
        </w:rPr>
      </w:pPr>
      <w:r/>
      <w:bookmarkStart w:id="22" w:name="_Toc35393794"/>
      <w:r/>
      <w:bookmarkStart w:id="23" w:name="_Toc28359007"/>
      <w:r/>
      <w:bookmarkStart w:id="24" w:name="_Toc28359084"/>
      <w:r/>
      <w:bookmarkStart w:id="25" w:name="_Toc35393625"/>
      <w:r/>
      <w:bookmarkStart w:id="26" w:name="_Toc38985267"/>
      <w:r>
        <w:rPr>
          <w:rFonts w:hint="eastAsia" w:ascii="宋体" w:hAnsi="宋体" w:eastAsia="宋体" w:cs="宋体"/>
          <w:b/>
          <w:color w:val="000000"/>
          <w:sz w:val="24"/>
          <w:szCs w:val="24"/>
          <w:highlight w:val="none"/>
        </w:rPr>
        <w:t xml:space="preserve">五、公告期限</w:t>
      </w:r>
      <w:bookmarkEnd w:id="22"/>
      <w:r/>
      <w:bookmarkEnd w:id="23"/>
      <w:r/>
      <w:bookmarkEnd w:id="24"/>
      <w:r/>
      <w:bookmarkEnd w:id="25"/>
      <w:r/>
      <w:bookmarkEnd w:id="26"/>
      <w:r/>
      <w:bookmarkStart w:id="204" w:name="_GoBack"/>
      <w:r/>
      <w:bookmarkEnd w:id="204"/>
      <w:r/>
      <w:r/>
    </w:p>
    <w:p>
      <w:pPr>
        <w:pStyle w:val="612"/>
        <w:ind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bookmarkStart w:id="27" w:name="_Toc38985268"/>
      <w:r/>
      <w:bookmarkStart w:id="28" w:name="_Toc35393795"/>
      <w:r/>
      <w:bookmarkStart w:id="29" w:name="_Toc35393626"/>
      <w:r>
        <w:rPr>
          <w:rFonts w:hint="eastAsia" w:ascii="宋体" w:hAnsi="宋体" w:eastAsia="宋体" w:cs="宋体"/>
          <w:color w:val="000000"/>
          <w:sz w:val="24"/>
          <w:szCs w:val="24"/>
          <w:highlight w:val="none"/>
          <w:lang w:val="en-US" w:eastAsia="zh-CN"/>
        </w:rPr>
        <w:t xml:space="preserve">自本公告发布之日起5个工作日。</w:t>
      </w:r>
      <w:bookmarkEnd w:id="27"/>
      <w:r/>
      <w:bookmarkEnd w:id="28"/>
      <w:r/>
      <w:bookmarkEnd w:id="29"/>
      <w:r/>
      <w:r/>
    </w:p>
    <w:p>
      <w:pPr>
        <w:pStyle w:val="612"/>
        <w:ind w:firstLine="499"/>
        <w:jc w:val="both"/>
        <w:keepLines/>
        <w:keepNext/>
        <w:pageBreakBefore w:val="0"/>
        <w:spacing w:before="145" w:beforeAutospacing="0" w:after="145"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pStyle w:val="612"/>
        <w:ind w:firstLine="480"/>
        <w:jc w:val="both"/>
        <w:spacing w:beforeAutospacing="0" w:afterAutospacing="0"/>
        <w:rPr>
          <w:rFonts w:hint="eastAsia" w:ascii="宋体" w:hAnsi="宋体" w:eastAsia="宋体" w:cs="宋体"/>
          <w:color w:val="000000"/>
          <w:sz w:val="24"/>
          <w:szCs w:val="24"/>
          <w:highlight w:val="none"/>
          <w:lang w:val="en-US" w:eastAsia="zh-CN"/>
        </w:rPr>
      </w:pPr>
      <w:r/>
      <w:bookmarkStart w:id="30" w:name="_Toc28359018"/>
      <w:r>
        <w:rPr>
          <w:rFonts w:hint="eastAsia" w:ascii="宋体" w:hAnsi="宋体" w:eastAsia="宋体" w:cs="宋体"/>
          <w:color w:val="000000"/>
          <w:sz w:val="24"/>
          <w:szCs w:val="24"/>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12"/>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612"/>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2.潜在供应商访问电子招标响应交易平台的网络地址和方法： </w:t>
      </w:r>
      <w:r/>
    </w:p>
    <w:p>
      <w:pPr>
        <w:pStyle w:val="612"/>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612"/>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2.2潜在投标人访问“苏采云”系统方法：江苏省政府采购网首页-“苏采云”链接。 </w:t>
      </w:r>
      <w:r/>
    </w:p>
    <w:p>
      <w:pPr>
        <w:pStyle w:val="612"/>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2.3采购文件（后缀名为“.kedt”）、供应商操作手册及政府采购客户端 工具可通过“苏采云”系统相应链接进行下载。 </w:t>
      </w:r>
      <w:r/>
    </w:p>
    <w:p>
      <w:pPr>
        <w:pStyle w:val="612"/>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2.4采购代理机构将数据电文形式的采购文件加载至“苏采云”系统，供潜在供应商下载或者查阅。 </w:t>
      </w:r>
      <w:r/>
    </w:p>
    <w:p>
      <w:pPr>
        <w:pStyle w:val="612"/>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2.5请潜在投标单位提前安装相应的控件（详见《“苏采云”系统供应商操作手册》）并使用谷歌浏览器登录“苏采云”系统参与不见面开评标。 </w:t>
      </w:r>
      <w:r/>
    </w:p>
    <w:p>
      <w:pPr>
        <w:pStyle w:val="612"/>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如潜在投标人未按上述要求操作，将自行承担所产生的风险。</w:t>
      </w:r>
      <w:r/>
    </w:p>
    <w:p>
      <w:pPr>
        <w:pStyle w:val="612"/>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3.有关本次招标的事项若存在变动或修改，敬请及时关注“中国政府采购网”“江苏政府采购网”“盐城市政府采购网”发布的更正公告。</w:t>
      </w:r>
      <w:r/>
    </w:p>
    <w:p>
      <w:pPr>
        <w:pStyle w:val="612"/>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4.本次招标不收取投标保证金，不收取质量保证金。</w:t>
      </w:r>
      <w:r/>
    </w:p>
    <w:p>
      <w:pPr>
        <w:pStyle w:val="612"/>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612"/>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6.电子投标文件一份（通过系统提交）；纸质投标文件正本一份，副本四份（评审结束后由中标候选人邮寄至（代理公司），未中标单位不需要提供）。</w:t>
      </w:r>
      <w:r/>
    </w:p>
    <w:p>
      <w:pPr>
        <w:pStyle w:val="612"/>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7.本项目支持节能环保产品（财库[2019]9号）、（财库</w:t>
      </w:r>
      <w:r>
        <w:rPr>
          <w:rFonts w:hint="eastAsia" w:ascii="宋体" w:hAnsi="宋体" w:eastAsia="宋体" w:cs="宋体"/>
          <w:color w:val="000000"/>
          <w:sz w:val="24"/>
          <w:szCs w:val="24"/>
          <w:highlight w:val="none"/>
          <w:lang w:val="en-US" w:eastAsia="zh-CN"/>
        </w:rPr>
        <w:t xml:space="preserve">[2019]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保险）的通知》（苏财购2023）150号））等政策。</w:t>
      </w:r>
      <w:r/>
    </w:p>
    <w:p>
      <w:pPr>
        <w:pStyle w:val="612"/>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根据《关于在政府采购活动中应用第三方信用报告落实“信易购”应用场景的通知》（盐财购（2021）19号），第三方信用服务机构依据标准规范评定为AA级及以上的政府采购供应商，可免费获取采购文件，需提供信用管理部门备案的第三方信用报告，且信用报告通过“信用盐城网”可查实。</w:t>
      </w:r>
      <w:r/>
    </w:p>
    <w:p>
      <w:pPr>
        <w:pStyle w:val="612"/>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9.各投标人在投标截止时间前应当每天都上网查询，以便获取更新的澄清、修改、补充内容。凡涉及该项目的补充说明和修改，均以江苏政府采购网上的更正或补充通知为准。</w:t>
      </w:r>
      <w:r/>
    </w:p>
    <w:p>
      <w:pPr>
        <w:pStyle w:val="612"/>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10.因供应商的系统环境、操作等原因导致报名、开评标过程中出现问题由供应商自行承担负责。</w:t>
      </w:r>
      <w:r/>
    </w:p>
    <w:p>
      <w:pPr>
        <w:pStyle w:val="612"/>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七、对本次招标提出询问，请按以下方式联系。</w:t>
      </w:r>
      <w:bookmarkEnd w:id="30"/>
      <w:r/>
      <w:r/>
    </w:p>
    <w:p>
      <w:pPr>
        <w:pStyle w:val="612"/>
        <w:ind w:firstLine="480"/>
        <w:jc w:val="both"/>
        <w:spacing w:beforeAutospacing="0" w:afterAutospacing="0"/>
        <w:rPr>
          <w:rFonts w:hint="eastAsia" w:ascii="宋体" w:hAnsi="宋体" w:eastAsia="宋体" w:cs="宋体"/>
          <w:color w:val="000000"/>
          <w:sz w:val="24"/>
          <w:szCs w:val="24"/>
          <w:highlight w:val="none"/>
          <w:lang w:val="en-US" w:eastAsia="zh-CN"/>
        </w:rPr>
      </w:pPr>
      <w:r/>
      <w:bookmarkStart w:id="31" w:name="_Toc28359009"/>
      <w:r>
        <w:rPr>
          <w:rFonts w:hint="eastAsia" w:ascii="宋体" w:hAnsi="宋体" w:eastAsia="宋体" w:cs="宋体"/>
          <w:color w:val="000000"/>
          <w:sz w:val="24"/>
          <w:szCs w:val="24"/>
          <w:highlight w:val="none"/>
          <w:lang w:val="en-US" w:eastAsia="zh-CN"/>
        </w:rPr>
        <w:t xml:space="preserve">1.采购人信息</w:t>
      </w:r>
      <w:r/>
    </w:p>
    <w:p>
      <w:pPr>
        <w:pStyle w:val="612"/>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名 称：响水县农业农村局  </w:t>
      </w:r>
      <w:r/>
    </w:p>
    <w:p>
      <w:pPr>
        <w:pStyle w:val="612"/>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 址：江苏省盐城市响水县珠江路9号   </w:t>
      </w:r>
      <w:r/>
    </w:p>
    <w:p>
      <w:pPr>
        <w:pStyle w:val="612"/>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联系人：殷先生    </w:t>
      </w:r>
      <w:r/>
    </w:p>
    <w:p>
      <w:pPr>
        <w:pStyle w:val="612"/>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联系方式：0515-69855595                   </w:t>
      </w:r>
      <w:r/>
    </w:p>
    <w:p>
      <w:pPr>
        <w:pStyle w:val="612"/>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2.采购代理机构信息</w:t>
      </w:r>
      <w:r/>
    </w:p>
    <w:p>
      <w:pPr>
        <w:pStyle w:val="612"/>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名 称：正中国际项目管理集团有限公司  </w:t>
      </w:r>
      <w:r/>
    </w:p>
    <w:p>
      <w:pPr>
        <w:pStyle w:val="612"/>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 址：盐城市人民南路紫薇曼哈顿7楼 </w:t>
      </w:r>
      <w:r/>
    </w:p>
    <w:p>
      <w:pPr>
        <w:pStyle w:val="612"/>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联系人：邵先生                      </w:t>
      </w:r>
      <w:r/>
    </w:p>
    <w:p>
      <w:pPr>
        <w:pStyle w:val="612"/>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联系方式：15195195950              </w:t>
      </w:r>
      <w:r/>
    </w:p>
    <w:p>
      <w:pPr>
        <w:pStyle w:val="612"/>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3.项目联系方式</w:t>
      </w:r>
      <w:r/>
    </w:p>
    <w:p>
      <w:pPr>
        <w:pStyle w:val="612"/>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项目联系人：邵先生 </w:t>
      </w:r>
      <w:r/>
    </w:p>
    <w:p>
      <w:pPr>
        <w:pStyle w:val="612"/>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电　 　 话：15195195950 　</w:t>
      </w:r>
      <w:r/>
    </w:p>
    <w:p>
      <w:pPr>
        <w:pStyle w:val="612"/>
        <w:ind w:firstLine="480"/>
        <w:jc w:val="right"/>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响水县农业农村局</w:t>
      </w:r>
      <w:r/>
    </w:p>
    <w:p>
      <w:pPr>
        <w:pStyle w:val="612"/>
        <w:ind w:firstLine="480"/>
        <w:jc w:val="right"/>
        <w:spacing w:beforeAutospacing="0" w:afterAutospacing="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2025年11月6日</w:t>
      </w:r>
      <w:r/>
    </w:p>
    <w:p>
      <w:pPr>
        <w:pStyle w:val="612"/>
        <w:jc w:val="center"/>
        <w:spacing w:beforeAutospacing="0" w:afterAutospacing="0"/>
        <w:rPr>
          <w:rFonts w:hint="eastAsia" w:ascii="黑体" w:hAnsi="宋体" w:eastAsia="黑体" w:cs="黑体"/>
          <w:color w:val="000000"/>
          <w:sz w:val="44"/>
          <w:szCs w:val="44"/>
          <w:highlight w:val="none"/>
        </w:rPr>
      </w:pPr>
      <w:r>
        <w:rPr>
          <w:highlight w:val="none"/>
        </w:rPr>
      </w:r>
      <w:r>
        <w:rPr>
          <w:highlight w:val="none"/>
        </w:rPr>
      </w:r>
    </w:p>
    <w:p>
      <w:pPr>
        <w:pStyle w:val="612"/>
        <w:jc w:val="center"/>
        <w:spacing w:beforeAutospacing="0" w:afterAutospacing="0"/>
        <w:rPr>
          <w:highlight w:val="none"/>
        </w:rPr>
      </w:pPr>
      <w:r>
        <w:rPr>
          <w:highlight w:val="none"/>
        </w:rPr>
      </w:r>
      <w:r>
        <w:rPr>
          <w:highlight w:val="none"/>
        </w:rPr>
      </w:r>
    </w:p>
    <w:p>
      <w:pPr>
        <w:pStyle w:val="612"/>
        <w:jc w:val="center"/>
        <w:spacing w:beforeAutospacing="0" w:afterAutospacing="0"/>
        <w:rPr>
          <w:highlight w:val="none"/>
        </w:rPr>
      </w:pPr>
      <w:r>
        <w:rPr>
          <w:highlight w:val="none"/>
        </w:rPr>
      </w:r>
      <w:r>
        <w:rPr>
          <w:highlight w:val="none"/>
        </w:rPr>
      </w:r>
    </w:p>
    <w:p>
      <w:pPr>
        <w:pStyle w:val="612"/>
        <w:jc w:val="center"/>
        <w:spacing w:beforeAutospacing="0" w:afterAutospacing="0"/>
        <w:rPr>
          <w:highlight w:val="none"/>
        </w:rPr>
      </w:pPr>
      <w:r>
        <w:rPr>
          <w:highlight w:val="none"/>
        </w:rPr>
      </w:r>
      <w:r>
        <w:rPr>
          <w:highlight w:val="none"/>
        </w:rPr>
      </w:r>
    </w:p>
    <w:p>
      <w:pPr>
        <w:pStyle w:val="612"/>
        <w:jc w:val="center"/>
        <w:spacing w:beforeAutospacing="0" w:afterAutospacing="0"/>
        <w:rPr>
          <w:highlight w:val="none"/>
        </w:rPr>
      </w:pPr>
      <w:r>
        <w:rPr>
          <w:highlight w:val="none"/>
        </w:rPr>
      </w:r>
      <w:r>
        <w:rPr>
          <w:highlight w:val="none"/>
        </w:rPr>
      </w:r>
    </w:p>
    <w:p>
      <w:pPr>
        <w:pStyle w:val="612"/>
        <w:jc w:val="center"/>
        <w:spacing w:beforeAutospacing="0" w:afterAutospacing="0"/>
        <w:rPr>
          <w:highlight w:val="none"/>
        </w:rPr>
      </w:pPr>
      <w:r>
        <w:rPr>
          <w:highlight w:val="none"/>
        </w:rPr>
      </w:r>
      <w:r>
        <w:rPr>
          <w:highlight w:val="none"/>
        </w:rPr>
      </w:r>
    </w:p>
    <w:p>
      <w:pPr>
        <w:pStyle w:val="612"/>
        <w:jc w:val="center"/>
        <w:spacing w:beforeAutospacing="0" w:afterAutospacing="0"/>
        <w:rPr>
          <w:highlight w:val="none"/>
        </w:rPr>
      </w:pPr>
      <w:r>
        <w:rPr>
          <w:highlight w:val="none"/>
        </w:rPr>
      </w:r>
      <w:r>
        <w:rPr>
          <w:highlight w:val="none"/>
        </w:rPr>
      </w:r>
    </w:p>
    <w:p>
      <w:pPr>
        <w:pStyle w:val="612"/>
        <w:jc w:val="center"/>
        <w:spacing w:beforeAutospacing="0" w:afterAutospacing="0"/>
        <w:rPr>
          <w:highlight w:val="none"/>
        </w:rPr>
      </w:pPr>
      <w:r>
        <w:rPr>
          <w:highlight w:val="none"/>
        </w:rPr>
      </w:r>
      <w:r>
        <w:rPr>
          <w:highlight w:val="none"/>
        </w:rPr>
      </w:r>
    </w:p>
    <w:p>
      <w:pPr>
        <w:pStyle w:val="612"/>
        <w:jc w:val="center"/>
        <w:spacing w:beforeAutospacing="0" w:afterAutospacing="0"/>
        <w:rPr>
          <w:highlight w:val="none"/>
        </w:rPr>
      </w:pPr>
      <w:r>
        <w:rPr>
          <w:highlight w:val="none"/>
        </w:rPr>
      </w:r>
      <w:r>
        <w:rPr>
          <w:highlight w:val="none"/>
        </w:rPr>
      </w:r>
    </w:p>
    <w:p>
      <w:pPr>
        <w:pStyle w:val="612"/>
        <w:jc w:val="center"/>
        <w:spacing w:beforeAutospacing="0" w:afterAutospacing="0"/>
        <w:rPr>
          <w:highlight w:val="none"/>
        </w:rPr>
      </w:pPr>
      <w:r>
        <w:rPr>
          <w:highlight w:val="none"/>
        </w:rPr>
      </w:r>
      <w:r>
        <w:rPr>
          <w:highlight w:val="none"/>
        </w:rPr>
      </w:r>
    </w:p>
    <w:p>
      <w:pPr>
        <w:pStyle w:val="612"/>
        <w:jc w:val="center"/>
        <w:spacing w:beforeAutospacing="0" w:afterAutospacing="0"/>
        <w:rPr>
          <w:highlight w:val="none"/>
        </w:rPr>
      </w:pPr>
      <w:r>
        <w:rPr>
          <w:highlight w:val="none"/>
        </w:rPr>
      </w:r>
      <w:r>
        <w:rPr>
          <w:highlight w:val="none"/>
        </w:rPr>
      </w:r>
    </w:p>
    <w:p>
      <w:pPr>
        <w:pStyle w:val="612"/>
        <w:jc w:val="center"/>
        <w:spacing w:beforeAutospacing="0" w:afterAutospacing="0"/>
        <w:rPr>
          <w:highlight w:val="none"/>
        </w:rPr>
      </w:pPr>
      <w:r>
        <w:rPr>
          <w:highlight w:val="none"/>
        </w:rPr>
      </w:r>
      <w:r>
        <w:rPr>
          <w:highlight w:val="none"/>
        </w:rPr>
      </w:r>
    </w:p>
    <w:p>
      <w:pPr>
        <w:pStyle w:val="612"/>
        <w:jc w:val="center"/>
        <w:spacing w:beforeAutospacing="0" w:afterAutospacing="0"/>
        <w:rPr>
          <w:highlight w:val="none"/>
        </w:rPr>
      </w:pPr>
      <w:r>
        <w:rPr>
          <w:highlight w:val="none"/>
        </w:rPr>
      </w:r>
      <w:r>
        <w:rPr>
          <w:highlight w:val="none"/>
        </w:rPr>
      </w:r>
    </w:p>
    <w:p>
      <w:pPr>
        <w:pStyle w:val="612"/>
        <w:jc w:val="center"/>
        <w:spacing w:beforeAutospacing="0" w:afterAutospacing="0"/>
        <w:rPr>
          <w:highlight w:val="none"/>
        </w:rPr>
      </w:pPr>
      <w:r>
        <w:rPr>
          <w:highlight w:val="none"/>
        </w:rPr>
      </w:r>
      <w:r>
        <w:rPr>
          <w:highlight w:val="none"/>
        </w:rPr>
      </w:r>
    </w:p>
    <w:p>
      <w:pPr>
        <w:pStyle w:val="612"/>
        <w:jc w:val="center"/>
        <w:spacing w:beforeAutospacing="0" w:afterAutospacing="0"/>
        <w:rPr>
          <w:highlight w:val="none"/>
        </w:rPr>
      </w:pPr>
      <w:r>
        <w:rPr>
          <w:highlight w:val="none"/>
        </w:rPr>
      </w:r>
      <w:r>
        <w:rPr>
          <w:highlight w:val="none"/>
        </w:rPr>
      </w:r>
    </w:p>
    <w:p>
      <w:pPr>
        <w:pStyle w:val="612"/>
        <w:jc w:val="center"/>
        <w:spacing w:beforeAutospacing="0" w:afterAutospacing="0"/>
        <w:rPr>
          <w:highlight w:val="none"/>
        </w:rPr>
      </w:pPr>
      <w:r>
        <w:rPr>
          <w:highlight w:val="none"/>
        </w:rPr>
      </w:r>
      <w:r>
        <w:rPr>
          <w:highlight w:val="none"/>
        </w:rPr>
      </w:r>
    </w:p>
    <w:p>
      <w:pPr>
        <w:pStyle w:val="612"/>
        <w:jc w:val="center"/>
        <w:spacing w:beforeAutospacing="0" w:afterAutospacing="0"/>
        <w:rPr>
          <w:highlight w:val="none"/>
        </w:rPr>
      </w:pPr>
      <w:r>
        <w:rPr>
          <w:highlight w:val="none"/>
        </w:rPr>
      </w:r>
      <w:r>
        <w:rPr>
          <w:highlight w:val="none"/>
        </w:rPr>
      </w:r>
    </w:p>
    <w:p>
      <w:pPr>
        <w:pStyle w:val="612"/>
        <w:jc w:val="center"/>
        <w:spacing w:beforeAutospacing="0" w:afterAutospacing="0"/>
        <w:rPr>
          <w:highlight w:val="none"/>
        </w:rPr>
      </w:pPr>
      <w:r>
        <w:rPr>
          <w:highlight w:val="none"/>
        </w:rPr>
      </w:r>
      <w:r>
        <w:rPr>
          <w:highlight w:val="none"/>
        </w:rPr>
      </w:r>
    </w:p>
    <w:p>
      <w:pPr>
        <w:pStyle w:val="612"/>
        <w:jc w:val="center"/>
        <w:spacing w:beforeAutospacing="0" w:afterAutospacing="0"/>
        <w:rPr>
          <w:highlight w:val="none"/>
        </w:rPr>
      </w:pPr>
      <w:r>
        <w:rPr>
          <w:highlight w:val="none"/>
        </w:rPr>
      </w:r>
      <w:r>
        <w:rPr>
          <w:highlight w:val="none"/>
        </w:rPr>
      </w:r>
    </w:p>
    <w:p>
      <w:pPr>
        <w:pStyle w:val="612"/>
        <w:jc w:val="center"/>
        <w:spacing w:beforeAutospacing="0" w:afterAutospacing="0"/>
        <w:rPr>
          <w:highlight w:val="none"/>
        </w:rPr>
      </w:pPr>
      <w:r>
        <w:rPr>
          <w:highlight w:val="none"/>
        </w:rPr>
      </w:r>
      <w:r>
        <w:rPr>
          <w:highlight w:val="none"/>
        </w:rPr>
      </w:r>
    </w:p>
    <w:p>
      <w:pPr>
        <w:pStyle w:val="612"/>
        <w:jc w:val="center"/>
        <w:spacing w:beforeAutospacing="0" w:afterAutospacing="0"/>
        <w:rPr>
          <w:highlight w:val="none"/>
        </w:rPr>
      </w:pPr>
      <w:r>
        <w:rPr>
          <w:highlight w:val="none"/>
        </w:rPr>
      </w:r>
      <w:r>
        <w:rPr>
          <w:highlight w:val="none"/>
        </w:rPr>
      </w:r>
    </w:p>
    <w:p>
      <w:pPr>
        <w:pStyle w:val="612"/>
        <w:jc w:val="center"/>
        <w:spacing w:beforeAutospacing="0" w:afterAutospacing="0"/>
        <w:rPr>
          <w:highlight w:val="none"/>
        </w:rPr>
      </w:pPr>
      <w:r>
        <w:rPr>
          <w:highlight w:val="none"/>
        </w:rPr>
      </w:r>
      <w:r>
        <w:rPr>
          <w:highlight w:val="none"/>
        </w:rPr>
      </w:r>
    </w:p>
    <w:p>
      <w:pPr>
        <w:pStyle w:val="612"/>
        <w:jc w:val="center"/>
        <w:spacing w:beforeAutospacing="0" w:afterAutospacing="0"/>
        <w:rPr>
          <w:highlight w:val="none"/>
        </w:rPr>
      </w:pPr>
      <w:r>
        <w:rPr>
          <w:highlight w:val="none"/>
        </w:rPr>
      </w:r>
      <w:r>
        <w:rPr>
          <w:highlight w:val="none"/>
        </w:rPr>
      </w:r>
    </w:p>
    <w:p>
      <w:pPr>
        <w:pStyle w:val="612"/>
        <w:jc w:val="center"/>
        <w:spacing w:beforeAutospacing="0" w:afterAutospacing="0"/>
        <w:rPr>
          <w:highlight w:val="none"/>
        </w:rPr>
      </w:pPr>
      <w:r>
        <w:rPr>
          <w:highlight w:val="none"/>
        </w:rPr>
      </w:r>
      <w:r>
        <w:rPr>
          <w:highlight w:val="none"/>
        </w:rPr>
      </w:r>
    </w:p>
    <w:p>
      <w:pPr>
        <w:pStyle w:val="612"/>
        <w:jc w:val="center"/>
        <w:spacing w:beforeAutospacing="0" w:afterAutospacing="0"/>
        <w:rPr>
          <w:highlight w:val="none"/>
        </w:rPr>
      </w:pPr>
      <w:r>
        <w:rPr>
          <w:highlight w:val="none"/>
        </w:rPr>
      </w:r>
      <w:r>
        <w:rPr>
          <w:highlight w:val="none"/>
        </w:rPr>
      </w:r>
    </w:p>
    <w:p>
      <w:pPr>
        <w:pStyle w:val="612"/>
        <w:jc w:val="center"/>
        <w:spacing w:beforeAutospacing="0" w:afterAutospacing="0"/>
        <w:rPr>
          <w:highlight w:val="none"/>
        </w:rPr>
      </w:pPr>
      <w:r>
        <w:rPr>
          <w:highlight w:val="none"/>
        </w:rPr>
      </w:r>
      <w:r>
        <w:rPr>
          <w:highlight w:val="none"/>
        </w:rPr>
      </w:r>
    </w:p>
    <w:p>
      <w:pPr>
        <w:pStyle w:val="612"/>
        <w:jc w:val="center"/>
        <w:spacing w:beforeAutospacing="0" w:afterAutospacing="0"/>
        <w:rPr>
          <w:highlight w:val="none"/>
        </w:rPr>
      </w:pPr>
      <w:r>
        <w:rPr>
          <w:highlight w:val="none"/>
        </w:rPr>
      </w:r>
      <w:r>
        <w:rPr>
          <w:highlight w:val="none"/>
        </w:rPr>
      </w:r>
    </w:p>
    <w:p>
      <w:pPr>
        <w:pStyle w:val="612"/>
        <w:jc w:val="center"/>
        <w:spacing w:beforeAutospacing="0" w:afterAutospacing="0"/>
        <w:rPr>
          <w:highlight w:val="none"/>
        </w:rPr>
      </w:pPr>
      <w:r>
        <w:rPr>
          <w:highlight w:val="none"/>
        </w:rPr>
      </w:r>
      <w:r>
        <w:rPr>
          <w:highlight w:val="none"/>
        </w:rPr>
      </w:r>
    </w:p>
    <w:p>
      <w:pPr>
        <w:pStyle w:val="612"/>
        <w:jc w:val="center"/>
        <w:spacing w:beforeAutospacing="0" w:afterAutospacing="0"/>
        <w:rPr>
          <w:highlight w:val="none"/>
        </w:rPr>
      </w:pPr>
      <w:r>
        <w:rPr>
          <w:highlight w:val="none"/>
        </w:rPr>
      </w:r>
      <w:r>
        <w:rPr>
          <w:highlight w:val="none"/>
        </w:rPr>
      </w:r>
    </w:p>
    <w:p>
      <w:pPr>
        <w:pStyle w:val="612"/>
        <w:jc w:val="center"/>
        <w:spacing w:beforeAutospacing="0" w:afterAutospacing="0"/>
        <w:rPr>
          <w:highlight w:val="none"/>
        </w:rPr>
      </w:pPr>
      <w:r>
        <w:rPr>
          <w:highlight w:val="none"/>
        </w:rPr>
      </w:r>
      <w:r>
        <w:rPr>
          <w:highlight w:val="none"/>
        </w:rPr>
      </w:r>
    </w:p>
    <w:p>
      <w:pPr>
        <w:pStyle w:val="612"/>
        <w:jc w:val="center"/>
        <w:spacing w:beforeAutospacing="0" w:afterAutospacing="0"/>
        <w:rPr>
          <w:highlight w:val="none"/>
        </w:rPr>
      </w:pPr>
      <w:r>
        <w:rPr>
          <w:highlight w:val="none"/>
        </w:rPr>
      </w:r>
      <w:r>
        <w:rPr>
          <w:highlight w:val="none"/>
        </w:rPr>
      </w:r>
    </w:p>
    <w:p>
      <w:pPr>
        <w:pStyle w:val="612"/>
        <w:jc w:val="center"/>
        <w:spacing w:beforeAutospacing="0" w:afterAutospacing="0"/>
        <w:rPr>
          <w:highlight w:val="none"/>
        </w:rPr>
      </w:pPr>
      <w:r>
        <w:rPr>
          <w:highlight w:val="none"/>
        </w:rPr>
      </w:r>
      <w:r>
        <w:rPr>
          <w:highlight w:val="none"/>
        </w:rPr>
      </w:r>
    </w:p>
    <w:p>
      <w:pPr>
        <w:pStyle w:val="612"/>
        <w:jc w:val="center"/>
        <w:spacing w:beforeAutospacing="0" w:afterAutospacing="0"/>
        <w:rPr>
          <w:highlight w:val="none"/>
        </w:rPr>
      </w:pPr>
      <w:r>
        <w:rPr>
          <w:highlight w:val="none"/>
        </w:rPr>
      </w:r>
      <w:r>
        <w:rPr>
          <w:highlight w:val="none"/>
        </w:rPr>
      </w:r>
    </w:p>
    <w:p>
      <w:pPr>
        <w:pStyle w:val="612"/>
        <w:jc w:val="center"/>
        <w:spacing w:beforeAutospacing="0" w:afterAutospacing="0"/>
        <w:rPr>
          <w:highlight w:val="none"/>
        </w:rPr>
      </w:pPr>
      <w:r>
        <w:rPr>
          <w:highlight w:val="none"/>
        </w:rPr>
      </w:r>
      <w:r>
        <w:rPr>
          <w:highlight w:val="none"/>
        </w:rPr>
      </w:r>
    </w:p>
    <w:p>
      <w:pPr>
        <w:pStyle w:val="612"/>
        <w:jc w:val="center"/>
        <w:spacing w:beforeAutospacing="0" w:afterAutospacing="0"/>
        <w:rPr>
          <w:highlight w:val="none"/>
        </w:rPr>
      </w:pPr>
      <w:r>
        <w:rPr>
          <w:highlight w:val="none"/>
        </w:rPr>
      </w:r>
      <w:r>
        <w:rPr>
          <w:highlight w:val="none"/>
        </w:rPr>
      </w:r>
    </w:p>
    <w:p>
      <w:pPr>
        <w:pStyle w:val="612"/>
        <w:jc w:val="center"/>
        <w:spacing w:beforeAutospacing="0" w:afterAutospacing="0"/>
        <w:rPr>
          <w:highlight w:val="none"/>
        </w:rPr>
      </w:pPr>
      <w:r>
        <w:rPr>
          <w:highlight w:val="none"/>
        </w:rPr>
      </w:r>
      <w:r>
        <w:rPr>
          <w:highlight w:val="none"/>
        </w:rPr>
      </w:r>
    </w:p>
    <w:p>
      <w:pPr>
        <w:pStyle w:val="612"/>
        <w:jc w:val="center"/>
        <w:spacing w:beforeAutospacing="0" w:afterAutospacing="0"/>
        <w:rPr>
          <w:highlight w:val="none"/>
        </w:rPr>
      </w:pPr>
      <w:r>
        <w:rPr>
          <w:highlight w:val="none"/>
        </w:rPr>
      </w:r>
      <w:r>
        <w:rPr>
          <w:highlight w:val="none"/>
        </w:rPr>
      </w:r>
    </w:p>
    <w:p>
      <w:pPr>
        <w:pStyle w:val="612"/>
        <w:jc w:val="center"/>
        <w:spacing w:beforeAutospacing="0" w:afterAutospacing="0"/>
        <w:rPr>
          <w:highlight w:val="none"/>
        </w:rPr>
      </w:pPr>
      <w:r>
        <w:rPr>
          <w:highlight w:val="none"/>
        </w:rPr>
      </w:r>
      <w:r>
        <w:rPr>
          <w:highlight w:val="none"/>
        </w:rPr>
      </w:r>
    </w:p>
    <w:p>
      <w:pPr>
        <w:pStyle w:val="612"/>
        <w:jc w:val="center"/>
        <w:spacing w:beforeAutospacing="0" w:afterAutospacing="0"/>
        <w:rPr>
          <w:highlight w:val="none"/>
        </w:rPr>
      </w:pPr>
      <w:r>
        <w:rPr>
          <w:highlight w:val="none"/>
        </w:rPr>
      </w:r>
      <w:r>
        <w:rPr>
          <w:highlight w:val="none"/>
        </w:rPr>
      </w:r>
    </w:p>
    <w:p>
      <w:pPr>
        <w:pStyle w:val="612"/>
        <w:jc w:val="center"/>
        <w:spacing w:beforeAutospacing="0" w:afterAutospacing="0"/>
        <w:rPr>
          <w:highlight w:val="none"/>
        </w:rPr>
      </w:pPr>
      <w:r/>
      <w:bookmarkStart w:id="32" w:name="_Toc120614211"/>
      <w:r>
        <w:rPr>
          <w:rFonts w:hint="eastAsia" w:ascii="黑体" w:hAnsi="宋体" w:eastAsia="黑体" w:cs="黑体"/>
          <w:color w:val="000000"/>
          <w:sz w:val="44"/>
          <w:szCs w:val="44"/>
          <w:highlight w:val="none"/>
        </w:rPr>
        <w:t xml:space="preserve">第二章  </w:t>
      </w:r>
      <w:bookmarkEnd w:id="32"/>
      <w:r/>
      <w:bookmarkStart w:id="33" w:name="_Toc16938518"/>
      <w:r/>
      <w:bookmarkStart w:id="34" w:name="_Toc513029202"/>
      <w:r/>
      <w:bookmarkStart w:id="35" w:name="_Toc120614213"/>
      <w:r/>
      <w:bookmarkStart w:id="36" w:name="_Toc20823274"/>
      <w:r>
        <w:rPr>
          <w:rFonts w:hint="eastAsia" w:ascii="黑体" w:hAnsi="宋体" w:eastAsia="黑体" w:cs="黑体"/>
          <w:color w:val="000000"/>
          <w:sz w:val="44"/>
          <w:szCs w:val="44"/>
          <w:highlight w:val="none"/>
        </w:rPr>
        <w:t xml:space="preserve">投标人须知</w:t>
      </w:r>
      <w:bookmarkEnd w:id="33"/>
      <w:r/>
      <w:bookmarkEnd w:id="34"/>
      <w:r/>
      <w:bookmarkEnd w:id="35"/>
      <w:r/>
      <w:bookmarkEnd w:id="36"/>
      <w:r/>
      <w:r/>
    </w:p>
    <w:p>
      <w:pPr>
        <w:pStyle w:val="612"/>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37" w:name="_Toc120614214"/>
      <w:r/>
      <w:bookmarkStart w:id="38" w:name="_Toc16938519"/>
      <w:r/>
      <w:bookmarkStart w:id="39" w:name="_Toc513029203"/>
      <w:r/>
      <w:bookmarkStart w:id="40" w:name="_Toc20823275"/>
      <w:r>
        <w:rPr>
          <w:rFonts w:hint="eastAsia" w:ascii="宋体" w:hAnsi="宋体" w:eastAsia="宋体" w:cs="宋体"/>
          <w:b/>
          <w:color w:val="000000"/>
          <w:sz w:val="24"/>
          <w:szCs w:val="24"/>
          <w:highlight w:val="none"/>
        </w:rPr>
        <w:t xml:space="preserve">一、总则</w:t>
      </w:r>
      <w:bookmarkEnd w:id="37"/>
      <w:r/>
      <w:bookmarkEnd w:id="38"/>
      <w:r/>
      <w:bookmarkEnd w:id="39"/>
      <w:r/>
      <w:bookmarkEnd w:id="40"/>
      <w:r/>
      <w:r/>
    </w:p>
    <w:p>
      <w:pPr>
        <w:pStyle w:val="612"/>
        <w:ind w:firstLine="420"/>
        <w:jc w:val="both"/>
        <w:keepLines/>
        <w:keepNext/>
        <w:spacing w:beforeAutospacing="0" w:afterAutospacing="0"/>
        <w:rPr>
          <w:rFonts w:hint="eastAsia" w:ascii="宋体" w:hAnsi="宋体" w:eastAsia="宋体" w:cs="宋体"/>
          <w:sz w:val="24"/>
          <w:szCs w:val="24"/>
          <w:highlight w:val="none"/>
        </w:rPr>
      </w:pPr>
      <w:r/>
      <w:bookmarkStart w:id="41" w:name="_Toc16938520"/>
      <w:r/>
      <w:bookmarkStart w:id="42" w:name="_Toc20823276"/>
      <w:r/>
      <w:bookmarkStart w:id="43" w:name="_Toc513029204"/>
      <w:r/>
      <w:bookmarkStart w:id="44" w:name="_Toc458694821"/>
      <w:r/>
      <w:bookmarkStart w:id="45" w:name="_Hlt16619475"/>
      <w:r>
        <w:rPr>
          <w:rFonts w:hint="eastAsia" w:ascii="宋体" w:hAnsi="宋体" w:eastAsia="宋体" w:cs="宋体"/>
          <w:color w:val="000000"/>
          <w:sz w:val="24"/>
          <w:szCs w:val="24"/>
          <w:highlight w:val="none"/>
        </w:rPr>
        <w:t xml:space="preserve">1</w:t>
      </w:r>
      <w:bookmarkEnd w:id="41"/>
      <w:r>
        <w:rPr>
          <w:rFonts w:hint="eastAsia" w:ascii="宋体" w:hAnsi="宋体" w:eastAsia="宋体" w:cs="宋体"/>
          <w:color w:val="000000"/>
          <w:sz w:val="24"/>
          <w:szCs w:val="24"/>
          <w:highlight w:val="none"/>
        </w:rPr>
        <w:t xml:space="preserve">、招标方式</w:t>
      </w:r>
      <w:bookmarkEnd w:id="42"/>
      <w:r/>
      <w:bookmarkEnd w:id="43"/>
      <w:r/>
      <w:bookmarkEnd w:id="44"/>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1.1本次招标采取公开招标方式，本招标文件仅适用于招标公告中所述项目。</w:t>
      </w:r>
      <w:r/>
    </w:p>
    <w:p>
      <w:pPr>
        <w:pStyle w:val="612"/>
        <w:ind w:firstLine="420"/>
        <w:jc w:val="both"/>
        <w:keepLines/>
        <w:keepNext/>
        <w:spacing w:beforeAutospacing="0" w:afterAutospacing="0"/>
        <w:rPr>
          <w:rFonts w:hint="eastAsia" w:ascii="宋体" w:hAnsi="宋体" w:eastAsia="宋体" w:cs="宋体"/>
          <w:sz w:val="24"/>
          <w:szCs w:val="24"/>
          <w:highlight w:val="none"/>
        </w:rPr>
      </w:pPr>
      <w:r/>
      <w:bookmarkStart w:id="46" w:name="_Toc20823277"/>
      <w:r/>
      <w:bookmarkStart w:id="47" w:name="_Toc513029205"/>
      <w:r/>
      <w:bookmarkStart w:id="48" w:name="_Toc16938521"/>
      <w:r>
        <w:rPr>
          <w:rFonts w:hint="eastAsia" w:ascii="宋体" w:hAnsi="宋体" w:eastAsia="宋体" w:cs="宋体"/>
          <w:color w:val="000000"/>
          <w:sz w:val="24"/>
          <w:szCs w:val="24"/>
          <w:highlight w:val="none"/>
        </w:rPr>
        <w:t xml:space="preserve">2、合格的投标人</w:t>
      </w:r>
      <w:bookmarkEnd w:id="46"/>
      <w:r/>
      <w:bookmarkEnd w:id="47"/>
      <w:r/>
      <w:bookmarkEnd w:id="48"/>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2.2满足本文件实质性要求和条件的规定。</w:t>
      </w:r>
      <w:r/>
    </w:p>
    <w:p>
      <w:pPr>
        <w:pStyle w:val="612"/>
        <w:ind w:firstLine="420"/>
        <w:jc w:val="both"/>
        <w:keepLines/>
        <w:keepNext/>
        <w:spacing w:beforeAutospacing="0" w:afterAutospacing="0"/>
        <w:rPr>
          <w:rFonts w:hint="eastAsia" w:ascii="宋体" w:hAnsi="宋体" w:eastAsia="宋体" w:cs="宋体"/>
          <w:sz w:val="24"/>
          <w:szCs w:val="24"/>
          <w:highlight w:val="none"/>
        </w:rPr>
      </w:pPr>
      <w:r/>
      <w:bookmarkStart w:id="49" w:name="_Toc16938522"/>
      <w:r/>
      <w:bookmarkStart w:id="50" w:name="_Toc20823278"/>
      <w:r/>
      <w:bookmarkStart w:id="51" w:name="_Toc513029206"/>
      <w:r>
        <w:rPr>
          <w:rFonts w:hint="eastAsia" w:ascii="宋体" w:hAnsi="宋体" w:eastAsia="宋体" w:cs="宋体"/>
          <w:color w:val="000000"/>
          <w:sz w:val="24"/>
          <w:szCs w:val="24"/>
          <w:highlight w:val="none"/>
        </w:rPr>
        <w:t xml:space="preserve">3、适用法律</w:t>
      </w:r>
      <w:bookmarkEnd w:id="49"/>
      <w:r/>
      <w:bookmarkEnd w:id="50"/>
      <w:r/>
      <w:bookmarkEnd w:id="51"/>
      <w:r/>
      <w:r/>
    </w:p>
    <w:p>
      <w:pPr>
        <w:pStyle w:val="612"/>
        <w:ind w:firstLine="42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3.1本次招标及由此产生的合同受中华人民共和国有关的法律法规制约和保护。</w:t>
      </w:r>
      <w:r/>
    </w:p>
    <w:p>
      <w:pPr>
        <w:pStyle w:val="612"/>
        <w:numPr>
          <w:ilvl w:val="0"/>
          <w:numId w:val="1"/>
        </w:numPr>
        <w:ind w:firstLine="420"/>
        <w:jc w:val="both"/>
        <w:keepLines/>
        <w:keepNext/>
        <w:spacing w:beforeAutospacing="0" w:afterAutospacing="0"/>
        <w:rPr>
          <w:rFonts w:hint="eastAsia" w:ascii="宋体" w:hAnsi="宋体" w:eastAsia="宋体" w:cs="宋体"/>
          <w:color w:val="000000"/>
          <w:sz w:val="24"/>
          <w:szCs w:val="24"/>
          <w:highlight w:val="none"/>
        </w:rPr>
      </w:pPr>
      <w:r/>
      <w:bookmarkStart w:id="52" w:name="_Toc16938523"/>
      <w:r/>
      <w:bookmarkStart w:id="53" w:name="_Toc513029207"/>
      <w:r/>
      <w:bookmarkStart w:id="54" w:name="_Toc462564067"/>
      <w:r/>
      <w:bookmarkStart w:id="55" w:name="_Toc20823279"/>
      <w:r>
        <w:rPr>
          <w:rFonts w:hint="eastAsia" w:ascii="宋体" w:hAnsi="宋体" w:eastAsia="宋体" w:cs="宋体"/>
          <w:color w:val="000000"/>
          <w:sz w:val="24"/>
          <w:szCs w:val="24"/>
          <w:highlight w:val="none"/>
        </w:rPr>
        <w:t xml:space="preserve">投标费用</w:t>
      </w:r>
      <w:bookmarkEnd w:id="52"/>
      <w:r/>
      <w:bookmarkEnd w:id="53"/>
      <w:r/>
      <w:bookmarkEnd w:id="54"/>
      <w:r/>
      <w:bookmarkEnd w:id="55"/>
      <w:r/>
      <w:r/>
    </w:p>
    <w:p>
      <w:pPr>
        <w:pStyle w:val="612"/>
        <w:numPr>
          <w:ilvl w:val="0"/>
          <w:numId w:val="0"/>
        </w:numPr>
        <w:ind w:firstLine="48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供应商应自行承担所有与参加投标有关的费用。不论投标的结果如何，采购人在任何情况下均无义务和责任承担这些费用。中标人在结果公示结束后领取中标通知书前须向招标代理机构支付招标综合服务费（收费标准按苏招协【2022】002号文计取），并一次性付清，上述费用含在投标综合报价中，不得单列，采购人不再另行支付此项费用。</w:t>
      </w:r>
      <w:r/>
    </w:p>
    <w:p>
      <w:pPr>
        <w:pStyle w:val="612"/>
        <w:ind w:firstLine="480"/>
        <w:jc w:val="both"/>
        <w:spacing w:beforeAutospacing="0" w:afterAutospacing="0" w:line="0" w:lineRule="atLeast"/>
        <w:tabs>
          <w:tab w:val="left" w:pos="423"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4.2本次招标</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和采购人不收取标书工本费。</w:t>
      </w:r>
      <w:r/>
    </w:p>
    <w:p>
      <w:pPr>
        <w:pStyle w:val="612"/>
        <w:ind w:firstLine="602"/>
        <w:jc w:val="both"/>
        <w:keepLines/>
        <w:keepNext/>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5.1投标人一旦参加本项目采购活动，即被认为接受了本招标文件的规定和约束。</w:t>
      </w:r>
      <w:r/>
    </w:p>
    <w:p>
      <w:pPr>
        <w:pStyle w:val="612"/>
        <w:ind w:firstLine="321"/>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56" w:name="_Toc16938525"/>
      <w:r/>
      <w:bookmarkStart w:id="57" w:name="_Toc513029209"/>
      <w:r/>
      <w:bookmarkStart w:id="58" w:name="_Toc120614215"/>
      <w:r/>
      <w:bookmarkStart w:id="59" w:name="_Toc20823281"/>
      <w:r>
        <w:rPr>
          <w:rFonts w:hint="eastAsia" w:ascii="宋体" w:hAnsi="宋体" w:eastAsia="宋体" w:cs="宋体"/>
          <w:b/>
          <w:color w:val="000000"/>
          <w:sz w:val="24"/>
          <w:szCs w:val="24"/>
          <w:highlight w:val="none"/>
        </w:rPr>
        <w:t xml:space="preserve">二、招标文件</w:t>
      </w:r>
      <w:bookmarkEnd w:id="56"/>
      <w:r/>
      <w:bookmarkEnd w:id="57"/>
      <w:r/>
      <w:bookmarkEnd w:id="58"/>
      <w:r/>
      <w:bookmarkEnd w:id="59"/>
      <w:r/>
      <w:r/>
    </w:p>
    <w:p>
      <w:pPr>
        <w:pStyle w:val="612"/>
        <w:ind w:firstLine="420"/>
        <w:jc w:val="both"/>
        <w:keepLines/>
        <w:keepNext/>
        <w:spacing w:beforeAutospacing="0" w:afterAutospacing="0"/>
        <w:rPr>
          <w:rFonts w:hint="eastAsia" w:ascii="宋体" w:hAnsi="宋体" w:eastAsia="宋体" w:cs="宋体"/>
          <w:sz w:val="24"/>
          <w:szCs w:val="24"/>
          <w:highlight w:val="none"/>
        </w:rPr>
      </w:pPr>
      <w:r/>
      <w:bookmarkStart w:id="60" w:name="_Toc16938526"/>
      <w:r/>
      <w:bookmarkStart w:id="61" w:name="_Toc20823282"/>
      <w:r/>
      <w:bookmarkStart w:id="62" w:name="_Toc513029210"/>
      <w:r>
        <w:rPr>
          <w:rFonts w:hint="eastAsia" w:ascii="宋体" w:hAnsi="宋体" w:eastAsia="宋体" w:cs="宋体"/>
          <w:color w:val="000000"/>
          <w:sz w:val="24"/>
          <w:szCs w:val="24"/>
          <w:highlight w:val="none"/>
        </w:rPr>
        <w:t xml:space="preserve">6、招标文件构成</w:t>
      </w:r>
      <w:bookmarkEnd w:id="60"/>
      <w:r/>
      <w:bookmarkEnd w:id="61"/>
      <w:r/>
      <w:bookmarkEnd w:id="62"/>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612"/>
        <w:ind w:firstLine="360"/>
        <w:jc w:val="both"/>
        <w:spacing w:beforeAutospacing="0" w:afterAutospacing="0" w:line="0" w:lineRule="atLeast"/>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612"/>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612"/>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612"/>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612"/>
        <w:ind w:firstLine="36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612"/>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请仔细检查招标文件是否齐全，如有缺漏请立即与采购</w:t>
      </w:r>
      <w:r>
        <w:rPr>
          <w:rFonts w:hint="eastAsia" w:ascii="宋体" w:hAnsi="宋体" w:eastAsia="宋体" w:cs="宋体"/>
          <w:color w:val="000000"/>
          <w:sz w:val="24"/>
          <w:szCs w:val="24"/>
          <w:highlight w:val="none"/>
          <w:lang w:val="en-US" w:eastAsia="zh-CN"/>
        </w:rPr>
        <w:t xml:space="preserve">人或代理机构</w:t>
      </w:r>
      <w:r>
        <w:rPr>
          <w:rFonts w:hint="eastAsia" w:ascii="宋体" w:hAnsi="宋体" w:eastAsia="宋体" w:cs="宋体"/>
          <w:color w:val="000000"/>
          <w:sz w:val="24"/>
          <w:szCs w:val="24"/>
          <w:highlight w:val="none"/>
        </w:rPr>
        <w:t xml:space="preserve">联系解决。</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12"/>
        <w:ind w:firstLine="560"/>
        <w:jc w:val="both"/>
        <w:keepLines/>
        <w:keepNext/>
        <w:spacing w:beforeAutospacing="0" w:afterAutospacing="0"/>
        <w:rPr>
          <w:rFonts w:hint="eastAsia" w:ascii="宋体" w:hAnsi="宋体" w:eastAsia="宋体" w:cs="宋体"/>
          <w:sz w:val="24"/>
          <w:szCs w:val="24"/>
          <w:highlight w:val="none"/>
        </w:rPr>
      </w:pPr>
      <w:r/>
      <w:bookmarkStart w:id="63" w:name="_Toc513029211"/>
      <w:r/>
      <w:bookmarkStart w:id="64" w:name="_Toc20823283"/>
      <w:r/>
      <w:bookmarkStart w:id="65" w:name="_Toc462564070"/>
      <w:r/>
      <w:bookmarkStart w:id="66" w:name="_Toc16938527"/>
      <w:r>
        <w:rPr>
          <w:rFonts w:hint="eastAsia" w:ascii="宋体" w:hAnsi="宋体" w:eastAsia="宋体" w:cs="宋体"/>
          <w:color w:val="000000"/>
          <w:sz w:val="24"/>
          <w:szCs w:val="24"/>
          <w:highlight w:val="none"/>
        </w:rPr>
        <w:t xml:space="preserve">7、招标文件的澄清</w:t>
      </w:r>
      <w:bookmarkEnd w:id="63"/>
      <w:r/>
      <w:bookmarkEnd w:id="64"/>
      <w:r/>
      <w:bookmarkEnd w:id="65"/>
      <w:r/>
      <w:bookmarkEnd w:id="66"/>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w:t>
      </w:r>
      <w:r>
        <w:rPr>
          <w:rFonts w:hint="eastAsia" w:ascii="宋体" w:hAnsi="宋体" w:eastAsia="宋体" w:cs="宋体"/>
          <w:color w:val="000000"/>
          <w:sz w:val="24"/>
          <w:szCs w:val="24"/>
          <w:highlight w:val="none"/>
          <w:lang w:val="en-US" w:eastAsia="zh-CN"/>
        </w:rPr>
        <w:t xml:space="preserve">采购人或代理机构</w:t>
      </w:r>
      <w:r>
        <w:rPr>
          <w:rFonts w:hint="eastAsia" w:ascii="宋体" w:hAnsi="宋体" w:eastAsia="宋体" w:cs="宋体"/>
          <w:color w:val="000000"/>
          <w:sz w:val="24"/>
          <w:szCs w:val="24"/>
          <w:highlight w:val="none"/>
        </w:rPr>
        <w:t xml:space="preserve">。</w:t>
      </w:r>
      <w:r/>
    </w:p>
    <w:p>
      <w:pPr>
        <w:pStyle w:val="612"/>
        <w:ind w:firstLine="560"/>
        <w:jc w:val="both"/>
        <w:keepLines/>
        <w:keepNext/>
        <w:spacing w:beforeAutospacing="0" w:afterAutospacing="0"/>
        <w:rPr>
          <w:rFonts w:hint="eastAsia" w:ascii="宋体" w:hAnsi="宋体" w:eastAsia="宋体" w:cs="宋体"/>
          <w:sz w:val="24"/>
          <w:szCs w:val="24"/>
          <w:highlight w:val="none"/>
        </w:rPr>
      </w:pPr>
      <w:r/>
      <w:bookmarkStart w:id="67" w:name="_Toc16938528"/>
      <w:r/>
      <w:bookmarkStart w:id="68" w:name="_Toc462564071"/>
      <w:r/>
      <w:bookmarkStart w:id="69" w:name="_Toc513029212"/>
      <w:r/>
      <w:bookmarkStart w:id="70" w:name="_Toc20823284"/>
      <w:r>
        <w:rPr>
          <w:rFonts w:hint="eastAsia" w:ascii="宋体" w:hAnsi="宋体" w:eastAsia="宋体" w:cs="宋体"/>
          <w:color w:val="000000"/>
          <w:sz w:val="24"/>
          <w:szCs w:val="24"/>
          <w:highlight w:val="none"/>
        </w:rPr>
        <w:t xml:space="preserve">8、招标文件的修改</w:t>
      </w:r>
      <w:bookmarkEnd w:id="67"/>
      <w:r/>
      <w:bookmarkEnd w:id="68"/>
      <w:r/>
      <w:bookmarkEnd w:id="69"/>
      <w:r/>
      <w:bookmarkEnd w:id="70"/>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8.1在投标截止时间前，采购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可以对招标文件进行修改。</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有权按照法定的要求推迟投标截止日期和开标日期。</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盐城市政府采购网公布，补充文件将作为招标文件的组成部分，并对投标人具有约束力。</w:t>
      </w:r>
      <w:r/>
    </w:p>
    <w:p>
      <w:pPr>
        <w:pStyle w:val="612"/>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71" w:name="_Toc120614216"/>
      <w:r/>
      <w:bookmarkStart w:id="72" w:name="_Toc16938529"/>
      <w:r/>
      <w:bookmarkStart w:id="73" w:name="_Toc462564072"/>
      <w:r/>
      <w:bookmarkStart w:id="74" w:name="_Toc513029213"/>
      <w:r/>
      <w:bookmarkStart w:id="75" w:name="_Toc20823285"/>
      <w:r>
        <w:rPr>
          <w:rFonts w:hint="eastAsia" w:ascii="宋体" w:hAnsi="宋体" w:eastAsia="宋体" w:cs="宋体"/>
          <w:b/>
          <w:color w:val="000000"/>
          <w:sz w:val="24"/>
          <w:szCs w:val="24"/>
          <w:highlight w:val="none"/>
        </w:rPr>
        <w:t xml:space="preserve">三、投标文件的编制</w:t>
      </w:r>
      <w:bookmarkEnd w:id="71"/>
      <w:r/>
      <w:bookmarkEnd w:id="72"/>
      <w:r/>
      <w:bookmarkEnd w:id="73"/>
      <w:r/>
      <w:bookmarkEnd w:id="74"/>
      <w:r/>
      <w:bookmarkEnd w:id="75"/>
      <w:r/>
      <w:r/>
    </w:p>
    <w:p>
      <w:pPr>
        <w:pStyle w:val="612"/>
        <w:ind w:firstLine="560"/>
        <w:jc w:val="both"/>
        <w:keepLines/>
        <w:keepNext/>
        <w:spacing w:beforeAutospacing="0" w:afterAutospacing="0"/>
        <w:rPr>
          <w:rFonts w:hint="eastAsia" w:ascii="宋体" w:hAnsi="宋体" w:eastAsia="宋体" w:cs="宋体"/>
          <w:sz w:val="24"/>
          <w:szCs w:val="24"/>
          <w:highlight w:val="none"/>
        </w:rPr>
      </w:pPr>
      <w:r/>
      <w:bookmarkStart w:id="76" w:name="_Toc513029214"/>
      <w:r/>
      <w:bookmarkStart w:id="77" w:name="_Toc462564073"/>
      <w:r/>
      <w:bookmarkStart w:id="78" w:name="_Toc20823286"/>
      <w:r/>
      <w:bookmarkStart w:id="79" w:name="_Toc16938530"/>
      <w:r>
        <w:rPr>
          <w:rFonts w:hint="eastAsia" w:ascii="宋体" w:hAnsi="宋体" w:eastAsia="宋体" w:cs="宋体"/>
          <w:color w:val="000000"/>
          <w:sz w:val="24"/>
          <w:szCs w:val="24"/>
          <w:highlight w:val="none"/>
        </w:rPr>
        <w:t xml:space="preserve">9、投标文件的语言及度量衡单位</w:t>
      </w:r>
      <w:bookmarkEnd w:id="76"/>
      <w:r/>
      <w:bookmarkEnd w:id="77"/>
      <w:r/>
      <w:bookmarkEnd w:id="78"/>
      <w:r/>
      <w:bookmarkEnd w:id="79"/>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9.1投标人提交的投标文件以及投标人与采购</w:t>
      </w:r>
      <w:r>
        <w:rPr>
          <w:rFonts w:hint="eastAsia" w:ascii="宋体" w:hAnsi="宋体" w:eastAsia="宋体" w:cs="宋体"/>
          <w:color w:val="000000"/>
          <w:sz w:val="24"/>
          <w:szCs w:val="24"/>
          <w:highlight w:val="none"/>
          <w:lang w:val="en-US" w:eastAsia="zh-CN"/>
        </w:rPr>
        <w:t xml:space="preserve">人和代理机构</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pStyle w:val="612"/>
        <w:ind w:firstLine="420"/>
        <w:jc w:val="both"/>
        <w:keepLines/>
        <w:keepNext/>
        <w:spacing w:beforeAutospacing="0" w:afterAutospacing="0"/>
        <w:rPr>
          <w:rFonts w:hint="eastAsia" w:ascii="宋体" w:hAnsi="宋体" w:eastAsia="宋体" w:cs="宋体"/>
          <w:sz w:val="24"/>
          <w:szCs w:val="24"/>
          <w:highlight w:val="none"/>
        </w:rPr>
      </w:pPr>
      <w:r/>
      <w:bookmarkStart w:id="80" w:name="_Toc20823287"/>
      <w:r/>
      <w:bookmarkStart w:id="81" w:name="_Toc513029215"/>
      <w:r/>
      <w:bookmarkStart w:id="82" w:name="_Toc462564074"/>
      <w:r/>
      <w:bookmarkStart w:id="83" w:name="_Toc16938531"/>
      <w:r>
        <w:rPr>
          <w:rFonts w:hint="eastAsia" w:ascii="宋体" w:hAnsi="宋体" w:eastAsia="宋体" w:cs="宋体"/>
          <w:color w:val="000000"/>
          <w:sz w:val="24"/>
          <w:szCs w:val="24"/>
          <w:highlight w:val="none"/>
        </w:rPr>
        <w:t xml:space="preserve">10、投标文件构成</w:t>
      </w:r>
      <w:bookmarkEnd w:id="80"/>
      <w:r/>
      <w:bookmarkEnd w:id="81"/>
      <w:r/>
      <w:bookmarkEnd w:id="82"/>
      <w:r/>
      <w:bookmarkEnd w:id="83"/>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盐城市政府采购网”发布的招标文件不一致，请以</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盐城市政府采购网”发布的招标文件为准。</w:t>
      </w:r>
      <w:r/>
    </w:p>
    <w:p>
      <w:pPr>
        <w:pStyle w:val="612"/>
        <w:ind w:firstLine="420"/>
        <w:jc w:val="both"/>
        <w:keepLines/>
        <w:keepNext/>
        <w:spacing w:beforeAutospacing="0" w:afterAutospacing="0"/>
        <w:rPr>
          <w:rFonts w:hint="eastAsia" w:ascii="宋体" w:hAnsi="宋体" w:eastAsia="宋体" w:cs="宋体"/>
          <w:sz w:val="24"/>
          <w:szCs w:val="24"/>
          <w:highlight w:val="none"/>
        </w:rPr>
      </w:pPr>
      <w:r/>
      <w:bookmarkStart w:id="84" w:name="_Toc49090507"/>
      <w:r/>
      <w:bookmarkStart w:id="85" w:name="_Toc513029219"/>
      <w:r/>
      <w:bookmarkStart w:id="86" w:name="_Toc49090509"/>
      <w:r/>
      <w:bookmarkStart w:id="87" w:name="_Toc513029216"/>
      <w:r/>
      <w:bookmarkStart w:id="88" w:name="_Toc14577357"/>
      <w:r/>
      <w:bookmarkStart w:id="89" w:name="_Toc14577354"/>
      <w:r/>
      <w:bookmarkStart w:id="90" w:name="_Hlt26670360"/>
      <w:r/>
      <w:bookmarkStart w:id="91" w:name="_Hlt26954838"/>
      <w:r/>
      <w:bookmarkStart w:id="92" w:name="_Hlt26668975"/>
      <w:r>
        <w:rPr>
          <w:rFonts w:hint="eastAsia" w:ascii="宋体" w:hAnsi="宋体" w:eastAsia="宋体" w:cs="宋体"/>
          <w:color w:val="000000"/>
          <w:sz w:val="24"/>
          <w:szCs w:val="24"/>
          <w:highlight w:val="none"/>
        </w:rPr>
        <w:t xml:space="preserve">11、证明投标人及投标标的符合招标文件规定的文件</w:t>
      </w:r>
      <w:bookmarkEnd w:id="84"/>
      <w:r/>
      <w:bookmarkEnd w:id="85"/>
      <w:r/>
      <w:bookmarkEnd w:id="86"/>
      <w:r/>
      <w:bookmarkEnd w:id="87"/>
      <w:r/>
      <w:bookmarkEnd w:id="88"/>
      <w:r/>
      <w:bookmarkEnd w:id="89"/>
      <w:r/>
      <w:r/>
    </w:p>
    <w:p>
      <w:pPr>
        <w:pStyle w:val="612"/>
        <w:jc w:val="both"/>
        <w:spacing w:beforeAutospacing="0" w:afterAutospacing="0" w:line="0" w:lineRule="atLeast"/>
        <w:rPr>
          <w:rFonts w:hint="eastAsia" w:ascii="宋体" w:hAnsi="宋体" w:eastAsia="宋体" w:cs="宋体"/>
          <w:sz w:val="24"/>
          <w:szCs w:val="24"/>
          <w:highlight w:val="none"/>
        </w:rPr>
      </w:pPr>
      <w:r/>
      <w:bookmarkStart w:id="93" w:name="_Toc14577355"/>
      <w:r/>
      <w:bookmarkStart w:id="94" w:name="_Toc49090508"/>
      <w:r>
        <w:rPr>
          <w:rFonts w:hint="eastAsia" w:ascii="宋体" w:hAnsi="宋体" w:eastAsia="宋体" w:cs="宋体"/>
          <w:color w:val="000000"/>
          <w:sz w:val="24"/>
          <w:szCs w:val="24"/>
          <w:highlight w:val="none"/>
        </w:rPr>
        <w:t xml:space="preserve">    11.1投标人应按照法律、法规、规章和规范性文件以及招标文件要求提交证明文件，证明其及投标标的符合招标文件规定。</w:t>
      </w:r>
      <w:bookmarkEnd w:id="93"/>
      <w:r/>
      <w:bookmarkEnd w:id="94"/>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612"/>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w:t>
      </w:r>
      <w:bookmarkStart w:id="95" w:name="_Hlt26670373"/>
      <w:r>
        <w:rPr>
          <w:rFonts w:hint="eastAsia" w:ascii="宋体" w:hAnsi="宋体" w:eastAsia="宋体" w:cs="宋体"/>
          <w:color w:val="000000"/>
          <w:sz w:val="24"/>
          <w:szCs w:val="24"/>
          <w:highlight w:val="none"/>
        </w:rPr>
        <w:t xml:space="preserve">表</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12.1投</w:t>
      </w:r>
      <w:bookmarkStart w:id="96" w:name="_Hlt26954840"/>
      <w:r>
        <w:rPr>
          <w:rFonts w:hint="eastAsia" w:ascii="宋体" w:hAnsi="宋体" w:eastAsia="宋体" w:cs="宋体"/>
          <w:color w:val="000000"/>
          <w:sz w:val="24"/>
          <w:szCs w:val="24"/>
          <w:highlight w:val="none"/>
        </w:rPr>
        <w:t xml:space="preserve">标人应按照招标文件规定格式填报投标分项报价表</w:t>
      </w:r>
      <w:bookmarkStart w:id="97" w:name="_Hlt26670399"/>
      <w:r>
        <w:rPr>
          <w:rFonts w:hint="eastAsia" w:ascii="宋体" w:hAnsi="宋体" w:eastAsia="宋体" w:cs="宋体"/>
          <w:color w:val="000000"/>
          <w:sz w:val="24"/>
          <w:szCs w:val="24"/>
          <w:highlight w:val="none"/>
        </w:rPr>
        <w:t xml:space="preserve">。</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612"/>
        <w:ind w:firstLine="420"/>
        <w:jc w:val="both"/>
        <w:keepLines/>
        <w:keepNext/>
        <w:spacing w:beforeAutospacing="0" w:afterAutospacing="0"/>
        <w:rPr>
          <w:rFonts w:hint="eastAsia" w:ascii="宋体" w:hAnsi="宋体" w:eastAsia="宋体" w:cs="宋体"/>
          <w:sz w:val="24"/>
          <w:szCs w:val="24"/>
          <w:highlight w:val="none"/>
        </w:rPr>
      </w:pPr>
      <w:r/>
      <w:bookmarkStart w:id="98" w:name="_Hlt26670425"/>
      <w:r/>
      <w:bookmarkStart w:id="99" w:name="_Hlt26670486"/>
      <w:r/>
      <w:bookmarkStart w:id="100" w:name="_Hlt26670482"/>
      <w:r/>
      <w:bookmarkStart w:id="101" w:name="_Hlt26670403"/>
      <w:r/>
      <w:bookmarkStart w:id="102" w:name="_Hlt26954731"/>
      <w:r/>
      <w:bookmarkStart w:id="103" w:name="_Hlt26954846"/>
      <w:r/>
      <w:bookmarkStart w:id="104" w:name="_Hlt26954848"/>
      <w:r/>
      <w:bookmarkStart w:id="105" w:name="_Hlt26954842"/>
      <w:r/>
      <w:bookmarkStart w:id="106" w:name="_Hlt26954844"/>
      <w:r/>
      <w:bookmarkStart w:id="107" w:name="_Hlt26668983"/>
      <w:r>
        <w:rPr>
          <w:rFonts w:hint="eastAsia" w:ascii="宋体" w:hAnsi="宋体" w:eastAsia="宋体" w:cs="宋体"/>
          <w:color w:val="000000"/>
          <w:sz w:val="24"/>
          <w:szCs w:val="24"/>
          <w:highlight w:val="none"/>
        </w:rPr>
        <w:t xml:space="preserve">13、技术要求响应及偏离表、商务要求响应及偏离表</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p>
    <w:p>
      <w:pPr>
        <w:pStyle w:val="612"/>
        <w:ind w:firstLine="480"/>
        <w:jc w:val="both"/>
        <w:spacing w:beforeAutospacing="0" w:afterAutospacing="0" w:line="0" w:lineRule="atLeast"/>
        <w:tabs>
          <w:tab w:val="left" w:pos="1036"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13.2投标人可在投标文件中提供认为需要的其他技术文件或说明。</w:t>
      </w:r>
      <w:r/>
    </w:p>
    <w:p>
      <w:pPr>
        <w:pStyle w:val="612"/>
        <w:ind w:firstLine="420"/>
        <w:jc w:val="both"/>
        <w:keepLines/>
        <w:keepNext/>
        <w:spacing w:beforeAutospacing="0" w:afterAutospacing="0"/>
        <w:rPr>
          <w:rFonts w:hint="eastAsia" w:ascii="宋体" w:hAnsi="宋体" w:eastAsia="宋体" w:cs="宋体"/>
          <w:sz w:val="24"/>
          <w:szCs w:val="24"/>
          <w:highlight w:val="none"/>
        </w:rPr>
      </w:pPr>
      <w:r/>
      <w:bookmarkStart w:id="108" w:name="_Toc49090510"/>
      <w:r/>
      <w:bookmarkStart w:id="109" w:name="_Toc14577359"/>
      <w:r>
        <w:rPr>
          <w:rFonts w:hint="eastAsia" w:ascii="宋体" w:hAnsi="宋体" w:eastAsia="宋体" w:cs="宋体"/>
          <w:color w:val="000000"/>
          <w:sz w:val="24"/>
          <w:szCs w:val="24"/>
          <w:highlight w:val="none"/>
        </w:rPr>
        <w:t xml:space="preserve">14、投标函和开标一览表</w:t>
      </w:r>
      <w:bookmarkEnd w:id="108"/>
      <w:r/>
      <w:bookmarkEnd w:id="109"/>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14.1投标人应按照招标文件中提供的格式完整、正确填写投标函、开标一览表。</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 xml:space="preserve">。</w:t>
      </w:r>
      <w:r/>
    </w:p>
    <w:p>
      <w:pPr>
        <w:pStyle w:val="612"/>
        <w:ind w:firstLine="420"/>
        <w:jc w:val="both"/>
        <w:keepLines/>
        <w:keepNext/>
        <w:spacing w:beforeAutospacing="0" w:afterAutospacing="0"/>
        <w:rPr>
          <w:rFonts w:hint="eastAsia" w:ascii="宋体" w:hAnsi="宋体" w:eastAsia="宋体" w:cs="宋体"/>
          <w:sz w:val="24"/>
          <w:szCs w:val="24"/>
          <w:highlight w:val="none"/>
        </w:rPr>
      </w:pPr>
      <w:r/>
      <w:bookmarkStart w:id="110" w:name="_Toc49090511"/>
      <w:r/>
      <w:bookmarkStart w:id="111" w:name="_Toc14577360"/>
      <w:r/>
      <w:bookmarkStart w:id="112" w:name="_Hlt26670489"/>
      <w:r/>
      <w:bookmarkStart w:id="113" w:name="_Hlt26954850"/>
      <w:r/>
      <w:bookmarkStart w:id="114" w:name="_Hlt26954734"/>
      <w:r>
        <w:rPr>
          <w:rFonts w:hint="eastAsia" w:ascii="宋体" w:hAnsi="宋体" w:eastAsia="宋体" w:cs="宋体"/>
          <w:color w:val="000000"/>
          <w:sz w:val="24"/>
          <w:szCs w:val="24"/>
          <w:highlight w:val="none"/>
        </w:rPr>
        <w:t xml:space="preserve">15、投标有效期</w:t>
      </w:r>
      <w:bookmarkEnd w:id="110"/>
      <w:r/>
      <w:bookmarkEnd w:id="111"/>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15.1投标有效期为规定的开标之日后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612"/>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16、投标有效期的延长</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16.1在特殊情况下，采购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612"/>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15" w:name="_Toc16938540"/>
      <w:r/>
      <w:bookmarkStart w:id="116" w:name="_Toc513029224"/>
      <w:r/>
      <w:bookmarkStart w:id="117" w:name="_Toc120614217"/>
      <w:r/>
      <w:bookmarkStart w:id="118" w:name="_Toc20823296"/>
      <w:r/>
      <w:bookmarkStart w:id="119" w:name="_Hlt26954852"/>
      <w:r/>
      <w:bookmarkStart w:id="120" w:name="_Hlt26954739"/>
      <w:r>
        <w:rPr>
          <w:rFonts w:hint="eastAsia" w:ascii="宋体" w:hAnsi="宋体" w:eastAsia="宋体" w:cs="宋体"/>
          <w:b/>
          <w:color w:val="000000"/>
          <w:sz w:val="24"/>
          <w:szCs w:val="24"/>
          <w:highlight w:val="none"/>
        </w:rPr>
        <w:t xml:space="preserve">四、投标文件的递交</w:t>
      </w:r>
      <w:bookmarkEnd w:id="115"/>
      <w:r/>
      <w:bookmarkEnd w:id="116"/>
      <w:r/>
      <w:bookmarkEnd w:id="117"/>
      <w:r/>
      <w:bookmarkEnd w:id="118"/>
      <w:r/>
      <w:r/>
    </w:p>
    <w:p>
      <w:pPr>
        <w:pStyle w:val="612"/>
        <w:ind w:firstLine="560"/>
        <w:jc w:val="both"/>
        <w:keepLines/>
        <w:keepNext/>
        <w:spacing w:beforeAutospacing="0" w:afterAutospacing="0"/>
        <w:rPr>
          <w:rFonts w:hint="eastAsia" w:ascii="宋体" w:hAnsi="宋体" w:eastAsia="宋体" w:cs="宋体"/>
          <w:sz w:val="24"/>
          <w:szCs w:val="24"/>
          <w:highlight w:val="none"/>
        </w:rPr>
      </w:pPr>
      <w:r/>
      <w:bookmarkStart w:id="121" w:name="_Toc20823297"/>
      <w:r/>
      <w:bookmarkStart w:id="122" w:name="_Toc16938541"/>
      <w:r/>
      <w:bookmarkStart w:id="123" w:name="_Toc462564084"/>
      <w:r/>
      <w:bookmarkStart w:id="124" w:name="_Toc513029225"/>
      <w:r>
        <w:rPr>
          <w:rFonts w:hint="eastAsia" w:ascii="宋体" w:hAnsi="宋体" w:eastAsia="宋体" w:cs="宋体"/>
          <w:color w:val="000000"/>
          <w:sz w:val="24"/>
          <w:szCs w:val="24"/>
          <w:highlight w:val="none"/>
        </w:rPr>
        <w:t xml:space="preserve">17、投标文件</w:t>
      </w:r>
      <w:bookmarkEnd w:id="121"/>
      <w:r/>
      <w:bookmarkEnd w:id="122"/>
      <w:r/>
      <w:bookmarkEnd w:id="123"/>
      <w:r/>
      <w:bookmarkEnd w:id="124"/>
      <w:r>
        <w:rPr>
          <w:rFonts w:hint="eastAsia" w:ascii="宋体" w:hAnsi="宋体" w:eastAsia="宋体" w:cs="宋体"/>
          <w:color w:val="000000"/>
          <w:sz w:val="24"/>
          <w:szCs w:val="24"/>
          <w:highlight w:val="none"/>
        </w:rPr>
        <w:t xml:space="preserve">的递交</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 电子投标文件的递交</w:t>
      </w:r>
      <w:r/>
    </w:p>
    <w:p>
      <w:pPr>
        <w:pStyle w:val="612"/>
        <w:ind w:left="525"/>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投标人应当按照《操作手册》规定，在投标截止时间前制作并上传电子投标文件。</w:t>
      </w:r>
      <w:bookmarkStart w:id="125" w:name="_Toc20823298"/>
      <w:r/>
      <w:bookmarkEnd w:id="125"/>
      <w:r/>
      <w:bookmarkStart w:id="126" w:name="_Toc16938542"/>
      <w:r/>
      <w:bookmarkEnd w:id="126"/>
      <w:r/>
      <w:bookmarkStart w:id="127" w:name="_Toc513029226"/>
      <w:r/>
      <w:r/>
    </w:p>
    <w:p>
      <w:pPr>
        <w:pStyle w:val="612"/>
        <w:ind w:firstLine="420"/>
        <w:jc w:val="both"/>
        <w:keepLines/>
        <w:keepNext/>
        <w:spacing w:before="280" w:beforeAutospacing="0" w:after="290" w:afterAutospacing="0" w:line="37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18、投标截止时间</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18.1投标人上传电子投标文件的时间不得迟于招标公告中规定的投标截止时间。</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18.2采购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612"/>
        <w:ind w:firstLine="420"/>
        <w:jc w:val="both"/>
        <w:keepLines/>
        <w:keepNext/>
        <w:spacing w:beforeAutospacing="0" w:afterAutospacing="0"/>
        <w:rPr>
          <w:rFonts w:hint="eastAsia" w:ascii="宋体" w:hAnsi="宋体" w:eastAsia="宋体" w:cs="宋体"/>
          <w:sz w:val="24"/>
          <w:szCs w:val="24"/>
          <w:highlight w:val="none"/>
        </w:rPr>
      </w:pPr>
      <w:r/>
      <w:bookmarkStart w:id="128" w:name="_Toc20823299"/>
      <w:r/>
      <w:bookmarkStart w:id="129" w:name="_Toc513029227"/>
      <w:r/>
      <w:bookmarkStart w:id="130" w:name="_Toc16938543"/>
      <w:r>
        <w:rPr>
          <w:rFonts w:hint="eastAsia" w:ascii="宋体" w:hAnsi="宋体" w:eastAsia="宋体" w:cs="宋体"/>
          <w:color w:val="000000"/>
          <w:sz w:val="24"/>
          <w:szCs w:val="24"/>
          <w:highlight w:val="none"/>
        </w:rPr>
        <w:t xml:space="preserve">19、投标文件</w:t>
      </w:r>
      <w:bookmarkEnd w:id="128"/>
      <w:r/>
      <w:bookmarkEnd w:id="129"/>
      <w:r/>
      <w:bookmarkEnd w:id="130"/>
      <w:r>
        <w:rPr>
          <w:rFonts w:hint="eastAsia" w:ascii="宋体" w:hAnsi="宋体" w:eastAsia="宋体" w:cs="宋体"/>
          <w:color w:val="000000"/>
          <w:sz w:val="24"/>
          <w:szCs w:val="24"/>
          <w:highlight w:val="none"/>
        </w:rPr>
        <w:t xml:space="preserve">的拒收</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19.1采购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612"/>
        <w:ind w:firstLine="420"/>
        <w:jc w:val="both"/>
        <w:keepLines/>
        <w:keepNext/>
        <w:spacing w:beforeAutospacing="0" w:afterAutospacing="0"/>
        <w:rPr>
          <w:rFonts w:hint="eastAsia" w:ascii="宋体" w:hAnsi="宋体" w:eastAsia="宋体" w:cs="宋体"/>
          <w:sz w:val="24"/>
          <w:szCs w:val="24"/>
          <w:highlight w:val="none"/>
        </w:rPr>
      </w:pPr>
      <w:r/>
      <w:bookmarkStart w:id="131" w:name="_Toc20823300"/>
      <w:r/>
      <w:bookmarkStart w:id="132" w:name="_Toc513029228"/>
      <w:r/>
      <w:bookmarkStart w:id="133" w:name="_Toc16938544"/>
      <w:r>
        <w:rPr>
          <w:rFonts w:hint="eastAsia" w:ascii="宋体" w:hAnsi="宋体" w:eastAsia="宋体" w:cs="宋体"/>
          <w:color w:val="000000"/>
          <w:sz w:val="24"/>
          <w:szCs w:val="24"/>
          <w:highlight w:val="none"/>
        </w:rPr>
        <w:t xml:space="preserve">20、投标文件的撤回和修改</w:t>
      </w:r>
      <w:bookmarkEnd w:id="131"/>
      <w:r/>
      <w:bookmarkEnd w:id="132"/>
      <w:r/>
      <w:bookmarkEnd w:id="133"/>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20.1投标文件的撤回</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.1.1电子投标文件的撤回</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.1.2投标人撤回电子投标文件，则认为其不再参与本项目投标活动。</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 投标文件的修改</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20.2.1投标人可在投标截止时间前，对其电子投标文件进行修改，具体操作方法见《操作手册》。</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20.2.2在投标截止时间之后，投标人不得对其电子投标文件作任何修改。</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20.3在投标截止时间至招标文件中规定的投标有效期满之间的这段时间内，投标人不得撤回其投标。</w:t>
      </w:r>
      <w:r/>
    </w:p>
    <w:p>
      <w:pPr>
        <w:pStyle w:val="612"/>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34" w:name="_Toc513029229"/>
      <w:r/>
      <w:bookmarkStart w:id="135" w:name="_Toc120614218"/>
      <w:r/>
      <w:bookmarkStart w:id="136" w:name="_Toc20823301"/>
      <w:r/>
      <w:bookmarkStart w:id="137" w:name="_Toc16938545"/>
      <w:r>
        <w:rPr>
          <w:rFonts w:hint="eastAsia" w:ascii="宋体" w:hAnsi="宋体" w:eastAsia="宋体" w:cs="宋体"/>
          <w:b/>
          <w:color w:val="000000"/>
          <w:sz w:val="24"/>
          <w:szCs w:val="24"/>
          <w:highlight w:val="none"/>
        </w:rPr>
        <w:t xml:space="preserve">五、开标与评标</w:t>
      </w:r>
      <w:bookmarkEnd w:id="134"/>
      <w:r/>
      <w:bookmarkEnd w:id="135"/>
      <w:r/>
      <w:bookmarkEnd w:id="136"/>
      <w:r/>
      <w:bookmarkEnd w:id="137"/>
      <w:r/>
      <w:r/>
    </w:p>
    <w:p>
      <w:pPr>
        <w:pStyle w:val="612"/>
        <w:ind w:firstLine="420"/>
        <w:jc w:val="both"/>
        <w:keepLines/>
        <w:keepNext/>
        <w:spacing w:beforeAutospacing="0" w:afterAutospacing="0"/>
        <w:rPr>
          <w:rFonts w:hint="eastAsia" w:ascii="宋体" w:hAnsi="宋体" w:eastAsia="宋体" w:cs="宋体"/>
          <w:color w:val="auto"/>
          <w:sz w:val="24"/>
          <w:szCs w:val="24"/>
          <w:highlight w:val="none"/>
        </w:rPr>
      </w:pPr>
      <w:r/>
      <w:bookmarkStart w:id="138" w:name="_Toc20823302"/>
      <w:r/>
      <w:bookmarkStart w:id="139" w:name="_Toc513029230"/>
      <w:r/>
      <w:bookmarkStart w:id="140" w:name="_Toc16938546"/>
      <w:r>
        <w:rPr>
          <w:rFonts w:hint="eastAsia" w:ascii="宋体" w:hAnsi="宋体" w:eastAsia="宋体" w:cs="宋体"/>
          <w:color w:val="auto"/>
          <w:sz w:val="24"/>
          <w:szCs w:val="24"/>
          <w:highlight w:val="none"/>
        </w:rPr>
        <w:t xml:space="preserve">21、开标</w:t>
      </w:r>
      <w:bookmarkEnd w:id="138"/>
      <w:r/>
      <w:bookmarkEnd w:id="139"/>
      <w:r/>
      <w:bookmarkEnd w:id="140"/>
      <w:r/>
      <w:r/>
    </w:p>
    <w:p>
      <w:pPr>
        <w:pStyle w:val="612"/>
        <w:ind w:firstLine="36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61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61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61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612"/>
        <w:ind w:firstLine="420"/>
        <w:jc w:val="both"/>
        <w:keepLines/>
        <w:keepNext/>
        <w:spacing w:beforeAutospacing="0" w:afterAutospacing="0"/>
        <w:rPr>
          <w:rFonts w:hint="eastAsia" w:ascii="宋体" w:hAnsi="宋体" w:eastAsia="宋体" w:cs="宋体"/>
          <w:color w:val="auto"/>
          <w:sz w:val="24"/>
          <w:szCs w:val="24"/>
          <w:highlight w:val="none"/>
        </w:rPr>
      </w:pPr>
      <w:r/>
      <w:bookmarkStart w:id="141" w:name="_Toc513029231"/>
      <w:r/>
      <w:bookmarkStart w:id="142" w:name="_Toc16938547"/>
      <w:r/>
      <w:bookmarkStart w:id="143" w:name="_Toc20823303"/>
      <w:r>
        <w:rPr>
          <w:rFonts w:hint="eastAsia" w:ascii="宋体" w:hAnsi="宋体" w:eastAsia="宋体" w:cs="宋体"/>
          <w:color w:val="auto"/>
          <w:sz w:val="24"/>
          <w:szCs w:val="24"/>
          <w:highlight w:val="none"/>
        </w:rPr>
        <w:t xml:space="preserve">22、评标委员会</w:t>
      </w:r>
      <w:bookmarkEnd w:id="141"/>
      <w:r/>
      <w:bookmarkEnd w:id="142"/>
      <w:r/>
      <w:bookmarkEnd w:id="143"/>
      <w:r/>
      <w:r/>
    </w:p>
    <w:p>
      <w:pPr>
        <w:pStyle w:val="612"/>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22.1开标后，</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将立即组织评标委员会（以下简称评委会）进行评标。</w:t>
      </w:r>
      <w:r/>
    </w:p>
    <w:p>
      <w:pPr>
        <w:pStyle w:val="612"/>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22.2评委会由采购人代表和有关技术、经济等方面的专家组成，且人员构成符合政府采购有关规定。</w:t>
      </w:r>
      <w:r/>
    </w:p>
    <w:p>
      <w:pPr>
        <w:pStyle w:val="612"/>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612"/>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23、评标过程的保密与公正</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23.1凡是与审查、澄清、评价和比较投标的有关资料以及授标建议等，采购人、评委、</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均不得向投标人或与评标无关的其他人员透露。</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23.2在评标过程中，投标人不得以任何行为影响评标过程，否则其投标文件将被作为无效投标文件。</w:t>
      </w:r>
      <w:r/>
    </w:p>
    <w:p>
      <w:pPr>
        <w:pStyle w:val="61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auto"/>
          <w:sz w:val="24"/>
          <w:szCs w:val="24"/>
          <w:highlight w:val="none"/>
        </w:rPr>
        <w:t xml:space="preserve">3</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612"/>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23.4采用综合评分法的项目，未中标的</w:t>
      </w:r>
      <w:r>
        <w:rPr>
          <w:rFonts w:hint="eastAsia" w:ascii="宋体" w:hAnsi="宋体" w:eastAsia="宋体" w:cs="宋体"/>
          <w:color w:val="000000"/>
          <w:sz w:val="24"/>
          <w:szCs w:val="24"/>
          <w:highlight w:val="none"/>
        </w:rPr>
        <w:t xml:space="preserve">投标人可于中标结果公告期限届满之日起通过苏采云系统查看自己的评审得分及排序情况。（提醒：经办人在“江苏政府采购网”查询到中标结果后，再点击推送。招标文件定稿后该提醒删除）</w:t>
      </w:r>
      <w:r/>
    </w:p>
    <w:p>
      <w:pPr>
        <w:pStyle w:val="612"/>
        <w:ind w:firstLine="420"/>
        <w:jc w:val="both"/>
        <w:keepLines/>
        <w:keepNext/>
        <w:spacing w:beforeAutospacing="0" w:afterAutospacing="0"/>
        <w:rPr>
          <w:rFonts w:hint="eastAsia" w:ascii="宋体" w:hAnsi="宋体" w:eastAsia="宋体" w:cs="宋体"/>
          <w:sz w:val="24"/>
          <w:szCs w:val="24"/>
          <w:highlight w:val="none"/>
        </w:rPr>
      </w:pPr>
      <w:r/>
      <w:bookmarkStart w:id="144" w:name="_Toc16938548"/>
      <w:r/>
      <w:bookmarkStart w:id="145" w:name="_Toc513029232"/>
      <w:r/>
      <w:bookmarkStart w:id="146" w:name="_Toc20823304"/>
      <w:r>
        <w:rPr>
          <w:rFonts w:hint="eastAsia" w:ascii="宋体" w:hAnsi="宋体" w:eastAsia="宋体" w:cs="宋体"/>
          <w:color w:val="000000"/>
          <w:sz w:val="24"/>
          <w:szCs w:val="24"/>
          <w:highlight w:val="none"/>
        </w:rPr>
        <w:t xml:space="preserve">24、投标文件的澄清</w:t>
      </w:r>
      <w:bookmarkEnd w:id="144"/>
      <w:r/>
      <w:bookmarkEnd w:id="145"/>
      <w:r/>
      <w:bookmarkEnd w:id="146"/>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61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61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 xml:space="preserve">投标文件的补充部分，具体操作方式见《操作手册》。</w:t>
      </w:r>
      <w:r/>
    </w:p>
    <w:p>
      <w:pPr>
        <w:pStyle w:val="612"/>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24.3接到评委会澄清、说明和补正要求的投标人如未按规定</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澄清、说明和补正，其风险由投标人自行承担。</w:t>
      </w:r>
      <w:r/>
    </w:p>
    <w:p>
      <w:pPr>
        <w:pStyle w:val="612"/>
        <w:ind w:firstLine="420"/>
        <w:jc w:val="both"/>
        <w:keepLines/>
        <w:keepNext/>
        <w:spacing w:beforeAutospacing="0" w:afterAutospacing="0"/>
        <w:rPr>
          <w:rFonts w:hint="eastAsia" w:ascii="宋体" w:hAnsi="宋体" w:eastAsia="宋体" w:cs="宋体"/>
          <w:sz w:val="24"/>
          <w:szCs w:val="24"/>
          <w:highlight w:val="none"/>
        </w:rPr>
      </w:pPr>
      <w:r/>
      <w:bookmarkStart w:id="147" w:name="_Toc513029233"/>
      <w:r/>
      <w:bookmarkStart w:id="148" w:name="_Toc20823305"/>
      <w:r/>
      <w:bookmarkStart w:id="149" w:name="_Toc16938549"/>
      <w:r>
        <w:rPr>
          <w:rFonts w:hint="eastAsia" w:ascii="宋体" w:hAnsi="宋体" w:eastAsia="宋体" w:cs="宋体"/>
          <w:color w:val="000000"/>
          <w:sz w:val="24"/>
          <w:szCs w:val="24"/>
          <w:highlight w:val="none"/>
        </w:rPr>
        <w:t xml:space="preserve">25、对投标文件的初审</w:t>
      </w:r>
      <w:bookmarkEnd w:id="147"/>
      <w:r/>
      <w:bookmarkEnd w:id="148"/>
      <w:r/>
      <w:bookmarkEnd w:id="149"/>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25.1投标文件初审分为资格审查和符合性审查。</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1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将不再告知</w:t>
      </w:r>
      <w:r>
        <w:rPr>
          <w:rFonts w:hint="eastAsia" w:ascii="宋体" w:hAnsi="宋体" w:eastAsia="宋体" w:cs="宋体"/>
          <w:color w:val="000000"/>
          <w:sz w:val="24"/>
          <w:szCs w:val="24"/>
          <w:highlight w:val="none"/>
        </w:rPr>
        <w:t xml:space="preserve">未通过资格审查和符合性审查的原因。</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25.4评委会将对确定为实质性响应的投标进行进一步审核，确定其是否有计算上或累加上的算术错误，修正错误的原则如下：</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61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61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12"/>
        <w:ind w:firstLine="420"/>
        <w:jc w:val="both"/>
        <w:spacing w:beforeAutospacing="0" w:afterAutospacing="0" w:line="0" w:lineRule="atLeast"/>
        <w:rPr>
          <w:rFonts w:hint="eastAsia" w:ascii="宋体" w:hAnsi="宋体" w:eastAsia="宋体" w:cs="宋体"/>
          <w:color w:val="auto"/>
          <w:sz w:val="24"/>
          <w:szCs w:val="24"/>
          <w:highlight w:val="none"/>
        </w:rPr>
      </w:pPr>
      <w:r/>
      <w:bookmarkStart w:id="150" w:name="_Toc513029234"/>
      <w:r/>
      <w:bookmarkStart w:id="151" w:name="_Toc20823306"/>
      <w:r/>
      <w:bookmarkStart w:id="152" w:name="_Toc16938550"/>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及评标委员会联系。</w:t>
      </w:r>
      <w:bookmarkEnd w:id="150"/>
      <w:r/>
      <w:bookmarkEnd w:id="151"/>
      <w:r/>
      <w:bookmarkEnd w:id="152"/>
      <w:r/>
      <w:r/>
    </w:p>
    <w:p>
      <w:pPr>
        <w:pStyle w:val="612"/>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612"/>
        <w:ind w:left="479"/>
        <w:jc w:val="both"/>
        <w:spacing w:beforeAutospacing="0" w:afterAutospacing="0" w:line="0" w:lineRule="atLeast"/>
        <w:rPr>
          <w:rFonts w:hint="eastAsia" w:ascii="宋体" w:hAnsi="宋体" w:eastAsia="宋体" w:cs="宋体"/>
          <w:color w:val="auto"/>
          <w:sz w:val="24"/>
          <w:szCs w:val="24"/>
          <w:highlight w:val="none"/>
        </w:rPr>
      </w:pPr>
      <w:r/>
      <w:bookmarkStart w:id="153" w:name="_Toc20823307"/>
      <w:r/>
      <w:bookmarkStart w:id="154" w:name="_Toc513029235"/>
      <w:r/>
      <w:bookmarkStart w:id="155" w:name="_Toc16938551"/>
      <w:r>
        <w:rPr>
          <w:rFonts w:hint="eastAsia" w:ascii="宋体" w:hAnsi="宋体" w:eastAsia="宋体" w:cs="宋体"/>
          <w:color w:val="auto"/>
          <w:sz w:val="24"/>
          <w:szCs w:val="24"/>
          <w:highlight w:val="none"/>
        </w:rPr>
        <w:t xml:space="preserve">26.1无效投标条款</w:t>
      </w:r>
      <w:bookmarkEnd w:id="153"/>
      <w:r/>
      <w:bookmarkEnd w:id="154"/>
      <w:r/>
      <w:bookmarkEnd w:id="155"/>
      <w:r/>
      <w:r/>
    </w:p>
    <w:p>
      <w:pPr>
        <w:pStyle w:val="61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61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61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61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26.1.5投标人的报价超过了采购预算或最高限价的。</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26.1.6未通过符合性审查的。</w:t>
      </w:r>
      <w:r/>
    </w:p>
    <w:p>
      <w:pPr>
        <w:pStyle w:val="612"/>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26.1.9投标文件含有采购人不能接受的附加条件的。</w:t>
      </w:r>
      <w:r/>
    </w:p>
    <w:p>
      <w:pPr>
        <w:pStyle w:val="61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612"/>
        <w:ind w:firstLine="480"/>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（一）评审过程中出现下列情形之一的，评标委员会应当启动异常低价投标审查程序：</w:t>
      </w:r>
      <w:r/>
    </w:p>
    <w:p>
      <w:pPr>
        <w:pStyle w:val="612"/>
        <w:ind w:firstLine="480"/>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1.投标报价低于采购项目预算50%的，即投标报价&lt;采购项目预算×50%；</w:t>
      </w:r>
      <w:r/>
    </w:p>
    <w:p>
      <w:pPr>
        <w:pStyle w:val="612"/>
        <w:ind w:firstLine="480"/>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2.投标报价低于采购项目最高限价45% 的，即投标报价&lt;采购项目最高限价×45%；</w:t>
      </w:r>
      <w:r/>
    </w:p>
    <w:p>
      <w:pPr>
        <w:pStyle w:val="612"/>
        <w:ind w:firstLine="480"/>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3.评标委员会认定的供应商报价过低、有可能影响产品质量或者不能诚信履约的其他情形。</w:t>
      </w:r>
      <w:r/>
    </w:p>
    <w:p>
      <w:pPr>
        <w:pStyle w:val="61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val="en-US" w:eastAsia="zh-CN" w:bidi="ar-SA"/>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61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612"/>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61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61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61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61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61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61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612"/>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612"/>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56" w:name="_Toc120614219"/>
      <w:r>
        <w:rPr>
          <w:rFonts w:hint="eastAsia" w:ascii="宋体" w:hAnsi="宋体" w:eastAsia="宋体" w:cs="宋体"/>
          <w:b/>
          <w:color w:val="000000"/>
          <w:sz w:val="24"/>
          <w:szCs w:val="24"/>
          <w:highlight w:val="none"/>
        </w:rPr>
        <w:t xml:space="preserve">六、定标</w:t>
      </w:r>
      <w:bookmarkEnd w:id="156"/>
      <w:r/>
      <w:r/>
    </w:p>
    <w:p>
      <w:pPr>
        <w:pStyle w:val="612"/>
        <w:ind w:firstLine="600"/>
        <w:jc w:val="both"/>
        <w:keepLines/>
        <w:keepNext/>
        <w:spacing w:beforeAutospacing="0" w:afterAutospacing="0"/>
        <w:rPr>
          <w:rFonts w:hint="eastAsia" w:ascii="宋体" w:hAnsi="宋体" w:eastAsia="宋体" w:cs="宋体"/>
          <w:sz w:val="24"/>
          <w:szCs w:val="24"/>
          <w:highlight w:val="none"/>
        </w:rPr>
      </w:pPr>
      <w:r/>
      <w:bookmarkStart w:id="157" w:name="_Toc20823310"/>
      <w:r/>
      <w:bookmarkStart w:id="158" w:name="_Toc513029238"/>
      <w:r/>
      <w:bookmarkStart w:id="159" w:name="_Toc16938554"/>
      <w:r>
        <w:rPr>
          <w:rFonts w:hint="eastAsia" w:ascii="宋体" w:hAnsi="宋体" w:eastAsia="宋体" w:cs="宋体"/>
          <w:color w:val="000000"/>
          <w:sz w:val="24"/>
          <w:szCs w:val="24"/>
          <w:highlight w:val="none"/>
        </w:rPr>
        <w:t xml:space="preserve">27、</w:t>
      </w:r>
      <w:bookmarkEnd w:id="157"/>
      <w:r>
        <w:rPr>
          <w:rFonts w:hint="eastAsia" w:ascii="宋体" w:hAnsi="宋体" w:eastAsia="宋体" w:cs="宋体"/>
          <w:color w:val="000000"/>
          <w:sz w:val="24"/>
          <w:szCs w:val="24"/>
          <w:highlight w:val="none"/>
        </w:rPr>
        <w:t xml:space="preserve">确定</w:t>
      </w:r>
      <w:bookmarkEnd w:id="158"/>
      <w:r/>
      <w:bookmarkEnd w:id="159"/>
      <w:r>
        <w:rPr>
          <w:rFonts w:hint="eastAsia" w:ascii="宋体" w:hAnsi="宋体" w:eastAsia="宋体" w:cs="宋体"/>
          <w:color w:val="000000"/>
          <w:sz w:val="24"/>
          <w:szCs w:val="24"/>
          <w:highlight w:val="none"/>
        </w:rPr>
        <w:t xml:space="preserve">中标单位</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27.2采购人应根据评委会推荐的中标候选人确定中标人。</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盐城市政府采购网”发布中标公告，公告期限为1个工作日。</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27.4若有充分证据证明，中标人出现下列情况之一的，一经查实，将被取消中标资格：</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27.4.1提供虚假材料谋取中标的。</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27.4.2向采购人、</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行贿或者提供其他不正当利益的。</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p>
    <w:p>
      <w:pPr>
        <w:pStyle w:val="612"/>
        <w:ind w:firstLine="480"/>
        <w:jc w:val="both"/>
        <w:spacing w:beforeAutospacing="0" w:afterAutospacing="0" w:line="0" w:lineRule="atLeast"/>
        <w:rPr>
          <w:rFonts w:hint="eastAsia" w:ascii="宋体" w:hAnsi="宋体" w:eastAsia="宋体" w:cs="宋体"/>
          <w:sz w:val="24"/>
          <w:szCs w:val="24"/>
          <w:highlight w:val="none"/>
        </w:rPr>
      </w:pPr>
      <w:r/>
      <w:bookmarkStart w:id="160" w:name="_Toc200451960"/>
      <w:r>
        <w:rPr>
          <w:rFonts w:hint="eastAsia" w:ascii="宋体" w:hAnsi="宋体" w:eastAsia="宋体" w:cs="宋体"/>
          <w:color w:val="000000"/>
          <w:sz w:val="24"/>
          <w:szCs w:val="24"/>
          <w:highlight w:val="none"/>
        </w:rPr>
        <w:t xml:space="preserve">27.5 有下列情形之一的，视为投标人串通投标，投标无效：</w:t>
      </w:r>
      <w:bookmarkEnd w:id="160"/>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27.5.3不同投标人的投标文件载明的项目管理成员或者联系人员为同一人。</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p>
    <w:p>
      <w:pPr>
        <w:pStyle w:val="612"/>
        <w:ind w:firstLine="60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28、质疑处理</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或采购人提出质疑。上述应知其权益受到损害之日，是指：</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28.2.2对采购过程提出质疑的，为各采购程序环节结束之日；</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、采购人将只对供应商第一次质疑作出答复。</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12"/>
        <w:ind w:firstLine="482"/>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w:t>
      </w:r>
      <w:r>
        <w:rPr>
          <w:rFonts w:hint="eastAsia" w:ascii="宋体" w:hAnsi="宋体" w:eastAsia="宋体" w:cs="宋体"/>
          <w:color w:val="000000" w:themeColor="text1"/>
          <w:sz w:val="24"/>
          <w:szCs w:val="24"/>
          <w:highlight w:val="none"/>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sz w:val="24"/>
          <w:szCs w:val="24"/>
          <w:highlight w:val="none"/>
        </w:rPr>
        <w:t xml:space="preserve">供应商对除上述事项以外其他事项的询问、质疑请向</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负责答复。</w:t>
      </w:r>
      <w:r/>
    </w:p>
    <w:p>
      <w:pPr>
        <w:ind w:firstLine="480"/>
        <w:jc w:val="left"/>
        <w:tabs>
          <w:tab w:val="left" w:pos="133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lang w:val="en-US" w:eastAsia="zh-CN" w:bidi="ar-SA"/>
        </w:rPr>
        <w:t xml:space="preserve">及采购人只接收以纸质原件形式送达的质疑,采购人和</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lang w:val="en-US" w:eastAsia="zh-CN" w:bidi="ar-SA"/>
        </w:rPr>
        <w:t xml:space="preserve">不接受未填写快递运单的快件。联系地址：</w:t>
      </w:r>
      <w:r>
        <w:rPr>
          <w:rFonts w:hint="eastAsia" w:ascii="宋体" w:hAnsi="宋体" w:eastAsia="宋体" w:cs="宋体"/>
          <w:color w:val="000000"/>
          <w:sz w:val="24"/>
          <w:szCs w:val="24"/>
          <w:highlight w:val="none"/>
        </w:rPr>
        <w:t xml:space="preserve">响水县响水镇双园路199号</w:t>
      </w:r>
      <w:r>
        <w:rPr>
          <w:rFonts w:hint="eastAsia" w:ascii="宋体" w:hAnsi="宋体" w:eastAsia="宋体" w:cs="宋体"/>
          <w:color w:val="000000"/>
          <w:sz w:val="24"/>
          <w:szCs w:val="24"/>
          <w:highlight w:val="none"/>
          <w:lang w:val="en-US" w:eastAsia="zh-CN" w:bidi="ar-SA"/>
        </w:rPr>
        <w:t xml:space="preserve">，联系电话：15195195950。</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 以下情形的质疑不予受理</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28.5.2超出政府采购法定期限的质疑。</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p>
    <w:p>
      <w:pPr>
        <w:pStyle w:val="612"/>
        <w:ind w:firstLine="468"/>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28.6供应商提出书面质疑必须有理、有据，不得捏造事实、提供虚假材料进行恶意质疑。否则，一经查实，采购</w:t>
      </w:r>
      <w:r>
        <w:rPr>
          <w:rFonts w:hint="eastAsia" w:ascii="宋体" w:hAnsi="宋体" w:eastAsia="宋体" w:cs="宋体"/>
          <w:color w:val="000000"/>
          <w:sz w:val="24"/>
          <w:szCs w:val="24"/>
          <w:highlight w:val="none"/>
          <w:lang w:val="en-US" w:eastAsia="zh-CN"/>
        </w:rPr>
        <w:t xml:space="preserve">人或代理机构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612"/>
        <w:ind w:firstLine="60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29、中标通知书</w:t>
      </w:r>
      <w:r/>
    </w:p>
    <w:p>
      <w:pPr>
        <w:pStyle w:val="612"/>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29.l中标结果确定后，</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将向中标人发</w:t>
      </w:r>
      <w:r>
        <w:rPr>
          <w:rFonts w:hint="eastAsia" w:ascii="宋体" w:hAnsi="宋体" w:eastAsia="宋体" w:cs="宋体"/>
          <w:color w:val="auto"/>
          <w:sz w:val="24"/>
          <w:szCs w:val="24"/>
          <w:highlight w:val="none"/>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12"/>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w:t>
      </w:r>
      <w:r>
        <w:rPr>
          <w:rFonts w:hint="eastAsia" w:ascii="宋体" w:hAnsi="宋体" w:eastAsia="宋体" w:cs="宋体"/>
          <w:color w:val="000000"/>
          <w:sz w:val="24"/>
          <w:szCs w:val="24"/>
          <w:highlight w:val="none"/>
        </w:rPr>
        <w:t xml:space="preserve">效力。中标通知书发出后，采购人改变中标结果的，或者中标人放弃中标项目的，应当依法承担法律责任。</w:t>
      </w:r>
      <w:r/>
    </w:p>
    <w:p>
      <w:pPr>
        <w:pStyle w:val="61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61" w:name="_Toc120614220"/>
      <w:r/>
      <w:bookmarkStart w:id="162" w:name="_Toc20823308"/>
      <w:r/>
      <w:bookmarkStart w:id="163" w:name="_Toc16938552"/>
      <w:r/>
      <w:bookmarkStart w:id="164" w:name="_Toc513029236"/>
      <w:r>
        <w:rPr>
          <w:rFonts w:hint="eastAsia" w:ascii="宋体" w:hAnsi="宋体" w:eastAsia="宋体" w:cs="宋体"/>
          <w:b/>
          <w:color w:val="000000"/>
          <w:sz w:val="24"/>
          <w:szCs w:val="24"/>
          <w:highlight w:val="none"/>
        </w:rPr>
        <w:t xml:space="preserve">七、授予合同</w:t>
      </w:r>
      <w:bookmarkEnd w:id="161"/>
      <w:r/>
      <w:bookmarkEnd w:id="162"/>
      <w:r/>
      <w:bookmarkEnd w:id="163"/>
      <w:r/>
      <w:bookmarkEnd w:id="164"/>
      <w:r/>
      <w:r/>
    </w:p>
    <w:p>
      <w:pPr>
        <w:pStyle w:val="612"/>
        <w:ind w:firstLine="600"/>
        <w:jc w:val="both"/>
        <w:keepLines/>
        <w:keepNext/>
        <w:spacing w:beforeAutospacing="0" w:afterAutospacing="0"/>
        <w:rPr>
          <w:rFonts w:hint="eastAsia" w:ascii="宋体" w:hAnsi="宋体" w:eastAsia="宋体" w:cs="宋体"/>
          <w:sz w:val="24"/>
          <w:szCs w:val="24"/>
          <w:highlight w:val="none"/>
        </w:rPr>
      </w:pPr>
      <w:r/>
      <w:bookmarkStart w:id="165" w:name="_Toc20823309"/>
      <w:r/>
      <w:bookmarkStart w:id="166" w:name="_Toc513029237"/>
      <w:r/>
      <w:bookmarkStart w:id="167" w:name="_Toc16938553"/>
      <w:r>
        <w:rPr>
          <w:rFonts w:hint="eastAsia" w:ascii="宋体" w:hAnsi="宋体" w:eastAsia="宋体" w:cs="宋体"/>
          <w:color w:val="000000"/>
          <w:sz w:val="24"/>
          <w:szCs w:val="24"/>
          <w:highlight w:val="none"/>
        </w:rPr>
        <w:t xml:space="preserve">30.签订合同</w:t>
      </w:r>
      <w:bookmarkEnd w:id="165"/>
      <w:r/>
      <w:bookmarkEnd w:id="166"/>
      <w:r/>
      <w:bookmarkEnd w:id="167"/>
      <w:r/>
      <w:r/>
    </w:p>
    <w:p>
      <w:pPr>
        <w:pStyle w:val="612"/>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30.l中标人应当在中标通知书发出之日起三十日内，按照招标文件确定的事项与采购人签订政府采购合同。</w:t>
      </w:r>
      <w:r/>
    </w:p>
    <w:p>
      <w:pPr>
        <w:pStyle w:val="612"/>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30.2招标文件、中标人的投标文件及招标过程中有关澄清、承诺文件均应作为合同附件。</w:t>
      </w:r>
      <w:r/>
    </w:p>
    <w:p>
      <w:pPr>
        <w:pStyle w:val="612"/>
        <w:ind w:firstLine="60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612"/>
        <w:ind w:firstLine="60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（备注：项目经办人在发标前应与采购人商定是否允许中标人分包履行合同，确定后该备注删除）</w:t>
      </w:r>
      <w:r/>
    </w:p>
    <w:p>
      <w:pPr>
        <w:pStyle w:val="612"/>
        <w:ind w:firstLine="60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31、服务（包含与服务相关的货物）的追加</w:t>
      </w:r>
      <w:r/>
    </w:p>
    <w:p>
      <w:pPr>
        <w:pStyle w:val="61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12"/>
        <w:ind w:firstLine="600"/>
        <w:jc w:val="both"/>
        <w:keepLines/>
        <w:keepNext/>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32.政府采购政策功能落实</w:t>
      </w:r>
      <w:r/>
    </w:p>
    <w:p>
      <w:pPr>
        <w:pStyle w:val="612"/>
        <w:ind w:firstLine="600"/>
        <w:jc w:val="both"/>
        <w:keepLines/>
        <w:keepNext/>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612"/>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32.2进口产品</w:t>
      </w:r>
      <w:r/>
    </w:p>
    <w:p>
      <w:pPr>
        <w:pStyle w:val="612"/>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32.3中小企业、监狱企业及残疾人福利性单位</w:t>
      </w:r>
      <w:r/>
    </w:p>
    <w:p>
      <w:pPr>
        <w:pStyle w:val="61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p>
    <w:p>
      <w:pPr>
        <w:pStyle w:val="61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1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p>
    <w:p>
      <w:pPr>
        <w:pStyle w:val="61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61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p>
    <w:p>
      <w:pPr>
        <w:pStyle w:val="61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61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61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61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1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p>
    <w:p>
      <w:pPr>
        <w:pStyle w:val="61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61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p>
    <w:p>
      <w:pPr>
        <w:pStyle w:val="61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61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61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61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1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t xml:space="preserve">》。</w:t>
      </w:r>
      <w:r/>
    </w:p>
    <w:p>
      <w:pPr>
        <w:pStyle w:val="61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p>
    <w:p>
      <w:pPr>
        <w:pStyle w:val="61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p>
    <w:p>
      <w:pPr>
        <w:pStyle w:val="612"/>
        <w:ind w:firstLine="600"/>
        <w:jc w:val="both"/>
        <w:keepLines/>
        <w:keepNext/>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32.4政府采购节能产品、环境标志产品</w:t>
      </w:r>
      <w:r/>
    </w:p>
    <w:p>
      <w:pPr>
        <w:pStyle w:val="61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1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1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32.5绿色包装</w:t>
      </w:r>
      <w:r/>
    </w:p>
    <w:p>
      <w:pPr>
        <w:pStyle w:val="61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32.6政府采购创新产品</w:t>
      </w:r>
      <w:r/>
    </w:p>
    <w:p>
      <w:pPr>
        <w:pStyle w:val="61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 </w:t>
      </w:r>
      <w:r/>
    </w:p>
    <w:p>
      <w:pPr>
        <w:pStyle w:val="61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32.8履约保证金政策</w:t>
      </w:r>
      <w:r/>
    </w:p>
    <w:p>
      <w:pPr>
        <w:pStyle w:val="61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确需收取履约保证金的，履约保证金的缴纳形式：</w:t>
      </w:r>
      <w:r/>
    </w:p>
    <w:p>
      <w:pPr>
        <w:pStyle w:val="61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1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61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61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 预付款制度</w:t>
      </w:r>
      <w:r/>
    </w:p>
    <w:p>
      <w:pPr>
        <w:pStyle w:val="61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本项目落实预付款制度，预付款比例为30%</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000000"/>
          <w:sz w:val="24"/>
          <w:szCs w:val="24"/>
          <w:highlight w:val="none"/>
          <w:lang w:val="en-US" w:eastAsia="zh-CN"/>
        </w:rPr>
        <w:t xml:space="preserve">。在签订合同时，中标、成交供应商明确书面表示无需预付款或者主动要求降低预付款比例的，采购人可就预付款比例作相应调整。</w:t>
      </w:r>
      <w:r/>
    </w:p>
    <w:p>
      <w:pPr>
        <w:pStyle w:val="612"/>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1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1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1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12"/>
        <w:jc w:val="both"/>
        <w:spacing w:beforeAutospacing="0" w:afterAutospacing="0"/>
        <w:rPr>
          <w:rFonts w:ascii="黑体" w:hAnsi="宋体" w:eastAsia="黑体" w:cs="黑体"/>
          <w:color w:val="000000"/>
          <w:sz w:val="44"/>
          <w:szCs w:val="44"/>
          <w:highlight w:val="none"/>
        </w:rPr>
      </w:pPr>
      <w:r>
        <w:rPr>
          <w:rFonts w:hint="eastAsia" w:ascii="宋体" w:hAnsi="宋体" w:eastAsia="宋体" w:cs="宋体"/>
          <w:sz w:val="24"/>
          <w:szCs w:val="24"/>
          <w:highlight w:val="none"/>
        </w:rPr>
        <w:t xml:space="preserve"> </w:t>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jc w:val="center"/>
        <w:keepLines w:val="0"/>
        <w:keepNext w:val="0"/>
        <w:pageBreakBefore w:val="0"/>
        <w:spacing w:line="500" w:lineRule="exact"/>
        <w:widowControl w:val="off"/>
        <w:rPr>
          <w:rFonts w:hint="eastAsia" w:ascii="黑体" w:hAnsi="宋体" w:eastAsia="黑体" w:cs="黑体"/>
          <w:color w:val="000000"/>
          <w:sz w:val="44"/>
          <w:szCs w:val="44"/>
          <w:highlight w:val="none"/>
          <w:lang w:val="en-US" w:eastAsia="zh-CN" w:bidi="ar-SA"/>
        </w:rPr>
      </w:pPr>
      <w:r>
        <w:rPr>
          <w:rFonts w:hint="eastAsia" w:ascii="黑体" w:hAnsi="宋体" w:eastAsia="黑体" w:cs="黑体"/>
          <w:color w:val="000000"/>
          <w:sz w:val="44"/>
          <w:szCs w:val="44"/>
          <w:highlight w:val="none"/>
          <w:lang w:val="en-US" w:eastAsia="zh-CN" w:bidi="ar-SA"/>
        </w:rPr>
        <w:t xml:space="preserve">第三章  合同文本</w:t>
      </w:r>
      <w:r/>
    </w:p>
    <w:p>
      <w:pPr>
        <w:pStyle w:val="612"/>
        <w:ind w:firstLine="480"/>
        <w:jc w:val="both"/>
        <w:keepLines w:val="0"/>
        <w:keepNext w:val="0"/>
        <w:pageBreakBefore w:val="0"/>
        <w:spacing w:beforeAutospacing="0" w:afterAutospacing="0" w:line="500" w:lineRule="exact"/>
        <w:widowControl w:val="off"/>
        <w:rPr>
          <w:sz w:val="24"/>
          <w:szCs w:val="24"/>
          <w:highlight w:val="none"/>
        </w:rPr>
      </w:pPr>
      <w:r/>
      <w:bookmarkStart w:id="168" w:name="_Toc20823315"/>
      <w:r/>
      <w:bookmarkStart w:id="169" w:name="_Toc16938559"/>
      <w:r/>
      <w:bookmarkStart w:id="170" w:name="_Toc513029243"/>
      <w:r>
        <w:rPr>
          <w:rFonts w:hint="eastAsia" w:ascii="宋体" w:hAnsi="宋体" w:eastAsia="宋体" w:cs="宋体"/>
          <w:color w:val="000000"/>
          <w:sz w:val="24"/>
          <w:szCs w:val="24"/>
          <w:highlight w:val="none"/>
        </w:rPr>
        <w:t xml:space="preserve">以下为中标后</w:t>
      </w:r>
      <w:r>
        <w:rPr>
          <w:rFonts w:hint="eastAsia" w:ascii="宋体" w:hAnsi="宋体" w:eastAsia="宋体" w:cs="宋体"/>
          <w:color w:val="000000"/>
          <w:sz w:val="24"/>
          <w:szCs w:val="24"/>
          <w:highlight w:val="none"/>
          <w:lang w:eastAsia="zh-CN"/>
        </w:rPr>
        <w:t xml:space="preserve">签订</w:t>
      </w:r>
      <w:r>
        <w:rPr>
          <w:rFonts w:hint="eastAsia" w:ascii="宋体" w:hAnsi="宋体" w:eastAsia="宋体" w:cs="宋体"/>
          <w:color w:val="000000"/>
          <w:sz w:val="24"/>
          <w:szCs w:val="24"/>
          <w:highlight w:val="none"/>
        </w:rPr>
        <w:t xml:space="preserve">本项目合同的通用条款，中标人不得提出实质性的修改。</w:t>
      </w:r>
      <w:bookmarkEnd w:id="168"/>
      <w:r/>
      <w:bookmarkEnd w:id="169"/>
      <w:r/>
      <w:bookmarkEnd w:id="170"/>
      <w:r>
        <w:rPr>
          <w:sz w:val="24"/>
          <w:szCs w:val="24"/>
          <w:highlight w:val="none"/>
        </w:rPr>
        <w:t xml:space="preserve"> </w:t>
      </w:r>
      <w:r/>
    </w:p>
    <w:p>
      <w:pPr>
        <w:pStyle w:val="612"/>
        <w:jc w:val="center"/>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盐城市政府采购合同（服务）</w:t>
      </w:r>
      <w:r/>
    </w:p>
    <w:p>
      <w:pPr>
        <w:pStyle w:val="612"/>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黄圩镇第二轮土地承包到期后再延长30年试点项目</w:t>
      </w:r>
      <w:r/>
    </w:p>
    <w:p>
      <w:pPr>
        <w:pStyle w:val="61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项目编号：</w:t>
      </w:r>
      <w:r/>
    </w:p>
    <w:p>
      <w:pPr>
        <w:pStyle w:val="612"/>
        <w:jc w:val="both"/>
        <w:keepLines w:val="0"/>
        <w:keepNext w:val="0"/>
        <w:pageBreakBefore w:val="0"/>
        <w:spacing w:before="120" w:beforeAutospacing="0" w:after="120" w:afterAutospacing="0" w:line="500" w:lineRule="exact"/>
        <w:widowControl w:val="off"/>
        <w:rPr>
          <w:rFonts w:hint="default" w:eastAsia="宋体"/>
          <w:sz w:val="24"/>
          <w:szCs w:val="24"/>
          <w:highlight w:val="none"/>
          <w:lang w:val="en-US" w:eastAsia="zh-CN"/>
        </w:rPr>
      </w:pPr>
      <w:r>
        <w:rPr>
          <w:rFonts w:hint="eastAsia" w:ascii="宋体" w:hAnsi="宋体" w:eastAsia="宋体" w:cs="宋体"/>
          <w:color w:val="000000"/>
          <w:sz w:val="24"/>
          <w:szCs w:val="24"/>
          <w:highlight w:val="none"/>
        </w:rPr>
        <w:t xml:space="preserve">甲方：（买方）</w:t>
      </w:r>
      <w:r>
        <w:rPr>
          <w:rFonts w:hint="eastAsia" w:ascii="宋体" w:hAnsi="宋体" w:eastAsia="宋体" w:cs="宋体"/>
          <w:color w:val="000000"/>
          <w:sz w:val="24"/>
          <w:szCs w:val="24"/>
          <w:highlight w:val="none"/>
          <w:u w:val="single"/>
          <w:lang w:val="en-US" w:eastAsia="zh-CN"/>
        </w:rPr>
        <w:t xml:space="preserve">响水县农业农村局</w:t>
      </w:r>
      <w:r/>
    </w:p>
    <w:p>
      <w:pPr>
        <w:pStyle w:val="612"/>
        <w:jc w:val="both"/>
        <w:keepLines w:val="0"/>
        <w:keepNext w:val="0"/>
        <w:pageBreakBefore w:val="0"/>
        <w:spacing w:before="120" w:beforeAutospacing="0" w:after="120" w:afterAutospacing="0" w:line="500" w:lineRule="exact"/>
        <w:widowControl w:val="off"/>
        <w:rPr>
          <w:rFonts w:hint="default" w:eastAsia="宋体"/>
          <w:sz w:val="24"/>
          <w:szCs w:val="24"/>
          <w:highlight w:val="none"/>
          <w:lang w:val="en-US" w:eastAsia="zh-CN"/>
        </w:rPr>
      </w:pPr>
      <w:r>
        <w:rPr>
          <w:rFonts w:hint="eastAsia" w:ascii="宋体" w:hAnsi="宋体" w:eastAsia="宋体" w:cs="宋体"/>
          <w:color w:val="000000"/>
          <w:sz w:val="24"/>
          <w:szCs w:val="24"/>
          <w:highlight w:val="none"/>
        </w:rPr>
        <w:t xml:space="preserve">乙方：（卖方）</w:t>
      </w:r>
      <w:r>
        <w:rPr>
          <w:rFonts w:hint="eastAsia" w:ascii="宋体" w:hAnsi="宋体" w:eastAsia="宋体" w:cs="宋体"/>
          <w:color w:val="000000"/>
          <w:sz w:val="24"/>
          <w:szCs w:val="24"/>
          <w:highlight w:val="none"/>
          <w:u w:val="single"/>
          <w:lang w:val="en-US" w:eastAsia="zh-CN"/>
        </w:rPr>
        <w:t xml:space="preserve">               </w:t>
      </w:r>
      <w:r/>
    </w:p>
    <w:p>
      <w:pPr>
        <w:pStyle w:val="61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4"/>
          <w:highlight w:val="none"/>
          <w:u w:val="single"/>
          <w:lang w:eastAsia="zh-CN"/>
        </w:rPr>
        <w:t xml:space="preserve">黄圩镇第二轮土地承包到期后再延长30年试点项目</w:t>
      </w:r>
      <w:r>
        <w:rPr>
          <w:rFonts w:hint="eastAsia" w:ascii="宋体" w:hAnsi="宋体" w:eastAsia="宋体" w:cs="宋体"/>
          <w:color w:val="000000"/>
          <w:sz w:val="24"/>
          <w:szCs w:val="24"/>
          <w:highlight w:val="none"/>
        </w:rPr>
        <w:t xml:space="preserve">公开招标的结果，签署本合同。</w:t>
      </w:r>
      <w:r/>
    </w:p>
    <w:p>
      <w:pPr>
        <w:pStyle w:val="61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一、合同内容</w:t>
      </w:r>
      <w:r/>
    </w:p>
    <w:p>
      <w:pPr>
        <w:pStyle w:val="612"/>
        <w:jc w:val="both"/>
        <w:keepLines w:val="0"/>
        <w:keepNext w:val="0"/>
        <w:pageBreakBefore w:val="0"/>
        <w:spacing w:before="120" w:beforeAutospacing="0" w:after="120" w:afterAutospacing="0" w:line="500" w:lineRule="exact"/>
        <w:widowControl w:val="off"/>
        <w:rPr>
          <w:rFonts w:hint="eastAsia" w:eastAsia="宋体"/>
          <w:sz w:val="24"/>
          <w:szCs w:val="24"/>
          <w:highlight w:val="none"/>
          <w:lang w:eastAsia="zh-CN"/>
        </w:rPr>
      </w:pPr>
      <w:r>
        <w:rPr>
          <w:rFonts w:hint="eastAsia" w:ascii="宋体" w:hAnsi="宋体" w:eastAsia="宋体" w:cs="宋体"/>
          <w:color w:val="000000"/>
          <w:sz w:val="24"/>
          <w:szCs w:val="24"/>
          <w:highlight w:val="none"/>
        </w:rPr>
        <w:t xml:space="preserve">1.1 标的名称：</w:t>
      </w:r>
      <w:r>
        <w:rPr>
          <w:rFonts w:hint="eastAsia" w:ascii="宋体" w:hAnsi="宋体" w:eastAsia="宋体" w:cs="宋体"/>
          <w:color w:val="000000"/>
          <w:sz w:val="24"/>
          <w:szCs w:val="24"/>
          <w:highlight w:val="none"/>
          <w:lang w:eastAsia="zh-CN"/>
        </w:rPr>
        <w:t xml:space="preserve">黄圩镇第二轮土地承包到期后再延长30年试点项目</w:t>
      </w:r>
      <w:r/>
    </w:p>
    <w:p>
      <w:pPr>
        <w:pStyle w:val="612"/>
        <w:jc w:val="both"/>
        <w:keepLines w:val="0"/>
        <w:keepNext w:val="0"/>
        <w:pageBreakBefore w:val="0"/>
        <w:spacing w:before="120" w:beforeAutospacing="0" w:after="120" w:afterAutospacing="0" w:line="500" w:lineRule="exact"/>
        <w:widowControl w:val="off"/>
        <w:rPr>
          <w:rFonts w:hint="eastAsia" w:eastAsia="宋体"/>
          <w:sz w:val="24"/>
          <w:szCs w:val="24"/>
          <w:highlight w:val="none"/>
          <w:lang w:val="en-US" w:eastAsia="zh-CN"/>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val="en-US" w:eastAsia="zh-CN"/>
        </w:rPr>
        <w:t xml:space="preserve"> 服务内容：</w:t>
      </w:r>
      <w:r>
        <w:rPr>
          <w:rFonts w:hint="eastAsia" w:ascii="宋体" w:hAnsi="宋体"/>
          <w:color w:val="000000"/>
          <w:sz w:val="24"/>
          <w:szCs w:val="24"/>
          <w:highlight w:val="none"/>
          <w:lang w:val="en-US" w:eastAsia="zh-CN"/>
        </w:rPr>
        <w:t xml:space="preserve">按照试点方案，对黄圩镇的延包试点工作进行服务，包括但不限于：摸底调查和资料收集、信息核对、实测指界、补充测绘、数据修改入库、制定延包方案、延包数据处理、公示培训、合同签订（含网签业务指导培训、网签系统维护、网签签章费、网签相关材料收集及业务数据处理等）、资料输出打印、数据汇交、档案整理等工作，整镇的数据汇交统一由成交供应商负责，确保黄圩镇试点工作顺利通过上级部门验收</w:t>
      </w:r>
      <w:r>
        <w:rPr>
          <w:rFonts w:hint="eastAsia" w:ascii="宋体" w:hAnsi="宋体" w:eastAsia="宋体" w:cs="宋体"/>
          <w:sz w:val="24"/>
          <w:szCs w:val="24"/>
          <w:highlight w:val="none"/>
          <w:lang w:eastAsia="zh-CN"/>
        </w:rPr>
        <w:t xml:space="preserve">。</w:t>
      </w:r>
      <w:r/>
    </w:p>
    <w:p>
      <w:pPr>
        <w:pStyle w:val="612"/>
        <w:jc w:val="both"/>
        <w:keepLines w:val="0"/>
        <w:keepNext w:val="0"/>
        <w:pageBreakBefore w:val="0"/>
        <w:spacing w:before="120" w:beforeAutospacing="0" w:after="120" w:afterAutospacing="0" w:line="500" w:lineRule="exact"/>
        <w:widowControl w:val="off"/>
        <w:rPr>
          <w:rFonts w:hint="default" w:eastAsia="宋体"/>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履行时间（期限）：</w:t>
      </w:r>
      <w:r>
        <w:rPr>
          <w:rFonts w:hint="eastAsia" w:ascii="宋体" w:hAnsi="宋体" w:eastAsia="宋体" w:cs="宋体"/>
          <w:color w:val="000000"/>
          <w:sz w:val="24"/>
          <w:szCs w:val="24"/>
          <w:highlight w:val="none"/>
          <w:lang w:val="en-US" w:eastAsia="zh-CN"/>
        </w:rPr>
        <w:t xml:space="preserve"> 具体实施进度根据响水县农业农村局实际工作进度安排实施（具体时间以省、市、县三级实际工作进度要求为准）。     </w:t>
      </w:r>
      <w:r/>
    </w:p>
    <w:p>
      <w:pPr>
        <w:pStyle w:val="612"/>
        <w:jc w:val="both"/>
        <w:keepLines w:val="0"/>
        <w:keepNext w:val="0"/>
        <w:pageBreakBefore w:val="0"/>
        <w:spacing w:before="120" w:beforeAutospacing="0" w:after="120" w:afterAutospacing="0" w:line="500" w:lineRule="exact"/>
        <w:widowControl w:val="off"/>
        <w:rPr>
          <w:rFonts w:hint="default" w:eastAsia="宋体"/>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履行地点：</w:t>
      </w:r>
      <w:r>
        <w:rPr>
          <w:rFonts w:hint="eastAsia" w:ascii="宋体" w:hAnsi="宋体" w:eastAsia="宋体" w:cs="宋体"/>
          <w:color w:val="000000"/>
          <w:sz w:val="24"/>
          <w:szCs w:val="24"/>
          <w:highlight w:val="none"/>
          <w:lang w:val="en-US" w:eastAsia="zh-CN"/>
        </w:rPr>
        <w:t xml:space="preserve">采购人指定地点</w:t>
      </w:r>
      <w:r/>
    </w:p>
    <w:p>
      <w:pPr>
        <w:pStyle w:val="61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二、合同金额</w:t>
      </w:r>
      <w:r/>
    </w:p>
    <w:p>
      <w:pPr>
        <w:pStyle w:val="612"/>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2.1本合同金额为（大写）：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圆（</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元）人民币或其他币种。</w:t>
      </w:r>
      <w:r/>
    </w:p>
    <w:p>
      <w:pPr>
        <w:pStyle w:val="61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三、技术资料</w:t>
      </w:r>
      <w:r/>
    </w:p>
    <w:p>
      <w:pPr>
        <w:pStyle w:val="61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3.1乙方应按招标文件规定的时间向甲方提供服务（包含与服务相关的货物）的有关技术资料。</w:t>
      </w:r>
      <w:r/>
    </w:p>
    <w:p>
      <w:pPr>
        <w:pStyle w:val="612"/>
        <w:ind w:firstLine="480"/>
        <w:jc w:val="both"/>
        <w:spacing w:beforeAutospacing="0" w:afterAutospacing="0" w:line="360" w:lineRule="auto"/>
        <w:rPr>
          <w:sz w:val="24"/>
          <w:szCs w:val="24"/>
          <w:highlight w:val="none"/>
        </w:rPr>
      </w:pPr>
      <w:r>
        <w:rPr>
          <w:rFonts w:hint="eastAsia" w:ascii="宋体" w:hAnsi="宋体" w:eastAsia="宋体" w:cs="宋体"/>
          <w:color w:val="000000"/>
          <w:sz w:val="24"/>
          <w:szCs w:val="24"/>
          <w:highlight w:val="none"/>
          <w:lang w:val="en-US" w:eastAsia="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w:t>
      </w:r>
      <w:r>
        <w:rPr>
          <w:rFonts w:hint="eastAsia" w:ascii="宋体" w:hAnsi="宋体" w:eastAsia="宋体" w:cs="宋体"/>
          <w:color w:val="000000"/>
          <w:highlight w:val="none"/>
        </w:rPr>
        <w:t xml:space="preserve">围</w:t>
      </w:r>
      <w:r>
        <w:rPr>
          <w:rFonts w:hint="eastAsia" w:ascii="宋体" w:hAnsi="宋体" w:eastAsia="宋体" w:cs="宋体"/>
          <w:color w:val="000000"/>
          <w:sz w:val="24"/>
          <w:szCs w:val="24"/>
          <w:highlight w:val="none"/>
        </w:rPr>
        <w:t xml:space="preserve">。</w:t>
      </w:r>
      <w:r/>
    </w:p>
    <w:p>
      <w:pPr>
        <w:pStyle w:val="607"/>
        <w:spacing w:before="186" w:line="227" w:lineRule="auto"/>
        <w:rPr>
          <w:rFonts w:hint="default" w:ascii="宋体" w:hAnsi="宋体" w:eastAsia="宋体" w:cs="宋体"/>
          <w:spacing w:val="7"/>
          <w:sz w:val="24"/>
          <w:szCs w:val="24"/>
          <w:highlight w:val="none"/>
          <w:lang w:val="en-US" w:eastAsia="zh-CN"/>
        </w:rPr>
      </w:pPr>
      <w:r>
        <w:rPr>
          <w:rFonts w:hint="eastAsia" w:ascii="宋体" w:hAnsi="宋体" w:eastAsia="宋体" w:cs="宋体"/>
          <w:b/>
          <w:color w:val="000000"/>
          <w:sz w:val="24"/>
          <w:szCs w:val="24"/>
          <w:highlight w:val="none"/>
        </w:rPr>
        <w:t xml:space="preserve">四、</w:t>
      </w:r>
      <w:r>
        <w:rPr>
          <w:rFonts w:hint="eastAsia" w:ascii="宋体" w:hAnsi="宋体" w:eastAsia="宋体" w:cs="宋体"/>
          <w:b/>
          <w:color w:val="000000"/>
          <w:sz w:val="24"/>
          <w:szCs w:val="24"/>
          <w:highlight w:val="none"/>
          <w:lang w:val="en-US" w:eastAsia="zh-CN"/>
        </w:rPr>
        <w:t xml:space="preserve">延包成果要求：</w:t>
      </w:r>
      <w:r/>
    </w:p>
    <w:p>
      <w:pPr>
        <w:ind w:left="2"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1、成果形式：</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提</w:t>
      </w:r>
      <w:r>
        <w:rPr>
          <w:rFonts w:hint="eastAsia" w:ascii="宋体" w:hAnsi="宋体" w:eastAsia="宋体" w:cs="宋体"/>
          <w:color w:val="000000"/>
          <w:sz w:val="24"/>
          <w:szCs w:val="24"/>
          <w:highlight w:val="none"/>
          <w:lang w:val="en-US" w:eastAsia="zh-CN"/>
        </w:rPr>
        <w:t xml:space="preserve">交的成果包括数据库成果、文字成果、图件成果、表格、视频等成果。 </w:t>
      </w:r>
      <w:r/>
    </w:p>
    <w:p>
      <w:pPr>
        <w:ind w:left="2"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t xml:space="preserve">、数据库成果</w:t>
      </w:r>
      <w:r/>
    </w:p>
    <w:p>
      <w:pPr>
        <w:ind w:firstLine="50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spacing w:val="7"/>
          <w:sz w:val="24"/>
          <w:szCs w:val="24"/>
          <w:highlight w:val="none"/>
          <w:lang w:val="en-US" w:eastAsia="zh-CN"/>
        </w:rPr>
        <w:t xml:space="preserve">黄圩</w:t>
      </w:r>
      <w:r>
        <w:rPr>
          <w:rFonts w:hint="eastAsia" w:ascii="宋体" w:hAnsi="宋体" w:eastAsia="宋体" w:cs="宋体"/>
          <w:spacing w:val="7"/>
          <w:sz w:val="24"/>
          <w:szCs w:val="24"/>
          <w:highlight w:val="none"/>
        </w:rPr>
        <w:t xml:space="preserve">镇第二轮土地承包到期后再延长30年</w:t>
      </w:r>
      <w:r>
        <w:rPr>
          <w:rFonts w:hint="eastAsia" w:ascii="宋体" w:hAnsi="宋体" w:eastAsia="宋体" w:cs="宋体"/>
          <w:color w:val="000000"/>
          <w:sz w:val="24"/>
          <w:szCs w:val="24"/>
          <w:highlight w:val="none"/>
          <w:lang w:val="en-US" w:eastAsia="zh-CN"/>
        </w:rPr>
        <w:t xml:space="preserve">数据库。</w:t>
      </w:r>
      <w:r/>
    </w:p>
    <w:p>
      <w:pPr>
        <w:ind w:left="2"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t xml:space="preserve">、图件表格成果</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1）登记簿；</w:t>
      </w:r>
      <w:r/>
    </w:p>
    <w:p>
      <w:pPr>
        <w:ind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2）承包方调查表；</w:t>
      </w:r>
      <w:r/>
    </w:p>
    <w:p>
      <w:pPr>
        <w:ind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3）公示结果归户表；</w:t>
      </w:r>
      <w:r/>
    </w:p>
    <w:p>
      <w:pPr>
        <w:ind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4）承包合同；</w:t>
      </w:r>
      <w:r/>
    </w:p>
    <w:p>
      <w:pPr>
        <w:ind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5）地块示意图。</w:t>
      </w:r>
      <w:r/>
    </w:p>
    <w:p>
      <w:pPr>
        <w:ind w:left="2"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1.3、文字报告成果</w:t>
      </w:r>
      <w:r/>
    </w:p>
    <w:p>
      <w:pPr>
        <w:ind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1）黄圩镇第二轮土地承包到期后再延长30年试点项目实施方案；</w:t>
      </w:r>
      <w:r/>
    </w:p>
    <w:p>
      <w:pPr>
        <w:ind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2）黄圩镇第二轮土地承包到期后再延长30年试点项目技术方案；</w:t>
      </w:r>
      <w:r/>
    </w:p>
    <w:p>
      <w:pPr>
        <w:ind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3）黄圩镇第二轮土地承包到期后再延长30年试点项目工作报告；</w:t>
      </w:r>
      <w:r/>
    </w:p>
    <w:p>
      <w:pPr>
        <w:ind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4）黄圩镇第二轮土地承包到期后再延长30年试点项目技术总结报告。</w:t>
      </w:r>
      <w:r/>
    </w:p>
    <w:p>
      <w:pPr>
        <w:ind w:left="2"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1.4、视频成果</w:t>
      </w:r>
      <w:r/>
    </w:p>
    <w:p>
      <w:pPr>
        <w:pStyle w:val="61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二轮延包实施过程中的重要细节，成员会议、成员委托等，形成一村一档，以镇为单位形成存储介质</w:t>
      </w:r>
      <w:r/>
    </w:p>
    <w:p>
      <w:pPr>
        <w:pStyle w:val="612"/>
        <w:ind w:left="412" w:hanging="41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知识产权</w:t>
      </w:r>
      <w:r/>
    </w:p>
    <w:p>
      <w:pPr>
        <w:pStyle w:val="612"/>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4.1乙方应保证甲方在使用、接受本合同服务（包含与服务相关的货物）或其任何一部分时不受第三方提出侵犯其专利权、版权、商标权和工业设计权等知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000000"/>
          <w:sz w:val="24"/>
          <w:szCs w:val="24"/>
          <w:highlight w:val="none"/>
          <w:lang w:val="en-US" w:eastAsia="zh-CN"/>
        </w:rPr>
        <w:t xml:space="preserve">识产权的起诉。一旦出现侵权，由乙方负全部责任。</w:t>
      </w:r>
      <w:r/>
    </w:p>
    <w:p>
      <w:pPr>
        <w:pStyle w:val="612"/>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项目经办人应提醒采购人注意，采购项目涉及采购标的的知识产权归属、处理的，如订购、设计、定制开发的信息化建设项目等，应当约定知识产权的归属和处理方式。招标文件采购人确认后正式发布前删除该备注）。</w:t>
      </w:r>
      <w:r/>
    </w:p>
    <w:p>
      <w:pPr>
        <w:pStyle w:val="61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、产权担保</w:t>
      </w:r>
      <w:r/>
    </w:p>
    <w:p>
      <w:pPr>
        <w:pStyle w:val="612"/>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5.1乙方保证所交付的服务（包含与服务相关的货物）的所有权完全属于乙方且无任何抵押、查封等产权瑕疵。</w:t>
      </w:r>
      <w:r/>
    </w:p>
    <w:p>
      <w:pPr>
        <w:pStyle w:val="612"/>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、履约保证金</w:t>
      </w:r>
      <w:r/>
    </w:p>
    <w:p>
      <w:pPr>
        <w:pStyle w:val="612"/>
        <w:ind w:firstLine="480"/>
        <w:jc w:val="both"/>
        <w:keepLines w:val="0"/>
        <w:keepNext w:val="0"/>
        <w:pageBreakBefore w:val="0"/>
        <w:spacing w:before="120" w:beforeAutospacing="0" w:after="120" w:afterAutospacing="0" w:line="5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6.1乙方交纳人民币</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中标金额的10%</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_______元作为本合同的履约保证金。</w:t>
      </w:r>
      <w:r/>
    </w:p>
    <w:p>
      <w:pPr>
        <w:pStyle w:val="612"/>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（备注：不得超过合同金额的10%，采购人应当对AA评级及以上政府采购供应商（需提供信用管理部门备案的第三方信用报告）免收履约保证金或降低履约保证金缴纳比例。）</w:t>
      </w:r>
      <w:r/>
    </w:p>
    <w:p>
      <w:pPr>
        <w:pStyle w:val="612"/>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612"/>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612"/>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 如以履约保函（保险）形式缴纳履约保证金，供应商可通过政府采购电子履约保函（保险）平台（www.jsdzbh.com）在线申请履约保函（保险）。</w:t>
      </w:r>
      <w:r/>
    </w:p>
    <w:p>
      <w:pPr>
        <w:pStyle w:val="612"/>
        <w:ind w:left="428" w:firstLine="14"/>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履约保证金的退还：</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.1方式：退还至投标人缴纳履约保证金的账户。如为保函，在到期时自行失效。</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.2时间：验收合格且采购人收到发票后30日内。</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.3条件：按合同要求全部履约完成并经采购人验收合格，且采购人收到中标人出具的发票。</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.4不予退还情形：</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（2）中标人不履行与采购人订立的合同的；</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（3）中标人所供货物或服务不符合招标文件规定要求的；</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（4）中标人采取欺骗、弄虚作假方式投标的或与其它投标人串通投标的；</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（5）中标人将合同内容转包、违法分包的；</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（6）中标人故意捏造事实或伪造证明材料，进行虚假恶意投诉或反映的。</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612"/>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rPr>
        <w:t xml:space="preserve">、合同转包或分包</w:t>
      </w:r>
      <w:r/>
    </w:p>
    <w:p>
      <w:pPr>
        <w:pStyle w:val="612"/>
        <w:ind w:firstLine="480"/>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7.1乙方不得将合同标的转包给他人履行。</w:t>
      </w:r>
      <w:r/>
    </w:p>
    <w:p>
      <w:pPr>
        <w:pStyle w:val="612"/>
        <w:ind w:firstLine="480"/>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7.2乙方不得将合同标的分包给他人履行。</w:t>
      </w:r>
      <w:r/>
    </w:p>
    <w:p>
      <w:pPr>
        <w:pStyle w:val="612"/>
        <w:ind w:firstLine="480"/>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7.3乙方如有转包或未经甲方同意的分包行为，甲方有权解除合同。</w:t>
      </w:r>
      <w:r/>
    </w:p>
    <w:p>
      <w:pPr>
        <w:pStyle w:val="61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rPr>
        <w:t xml:space="preserve">、合同款项支付</w:t>
      </w:r>
      <w:r/>
    </w:p>
    <w:p>
      <w:pPr>
        <w:pStyle w:val="612"/>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8.1合同款项的支付</w:t>
      </w:r>
      <w:r/>
    </w:p>
    <w:p>
      <w:pPr>
        <w:pStyle w:val="612"/>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u w:val="none"/>
        </w:rPr>
        <w:t xml:space="preserve">8.1.1 合</w:t>
      </w:r>
      <w:r>
        <w:rPr>
          <w:rFonts w:hint="eastAsia" w:ascii="宋体" w:hAnsi="宋体" w:eastAsia="宋体" w:cs="宋体"/>
          <w:color w:val="000000"/>
          <w:sz w:val="24"/>
          <w:szCs w:val="24"/>
          <w:highlight w:val="none"/>
        </w:rPr>
        <w:t xml:space="preserve">同签订后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u w:val="none"/>
        </w:rPr>
        <w:t xml:space="preserve">支付合同金额的</w:t>
      </w:r>
      <w:r>
        <w:rPr>
          <w:rFonts w:hint="eastAsia" w:ascii="宋体" w:hAnsi="宋体" w:eastAsia="宋体" w:cs="宋体"/>
          <w:color w:val="000000"/>
          <w:sz w:val="24"/>
          <w:szCs w:val="24"/>
          <w:highlight w:val="none"/>
          <w:u w:val="none"/>
          <w:lang w:val="en-US" w:eastAsia="zh-CN"/>
        </w:rPr>
        <w:t xml:space="preserve">30</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u w:val="none"/>
          <w:lang w:val="en-US" w:eastAsia="zh-CN"/>
        </w:rPr>
        <w:t xml:space="preserve">作为预付款，余款在出具报告后一次性付清</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（备注：在签订合同时，供应商明确表示无需预付款或者主动要求降低预付款比例的，采购人可不适用前述规定。）</w:t>
      </w:r>
      <w:r/>
    </w:p>
    <w:p>
      <w:pPr>
        <w:pStyle w:val="612"/>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lang w:val="en-US" w:eastAsia="zh-CN"/>
        </w:rPr>
        <w:t xml:space="preserve">十</w:t>
      </w:r>
      <w:r>
        <w:rPr>
          <w:rFonts w:hint="eastAsia" w:ascii="宋体" w:hAnsi="宋体" w:eastAsia="宋体" w:cs="宋体"/>
          <w:b/>
          <w:color w:val="000000"/>
          <w:sz w:val="24"/>
          <w:szCs w:val="24"/>
          <w:highlight w:val="none"/>
        </w:rPr>
        <w:t xml:space="preserve">、税费</w:t>
      </w:r>
      <w:r/>
    </w:p>
    <w:p>
      <w:pPr>
        <w:pStyle w:val="612"/>
        <w:ind w:firstLine="480"/>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9.1本合同执行中相关的一切税费均由乙方负担。</w:t>
      </w:r>
      <w:r/>
    </w:p>
    <w:p>
      <w:pPr>
        <w:pStyle w:val="61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rPr>
        <w:t xml:space="preserve">、项目验收</w:t>
      </w:r>
      <w:r/>
    </w:p>
    <w:p>
      <w:pPr>
        <w:pStyle w:val="612"/>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10.1甲方依法组织履约验收工作。</w:t>
      </w:r>
      <w:r/>
    </w:p>
    <w:p>
      <w:pPr>
        <w:pStyle w:val="612"/>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12"/>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10.3对于实际使用人和甲方分离的项目，甲方邀请实际使用人参与验收。</w:t>
      </w:r>
      <w:r/>
    </w:p>
    <w:p>
      <w:pPr>
        <w:pStyle w:val="612"/>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10.4如有必要，甲方邀请参加本项目的其他供应商或第三方专业机构及专家参与验收，相关意见将作为验收书的参考资料。</w:t>
      </w:r>
      <w:r/>
    </w:p>
    <w:p>
      <w:pPr>
        <w:pStyle w:val="612"/>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12"/>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61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、违约责任</w:t>
      </w:r>
      <w:r/>
    </w:p>
    <w:p>
      <w:pPr>
        <w:pStyle w:val="612"/>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11.1甲方无正当理由拒绝接受乙方提供服务的，甲方向乙方偿付拒绝接受服务合同价款总值</w:t>
      </w:r>
      <w:r>
        <w:rPr>
          <w:rFonts w:hint="eastAsia" w:ascii="宋体" w:hAnsi="宋体" w:eastAsia="宋体" w:cs="宋体"/>
          <w:color w:val="000000"/>
          <w:sz w:val="24"/>
          <w:szCs w:val="24"/>
          <w:highlight w:val="none"/>
          <w:u w:val="none"/>
          <w:lang w:val="en-US" w:eastAsia="zh-CN"/>
        </w:rPr>
        <w:t xml:space="preserve">百分之十</w:t>
      </w:r>
      <w:r>
        <w:rPr>
          <w:rFonts w:hint="eastAsia" w:ascii="宋体" w:hAnsi="宋体" w:eastAsia="宋体" w:cs="宋体"/>
          <w:color w:val="000000"/>
          <w:sz w:val="24"/>
          <w:szCs w:val="24"/>
          <w:highlight w:val="none"/>
          <w:u w:val="none"/>
        </w:rPr>
        <w:t xml:space="preserve">的违约金。</w:t>
      </w:r>
      <w:r/>
    </w:p>
    <w:p>
      <w:pPr>
        <w:pStyle w:val="612"/>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11.2甲方无故逾期验收和办理合同款项支付手续的,甲方应按逾期付款总额</w:t>
      </w:r>
      <w:r>
        <w:rPr>
          <w:rFonts w:hint="eastAsia" w:ascii="宋体" w:hAnsi="宋体" w:eastAsia="宋体" w:cs="宋体"/>
          <w:color w:val="000000"/>
          <w:sz w:val="24"/>
          <w:szCs w:val="24"/>
          <w:highlight w:val="none"/>
          <w:u w:val="none"/>
          <w:lang w:val="en-US" w:eastAsia="zh-CN"/>
        </w:rPr>
        <w:t xml:space="preserve">千分之五</w:t>
      </w:r>
      <w:r>
        <w:rPr>
          <w:rFonts w:hint="eastAsia" w:ascii="宋体" w:hAnsi="宋体" w:eastAsia="宋体" w:cs="宋体"/>
          <w:color w:val="000000"/>
          <w:sz w:val="24"/>
          <w:szCs w:val="24"/>
          <w:highlight w:val="none"/>
          <w:u w:val="none"/>
        </w:rPr>
        <w:t xml:space="preserve">每日向乙方支付违约金。</w:t>
      </w:r>
      <w:r/>
    </w:p>
    <w:p>
      <w:pPr>
        <w:pStyle w:val="612"/>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sz w:val="24"/>
          <w:szCs w:val="24"/>
          <w:highlight w:val="none"/>
          <w:u w:val="none"/>
          <w:lang w:val="en-US" w:eastAsia="zh-CN"/>
        </w:rPr>
        <w:t xml:space="preserve">百分之十</w:t>
      </w:r>
      <w:r>
        <w:rPr>
          <w:rFonts w:hint="eastAsia" w:ascii="宋体" w:hAnsi="宋体" w:eastAsia="宋体" w:cs="宋体"/>
          <w:color w:val="000000"/>
          <w:sz w:val="24"/>
          <w:szCs w:val="24"/>
          <w:highlight w:val="none"/>
          <w:u w:val="none"/>
        </w:rPr>
        <w:t xml:space="preserve">的违约金，如造成甲方损失超过违约金的，超出部分由乙方继续承担赔偿责任。 </w:t>
      </w:r>
      <w:r/>
    </w:p>
    <w:p>
      <w:pPr>
        <w:pStyle w:val="612"/>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11.4乙方所提供服务的标准不符合合同规定及招标文件规定标准的，甲方有权拒绝接受服务，并可单方面解除合同。</w:t>
      </w:r>
      <w:r/>
    </w:p>
    <w:p>
      <w:pPr>
        <w:pStyle w:val="61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、不可抗力事件处理</w:t>
      </w:r>
      <w:r/>
    </w:p>
    <w:p>
      <w:pPr>
        <w:pStyle w:val="612"/>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12.1在合同有效期内，任何一方因不可抗力事件导致不能履行合同，则合同履行期可延长，其延长期与不可抗力影响 期相同。</w:t>
      </w:r>
      <w:r/>
    </w:p>
    <w:p>
      <w:pPr>
        <w:pStyle w:val="612"/>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12.2不可抗力事件发生后，应立即通知对方，并寄送有关权威机构出具的证明。</w:t>
      </w:r>
      <w:r/>
    </w:p>
    <w:p>
      <w:pPr>
        <w:pStyle w:val="612"/>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12.3不可抗力事件延续120天以上，双方应通过友好协商，确定是否继续履行合同。</w:t>
      </w:r>
      <w:r/>
    </w:p>
    <w:p>
      <w:pPr>
        <w:pStyle w:val="61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、解决争议的方法</w:t>
      </w:r>
      <w:r/>
    </w:p>
    <w:p>
      <w:pPr>
        <w:pStyle w:val="612"/>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13.1双方在签订、履行合同中所发生的一切争议，应通过友好协商解决。如协商不成，由甲方住所地人民法院管辖。</w:t>
      </w:r>
      <w:r/>
    </w:p>
    <w:p>
      <w:pPr>
        <w:pStyle w:val="61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、合同生效及其</w:t>
      </w:r>
      <w:r>
        <w:rPr>
          <w:rFonts w:hint="eastAsia" w:ascii="宋体" w:hAnsi="宋体" w:eastAsia="宋体" w:cs="宋体"/>
          <w:b/>
          <w:color w:val="000000"/>
          <w:sz w:val="24"/>
          <w:szCs w:val="24"/>
          <w:highlight w:val="none"/>
          <w:lang w:eastAsia="zh-CN"/>
        </w:rPr>
        <w:t xml:space="preserve">他</w:t>
      </w:r>
      <w:r/>
    </w:p>
    <w:p>
      <w:pPr>
        <w:pStyle w:val="61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14.1合同经双方法定代表人或授权委托代表人签字并加盖单位公章后生效。</w:t>
      </w:r>
      <w:r/>
    </w:p>
    <w:p>
      <w:pPr>
        <w:pStyle w:val="61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14.2本合同未尽事宜，遵照《民法典》、《政府采购法》有关条文执行。</w:t>
      </w:r>
      <w:r/>
    </w:p>
    <w:p>
      <w:pPr>
        <w:pStyle w:val="612"/>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14.3 本合同正本一式两份，具有同等法律效力，甲方、乙方各执一份。</w:t>
      </w:r>
      <w:r/>
    </w:p>
    <w:p>
      <w:pPr>
        <w:pStyle w:val="612"/>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 甲方：               乙方： </w:t>
      </w:r>
      <w:r/>
    </w:p>
    <w:p>
      <w:pPr>
        <w:pStyle w:val="61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 地址：               地址： </w:t>
      </w:r>
      <w:r/>
    </w:p>
    <w:p>
      <w:pPr>
        <w:pStyle w:val="61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 法定代表人或授权代表：       法定代表人或授权代表：</w:t>
      </w:r>
      <w:r/>
    </w:p>
    <w:p>
      <w:pPr>
        <w:pStyle w:val="612"/>
        <w:ind w:firstLine="24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联系电话：             联系电话：          </w:t>
      </w:r>
      <w:r/>
    </w:p>
    <w:p>
      <w:pPr>
        <w:pStyle w:val="612"/>
        <w:jc w:val="center"/>
        <w:keepLines w:val="0"/>
        <w:keepNext w:val="0"/>
        <w:pageBreakBefore w:val="0"/>
        <w:spacing w:before="120" w:beforeAutospacing="0" w:after="120" w:afterAutospacing="0" w:line="500" w:lineRule="exact"/>
        <w:widowControl w:val="off"/>
        <w:rPr>
          <w:highlight w:val="none"/>
        </w:rPr>
      </w:pPr>
      <w:r>
        <w:rPr>
          <w:rFonts w:hint="eastAsia" w:ascii="宋体" w:hAnsi="宋体" w:eastAsia="宋体" w:cs="宋体"/>
          <w:color w:val="000000"/>
          <w:sz w:val="24"/>
          <w:szCs w:val="24"/>
          <w:highlight w:val="none"/>
        </w:rPr>
        <w:t xml:space="preserve">                                          签订日期：      年    月   日</w:t>
      </w:r>
      <w:bookmarkStart w:id="171" w:name="_Toc479757211"/>
      <w:r/>
      <w:bookmarkStart w:id="172" w:name="_Toc20823346"/>
      <w:r/>
      <w:bookmarkStart w:id="173" w:name="_Toc120614244"/>
      <w:r/>
      <w:bookmarkStart w:id="174" w:name="_Hlt16619350"/>
      <w:r/>
      <w:bookmarkStart w:id="175" w:name="_Toc16938590"/>
      <w:r/>
      <w:bookmarkStart w:id="176" w:name="_Toc462564139"/>
      <w:r/>
      <w:bookmarkStart w:id="177" w:name="_Hlt16619369"/>
      <w:r>
        <w:rPr>
          <w:rFonts w:hint="eastAsia" w:ascii="黑体" w:hAnsi="宋体" w:eastAsia="黑体" w:cs="黑体"/>
          <w:color w:val="000000"/>
          <w:sz w:val="24"/>
          <w:szCs w:val="24"/>
          <w:highlight w:val="none"/>
        </w:rPr>
        <w:br w:type="page" w:clear="all"/>
      </w:r>
      <w:r>
        <w:rPr>
          <w:rFonts w:hint="eastAsia" w:ascii="黑体" w:hAnsi="宋体" w:eastAsia="黑体" w:cs="黑体"/>
          <w:color w:val="000000"/>
          <w:sz w:val="44"/>
          <w:szCs w:val="44"/>
          <w:highlight w:val="none"/>
        </w:rPr>
        <w:t xml:space="preserve"> 第</w:t>
      </w:r>
      <w:bookmarkEnd w:id="171"/>
      <w:r>
        <w:rPr>
          <w:rFonts w:hint="eastAsia" w:ascii="黑体" w:hAnsi="宋体" w:eastAsia="黑体" w:cs="黑体"/>
          <w:color w:val="000000"/>
          <w:sz w:val="44"/>
          <w:szCs w:val="44"/>
          <w:highlight w:val="none"/>
        </w:rPr>
        <w:t xml:space="preserve">四章 采购需求</w:t>
      </w:r>
      <w:bookmarkEnd w:id="172"/>
      <w:r/>
      <w:bookmarkEnd w:id="173"/>
      <w:r/>
      <w:bookmarkEnd w:id="174"/>
      <w:r/>
      <w:bookmarkEnd w:id="175"/>
      <w:r/>
      <w:bookmarkEnd w:id="176"/>
      <w:r/>
      <w:r/>
    </w:p>
    <w:p>
      <w:pPr>
        <w:pStyle w:val="612"/>
        <w:jc w:val="both"/>
        <w:spacing w:beforeAutospacing="0" w:afterAutospacing="0" w:line="0" w:lineRule="atLeast"/>
        <w:rPr>
          <w:rFonts w:hint="eastAsia" w:ascii="宋体" w:hAnsi="宋体" w:eastAsia="宋体" w:cs="宋体"/>
          <w:color w:val="000000"/>
          <w:sz w:val="24"/>
          <w:szCs w:val="24"/>
          <w:highlight w:val="none"/>
          <w:lang w:val="en-US" w:eastAsia="zh-CN"/>
        </w:rPr>
      </w:pPr>
      <w:r/>
      <w:bookmarkStart w:id="178" w:name="_Toc49090575"/>
      <w:r/>
      <w:bookmarkStart w:id="179" w:name="_Toc26554093"/>
      <w:r>
        <w:rPr>
          <w:rFonts w:hint="eastAsia" w:ascii="宋体" w:hAnsi="宋体" w:eastAsia="宋体" w:cs="宋体"/>
          <w:color w:val="000000"/>
          <w:sz w:val="24"/>
          <w:szCs w:val="24"/>
          <w:highlight w:val="none"/>
        </w:rPr>
        <w:t xml:space="preserve">项目属性:服务类项目</w:t>
      </w:r>
      <w:bookmarkEnd w:id="178"/>
      <w:r/>
      <w:bookmarkEnd w:id="179"/>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一、服务内容</w:t>
      </w:r>
      <w:r/>
    </w:p>
    <w:p>
      <w:pPr>
        <w:ind w:left="2" w:firstLine="480"/>
        <w:spacing w:line="360" w:lineRule="auto"/>
        <w:rPr>
          <w:rFonts w:hint="default"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按照试点方案，对黄圩镇的延包试点工作进行服务，包括但不限于：摸底调查和资料收集、信息核对、实测指界、补充测绘、数据修改入库、制定延包方案、延包数据处理、公示培训、合同签订（含网签业务指导培训、网签系统维护、网签签章费、网签相关材料收集及业务数据处理等）、资料输出打印、数据汇交、档案整理等工作，整镇的数据汇交统一由成交供应商负责，确保黄圩镇试点工作顺利通过上级部门验收。</w:t>
      </w:r>
      <w:r/>
    </w:p>
    <w:p>
      <w:pPr>
        <w:ind w:left="2" w:firstLine="480"/>
        <w:spacing w:line="360" w:lineRule="auto"/>
        <w:rPr>
          <w:rFonts w:hint="default" w:ascii="宋体" w:hAnsi="宋体"/>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项目要求具体如下：</w:t>
      </w:r>
      <w:r/>
    </w:p>
    <w:tbl>
      <w:tblPr>
        <w:tblStyle w:val="605"/>
        <w:tblpPr w:horzAnchor="text" w:tblpXSpec="center" w:vertAnchor="text" w:tblpY="1"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1"/>
        <w:gridCol w:w="1260"/>
        <w:gridCol w:w="1425"/>
        <w:gridCol w:w="4402"/>
        <w:gridCol w:w="672"/>
      </w:tblGrid>
      <w:tr>
        <w:trPr/>
        <w:tc>
          <w:tcPr>
            <w:tcW w:w="691"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bCs w:val="0"/>
                <w:sz w:val="18"/>
                <w:szCs w:val="18"/>
                <w:highlight w:val="none"/>
              </w:rPr>
            </w:pPr>
            <w:r>
              <w:rPr>
                <w:rFonts w:hint="eastAsia" w:ascii="宋体" w:hAnsi="宋体" w:eastAsia="宋体" w:cs="宋体"/>
                <w:b w:val="0"/>
                <w:bCs w:val="0"/>
                <w:sz w:val="18"/>
                <w:szCs w:val="18"/>
                <w:highlight w:val="none"/>
              </w:rPr>
              <w:t xml:space="preserve">序号</w:t>
            </w:r>
            <w:r/>
          </w:p>
        </w:tc>
        <w:tc>
          <w:tcPr>
            <w:tcW w:w="1260"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bCs w:val="0"/>
                <w:sz w:val="18"/>
                <w:szCs w:val="18"/>
                <w:highlight w:val="none"/>
              </w:rPr>
            </w:pPr>
            <w:r>
              <w:rPr>
                <w:rFonts w:hint="eastAsia" w:ascii="宋体" w:hAnsi="宋体" w:eastAsia="宋体" w:cs="宋体"/>
                <w:b w:val="0"/>
                <w:bCs w:val="0"/>
                <w:sz w:val="18"/>
                <w:szCs w:val="18"/>
                <w:highlight w:val="none"/>
              </w:rPr>
              <w:t xml:space="preserve">工作程序</w:t>
            </w:r>
            <w:r/>
          </w:p>
        </w:tc>
        <w:tc>
          <w:tcPr>
            <w:tcW w:w="1425"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bCs w:val="0"/>
                <w:sz w:val="18"/>
                <w:szCs w:val="18"/>
                <w:highlight w:val="none"/>
              </w:rPr>
            </w:pPr>
            <w:r>
              <w:rPr>
                <w:rFonts w:hint="eastAsia" w:ascii="宋体" w:hAnsi="宋体" w:eastAsia="宋体" w:cs="宋体"/>
                <w:b w:val="0"/>
                <w:bCs w:val="0"/>
                <w:sz w:val="18"/>
                <w:szCs w:val="18"/>
                <w:highlight w:val="none"/>
              </w:rPr>
              <w:t xml:space="preserve">服务</w:t>
            </w:r>
            <w:r/>
          </w:p>
          <w:p>
            <w:pPr>
              <w:keepLines w:val="0"/>
              <w:keepNext w:val="0"/>
              <w:pageBreakBefore w:val="0"/>
              <w:spacing w:line="360" w:lineRule="exact"/>
              <w:widowControl w:val="off"/>
              <w:rPr>
                <w:rFonts w:hint="eastAsia" w:ascii="宋体" w:hAnsi="宋体" w:eastAsia="宋体" w:cs="宋体"/>
                <w:b w:val="0"/>
                <w:bCs w:val="0"/>
                <w:sz w:val="18"/>
                <w:szCs w:val="18"/>
                <w:highlight w:val="none"/>
              </w:rPr>
            </w:pPr>
            <w:r>
              <w:rPr>
                <w:rFonts w:hint="eastAsia" w:ascii="宋体" w:hAnsi="宋体" w:eastAsia="宋体" w:cs="宋体"/>
                <w:b w:val="0"/>
                <w:bCs w:val="0"/>
                <w:sz w:val="18"/>
                <w:szCs w:val="18"/>
                <w:highlight w:val="none"/>
              </w:rPr>
              <w:t xml:space="preserve">内容</w:t>
            </w:r>
            <w:r/>
          </w:p>
        </w:tc>
        <w:tc>
          <w:tcPr>
            <w:tcW w:w="4402"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bCs w:val="0"/>
                <w:sz w:val="18"/>
                <w:szCs w:val="18"/>
                <w:highlight w:val="none"/>
              </w:rPr>
            </w:pPr>
            <w:r>
              <w:rPr>
                <w:rFonts w:hint="eastAsia" w:ascii="宋体" w:hAnsi="宋体" w:eastAsia="宋体" w:cs="宋体"/>
                <w:b w:val="0"/>
                <w:bCs w:val="0"/>
                <w:sz w:val="18"/>
                <w:szCs w:val="18"/>
                <w:highlight w:val="none"/>
              </w:rPr>
              <w:t xml:space="preserve">具体工作描述</w:t>
            </w:r>
            <w:r/>
          </w:p>
        </w:tc>
        <w:tc>
          <w:tcPr>
            <w:tcW w:w="672"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bCs w:val="0"/>
                <w:sz w:val="18"/>
                <w:szCs w:val="18"/>
                <w:highlight w:val="none"/>
              </w:rPr>
            </w:pPr>
            <w:r>
              <w:rPr>
                <w:rFonts w:hint="eastAsia" w:ascii="宋体" w:hAnsi="宋体" w:eastAsia="宋体" w:cs="宋体"/>
                <w:b w:val="0"/>
                <w:bCs w:val="0"/>
                <w:sz w:val="18"/>
                <w:szCs w:val="18"/>
                <w:highlight w:val="none"/>
              </w:rPr>
              <w:t xml:space="preserve">单位</w:t>
            </w:r>
            <w:r/>
          </w:p>
        </w:tc>
      </w:tr>
      <w:tr>
        <w:trPr/>
        <w:tc>
          <w:tcPr>
            <w:tcW w:w="691"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bCs w:val="0"/>
                <w:sz w:val="18"/>
                <w:szCs w:val="18"/>
                <w:highlight w:val="none"/>
              </w:rPr>
            </w:pPr>
            <w:r>
              <w:rPr>
                <w:rFonts w:hint="eastAsia" w:ascii="宋体" w:hAnsi="宋体" w:eastAsia="宋体" w:cs="宋体"/>
                <w:b w:val="0"/>
                <w:bCs w:val="0"/>
                <w:sz w:val="18"/>
                <w:szCs w:val="18"/>
                <w:highlight w:val="none"/>
              </w:rPr>
              <w:t xml:space="preserve">1</w:t>
            </w:r>
            <w:r/>
          </w:p>
        </w:tc>
        <w:tc>
          <w:tcPr>
            <w:tcW w:w="1260"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bCs w:val="0"/>
                <w:sz w:val="18"/>
                <w:szCs w:val="18"/>
                <w:highlight w:val="none"/>
              </w:rPr>
            </w:pPr>
            <w:r>
              <w:rPr>
                <w:rFonts w:hint="eastAsia" w:ascii="宋体" w:hAnsi="宋体" w:eastAsia="宋体" w:cs="宋体"/>
                <w:b w:val="0"/>
                <w:bCs w:val="0"/>
                <w:sz w:val="18"/>
                <w:szCs w:val="18"/>
                <w:highlight w:val="none"/>
              </w:rPr>
              <w:t xml:space="preserve">资料收集</w:t>
            </w:r>
            <w:r/>
          </w:p>
        </w:tc>
        <w:tc>
          <w:tcPr>
            <w:tcW w:w="1425"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bCs w:val="0"/>
                <w:sz w:val="18"/>
                <w:szCs w:val="18"/>
                <w:highlight w:val="none"/>
              </w:rPr>
            </w:pPr>
            <w:r>
              <w:rPr>
                <w:rFonts w:hint="eastAsia" w:ascii="宋体" w:hAnsi="宋体" w:eastAsia="宋体" w:cs="宋体"/>
                <w:b w:val="0"/>
                <w:bCs w:val="0"/>
                <w:sz w:val="18"/>
                <w:szCs w:val="18"/>
                <w:highlight w:val="none"/>
              </w:rPr>
              <w:t xml:space="preserve">村级摸底调查</w:t>
            </w:r>
            <w:r/>
          </w:p>
        </w:tc>
        <w:tc>
          <w:tcPr>
            <w:tcW w:w="4402"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bCs w:val="0"/>
                <w:sz w:val="18"/>
                <w:szCs w:val="18"/>
                <w:highlight w:val="none"/>
              </w:rPr>
            </w:pPr>
            <w:r>
              <w:rPr>
                <w:rFonts w:hint="eastAsia" w:ascii="宋体" w:hAnsi="宋体" w:eastAsia="宋体" w:cs="宋体"/>
                <w:b w:val="0"/>
                <w:bCs w:val="0"/>
                <w:sz w:val="18"/>
                <w:szCs w:val="18"/>
                <w:highlight w:val="none"/>
              </w:rPr>
              <w:t xml:space="preserve">收集作业区域范围内行政划分、行政区划名称、最新的行政区划代码、最新的影像图和既有的农村土地承包经营权数据库、汇交库，村各类调查表、统计表等。</w:t>
            </w:r>
            <w:r/>
          </w:p>
        </w:tc>
        <w:tc>
          <w:tcPr>
            <w:tcW w:w="672"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bCs w:val="0"/>
                <w:sz w:val="18"/>
                <w:szCs w:val="18"/>
                <w:highlight w:val="none"/>
              </w:rPr>
            </w:pPr>
            <w:r>
              <w:rPr>
                <w:rFonts w:hint="eastAsia" w:ascii="宋体" w:hAnsi="宋体" w:eastAsia="宋体" w:cs="宋体"/>
                <w:b w:val="0"/>
                <w:bCs w:val="0"/>
                <w:sz w:val="18"/>
                <w:szCs w:val="18"/>
                <w:highlight w:val="none"/>
              </w:rPr>
              <w:t xml:space="preserve">组</w:t>
            </w:r>
            <w:r/>
          </w:p>
        </w:tc>
      </w:tr>
      <w:tr>
        <w:trPr/>
        <w:tc>
          <w:tcPr>
            <w:tcW w:w="691"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bCs w:val="0"/>
                <w:sz w:val="18"/>
                <w:szCs w:val="18"/>
                <w:highlight w:val="none"/>
              </w:rPr>
            </w:pPr>
            <w:r>
              <w:rPr>
                <w:rFonts w:hint="eastAsia" w:ascii="宋体" w:hAnsi="宋体" w:eastAsia="宋体" w:cs="宋体"/>
                <w:b w:val="0"/>
                <w:bCs w:val="0"/>
                <w:sz w:val="18"/>
                <w:szCs w:val="18"/>
                <w:highlight w:val="none"/>
              </w:rPr>
              <w:t xml:space="preserve">2</w:t>
            </w:r>
            <w:r/>
          </w:p>
        </w:tc>
        <w:tc>
          <w:tcPr>
            <w:tcW w:w="1260"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bCs w:val="0"/>
                <w:sz w:val="18"/>
                <w:szCs w:val="18"/>
                <w:highlight w:val="none"/>
              </w:rPr>
            </w:pPr>
            <w:r>
              <w:rPr>
                <w:rFonts w:hint="eastAsia" w:ascii="宋体" w:hAnsi="宋体" w:eastAsia="宋体" w:cs="宋体"/>
                <w:b w:val="0"/>
                <w:bCs w:val="0"/>
                <w:sz w:val="18"/>
                <w:szCs w:val="18"/>
                <w:highlight w:val="none"/>
              </w:rPr>
              <w:t xml:space="preserve">摸底核实</w:t>
            </w:r>
            <w:r/>
          </w:p>
        </w:tc>
        <w:tc>
          <w:tcPr>
            <w:tcW w:w="1425"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bCs w:val="0"/>
                <w:sz w:val="18"/>
                <w:szCs w:val="18"/>
                <w:highlight w:val="none"/>
              </w:rPr>
            </w:pPr>
            <w:r>
              <w:rPr>
                <w:rFonts w:hint="eastAsia" w:ascii="宋体" w:hAnsi="宋体" w:eastAsia="宋体" w:cs="宋体"/>
                <w:b w:val="0"/>
                <w:bCs w:val="0"/>
                <w:sz w:val="18"/>
                <w:szCs w:val="18"/>
                <w:highlight w:val="none"/>
              </w:rPr>
              <w:t xml:space="preserve">村级摸底调查</w:t>
            </w:r>
            <w:r/>
          </w:p>
        </w:tc>
        <w:tc>
          <w:tcPr>
            <w:tcW w:w="4402"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bCs w:val="0"/>
                <w:sz w:val="18"/>
                <w:szCs w:val="18"/>
                <w:highlight w:val="none"/>
              </w:rPr>
            </w:pPr>
            <w:r>
              <w:rPr>
                <w:rFonts w:hint="eastAsia" w:ascii="宋体" w:hAnsi="宋体" w:eastAsia="宋体" w:cs="宋体"/>
                <w:b w:val="0"/>
                <w:bCs w:val="0"/>
                <w:sz w:val="18"/>
                <w:szCs w:val="18"/>
                <w:highlight w:val="none"/>
                <w:lang w:val="en-US" w:eastAsia="zh-CN"/>
              </w:rPr>
              <w:t xml:space="preserve">对于没有异议的农户按照原确权数据，有异议的农户对照1998年二轮承包数据、及其他复量数据、</w:t>
            </w:r>
            <w:r>
              <w:rPr>
                <w:rFonts w:hint="eastAsia" w:ascii="宋体" w:hAnsi="宋体" w:eastAsia="宋体" w:cs="宋体"/>
                <w:b w:val="0"/>
                <w:bCs w:val="0"/>
                <w:sz w:val="18"/>
                <w:szCs w:val="18"/>
                <w:highlight w:val="none"/>
              </w:rPr>
              <w:t xml:space="preserve">原确权数据，整理出摸底基础数据，并以村组为单位出具电子版摸底表（承包方调查表及按组汇总表），培训并指导村组工作人员开展二轮到期延包摸底调查。</w:t>
            </w:r>
            <w:r/>
          </w:p>
        </w:tc>
        <w:tc>
          <w:tcPr>
            <w:tcW w:w="672"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bCs w:val="0"/>
                <w:sz w:val="18"/>
                <w:szCs w:val="18"/>
                <w:highlight w:val="none"/>
              </w:rPr>
            </w:pPr>
            <w:r>
              <w:rPr>
                <w:rFonts w:hint="eastAsia" w:ascii="宋体" w:hAnsi="宋体" w:eastAsia="宋体" w:cs="宋体"/>
                <w:b w:val="0"/>
                <w:bCs w:val="0"/>
                <w:sz w:val="18"/>
                <w:szCs w:val="18"/>
                <w:highlight w:val="none"/>
              </w:rPr>
              <w:t xml:space="preserve">组</w:t>
            </w:r>
            <w:r/>
          </w:p>
        </w:tc>
      </w:tr>
      <w:tr>
        <w:trPr/>
        <w:tc>
          <w:tcPr>
            <w:tcW w:w="691"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bCs w:val="0"/>
                <w:sz w:val="18"/>
                <w:szCs w:val="18"/>
                <w:highlight w:val="none"/>
              </w:rPr>
            </w:pPr>
            <w:r>
              <w:rPr>
                <w:rFonts w:hint="eastAsia" w:ascii="宋体" w:hAnsi="宋体" w:eastAsia="宋体" w:cs="宋体"/>
                <w:b w:val="0"/>
                <w:bCs w:val="0"/>
                <w:sz w:val="18"/>
                <w:szCs w:val="18"/>
                <w:highlight w:val="none"/>
              </w:rPr>
              <w:t xml:space="preserve">3</w:t>
            </w:r>
            <w:r/>
          </w:p>
        </w:tc>
        <w:tc>
          <w:tcPr>
            <w:tcW w:w="1260"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bCs w:val="0"/>
                <w:sz w:val="18"/>
                <w:szCs w:val="18"/>
                <w:highlight w:val="none"/>
              </w:rPr>
            </w:pPr>
            <w:r>
              <w:rPr>
                <w:rFonts w:hint="eastAsia" w:ascii="宋体" w:hAnsi="宋体" w:eastAsia="宋体" w:cs="宋体"/>
                <w:b w:val="0"/>
                <w:bCs w:val="0"/>
                <w:sz w:val="18"/>
                <w:szCs w:val="18"/>
                <w:highlight w:val="none"/>
              </w:rPr>
              <w:t xml:space="preserve">信息核对</w:t>
            </w:r>
            <w:r/>
          </w:p>
        </w:tc>
        <w:tc>
          <w:tcPr>
            <w:tcW w:w="1425"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bCs w:val="0"/>
                <w:sz w:val="18"/>
                <w:szCs w:val="18"/>
                <w:highlight w:val="none"/>
              </w:rPr>
            </w:pPr>
            <w:r>
              <w:rPr>
                <w:rFonts w:hint="eastAsia" w:ascii="宋体" w:hAnsi="宋体" w:eastAsia="宋体" w:cs="宋体"/>
                <w:b w:val="0"/>
                <w:bCs w:val="0"/>
                <w:sz w:val="18"/>
                <w:szCs w:val="18"/>
                <w:highlight w:val="none"/>
              </w:rPr>
              <w:t xml:space="preserve">确认信息分类处理</w:t>
            </w:r>
            <w:r/>
          </w:p>
        </w:tc>
        <w:tc>
          <w:tcPr>
            <w:tcW w:w="4402"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bCs w:val="0"/>
                <w:sz w:val="18"/>
                <w:szCs w:val="18"/>
                <w:highlight w:val="none"/>
              </w:rPr>
            </w:pPr>
            <w:r>
              <w:rPr>
                <w:rFonts w:hint="eastAsia" w:ascii="宋体" w:hAnsi="宋体" w:eastAsia="宋体" w:cs="宋体"/>
                <w:b w:val="0"/>
                <w:bCs w:val="0"/>
                <w:sz w:val="18"/>
                <w:szCs w:val="18"/>
                <w:highlight w:val="none"/>
              </w:rPr>
              <w:t xml:space="preserve">根据摸底调查情况，做好直接输出成果、内业图形属性修改后输出成果、需外业实测重新确权或增本确权三种类型的数据梳理和信息核对工作。</w:t>
            </w:r>
            <w:r/>
          </w:p>
        </w:tc>
        <w:tc>
          <w:tcPr>
            <w:tcW w:w="672"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bCs w:val="0"/>
                <w:sz w:val="18"/>
                <w:szCs w:val="18"/>
                <w:highlight w:val="none"/>
              </w:rPr>
            </w:pPr>
            <w:r>
              <w:rPr>
                <w:rFonts w:hint="eastAsia" w:ascii="宋体" w:hAnsi="宋体" w:eastAsia="宋体" w:cs="宋体"/>
                <w:b w:val="0"/>
                <w:bCs w:val="0"/>
                <w:sz w:val="18"/>
                <w:szCs w:val="18"/>
                <w:highlight w:val="none"/>
              </w:rPr>
              <w:t xml:space="preserve">亩</w:t>
            </w:r>
            <w:r/>
          </w:p>
        </w:tc>
      </w:tr>
      <w:tr>
        <w:trPr/>
        <w:tc>
          <w:tcPr>
            <w:tcW w:w="691"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4</w:t>
            </w:r>
            <w:r/>
          </w:p>
        </w:tc>
        <w:tc>
          <w:tcPr>
            <w:tcW w:w="1260"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实测指界</w:t>
            </w:r>
            <w:r/>
          </w:p>
        </w:tc>
        <w:tc>
          <w:tcPr>
            <w:tcW w:w="1425"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补充测绘调查</w:t>
            </w:r>
            <w:r/>
          </w:p>
        </w:tc>
        <w:tc>
          <w:tcPr>
            <w:tcW w:w="4402"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根据实际情况可采用室内判图法、野外调绘法、现场实测法等多种指界方法在调查底图上画出地块，填写</w:t>
            </w:r>
            <w:r>
              <w:rPr>
                <w:rFonts w:hint="eastAsia" w:ascii="宋体" w:hAnsi="宋体" w:eastAsia="宋体" w:cs="宋体"/>
                <w:sz w:val="18"/>
                <w:szCs w:val="18"/>
                <w:highlight w:val="none"/>
                <w:lang w:val="en-US" w:eastAsia="zh-CN"/>
              </w:rPr>
              <w:t xml:space="preserve">地块</w:t>
            </w:r>
            <w:r>
              <w:rPr>
                <w:rFonts w:hint="eastAsia" w:ascii="宋体" w:hAnsi="宋体" w:eastAsia="宋体" w:cs="宋体"/>
                <w:sz w:val="18"/>
                <w:szCs w:val="18"/>
                <w:highlight w:val="none"/>
              </w:rPr>
              <w:t xml:space="preserve">编码，同时在相关统计表中填写对应于图上的</w:t>
            </w:r>
            <w:r>
              <w:rPr>
                <w:rFonts w:hint="eastAsia" w:ascii="宋体" w:hAnsi="宋体" w:eastAsia="宋体" w:cs="宋体"/>
                <w:sz w:val="18"/>
                <w:szCs w:val="18"/>
                <w:highlight w:val="none"/>
                <w:lang w:val="en-US" w:eastAsia="zh-CN"/>
              </w:rPr>
              <w:t xml:space="preserve">地块</w:t>
            </w:r>
            <w:r>
              <w:rPr>
                <w:rFonts w:hint="eastAsia" w:ascii="宋体" w:hAnsi="宋体" w:eastAsia="宋体" w:cs="宋体"/>
                <w:sz w:val="18"/>
                <w:szCs w:val="18"/>
                <w:highlight w:val="none"/>
              </w:rPr>
              <w:t xml:space="preserve">编码及土地利用类型，等级，备注等其他信息。</w:t>
            </w:r>
            <w:r/>
          </w:p>
        </w:tc>
        <w:tc>
          <w:tcPr>
            <w:tcW w:w="672"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亩</w:t>
            </w:r>
            <w:r/>
          </w:p>
        </w:tc>
      </w:tr>
      <w:tr>
        <w:trPr/>
        <w:tc>
          <w:tcPr>
            <w:tcW w:w="691"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5</w:t>
            </w:r>
            <w:r/>
          </w:p>
        </w:tc>
        <w:tc>
          <w:tcPr>
            <w:tcW w:w="1260"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制定方案</w:t>
            </w:r>
            <w:r/>
          </w:p>
        </w:tc>
        <w:tc>
          <w:tcPr>
            <w:tcW w:w="1425"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提供数据支持</w:t>
            </w:r>
            <w:r/>
          </w:p>
        </w:tc>
        <w:tc>
          <w:tcPr>
            <w:tcW w:w="4402"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根据摸底后的数据，向</w:t>
            </w:r>
            <w:r>
              <w:rPr>
                <w:rFonts w:hint="eastAsia" w:ascii="宋体" w:hAnsi="宋体" w:eastAsia="宋体" w:cs="宋体"/>
                <w:sz w:val="18"/>
                <w:szCs w:val="18"/>
                <w:highlight w:val="none"/>
                <w:lang w:val="en-US" w:eastAsia="zh-CN"/>
              </w:rPr>
              <w:t xml:space="preserve">黄圩镇</w:t>
            </w:r>
            <w:r>
              <w:rPr>
                <w:rFonts w:hint="eastAsia" w:ascii="宋体" w:hAnsi="宋体" w:eastAsia="宋体" w:cs="宋体"/>
                <w:sz w:val="18"/>
                <w:szCs w:val="18"/>
                <w:highlight w:val="none"/>
              </w:rPr>
              <w:t xml:space="preserve">提供制定二轮到期延包方案的数据支撑。</w:t>
            </w:r>
            <w:r/>
          </w:p>
        </w:tc>
        <w:tc>
          <w:tcPr>
            <w:tcW w:w="672"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村</w:t>
            </w:r>
            <w:r/>
          </w:p>
        </w:tc>
      </w:tr>
      <w:tr>
        <w:trPr>
          <w:trHeight w:val="567"/>
        </w:trPr>
        <w:tc>
          <w:tcPr>
            <w:tcW w:w="691" w:type="dxa"/>
            <w:vAlign w:val="center"/>
            <w:vMerge w:val="restart"/>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6</w:t>
            </w:r>
            <w:r/>
          </w:p>
        </w:tc>
        <w:tc>
          <w:tcPr>
            <w:tcW w:w="1260" w:type="dxa"/>
            <w:vAlign w:val="center"/>
            <w:vMerge w:val="restart"/>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开展调查</w:t>
            </w:r>
            <w:r/>
          </w:p>
        </w:tc>
        <w:tc>
          <w:tcPr>
            <w:tcW w:w="1425"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二轮到期延包测绘调查</w:t>
            </w:r>
            <w:r/>
          </w:p>
        </w:tc>
        <w:tc>
          <w:tcPr>
            <w:tcW w:w="4402"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根据摸底情况汇总统计需调查测绘的地块信息，安排外业补充测绘，并按原确权要求处理相关测绘数据。</w:t>
            </w:r>
            <w:r/>
          </w:p>
        </w:tc>
        <w:tc>
          <w:tcPr>
            <w:tcW w:w="672"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亩</w:t>
            </w:r>
            <w:r/>
          </w:p>
        </w:tc>
      </w:tr>
      <w:tr>
        <w:trPr>
          <w:trHeight w:val="567"/>
        </w:trPr>
        <w:tc>
          <w:tcPr>
            <w:tcW w:w="691" w:type="dxa"/>
            <w:vAlign w:val="center"/>
            <w:vMerge w:val="continue"/>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260" w:type="dxa"/>
            <w:vAlign w:val="center"/>
            <w:vMerge w:val="continue"/>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425"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二轮到期延包数据处理</w:t>
            </w:r>
            <w:r/>
          </w:p>
        </w:tc>
        <w:tc>
          <w:tcPr>
            <w:tcW w:w="4402"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结合摸底数据、二轮到期延包测绘数据、二轮到期延包方案处理最终二轮到期延包数据，并以村为单位制作成质检无错误的汇交包，上传到网签系统；指导并培训处理二轮到期延包数据，统一工作方法及数据成果标准。</w:t>
            </w:r>
            <w:r/>
          </w:p>
        </w:tc>
        <w:tc>
          <w:tcPr>
            <w:tcW w:w="672"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村</w:t>
            </w:r>
            <w:r/>
          </w:p>
        </w:tc>
      </w:tr>
      <w:tr>
        <w:trPr>
          <w:trHeight w:val="567"/>
        </w:trPr>
        <w:tc>
          <w:tcPr>
            <w:tcW w:w="691"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7</w:t>
            </w:r>
            <w:r/>
          </w:p>
        </w:tc>
        <w:tc>
          <w:tcPr>
            <w:tcW w:w="1260"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数据修改入库</w:t>
            </w:r>
            <w:r/>
          </w:p>
        </w:tc>
        <w:tc>
          <w:tcPr>
            <w:tcW w:w="1425"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二轮到期延包数据处理</w:t>
            </w:r>
            <w:r/>
          </w:p>
        </w:tc>
        <w:tc>
          <w:tcPr>
            <w:tcW w:w="4402"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根据外业指界、实测情况，进行内业图形修改、属性修改，将外业填写的统计表中的编号及其他信息填写到数据表中，并以地块编码为连接字段，将地块名称，权利人名称，合同面积，地类，等级等属性进行关联，将调查的地块与户籍信息关联挂接，补全界址点，界址线信息，建立形成完整的数据库。由成交供应商完成录入</w:t>
            </w:r>
            <w:r>
              <w:rPr>
                <w:rFonts w:hint="eastAsia" w:ascii="宋体" w:hAnsi="宋体" w:eastAsia="宋体" w:cs="宋体"/>
                <w:sz w:val="18"/>
                <w:szCs w:val="18"/>
                <w:highlight w:val="none"/>
                <w:lang w:val="en-US" w:eastAsia="zh-CN"/>
              </w:rPr>
              <w:t xml:space="preserve">网签</w:t>
            </w:r>
            <w:r>
              <w:rPr>
                <w:rFonts w:hint="eastAsia" w:ascii="宋体" w:hAnsi="宋体" w:eastAsia="宋体" w:cs="宋体"/>
                <w:sz w:val="18"/>
                <w:szCs w:val="18"/>
                <w:highlight w:val="none"/>
              </w:rPr>
              <w:t xml:space="preserve">平台工作。</w:t>
            </w:r>
            <w:r/>
          </w:p>
        </w:tc>
        <w:tc>
          <w:tcPr>
            <w:tcW w:w="672"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村</w:t>
            </w:r>
            <w:r/>
          </w:p>
        </w:tc>
      </w:tr>
      <w:tr>
        <w:trPr>
          <w:trHeight w:val="567"/>
        </w:trPr>
        <w:tc>
          <w:tcPr>
            <w:tcW w:w="691"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8</w:t>
            </w:r>
            <w:r/>
          </w:p>
        </w:tc>
        <w:tc>
          <w:tcPr>
            <w:tcW w:w="1260"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资料输出打印</w:t>
            </w:r>
            <w:r/>
          </w:p>
        </w:tc>
        <w:tc>
          <w:tcPr>
            <w:tcW w:w="1425"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二轮到期延包数据处理</w:t>
            </w:r>
            <w:r/>
          </w:p>
        </w:tc>
        <w:tc>
          <w:tcPr>
            <w:tcW w:w="4402"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根据最终的数据库成果，从系统中输出登记簿、</w:t>
            </w:r>
            <w:r>
              <w:rPr>
                <w:rFonts w:hint="eastAsia" w:ascii="宋体" w:hAnsi="宋体" w:eastAsia="宋体" w:cs="宋体"/>
                <w:sz w:val="18"/>
                <w:szCs w:val="18"/>
                <w:highlight w:val="none"/>
                <w:lang w:val="en-US" w:eastAsia="zh-CN"/>
              </w:rPr>
              <w:t xml:space="preserve">发包方调查表、</w:t>
            </w:r>
            <w:r>
              <w:rPr>
                <w:rFonts w:hint="eastAsia" w:ascii="宋体" w:hAnsi="宋体" w:eastAsia="宋体" w:cs="宋体"/>
                <w:sz w:val="18"/>
                <w:szCs w:val="18"/>
                <w:highlight w:val="none"/>
              </w:rPr>
              <w:t xml:space="preserve">承包方调查表、公示结果归户表、承包合同、地块示意图等图件表格成果，并按照要求份数进行打印。</w:t>
            </w:r>
            <w:r/>
          </w:p>
        </w:tc>
        <w:tc>
          <w:tcPr>
            <w:tcW w:w="672"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村</w:t>
            </w:r>
            <w:r/>
          </w:p>
        </w:tc>
      </w:tr>
      <w:tr>
        <w:trPr/>
        <w:tc>
          <w:tcPr>
            <w:tcW w:w="691"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9</w:t>
            </w:r>
            <w:r/>
          </w:p>
        </w:tc>
        <w:tc>
          <w:tcPr>
            <w:tcW w:w="1260"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审核公示</w:t>
            </w:r>
            <w:r/>
          </w:p>
        </w:tc>
        <w:tc>
          <w:tcPr>
            <w:tcW w:w="1425"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公示培训及现场驻点技术服务</w:t>
            </w:r>
            <w:r/>
          </w:p>
        </w:tc>
        <w:tc>
          <w:tcPr>
            <w:tcW w:w="4402"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培训、指导并协助村组顺利开展二轮到期延包公示工作，在公示过程中若有信息变动的，在网签系统完善并修改相关内容（在</w:t>
            </w:r>
            <w:r>
              <w:rPr>
                <w:rFonts w:hint="eastAsia" w:ascii="宋体" w:hAnsi="宋体" w:eastAsia="宋体" w:cs="宋体"/>
                <w:sz w:val="18"/>
                <w:szCs w:val="18"/>
                <w:highlight w:val="none"/>
                <w:lang w:val="en-US" w:eastAsia="zh-CN"/>
              </w:rPr>
              <w:t xml:space="preserve">黄圩镇</w:t>
            </w:r>
            <w:r>
              <w:rPr>
                <w:rFonts w:hint="eastAsia" w:ascii="宋体" w:hAnsi="宋体" w:eastAsia="宋体" w:cs="宋体"/>
                <w:sz w:val="18"/>
                <w:szCs w:val="18"/>
                <w:highlight w:val="none"/>
              </w:rPr>
              <w:t xml:space="preserve">不少于3人驻场，驻场时间不少于2个月，要求确保每村每周至少有2天驻村服务）。</w:t>
            </w:r>
            <w:r/>
          </w:p>
        </w:tc>
        <w:tc>
          <w:tcPr>
            <w:tcW w:w="672"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镇</w:t>
            </w:r>
            <w:r/>
          </w:p>
        </w:tc>
      </w:tr>
      <w:tr>
        <w:trPr/>
        <w:tc>
          <w:tcPr>
            <w:tcW w:w="691" w:type="dxa"/>
            <w:vAlign w:val="center"/>
            <w:vMerge w:val="restart"/>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10</w:t>
            </w:r>
            <w:r/>
          </w:p>
        </w:tc>
        <w:tc>
          <w:tcPr>
            <w:tcW w:w="1260" w:type="dxa"/>
            <w:vAlign w:val="center"/>
            <w:vMerge w:val="restart"/>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签订合同</w:t>
            </w:r>
            <w:r/>
          </w:p>
        </w:tc>
        <w:tc>
          <w:tcPr>
            <w:tcW w:w="1425"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网签技术指导</w:t>
            </w:r>
            <w:r/>
          </w:p>
        </w:tc>
        <w:tc>
          <w:tcPr>
            <w:tcW w:w="4402"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网签驻场技术服务（在</w:t>
            </w:r>
            <w:r>
              <w:rPr>
                <w:rFonts w:hint="eastAsia" w:ascii="宋体" w:hAnsi="宋体" w:eastAsia="宋体" w:cs="宋体"/>
                <w:sz w:val="18"/>
                <w:szCs w:val="18"/>
                <w:highlight w:val="none"/>
                <w:lang w:val="en-US" w:eastAsia="zh-CN"/>
              </w:rPr>
              <w:t xml:space="preserve">黄圩镇</w:t>
            </w:r>
            <w:r>
              <w:rPr>
                <w:rFonts w:hint="eastAsia" w:ascii="宋体" w:hAnsi="宋体" w:eastAsia="宋体" w:cs="宋体"/>
                <w:sz w:val="18"/>
                <w:szCs w:val="18"/>
                <w:highlight w:val="none"/>
              </w:rPr>
              <w:t xml:space="preserve">不少于3人驻场，驻场时间不少于1个月，要求确保每村每周至少有2天驻村服务）；每</w:t>
            </w:r>
            <w:r>
              <w:rPr>
                <w:rFonts w:hint="eastAsia" w:ascii="宋体" w:hAnsi="宋体" w:eastAsia="宋体" w:cs="宋体"/>
                <w:sz w:val="18"/>
                <w:szCs w:val="18"/>
                <w:highlight w:val="none"/>
                <w:lang w:val="en-US" w:eastAsia="zh-CN"/>
              </w:rPr>
              <w:t xml:space="preserve">周</w:t>
            </w:r>
            <w:r>
              <w:rPr>
                <w:rFonts w:hint="eastAsia" w:ascii="宋体" w:hAnsi="宋体" w:eastAsia="宋体" w:cs="宋体"/>
                <w:sz w:val="18"/>
                <w:szCs w:val="18"/>
                <w:highlight w:val="none"/>
              </w:rPr>
              <w:t xml:space="preserve">向镇、</w:t>
            </w:r>
            <w:r>
              <w:rPr>
                <w:rFonts w:hint="eastAsia" w:ascii="宋体" w:hAnsi="宋体" w:eastAsia="宋体" w:cs="宋体"/>
                <w:sz w:val="18"/>
                <w:szCs w:val="18"/>
                <w:highlight w:val="none"/>
                <w:lang w:val="en-US" w:eastAsia="zh-CN"/>
              </w:rPr>
              <w:t xml:space="preserve">县</w:t>
            </w:r>
            <w:r>
              <w:rPr>
                <w:rFonts w:hint="eastAsia" w:ascii="宋体" w:hAnsi="宋体" w:eastAsia="宋体" w:cs="宋体"/>
                <w:sz w:val="18"/>
                <w:szCs w:val="18"/>
                <w:highlight w:val="none"/>
              </w:rPr>
              <w:t xml:space="preserve">级汇总上报网签工作进度。</w:t>
            </w:r>
            <w:r/>
          </w:p>
        </w:tc>
        <w:tc>
          <w:tcPr>
            <w:tcW w:w="672"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镇</w:t>
            </w:r>
            <w:r/>
          </w:p>
        </w:tc>
      </w:tr>
      <w:tr>
        <w:trPr/>
        <w:tc>
          <w:tcPr>
            <w:tcW w:w="691" w:type="dxa"/>
            <w:vAlign w:val="center"/>
            <w:vMerge w:val="continue"/>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260" w:type="dxa"/>
            <w:vAlign w:val="center"/>
            <w:vMerge w:val="continue"/>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1425"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系统培训服务</w:t>
            </w:r>
            <w:r/>
          </w:p>
        </w:tc>
        <w:tc>
          <w:tcPr>
            <w:tcW w:w="4402"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提供本</w:t>
            </w:r>
            <w:r>
              <w:rPr>
                <w:rFonts w:hint="eastAsia" w:ascii="宋体" w:hAnsi="宋体" w:eastAsia="宋体" w:cs="宋体"/>
                <w:sz w:val="18"/>
                <w:szCs w:val="18"/>
                <w:highlight w:val="none"/>
                <w:lang w:eastAsia="zh-CN"/>
              </w:rPr>
              <w:t xml:space="preserve">采购包</w:t>
            </w:r>
            <w:r>
              <w:rPr>
                <w:rFonts w:hint="eastAsia" w:ascii="宋体" w:hAnsi="宋体" w:eastAsia="宋体" w:cs="宋体"/>
                <w:sz w:val="18"/>
                <w:szCs w:val="18"/>
                <w:highlight w:val="none"/>
              </w:rPr>
              <w:t xml:space="preserve">内镇、村、组相关工作人员针对平台的使用培训（集中培训不少于2次）。</w:t>
            </w:r>
            <w:r/>
          </w:p>
        </w:tc>
        <w:tc>
          <w:tcPr>
            <w:tcW w:w="672"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tc>
          <w:tcPr>
            <w:tcW w:w="691"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11</w:t>
            </w:r>
            <w:r/>
          </w:p>
        </w:tc>
        <w:tc>
          <w:tcPr>
            <w:tcW w:w="1260"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完善证书</w:t>
            </w:r>
            <w:r/>
          </w:p>
        </w:tc>
        <w:tc>
          <w:tcPr>
            <w:tcW w:w="1425"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数据共享支持</w:t>
            </w:r>
            <w:r/>
          </w:p>
        </w:tc>
        <w:tc>
          <w:tcPr>
            <w:tcW w:w="4402"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提供完整二轮到期延包成果数据交予不动产登记管理部门，协助甲方参与数据移交共享工作。</w:t>
            </w:r>
            <w:r/>
          </w:p>
        </w:tc>
        <w:tc>
          <w:tcPr>
            <w:tcW w:w="672"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项</w:t>
            </w:r>
            <w:r/>
          </w:p>
        </w:tc>
      </w:tr>
      <w:tr>
        <w:trPr/>
        <w:tc>
          <w:tcPr>
            <w:tcW w:w="691"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12</w:t>
            </w:r>
            <w:r/>
          </w:p>
        </w:tc>
        <w:tc>
          <w:tcPr>
            <w:tcW w:w="1260"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资料归档</w:t>
            </w:r>
            <w:r/>
          </w:p>
        </w:tc>
        <w:tc>
          <w:tcPr>
            <w:tcW w:w="1425"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 xml:space="preserve">档案整理</w:t>
            </w:r>
            <w:r>
              <w:rPr>
                <w:rFonts w:hint="eastAsia" w:ascii="宋体" w:hAnsi="宋体" w:eastAsia="宋体" w:cs="宋体"/>
                <w:sz w:val="18"/>
                <w:szCs w:val="18"/>
                <w:highlight w:val="none"/>
                <w:lang w:eastAsia="zh-CN"/>
              </w:rPr>
              <w:t xml:space="preserve">数字化</w:t>
            </w:r>
            <w:r/>
          </w:p>
        </w:tc>
        <w:tc>
          <w:tcPr>
            <w:tcW w:w="4402"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按照档案管理及据部、省两级要求，整理二轮到期延包档案材料（包括但不限于合同整理打印、签章图制作、归户表制作等）</w:t>
            </w:r>
            <w:r/>
          </w:p>
        </w:tc>
        <w:tc>
          <w:tcPr>
            <w:tcW w:w="672"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户</w:t>
            </w:r>
            <w:r/>
          </w:p>
        </w:tc>
      </w:tr>
      <w:tr>
        <w:trPr/>
        <w:tc>
          <w:tcPr>
            <w:tcW w:w="691"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13</w:t>
            </w:r>
            <w:r/>
          </w:p>
        </w:tc>
        <w:tc>
          <w:tcPr>
            <w:tcW w:w="1260"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资料归档汇交</w:t>
            </w:r>
            <w:r/>
          </w:p>
        </w:tc>
        <w:tc>
          <w:tcPr>
            <w:tcW w:w="1425"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档案整理</w:t>
            </w:r>
            <w:r/>
          </w:p>
        </w:tc>
        <w:tc>
          <w:tcPr>
            <w:tcW w:w="4402"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 xml:space="preserve">纸质材料成果档案，以镇、村、户为单位，成交供应商分别整理装袋提交甲方；电子档成果数据（包括测绘数据库、失量图、承包方和发包方信息等），成交供应商完成数据库合并，汇交甲方，并负责技术服务，无条件移交给</w:t>
            </w:r>
            <w:r>
              <w:rPr>
                <w:rFonts w:hint="eastAsia" w:ascii="宋体" w:hAnsi="宋体" w:eastAsia="宋体" w:cs="宋体"/>
                <w:sz w:val="18"/>
                <w:szCs w:val="18"/>
                <w:highlight w:val="none"/>
                <w:lang w:val="en-US" w:eastAsia="zh-CN"/>
              </w:rPr>
              <w:t xml:space="preserve">黄圩镇和县农业农村局</w:t>
            </w:r>
            <w:r>
              <w:rPr>
                <w:rFonts w:hint="eastAsia" w:ascii="宋体" w:hAnsi="宋体" w:eastAsia="宋体" w:cs="宋体"/>
                <w:sz w:val="18"/>
                <w:szCs w:val="18"/>
                <w:highlight w:val="none"/>
                <w:lang w:eastAsia="zh-CN"/>
              </w:rPr>
              <w:t xml:space="preserve">，</w:t>
            </w:r>
            <w:r>
              <w:rPr>
                <w:rFonts w:hint="eastAsia" w:ascii="宋体" w:hAnsi="宋体" w:eastAsia="宋体" w:cs="宋体"/>
                <w:sz w:val="18"/>
                <w:szCs w:val="18"/>
                <w:highlight w:val="none"/>
                <w:lang w:val="en-US" w:eastAsia="zh-CN"/>
              </w:rPr>
              <w:t xml:space="preserve">档案整理最终</w:t>
            </w:r>
            <w:r>
              <w:rPr>
                <w:rFonts w:hint="eastAsia" w:ascii="宋体" w:hAnsi="宋体" w:eastAsia="宋体" w:cs="宋体"/>
                <w:sz w:val="18"/>
                <w:szCs w:val="18"/>
                <w:highlight w:val="none"/>
                <w:lang w:eastAsia="zh-CN"/>
              </w:rPr>
              <w:t xml:space="preserve">达到档案部门入馆要求。</w:t>
            </w:r>
            <w:r/>
          </w:p>
        </w:tc>
        <w:tc>
          <w:tcPr>
            <w:tcW w:w="672"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户</w:t>
            </w:r>
            <w:r/>
          </w:p>
        </w:tc>
      </w:tr>
    </w:tbl>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4"/>
          <w:highlight w:val="none"/>
          <w14:textFill>
            <w14:solidFill>
              <w14:schemeClr w14:val="tx1"/>
            </w14:solidFill>
          </w14:textFill>
        </w:rPr>
        <w:t xml:space="preserve">、技术标准与依据</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1）技术标准与依据</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（1）《中华人民共和国土地管理法》</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（2）《中华人民共和国农村土地承包法》</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（3）《中华人民共和国民法典》</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（4）《不动产登记暂行条例》</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（5）《不动产登记暂行条例实施细则》</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（6）《农村土地承包合同管理办法》</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（7）《江苏省农村土地承包经营权确权登记颁证档案管理实施办法》</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（8）GB/T 35958-2018农村土地承包经营权要素编码规则</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（9）NY/T 2539-2016 农村土地承包经营权确权登记数据库规范</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（10）GB/T 13989-2012 国家基本比例尺地形图分幅与编号</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（11）GB/T 18314-2009 全球定位系统（GPS）测量规范</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（12）CH/T 2009-2010 全球定位系统实时动态测量（RTK）技术规范</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（13）GB/T 2260-2007 中华人民共和国行政区划代码</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（14）GB/T 13923-2006 基础地理信息要素分类与代码</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（15）GB/T 21010-2017 土地利用现状分类</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（16）TD/T 1066-2021 不动产登记数据库标准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（17）CH/T 1001-2005 测绘技术总结编写规定</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（18）CH/T 1004-2005 测绘技术设计规定</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（19）GB/T 24356-2023 测绘成果质量检查与验收</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（20）GB/T 18316—2008 数字测绘成果质量检查与验收</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）《土地承包经营权和土地经营权登记操作规范（试行）》（自然资发〔2022〕198号）</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）GB/T 42547-2023《地籍调查规程》</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）TD/T 1095-2024《不动产登记规程》</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）《中共中央</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国务院关于保持土地承包关系稳定并长久不变的意见》（中发〔2018〕36号）</w:t>
      </w:r>
      <w:r/>
    </w:p>
    <w:p>
      <w:pPr>
        <w:ind w:firstLine="480"/>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25）《第二轮土地承包到期后再延长30年试点工作档案管理办法》</w:t>
      </w:r>
      <w:r/>
    </w:p>
    <w:p>
      <w:pPr>
        <w:ind w:firstLine="48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2）主要技术指标要求</w:t>
      </w:r>
      <w:r/>
    </w:p>
    <w:p>
      <w:pPr>
        <w:ind w:firstLine="48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（1）坐标系统</w:t>
      </w:r>
      <w:r/>
    </w:p>
    <w:p>
      <w:pPr>
        <w:ind w:firstLine="48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采用2000国家大地坐标系（CGCS2000）。</w:t>
      </w:r>
      <w:r/>
    </w:p>
    <w:p>
      <w:pPr>
        <w:ind w:firstLine="48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地图投影采用高斯—克吕格投影，3度分带，中央子午线为20°。</w:t>
      </w:r>
      <w:r/>
    </w:p>
    <w:p>
      <w:pPr>
        <w:ind w:firstLine="48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（2）高程系统</w:t>
      </w:r>
      <w:r/>
    </w:p>
    <w:p>
      <w:pPr>
        <w:ind w:firstLine="48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采用1985国家高程基准。</w:t>
      </w:r>
      <w:r/>
    </w:p>
    <w:p>
      <w:pPr>
        <w:ind w:firstLine="48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（3）比例尺</w:t>
      </w:r>
      <w:r/>
    </w:p>
    <w:p>
      <w:pPr>
        <w:ind w:firstLine="48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比例尺不低于1:2000。</w:t>
      </w:r>
      <w:r/>
    </w:p>
    <w:p>
      <w:pPr>
        <w:ind w:firstLine="48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（4）计量单位</w:t>
      </w:r>
      <w:r/>
    </w:p>
    <w:p>
      <w:pPr>
        <w:ind w:firstLine="48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①长度单位采用米（m），统计汇总登记采用千米（km），小数点后保留两位有效数字。</w:t>
      </w:r>
      <w:r/>
    </w:p>
    <w:p>
      <w:pPr>
        <w:ind w:firstLine="48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②面积计算单位采用亩（mu），面积统计汇总单位采用亩（mu），保留2位小数。</w:t>
      </w:r>
      <w:r/>
    </w:p>
    <w:p>
      <w:pPr>
        <w:ind w:firstLine="48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（5）面积量算</w:t>
      </w:r>
      <w:r/>
    </w:p>
    <w:p>
      <w:pPr>
        <w:ind w:firstLine="48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面积量算，平原地区面积采用地块水平投影面积，坡地等地块地表倾斜面的面积通过改正系数计算。改正系数可在外业调查时按照地块实测面积和调绘面积计算获得。</w:t>
      </w:r>
      <w:r/>
    </w:p>
    <w:p>
      <w:pPr>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服务期限</w:t>
      </w:r>
      <w:r/>
    </w:p>
    <w:p>
      <w:pPr>
        <w:ind w:firstLine="48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具体实施进度根据响水县农业农村局实际工作进度安排实施。（具体时间以省、市、县三级实际工作进度要求为准）</w:t>
      </w:r>
      <w:r/>
    </w:p>
    <w:p>
      <w:pPr>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四、服务质量保证及售后服务要求</w:t>
      </w:r>
      <w:r/>
    </w:p>
    <w:p>
      <w:pPr>
        <w:ind w:firstLine="48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供应商需严格按采购人规定的时间完成项目的全部工作内容，如在实施的过程中出现错误、误差，需负责及时更正直至采购人确认合格，供应商在项目进行过程中产生的任何安全、损坏等责任事故一律由供应商自行承担。</w:t>
      </w:r>
      <w:r/>
    </w:p>
    <w:p>
      <w:pPr>
        <w:ind w:firstLine="48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（2）供应商应按照通过最终成果检验的要求进行质量控制，质量保证措施应全面、具体、安全、合理、切实可行、责任明确。</w:t>
      </w:r>
      <w:r/>
    </w:p>
    <w:p>
      <w:pPr>
        <w:ind w:firstLine="48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（3）供应商需提供必要的技术支持，协助采购人完成其他需要供应商配合的服务。</w:t>
      </w:r>
      <w:r/>
    </w:p>
    <w:p>
      <w:pPr>
        <w:ind w:firstLine="48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（4）供应商应严格遵守服务合约，项目完成以后，如采购人有需要供应商配合的服务，供应商必需予以配合，协助采购人完善项目内容。</w:t>
      </w:r>
      <w:r/>
    </w:p>
    <w:p>
      <w:pPr>
        <w:ind w:firstLine="48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此项目要求提供多样化技术支持服务，处理出现的各种问题，以保证工作的正常运行。二轮延包完成后质保期一年，质保期内成果存在任何问题或上级部门制定新的成果提交要求，供应商均需按要求对成果进行更新或整改。服务期和质保期内供应商服务响应时间为2小时、一般售后问题时间控制在4小时内、重大售后问题时间控制住8小时内。在客户工作需要技术支持情况下，如需现场解决，到达现场时间不超过12小时，特殊情况下不超过24小时。</w:t>
      </w:r>
      <w:r/>
    </w:p>
    <w:p>
      <w:pPr>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四、数据保密要求</w:t>
      </w:r>
      <w:r/>
    </w:p>
    <w:p>
      <w:pPr>
        <w:ind w:firstLine="48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项目质量必须严格按照国家规范及江苏省、盐城市相应地方规范、招标文件的技术规范的有关要求执行，如果在合同履行过程中有新的国家或行业（部）规范和标准出台的，则供应商应确保其合同内容达到并符合新的国家或行业（部）规范和标准，因此而增加的费用及风险由供应商自行承担。</w:t>
      </w:r>
      <w:r/>
    </w:p>
    <w:p>
      <w:pPr>
        <w:ind w:firstLine="48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（2）在项目实施期间供应商应遵守项目现场及采购人的各项规章制度。</w:t>
      </w:r>
      <w:r/>
    </w:p>
    <w:p>
      <w:pPr>
        <w:ind w:firstLine="48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（3）供应商在项目实施期间应无条件的接受采购人的监督管理，提出的问题要及时整改。</w:t>
      </w:r>
      <w:r/>
    </w:p>
    <w:p>
      <w:pPr>
        <w:ind w:firstLine="48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（4）为了保证项目的正常完成，投标单位须在投标文件中提供进度计划及进度保证措施方案。</w:t>
      </w:r>
      <w:r/>
    </w:p>
    <w:p>
      <w:pPr>
        <w:ind w:firstLine="48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（5）投标人必须对所提供服务等知识产权方面的一切产权关系负全部责任，由此而引起的法律纠纷以及费用投标人须全部承担。</w:t>
      </w:r>
      <w:r/>
    </w:p>
    <w:p>
      <w:pPr>
        <w:ind w:firstLine="48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（6）与本项目有关的所有质量、安全问题均由供应商终身负责，如因上述原5因造成的一切后果均由供应商自行承担，与他人无涉。</w:t>
      </w:r>
      <w:r/>
    </w:p>
    <w:p>
      <w:pPr>
        <w:ind w:firstLine="48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7）供应商须承诺：采取必要的管理与技术措施，确保供应商专为本项目采集的数据库只为获得相关授权的人所接触和掌握，承诺完全履行其保密义务，并不以任何方式将以上成果资料的部分或全部泄露、提供和转让给任何第三方，否则供应商按本合同约定承担相应违约责任。</w:t>
      </w:r>
      <w:r/>
    </w:p>
    <w:p>
      <w:pPr>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五、其他要求</w:t>
      </w:r>
      <w:r/>
    </w:p>
    <w:p>
      <w:pPr>
        <w:ind w:firstLine="48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为了保证黄圩镇农村土地承包经营权二轮到期延包30年数据的安全，在项目中有以下安全性要求。</w:t>
      </w:r>
      <w:r/>
    </w:p>
    <w:p>
      <w:pPr>
        <w:ind w:firstLine="48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（1）数据安全性</w:t>
      </w:r>
      <w:r/>
    </w:p>
    <w:p>
      <w:pPr>
        <w:ind w:firstLine="48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项目要求数据建库工作全程在符合保密要求的环境下进行。供应方在实施过程中不能留有承包地块数据、自然资源数据的任何复制产品。</w:t>
      </w:r>
      <w:r/>
    </w:p>
    <w:p>
      <w:pPr>
        <w:ind w:firstLine="48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（2）人员安全意识</w:t>
      </w:r>
      <w:r/>
    </w:p>
    <w:p>
      <w:pPr>
        <w:ind w:firstLine="48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黄圩镇农村土地承包经营权二轮到期延包30年数据具备较高的保密性，要求实施单位加强对实施人员安全意识的培养。</w:t>
      </w:r>
      <w:r/>
    </w:p>
    <w:p>
      <w:pPr>
        <w:ind w:firstLine="48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（3）人员素质的保证</w:t>
      </w:r>
      <w:r/>
    </w:p>
    <w:p>
      <w:pPr>
        <w:ind w:firstLine="48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该项目参与人员必须是素质高、品质好、作风过硬的技术人员，尤其是在关键业务岗位上的人员，如数据管理、数据维护等。</w:t>
      </w:r>
      <w:r/>
    </w:p>
    <w:p>
      <w:pPr>
        <w:ind w:firstLine="48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（4）网络安全性</w:t>
      </w:r>
      <w:r/>
    </w:p>
    <w:p>
      <w:pPr>
        <w:pStyle w:val="612"/>
        <w:ind w:firstLine="480"/>
        <w:jc w:val="both"/>
        <w:spacing w:beforeAutospacing="0" w:afterAutospacing="0" w:line="0" w:lineRule="atLeas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网络安全包括物理的和逻辑的网络安全。要求供应商在实施的过程中，所使用的终端设备不能连接到外部网络，以免数据被非法修改和复制。</w:t>
      </w:r>
      <w:r/>
    </w:p>
    <w:p>
      <w:pPr>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六、投标要求</w:t>
      </w:r>
      <w:r/>
    </w:p>
    <w:p>
      <w:pPr>
        <w:ind w:firstLine="480"/>
        <w:jc w:val="left"/>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供应商应具有完善的体系认证，如:质量安全管理体系认证、质量管理体系认证、信息技术服务管理体系认证、测量管理体系认证证书。以及应当具有丰富的跟本项目有关的服务案例和完善的项目组人员配备以及良好的行业信誉。中标人严格执行招标文件要求和有关技术标准、规范要求，保质、保量、按时完成工作。</w:t>
      </w:r>
      <w:r/>
    </w:p>
    <w:p>
      <w:pPr>
        <w:ind w:firstLine="480"/>
        <w:jc w:val="left"/>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2.根据项目需求应制定</w:t>
      </w:r>
      <w:r>
        <w:rPr>
          <w:rFonts w:hint="eastAsia" w:ascii="宋体" w:hAnsi="宋体" w:eastAsia="宋体" w:cs="宋体"/>
          <w:sz w:val="24"/>
          <w:szCs w:val="24"/>
          <w:highlight w:val="none"/>
        </w:rPr>
        <w:t xml:space="preserve">总体技术方案，内容应当包括但不限于以下内容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①项目背景和现状②相关规范及标准③建设目标及技术路线等</w:t>
      </w:r>
      <w:r>
        <w:rPr>
          <w:rFonts w:hint="eastAsia" w:ascii="宋体" w:hAnsi="宋体" w:eastAsia="宋体" w:cs="宋体"/>
          <w:sz w:val="24"/>
          <w:szCs w:val="24"/>
          <w:highlight w:val="none"/>
          <w:lang w:eastAsia="zh-CN"/>
        </w:rPr>
        <w:t xml:space="preserve">。</w:t>
      </w:r>
      <w:r/>
    </w:p>
    <w:p>
      <w:pPr>
        <w:ind w:firstLine="480"/>
        <w:jc w:val="left"/>
        <w:spacing w:line="360" w:lineRule="auto"/>
        <w:rPr>
          <w:rFonts w:hint="default" w:ascii="宋体" w:hAnsi="宋体" w:cs="宋体"/>
          <w:color w:val="000000"/>
          <w:sz w:val="24"/>
          <w:highlight w:val="none"/>
          <w:lang w:val="en-US" w:eastAsia="zh-CN"/>
        </w:rPr>
      </w:pPr>
      <w:r>
        <w:rPr>
          <w:rFonts w:hint="eastAsia" w:ascii="宋体" w:hAnsi="宋体" w:cs="宋体"/>
          <w:color w:val="000000"/>
          <w:sz w:val="24"/>
          <w:szCs w:val="24"/>
          <w:highlight w:val="none"/>
          <w:lang w:val="en-US" w:eastAsia="zh-CN" w:bidi="ar-SA"/>
        </w:rPr>
        <w:t xml:space="preserve">3</w:t>
      </w:r>
      <w:r>
        <w:rPr>
          <w:rFonts w:hint="eastAsia" w:ascii="宋体" w:hAnsi="宋体" w:cs="宋体" w:eastAsiaTheme="minorEastAsia"/>
          <w:color w:val="000000"/>
          <w:sz w:val="24"/>
          <w:szCs w:val="24"/>
          <w:highlight w:val="none"/>
          <w:lang w:val="en-US" w:eastAsia="zh-CN" w:bidi="ar-SA"/>
        </w:rPr>
        <w:t xml:space="preserve">.</w:t>
      </w:r>
      <w:r>
        <w:rPr>
          <w:rFonts w:hint="eastAsia" w:ascii="宋体" w:hAnsi="宋体" w:cs="宋体"/>
          <w:color w:val="000000"/>
          <w:sz w:val="24"/>
          <w:highlight w:val="none"/>
          <w:lang w:val="en-US" w:eastAsia="zh-CN"/>
        </w:rPr>
        <w:t xml:space="preserve">根据项目需求应制定</w:t>
      </w:r>
      <w:r>
        <w:rPr>
          <w:rFonts w:hint="eastAsia" w:ascii="宋体" w:hAnsi="宋体" w:eastAsia="宋体" w:cs="宋体"/>
          <w:sz w:val="24"/>
          <w:szCs w:val="24"/>
          <w:highlight w:val="none"/>
        </w:rPr>
        <w:t xml:space="preserve">项目组织管理方案，内容应当包括但不限于以下内容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①</w:t>
      </w:r>
      <w:r>
        <w:rPr>
          <w:rFonts w:hint="eastAsia" w:ascii="宋体" w:hAnsi="宋体" w:eastAsia="宋体" w:cs="宋体"/>
          <w:sz w:val="24"/>
          <w:szCs w:val="24"/>
          <w:highlight w:val="none"/>
        </w:rPr>
        <w:t xml:space="preserve">单位组织机构</w:t>
      </w:r>
      <w:r>
        <w:rPr>
          <w:rFonts w:hint="eastAsia" w:ascii="宋体" w:hAnsi="宋体" w:eastAsia="宋体" w:cs="宋体"/>
          <w:sz w:val="24"/>
          <w:szCs w:val="24"/>
          <w:highlight w:val="none"/>
          <w:lang w:val="en-US" w:eastAsia="zh-CN"/>
        </w:rPr>
        <w:t xml:space="preserve">构成</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②制定管理</w:t>
      </w:r>
      <w:r>
        <w:rPr>
          <w:rFonts w:hint="eastAsia" w:ascii="宋体" w:hAnsi="宋体" w:eastAsia="宋体" w:cs="宋体"/>
          <w:sz w:val="24"/>
          <w:szCs w:val="24"/>
          <w:highlight w:val="none"/>
        </w:rPr>
        <w:t xml:space="preserve">制度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③明确</w:t>
      </w:r>
      <w:r>
        <w:rPr>
          <w:rFonts w:hint="eastAsia" w:ascii="宋体" w:hAnsi="宋体" w:eastAsia="宋体" w:cs="宋体"/>
          <w:sz w:val="24"/>
          <w:szCs w:val="24"/>
          <w:highlight w:val="none"/>
        </w:rPr>
        <w:t xml:space="preserve">责任分工</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rPr>
        <w:t xml:space="preserve">。</w:t>
      </w:r>
      <w:r/>
    </w:p>
    <w:p>
      <w:pPr>
        <w:ind w:firstLine="480"/>
        <w:jc w:val="left"/>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szCs w:val="24"/>
          <w:highlight w:val="none"/>
          <w:lang w:val="en-US" w:eastAsia="zh-CN" w:bidi="ar-SA"/>
        </w:rPr>
        <w:t xml:space="preserve">4</w:t>
      </w:r>
      <w:r>
        <w:rPr>
          <w:rFonts w:hint="eastAsia" w:ascii="宋体" w:hAnsi="宋体" w:cs="宋体" w:eastAsiaTheme="minorEastAsia"/>
          <w:color w:val="000000"/>
          <w:sz w:val="24"/>
          <w:szCs w:val="24"/>
          <w:highlight w:val="none"/>
          <w:lang w:val="en-US" w:eastAsia="zh-CN" w:bidi="ar-SA"/>
        </w:rPr>
        <w:t xml:space="preserve">.</w:t>
      </w:r>
      <w:r>
        <w:rPr>
          <w:rFonts w:hint="eastAsia" w:ascii="宋体" w:hAnsi="宋体" w:cs="宋体"/>
          <w:color w:val="000000"/>
          <w:sz w:val="24"/>
          <w:highlight w:val="none"/>
          <w:lang w:val="en-US" w:eastAsia="zh-CN"/>
        </w:rPr>
        <w:t xml:space="preserve">根据项目需求应制定</w:t>
      </w:r>
      <w:r>
        <w:rPr>
          <w:rFonts w:hint="eastAsia" w:ascii="宋体" w:hAnsi="宋体" w:eastAsia="宋体" w:cs="宋体"/>
          <w:sz w:val="24"/>
          <w:szCs w:val="24"/>
          <w:highlight w:val="none"/>
        </w:rPr>
        <w:t xml:space="preserve">进度安排方案，内容应当包括但不限于以下内容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①</w:t>
      </w:r>
      <w:r>
        <w:rPr>
          <w:rFonts w:hint="eastAsia" w:ascii="宋体" w:hAnsi="宋体" w:eastAsia="宋体" w:cs="宋体"/>
          <w:sz w:val="24"/>
          <w:szCs w:val="24"/>
          <w:highlight w:val="none"/>
        </w:rPr>
        <w:t xml:space="preserve">项目实</w:t>
      </w:r>
      <w:r>
        <w:rPr>
          <w:rFonts w:hint="eastAsia" w:ascii="宋体" w:hAnsi="宋体" w:cs="宋体"/>
          <w:color w:val="000000"/>
          <w:sz w:val="24"/>
          <w:highlight w:val="none"/>
          <w:lang w:val="en-US" w:eastAsia="zh-CN"/>
        </w:rPr>
        <w:t xml:space="preserve">施计划；②工期安排③人员安排等。</w:t>
      </w:r>
      <w:r/>
    </w:p>
    <w:p>
      <w:pPr>
        <w:ind w:firstLine="480"/>
        <w:jc w:val="left"/>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5.根据项目需求应制定质量保证措施，内容应当包括但不限于以下内容：①质量目标；②各级质量管理人员配备；③质量保证措施。</w:t>
      </w:r>
      <w:r/>
    </w:p>
    <w:p>
      <w:pPr>
        <w:ind w:firstLine="480"/>
        <w:jc w:val="left"/>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6.根据项目需求应制定安全生产及项目保密措施，内容应当包括但不限于以下内容：①项目保密管理；②安全生产管理；③保密措施保障等。</w:t>
      </w:r>
      <w:r/>
    </w:p>
    <w:p>
      <w:pPr>
        <w:ind w:firstLine="480"/>
        <w:jc w:val="left"/>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7.根据项目需求应做出</w:t>
      </w:r>
      <w:r>
        <w:rPr>
          <w:rFonts w:hint="eastAsia" w:ascii="宋体" w:hAnsi="宋体" w:eastAsia="宋体" w:cs="宋体"/>
          <w:sz w:val="24"/>
          <w:szCs w:val="24"/>
          <w:highlight w:val="none"/>
        </w:rPr>
        <w:t xml:space="preserve">重难点分析</w:t>
      </w:r>
      <w:r>
        <w:rPr>
          <w:rFonts w:hint="eastAsia" w:ascii="宋体" w:hAnsi="宋体" w:eastAsia="宋体" w:cs="宋体"/>
          <w:sz w:val="24"/>
          <w:szCs w:val="24"/>
          <w:highlight w:val="none"/>
          <w:lang w:val="en-US" w:eastAsia="zh-CN"/>
        </w:rPr>
        <w:t xml:space="preserve">并给出</w:t>
      </w:r>
      <w:r>
        <w:rPr>
          <w:rFonts w:hint="eastAsia" w:ascii="宋体" w:hAnsi="宋体" w:eastAsia="宋体" w:cs="宋体"/>
          <w:sz w:val="24"/>
          <w:szCs w:val="24"/>
          <w:highlight w:val="none"/>
        </w:rPr>
        <w:t xml:space="preserve">合理化建议</w:t>
      </w:r>
      <w:r>
        <w:rPr>
          <w:rFonts w:hint="eastAsia" w:ascii="宋体" w:hAnsi="宋体" w:cs="宋体"/>
          <w:color w:val="000000"/>
          <w:sz w:val="24"/>
          <w:highlight w:val="none"/>
          <w:lang w:val="en-US" w:eastAsia="zh-CN"/>
        </w:rPr>
        <w:t xml:space="preserve">。</w:t>
      </w:r>
      <w:r/>
    </w:p>
    <w:p>
      <w:pPr>
        <w:ind w:firstLine="480"/>
        <w:jc w:val="left"/>
        <w:spacing w:line="360" w:lineRule="auto"/>
        <w:rPr>
          <w:rFonts w:hint="default"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8.根据项目需求应制定</w:t>
      </w:r>
      <w:r>
        <w:rPr>
          <w:rFonts w:hint="eastAsia" w:ascii="宋体" w:hAnsi="宋体" w:eastAsia="宋体" w:cs="宋体"/>
          <w:sz w:val="24"/>
          <w:szCs w:val="24"/>
          <w:highlight w:val="none"/>
        </w:rPr>
        <w:t xml:space="preserve">服务承诺方案，内容应当包括但不限于以下内容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①</w:t>
      </w:r>
      <w:r>
        <w:rPr>
          <w:rFonts w:hint="eastAsia" w:ascii="宋体" w:hAnsi="宋体" w:eastAsia="宋体" w:cs="宋体"/>
          <w:sz w:val="24"/>
          <w:szCs w:val="24"/>
          <w:highlight w:val="none"/>
        </w:rPr>
        <w:t xml:space="preserve">驻点技术服务人员</w:t>
      </w:r>
      <w:r>
        <w:rPr>
          <w:rFonts w:hint="eastAsia" w:ascii="宋体" w:hAnsi="宋体" w:eastAsia="宋体" w:cs="宋体"/>
          <w:sz w:val="24"/>
          <w:szCs w:val="24"/>
          <w:highlight w:val="none"/>
          <w:lang w:val="en-US" w:eastAsia="zh-CN"/>
        </w:rPr>
        <w:t xml:space="preserve">安排</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②</w:t>
      </w:r>
      <w:r>
        <w:rPr>
          <w:rFonts w:hint="eastAsia" w:ascii="宋体" w:hAnsi="宋体" w:eastAsia="宋体" w:cs="宋体"/>
          <w:sz w:val="24"/>
          <w:szCs w:val="24"/>
          <w:highlight w:val="none"/>
        </w:rPr>
        <w:t xml:space="preserve">设备仪器工作车辆计划安排</w:t>
      </w:r>
      <w:r>
        <w:rPr>
          <w:rFonts w:hint="eastAsia" w:ascii="宋体" w:hAnsi="宋体" w:eastAsia="宋体" w:cs="宋体"/>
          <w:sz w:val="24"/>
          <w:szCs w:val="24"/>
          <w:highlight w:val="none"/>
          <w:lang w:val="en-US" w:eastAsia="zh-CN"/>
        </w:rPr>
        <w:t xml:space="preserve">等</w:t>
      </w:r>
      <w:r>
        <w:rPr>
          <w:rFonts w:hint="eastAsia" w:ascii="宋体" w:hAnsi="宋体" w:cs="宋体"/>
          <w:color w:val="000000"/>
          <w:sz w:val="24"/>
          <w:highlight w:val="none"/>
          <w:lang w:val="en-US" w:eastAsia="zh-CN"/>
        </w:rPr>
        <w:t xml:space="preserve">。</w:t>
      </w:r>
      <w:r/>
    </w:p>
    <w:p>
      <w:pPr>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七、采购标的对应的中小企业划分标准所属行业一览表</w:t>
      </w:r>
      <w:r/>
    </w:p>
    <w:tbl>
      <w:tblPr>
        <w:tblStyle w:val="605"/>
        <w:tblW w:w="4998" w:type="pct"/>
        <w:jc w:val="center"/>
        <w:tblCellSpacing w:w="0" w:type="dxa"/>
        <w:tblLayout w:type="autofit"/>
        <w:tblCellMar>
          <w:left w:w="108" w:type="dxa"/>
          <w:top w:w="0" w:type="dxa"/>
          <w:right w:w="108" w:type="dxa"/>
          <w:bottom w:w="0" w:type="dxa"/>
        </w:tblCellMar>
        <w:tblLook w:val="04A0" w:firstRow="1" w:lastRow="0" w:firstColumn="1" w:lastColumn="0" w:noHBand="0" w:noVBand="1"/>
      </w:tblPr>
      <w:tblGrid>
        <w:gridCol w:w="690"/>
        <w:gridCol w:w="5606"/>
        <w:gridCol w:w="2243"/>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pStyle w:val="612"/>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82" w:type="pct"/>
            <w:vAlign w:val="center"/>
            <w:textDirection w:val="lrTb"/>
            <w:noWrap w:val="false"/>
          </w:tcPr>
          <w:p>
            <w:pPr>
              <w:pStyle w:val="612"/>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1313" w:type="pct"/>
            <w:vAlign w:val="center"/>
            <w:textDirection w:val="lrTb"/>
            <w:noWrap w:val="false"/>
          </w:tcPr>
          <w:p>
            <w:pPr>
              <w:pStyle w:val="612"/>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pStyle w:val="612"/>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82" w:type="pct"/>
            <w:vAlign w:val="center"/>
            <w:textDirection w:val="lrTb"/>
            <w:noWrap w:val="false"/>
          </w:tcPr>
          <w:p>
            <w:pPr>
              <w:pStyle w:val="612"/>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黄圩镇第二轮土地承包到期后再延长30年试点项目</w:t>
            </w:r>
            <w:r/>
          </w:p>
        </w:tc>
        <w:tc>
          <w:tcPr>
            <w:shd w:val="clear" w:color="auto" w:fill="auto"/>
            <w:tcBorders>
              <w:top w:val="single" w:color="000000" w:sz="4" w:space="0"/>
              <w:left w:val="single" w:color="000000" w:sz="4" w:space="0"/>
              <w:bottom w:val="single" w:color="000000" w:sz="4" w:space="0"/>
              <w:right w:val="single" w:color="000000" w:sz="4" w:space="0"/>
            </w:tcBorders>
            <w:tcW w:w="1313" w:type="pct"/>
            <w:vAlign w:val="center"/>
            <w:textDirection w:val="lrTb"/>
            <w:noWrap w:val="false"/>
          </w:tcPr>
          <w:p>
            <w:pPr>
              <w:pStyle w:val="612"/>
              <w:jc w:val="center"/>
              <w:spacing w:beforeAutospacing="0" w:afterAutospacing="0" w:line="0" w:lineRule="atLeas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其他未列明行业</w:t>
            </w:r>
            <w:r/>
          </w:p>
        </w:tc>
      </w:tr>
    </w:tbl>
    <w:p>
      <w:pPr>
        <w:ind w:firstLine="480"/>
        <w:jc w:val="left"/>
        <w:spacing w:line="360" w:lineRule="auto"/>
        <w:rPr>
          <w:rFonts w:hint="eastAsia" w:ascii="宋体" w:hAnsi="宋体" w:cs="宋体"/>
          <w:color w:val="000000"/>
          <w:sz w:val="24"/>
          <w:szCs w:val="24"/>
          <w:highlight w:val="none"/>
          <w:lang w:val="en-US" w:eastAsia="zh-CN"/>
          <w14:ligatures w14:val="none"/>
        </w:rPr>
      </w:pPr>
      <w:r>
        <w:rPr>
          <w:rFonts w:hint="eastAsia" w:ascii="宋体" w:hAnsi="宋体" w:cs="宋体"/>
          <w:color w:val="000000"/>
          <w:sz w:val="24"/>
          <w:szCs w:val="24"/>
          <w:highlight w:val="none"/>
          <w:lang w:val="en-US" w:eastAsia="zh-CN"/>
          <w14:ligatures w14:val="none"/>
        </w:rPr>
      </w:r>
      <w:r>
        <w:rPr>
          <w:rFonts w:hint="eastAsia" w:ascii="宋体" w:hAnsi="宋体" w:cs="宋体"/>
          <w:color w:val="000000"/>
          <w:sz w:val="24"/>
          <w:szCs w:val="24"/>
          <w:highlight w:val="none"/>
          <w:lang w:val="en-US" w:eastAsia="zh-CN"/>
          <w14:ligatures w14:val="none"/>
        </w:rPr>
      </w:r>
    </w:p>
    <w:p>
      <w:pPr>
        <w:ind w:firstLine="480"/>
        <w:jc w:val="left"/>
        <w:spacing w:line="360" w:lineRule="auto"/>
        <w:rPr>
          <w:rFonts w:hint="eastAsia" w:ascii="宋体" w:hAnsi="宋体" w:cs="宋体"/>
          <w:color w:val="000000"/>
          <w:sz w:val="24"/>
          <w:szCs w:val="24"/>
          <w:highlight w:val="none"/>
          <w:lang w:val="en-US" w:eastAsia="zh-CN"/>
          <w14:ligatures w14:val="none"/>
        </w:rPr>
      </w:pPr>
      <w:r>
        <w:rPr>
          <w:rFonts w:hint="eastAsia" w:ascii="宋体" w:hAnsi="宋体" w:cs="宋体"/>
          <w:color w:val="000000"/>
          <w:sz w:val="24"/>
          <w:szCs w:val="24"/>
          <w:highlight w:val="none"/>
          <w:lang w:val="en-US" w:eastAsia="zh-CN"/>
        </w:rPr>
      </w:r>
      <w:r>
        <w:rPr>
          <w:rFonts w:hint="eastAsia" w:ascii="宋体" w:hAnsi="宋体" w:cs="宋体"/>
          <w:color w:val="000000"/>
          <w:sz w:val="24"/>
          <w:szCs w:val="24"/>
          <w:highlight w:val="none"/>
          <w:lang w:val="en-US" w:eastAsia="zh-CN"/>
        </w:rPr>
      </w:r>
    </w:p>
    <w:p>
      <w:pPr>
        <w:ind w:firstLine="480"/>
        <w:jc w:val="left"/>
        <w:spacing w:line="360" w:lineRule="auto"/>
        <w:rPr>
          <w:rFonts w:hint="eastAsia" w:ascii="宋体" w:hAnsi="宋体" w:cs="宋体"/>
          <w:color w:val="000000"/>
          <w:sz w:val="24"/>
          <w:szCs w:val="24"/>
          <w:highlight w:val="none"/>
          <w:lang w:val="en-US" w:eastAsia="zh-CN"/>
          <w14:ligatures w14:val="none"/>
        </w:rPr>
      </w:pPr>
      <w:r>
        <w:rPr>
          <w:rFonts w:hint="eastAsia" w:ascii="宋体" w:hAnsi="宋体" w:cs="宋体"/>
          <w:color w:val="000000"/>
          <w:sz w:val="24"/>
          <w:szCs w:val="24"/>
          <w:highlight w:val="none"/>
          <w:lang w:val="en-US" w:eastAsia="zh-CN"/>
        </w:rPr>
      </w:r>
      <w:r>
        <w:rPr>
          <w:rFonts w:hint="eastAsia" w:ascii="宋体" w:hAnsi="宋体" w:cs="宋体"/>
          <w:color w:val="000000"/>
          <w:sz w:val="24"/>
          <w:szCs w:val="24"/>
          <w:highlight w:val="none"/>
          <w:lang w:val="en-US" w:eastAsia="zh-CN"/>
        </w:rPr>
      </w:r>
    </w:p>
    <w:p>
      <w:pPr>
        <w:pStyle w:val="612"/>
        <w:jc w:val="center"/>
        <w:keepNext/>
        <w:spacing w:beforeAutospacing="0" w:afterAutospacing="0"/>
        <w:rPr>
          <w:rFonts w:hint="eastAsia" w:ascii="黑体" w:hAnsi="宋体" w:eastAsia="黑体" w:cs="黑体"/>
          <w:b/>
          <w:bCs/>
          <w:color w:val="000000"/>
          <w:sz w:val="44"/>
          <w:szCs w:val="44"/>
          <w:highlight w:val="none"/>
        </w:rPr>
      </w:pPr>
      <w:r/>
      <w:bookmarkStart w:id="180" w:name="_Toc120614281"/>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612"/>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综合评分</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612"/>
        <w:ind w:firstLine="441"/>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highlight w:val="none"/>
        </w:rPr>
        <w:t xml:space="preserve">政府采购政策功能落实</w:t>
      </w:r>
      <w:r/>
    </w:p>
    <w:p>
      <w:pPr>
        <w:pStyle w:val="612"/>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1、小微型企业价格扣除</w:t>
      </w:r>
      <w:r/>
    </w:p>
    <w:p>
      <w:pPr>
        <w:ind w:firstLine="480"/>
        <w:spacing w:line="360" w:lineRule="auto"/>
        <w:rPr>
          <w:rFonts w:ascii="宋体" w:hAnsi="宋体" w:cs="宋体"/>
          <w:color w:val="auto"/>
          <w:sz w:val="24"/>
          <w:highlight w:val="none"/>
        </w:rPr>
      </w:pPr>
      <w:r>
        <w:rPr>
          <w:rFonts w:hint="eastAsia" w:ascii="宋体" w:hAnsi="宋体" w:cs="Courier New"/>
          <w:bCs/>
          <w:color w:val="auto"/>
          <w:sz w:val="24"/>
          <w:highlight w:val="none"/>
        </w:rPr>
        <w:t xml:space="preserve">1、本项目专门面向中小企业</w:t>
      </w:r>
      <w:r>
        <w:rPr>
          <w:rFonts w:hint="eastAsia" w:ascii="宋体" w:hAnsi="宋体" w:cs="宋体"/>
          <w:color w:val="auto"/>
          <w:sz w:val="24"/>
          <w:highlight w:val="none"/>
        </w:rPr>
        <w:t xml:space="preserve">采购，投标人须为符合《关于印发中小企业划型标准规定的通知》（工信部联企业[2011]300号）文件的中小微企业（投标时须提供中小企业声明函，否则按无效标处理）。</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2、因本项目专门面向中小企业采购，不再执行价格评审优惠的扶持政策。</w:t>
      </w:r>
      <w:r/>
    </w:p>
    <w:p>
      <w:pPr>
        <w:ind w:firstLine="480"/>
        <w:spacing w:line="360" w:lineRule="auto"/>
        <w:rPr>
          <w:rFonts w:hint="eastAsia" w:ascii="宋体" w:hAnsi="宋体" w:cs="Courier New"/>
          <w:bCs/>
          <w:color w:val="auto"/>
          <w:sz w:val="24"/>
          <w:highlight w:val="none"/>
        </w:rPr>
      </w:pPr>
      <w:r>
        <w:rPr>
          <w:rFonts w:hint="eastAsia" w:ascii="宋体" w:hAnsi="宋体" w:cs="宋体"/>
          <w:color w:val="auto"/>
          <w:sz w:val="24"/>
          <w:highlight w:val="none"/>
        </w:rPr>
        <w:t xml:space="preserve">3、供应商须按照采购文件要求提供相应的《企业声明函》（格式附后），不</w:t>
      </w:r>
      <w:r>
        <w:rPr>
          <w:rFonts w:hint="eastAsia" w:ascii="宋体" w:hAnsi="宋体" w:cs="Courier New"/>
          <w:bCs/>
          <w:color w:val="auto"/>
          <w:sz w:val="24"/>
          <w:highlight w:val="none"/>
        </w:rPr>
        <w:t xml:space="preserve">提供声明函或有弄虚作假的，将依法承担相应责任。</w:t>
      </w:r>
      <w:r/>
    </w:p>
    <w:p>
      <w:pPr>
        <w:ind w:firstLine="480"/>
        <w:spacing w:line="360" w:lineRule="auto"/>
        <w:rPr>
          <w:rFonts w:hint="eastAsia" w:ascii="宋体" w:hAnsi="宋体" w:cs="Courier New"/>
          <w:bCs/>
          <w:color w:val="auto"/>
          <w:sz w:val="24"/>
          <w:highlight w:val="none"/>
        </w:rPr>
      </w:pPr>
      <w:r>
        <w:rPr>
          <w:rFonts w:hint="eastAsia" w:ascii="宋体" w:hAnsi="宋体" w:cs="Courier New"/>
          <w:bCs/>
          <w:color w:val="auto"/>
          <w:sz w:val="24"/>
          <w:highlight w:val="none"/>
        </w:rPr>
        <w:t xml:space="preserve">4、残疾人福利单位、监狱企业属于小型、微型企业的，不重复享受政策。</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cs="Courier New"/>
          <w:bCs/>
          <w:color w:val="auto"/>
          <w:sz w:val="24"/>
          <w:highlight w:val="none"/>
          <w:lang w:val="en-US" w:eastAsia="zh-CN"/>
        </w:rPr>
        <w:t xml:space="preserve">5</w:t>
      </w:r>
      <w:r>
        <w:rPr>
          <w:rFonts w:hint="eastAsia" w:ascii="宋体" w:hAnsi="宋体" w:cs="Courier New"/>
          <w:bCs/>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cs="Courier New"/>
          <w:bCs/>
          <w:color w:val="auto"/>
          <w:sz w:val="24"/>
          <w:highlight w:val="none"/>
        </w:rPr>
        <w:t xml:space="preserve">其他条件相同情况下，应当优先采购节能产品、环境标志产品。</w:t>
      </w:r>
      <w:r/>
    </w:p>
    <w:p>
      <w:pPr>
        <w:pStyle w:val="612"/>
        <w:ind w:firstLine="482"/>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w:t>
      </w:r>
      <w:r>
        <w:rPr>
          <w:rFonts w:hint="eastAsia" w:ascii="宋体" w:hAnsi="宋体" w:eastAsia="宋体" w:cs="宋体"/>
          <w:b/>
          <w:color w:val="000000"/>
          <w:highlight w:val="none"/>
          <w:lang w:val="en-US" w:eastAsia="zh-CN"/>
        </w:rPr>
        <w:t xml:space="preserve">分包1、分包2</w:t>
      </w:r>
      <w:r>
        <w:rPr>
          <w:rFonts w:hint="eastAsia" w:ascii="宋体" w:hAnsi="宋体" w:eastAsia="宋体" w:cs="宋体"/>
          <w:b/>
          <w:color w:val="000000"/>
          <w:highlight w:val="none"/>
        </w:rPr>
        <w:t xml:space="preserve">评标方法与评标标准</w:t>
      </w:r>
      <w:r/>
    </w:p>
    <w:tbl>
      <w:tblPr>
        <w:tblStyle w:val="61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1361"/>
        <w:gridCol w:w="5219"/>
        <w:gridCol w:w="838"/>
      </w:tblGrid>
      <w:tr>
        <w:trPr>
          <w:trHeight w:val="499"/>
        </w:trPr>
        <w:tc>
          <w:tcPr>
            <w:tcMar>
              <w:left w:w="108" w:type="dxa"/>
              <w:top w:w="0" w:type="dxa"/>
              <w:right w:w="108" w:type="dxa"/>
              <w:bottom w:w="0" w:type="dxa"/>
            </w:tcMar>
            <w:tcW w:w="646" w:type="pct"/>
            <w:vAlign w:val="center"/>
            <w:textDirection w:val="lrTb"/>
            <w:noWrap w:val="false"/>
          </w:tcPr>
          <w:p>
            <w:pPr>
              <w:jc w:val="center"/>
              <w:spacing w:after="0" w:line="460" w:lineRule="exact"/>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highlight w:val="none"/>
              </w:rPr>
              <w:t xml:space="preserve">序号</w:t>
            </w:r>
            <w:r/>
          </w:p>
        </w:tc>
        <w:tc>
          <w:tcPr>
            <w:tcMar>
              <w:left w:w="108" w:type="dxa"/>
              <w:top w:w="0" w:type="dxa"/>
              <w:right w:w="108" w:type="dxa"/>
              <w:bottom w:w="0" w:type="dxa"/>
            </w:tcMar>
            <w:tcW w:w="799" w:type="pct"/>
            <w:vAlign w:val="center"/>
            <w:textDirection w:val="lrTb"/>
            <w:noWrap w:val="false"/>
          </w:tcPr>
          <w:p>
            <w:pPr>
              <w:jc w:val="center"/>
              <w:spacing w:after="0" w:line="460" w:lineRule="exact"/>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highlight w:val="none"/>
              </w:rPr>
              <w:t xml:space="preserve">评分要素</w:t>
            </w:r>
            <w:r/>
          </w:p>
        </w:tc>
        <w:tc>
          <w:tcPr>
            <w:tcMar>
              <w:left w:w="108" w:type="dxa"/>
              <w:top w:w="0" w:type="dxa"/>
              <w:right w:w="108" w:type="dxa"/>
              <w:bottom w:w="0" w:type="dxa"/>
            </w:tcMar>
            <w:tcW w:w="3063" w:type="pct"/>
            <w:vAlign w:val="center"/>
            <w:textDirection w:val="lrTb"/>
            <w:noWrap w:val="false"/>
          </w:tcPr>
          <w:p>
            <w:pPr>
              <w:jc w:val="center"/>
              <w:spacing w:after="0" w:line="460" w:lineRule="exact"/>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highlight w:val="none"/>
              </w:rPr>
              <w:t xml:space="preserve">评分标准</w:t>
            </w:r>
            <w:r/>
          </w:p>
        </w:tc>
        <w:tc>
          <w:tcPr>
            <w:tcMar>
              <w:left w:w="108" w:type="dxa"/>
              <w:top w:w="0" w:type="dxa"/>
              <w:right w:w="108" w:type="dxa"/>
              <w:bottom w:w="0" w:type="dxa"/>
            </w:tcMar>
            <w:tcW w:w="490" w:type="pct"/>
            <w:vAlign w:val="center"/>
            <w:textDirection w:val="lrTb"/>
            <w:noWrap w:val="false"/>
          </w:tcPr>
          <w:p>
            <w:pPr>
              <w:jc w:val="center"/>
              <w:spacing w:after="0" w:line="460" w:lineRule="exact"/>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highlight w:val="none"/>
              </w:rPr>
              <w:t xml:space="preserve">分值</w:t>
            </w:r>
            <w:r/>
          </w:p>
        </w:tc>
      </w:tr>
      <w:tr>
        <w:trPr>
          <w:trHeight w:val="1859"/>
        </w:trPr>
        <w:tc>
          <w:tcPr>
            <w:tcMar>
              <w:left w:w="108" w:type="dxa"/>
              <w:top w:w="0" w:type="dxa"/>
              <w:right w:w="108" w:type="dxa"/>
              <w:bottom w:w="0" w:type="dxa"/>
            </w:tcMar>
            <w:tcW w:w="646" w:type="pct"/>
            <w:vAlign w:val="center"/>
            <w:textDirection w:val="lrTb"/>
            <w:noWrap w:val="false"/>
          </w:tcPr>
          <w:p>
            <w:pPr>
              <w:jc w:val="center"/>
              <w:spacing w:after="0" w:line="460" w:lineRule="exact"/>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highlight w:val="none"/>
              </w:rPr>
              <w:t xml:space="preserve">1</w:t>
            </w:r>
            <w:r/>
          </w:p>
        </w:tc>
        <w:tc>
          <w:tcPr>
            <w:tcMar>
              <w:left w:w="108" w:type="dxa"/>
              <w:top w:w="0" w:type="dxa"/>
              <w:right w:w="108" w:type="dxa"/>
              <w:bottom w:w="0" w:type="dxa"/>
            </w:tcMar>
            <w:tcW w:w="799" w:type="pct"/>
            <w:vAlign w:val="center"/>
            <w:textDirection w:val="lrTb"/>
            <w:noWrap w:val="false"/>
          </w:tcPr>
          <w:p>
            <w:pPr>
              <w:jc w:val="center"/>
              <w:spacing w:after="0" w:line="460" w:lineRule="exact"/>
              <w:rPr>
                <w:rFonts w:ascii="宋体" w:hAnsi="宋体" w:eastAsia="宋体" w:cs="宋体"/>
                <w:b/>
                <w:bCs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sz w:val="21"/>
                <w:szCs w:val="21"/>
                <w:highlight w:val="none"/>
              </w:rPr>
              <w:t xml:space="preserve">供应商报价</w:t>
            </w:r>
            <w:r/>
          </w:p>
          <w:p>
            <w:pPr>
              <w:jc w:val="center"/>
              <w:spacing w:after="0" w:line="460" w:lineRule="exact"/>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sz w:val="21"/>
                <w:szCs w:val="21"/>
                <w:highlight w:val="none"/>
                <w:lang w:val="en-US" w:eastAsia="zh-CN"/>
              </w:rPr>
              <w:t xml:space="preserve">（10</w:t>
            </w:r>
            <w:r>
              <w:rPr>
                <w:rFonts w:hint="eastAsia" w:ascii="宋体" w:hAnsi="宋体" w:eastAsia="宋体" w:cs="宋体"/>
                <w:b/>
                <w:bCs w:val="0"/>
                <w:sz w:val="21"/>
                <w:szCs w:val="21"/>
                <w:highlight w:val="none"/>
              </w:rPr>
              <w:t xml:space="preserve">分）</w:t>
            </w:r>
            <w:r/>
          </w:p>
        </w:tc>
        <w:tc>
          <w:tcPr>
            <w:tcMar>
              <w:left w:w="108" w:type="dxa"/>
              <w:top w:w="0" w:type="dxa"/>
              <w:right w:w="108" w:type="dxa"/>
              <w:bottom w:w="0" w:type="dxa"/>
            </w:tcMar>
            <w:tcW w:w="3063" w:type="pct"/>
            <w:vAlign w:val="center"/>
            <w:textDirection w:val="lrTb"/>
            <w:noWrap w:val="false"/>
          </w:tcPr>
          <w:p>
            <w:pPr>
              <w:ind w:firstLine="420"/>
              <w:spacing w:after="0" w:line="460" w:lineRule="exact"/>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Courier New"/>
                <w:bCs/>
                <w:color w:val="auto"/>
                <w:sz w:val="21"/>
                <w:szCs w:val="21"/>
                <w:highlight w:val="none"/>
              </w:rPr>
              <w:t xml:space="preserve">满足招标文件要求且投标报价最低的报价为评标基准价，其价格分为满分。其他投标人的价格分按照公式：投标报价得分=（评标基准价/投标报价）×1</w:t>
            </w:r>
            <w:r>
              <w:rPr>
                <w:rFonts w:hint="eastAsia" w:ascii="宋体" w:hAnsi="宋体" w:cs="Courier New"/>
                <w:bCs/>
                <w:color w:val="auto"/>
                <w:sz w:val="21"/>
                <w:szCs w:val="21"/>
                <w:highlight w:val="none"/>
                <w:lang w:val="en-US" w:eastAsia="zh-CN"/>
              </w:rPr>
              <w:t xml:space="preserve">0</w:t>
            </w:r>
            <w:r>
              <w:rPr>
                <w:rFonts w:hint="eastAsia" w:ascii="宋体" w:hAnsi="宋体" w:cs="Courier New"/>
                <w:bCs/>
                <w:color w:val="auto"/>
                <w:sz w:val="21"/>
                <w:szCs w:val="21"/>
                <w:highlight w:val="none"/>
              </w:rPr>
              <w:t xml:space="preserve">，四舍五入保留小数点后两位</w:t>
            </w:r>
            <w:r>
              <w:rPr>
                <w:rFonts w:hint="eastAsia" w:ascii="宋体" w:hAnsi="宋体" w:eastAsia="宋体" w:cs="宋体"/>
                <w:sz w:val="21"/>
                <w:szCs w:val="21"/>
                <w:highlight w:val="none"/>
              </w:rPr>
              <w:t xml:space="preserve">。</w:t>
            </w:r>
            <w:r/>
          </w:p>
        </w:tc>
        <w:tc>
          <w:tcPr>
            <w:tcMar>
              <w:left w:w="108" w:type="dxa"/>
              <w:top w:w="0" w:type="dxa"/>
              <w:right w:w="108" w:type="dxa"/>
              <w:bottom w:w="0" w:type="dxa"/>
            </w:tcMar>
            <w:tcW w:w="490" w:type="pct"/>
            <w:vAlign w:val="center"/>
            <w:textDirection w:val="lrTb"/>
            <w:noWrap w:val="false"/>
          </w:tcPr>
          <w:p>
            <w:pPr>
              <w:jc w:val="center"/>
              <w:spacing w:after="0" w:line="460" w:lineRule="exact"/>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highlight w:val="none"/>
              </w:rPr>
              <w:t xml:space="preserve">1</w:t>
            </w:r>
            <w:r>
              <w:rPr>
                <w:rFonts w:hint="eastAsia" w:ascii="宋体" w:hAnsi="宋体" w:eastAsia="宋体" w:cs="宋体"/>
                <w:b/>
                <w:sz w:val="21"/>
                <w:szCs w:val="21"/>
                <w:highlight w:val="none"/>
                <w:lang w:val="en-US" w:eastAsia="zh-CN"/>
              </w:rPr>
              <w:t xml:space="preserve">0</w:t>
            </w:r>
            <w:r>
              <w:rPr>
                <w:rFonts w:hint="eastAsia" w:ascii="宋体" w:hAnsi="宋体" w:eastAsia="宋体" w:cs="宋体"/>
                <w:b/>
                <w:sz w:val="21"/>
                <w:szCs w:val="21"/>
                <w:highlight w:val="none"/>
              </w:rPr>
              <w:t xml:space="preserve">分</w:t>
            </w:r>
            <w:r/>
          </w:p>
        </w:tc>
      </w:tr>
      <w:tr>
        <w:trPr>
          <w:trHeight w:val="90"/>
        </w:trPr>
        <w:tc>
          <w:tcPr>
            <w:tcMar>
              <w:left w:w="108" w:type="dxa"/>
              <w:top w:w="0" w:type="dxa"/>
              <w:right w:w="108" w:type="dxa"/>
              <w:bottom w:w="0" w:type="dxa"/>
            </w:tcMar>
            <w:tcW w:w="646" w:type="pct"/>
            <w:vAlign w:val="center"/>
            <w:textDirection w:val="lrTb"/>
            <w:noWrap w:val="false"/>
          </w:tcPr>
          <w:p>
            <w:pPr>
              <w:jc w:val="center"/>
              <w:spacing w:after="0" w:line="460" w:lineRule="exact"/>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highlight w:val="none"/>
              </w:rPr>
              <w:t xml:space="preserve">2</w:t>
            </w:r>
            <w:r/>
          </w:p>
        </w:tc>
        <w:tc>
          <w:tcPr>
            <w:tcMar>
              <w:left w:w="108" w:type="dxa"/>
              <w:top w:w="0" w:type="dxa"/>
              <w:right w:w="108" w:type="dxa"/>
              <w:bottom w:w="0" w:type="dxa"/>
            </w:tcMar>
            <w:tcW w:w="799" w:type="pct"/>
            <w:vAlign w:val="center"/>
            <w:textDirection w:val="lrTb"/>
            <w:noWrap w:val="false"/>
          </w:tcPr>
          <w:p>
            <w:pPr>
              <w:jc w:val="center"/>
              <w:spacing w:after="0" w:line="460" w:lineRule="exact"/>
              <w:rPr>
                <w:rFonts w:hint="eastAsia" w:ascii="宋体" w:hAnsi="宋体" w:eastAsia="宋体" w:cs="宋体"/>
                <w:b/>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highlight w:val="none"/>
              </w:rPr>
              <w:t xml:space="preserve">供应商业绩</w:t>
            </w:r>
            <w:r/>
          </w:p>
          <w:p>
            <w:pPr>
              <w:jc w:val="center"/>
              <w:spacing w:after="0" w:line="460" w:lineRule="exact"/>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highlight w:val="none"/>
              </w:rPr>
              <w:t xml:space="preserve">（</w:t>
            </w:r>
            <w:r>
              <w:rPr>
                <w:rFonts w:hint="eastAsia" w:ascii="宋体" w:hAnsi="宋体" w:eastAsia="宋体" w:cs="宋体"/>
                <w:b/>
                <w:sz w:val="21"/>
                <w:szCs w:val="21"/>
                <w:highlight w:val="none"/>
                <w:lang w:val="en-US" w:eastAsia="zh-CN"/>
              </w:rPr>
              <w:t xml:space="preserve">10</w:t>
            </w:r>
            <w:r>
              <w:rPr>
                <w:rFonts w:hint="eastAsia" w:ascii="宋体" w:hAnsi="宋体" w:eastAsia="宋体" w:cs="宋体"/>
                <w:b/>
                <w:sz w:val="21"/>
                <w:szCs w:val="21"/>
                <w:highlight w:val="none"/>
              </w:rPr>
              <w:t xml:space="preserve">分）</w:t>
            </w:r>
            <w:r/>
          </w:p>
        </w:tc>
        <w:tc>
          <w:tcPr>
            <w:tcMar>
              <w:left w:w="108" w:type="dxa"/>
              <w:top w:w="0" w:type="dxa"/>
              <w:right w:w="108" w:type="dxa"/>
              <w:bottom w:w="0" w:type="dxa"/>
            </w:tcMar>
            <w:tcW w:w="3063" w:type="pct"/>
            <w:vAlign w:val="center"/>
            <w:textDirection w:val="lrTb"/>
            <w:noWrap w:val="false"/>
          </w:tcPr>
          <w:p>
            <w:pPr>
              <w:ind w:firstLine="420"/>
              <w:spacing w:after="0" w:line="460" w:lineRule="exact"/>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投标人自2022年1月1日以来(以合同签订时间为准)承担过第二轮土地承包到期后再延长30年试点技术服务项目类业绩的，或耕地调查类项目业绩的，按每提供一个2分</w:t>
            </w:r>
            <w:r>
              <w:rPr>
                <w:rFonts w:hint="eastAsia" w:ascii="宋体" w:hAnsi="宋体" w:eastAsia="宋体" w:cs="宋体"/>
                <w:sz w:val="21"/>
                <w:szCs w:val="21"/>
                <w:highlight w:val="none"/>
                <w:lang w:eastAsia="zh-CN"/>
              </w:rPr>
              <w:t xml:space="preserve">，本项最高得</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lang w:eastAsia="zh-CN"/>
              </w:rPr>
              <w:t xml:space="preserve">分</w:t>
            </w:r>
            <w:r/>
          </w:p>
          <w:p>
            <w:pPr>
              <w:ind w:firstLine="420"/>
              <w:spacing w:after="0" w:line="460" w:lineRule="exact"/>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注：以上提供合同原件扫描件加盖CA电子签章为准。转包、分包的项目不作为业绩。</w:t>
            </w:r>
            <w:r/>
          </w:p>
        </w:tc>
        <w:tc>
          <w:tcPr>
            <w:tcMar>
              <w:left w:w="108" w:type="dxa"/>
              <w:top w:w="0" w:type="dxa"/>
              <w:right w:w="108" w:type="dxa"/>
              <w:bottom w:w="0" w:type="dxa"/>
            </w:tcMar>
            <w:tcW w:w="490" w:type="pct"/>
            <w:vAlign w:val="center"/>
            <w:textDirection w:val="lrTb"/>
            <w:noWrap w:val="false"/>
          </w:tcPr>
          <w:p>
            <w:pPr>
              <w:jc w:val="center"/>
              <w:spacing w:after="0" w:line="460" w:lineRule="exact"/>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highlight w:val="none"/>
                <w:lang w:val="en-US" w:eastAsia="zh-CN"/>
              </w:rPr>
              <w:t xml:space="preserve">10</w:t>
            </w:r>
            <w:r>
              <w:rPr>
                <w:rFonts w:hint="eastAsia" w:ascii="宋体" w:hAnsi="宋体" w:eastAsia="宋体" w:cs="宋体"/>
                <w:b/>
                <w:sz w:val="21"/>
                <w:szCs w:val="21"/>
                <w:highlight w:val="none"/>
              </w:rPr>
              <w:t xml:space="preserve">分</w:t>
            </w:r>
            <w:r/>
          </w:p>
        </w:tc>
      </w:tr>
      <w:tr>
        <w:trPr>
          <w:trHeight w:val="411"/>
        </w:trPr>
        <w:tc>
          <w:tcPr>
            <w:tcMar>
              <w:left w:w="108" w:type="dxa"/>
              <w:top w:w="0" w:type="dxa"/>
              <w:right w:w="108" w:type="dxa"/>
              <w:bottom w:w="0" w:type="dxa"/>
            </w:tcMar>
            <w:tcW w:w="646" w:type="pct"/>
            <w:vAlign w:val="center"/>
            <w:textDirection w:val="lrTb"/>
            <w:noWrap w:val="false"/>
          </w:tcPr>
          <w:p>
            <w:pPr>
              <w:jc w:val="center"/>
              <w:spacing w:after="0" w:line="460" w:lineRule="exact"/>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highlight w:val="none"/>
              </w:rPr>
              <w:t xml:space="preserve">3</w:t>
            </w:r>
            <w:r/>
          </w:p>
        </w:tc>
        <w:tc>
          <w:tcPr>
            <w:tcMar>
              <w:left w:w="108" w:type="dxa"/>
              <w:top w:w="0" w:type="dxa"/>
              <w:right w:w="108" w:type="dxa"/>
              <w:bottom w:w="0" w:type="dxa"/>
            </w:tcMar>
            <w:tcW w:w="799" w:type="pct"/>
            <w:vAlign w:val="center"/>
            <w:textDirection w:val="lrTb"/>
            <w:noWrap w:val="false"/>
          </w:tcPr>
          <w:p>
            <w:pPr>
              <w:jc w:val="center"/>
              <w:spacing w:after="0" w:line="460" w:lineRule="exact"/>
              <w:rPr>
                <w:rFonts w:ascii="宋体" w:hAnsi="宋体" w:eastAsia="宋体" w:cs="宋体"/>
                <w:b/>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highlight w:val="none"/>
              </w:rPr>
              <w:t xml:space="preserve">企业资信</w:t>
            </w:r>
            <w:r/>
          </w:p>
          <w:p>
            <w:pPr>
              <w:jc w:val="center"/>
              <w:spacing w:after="0" w:line="460" w:lineRule="exact"/>
              <w:rPr>
                <w:rFonts w:ascii="宋体" w:hAnsi="宋体" w:eastAsia="宋体" w:cs="宋体"/>
                <w:color w:val="ff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highlight w:val="none"/>
              </w:rPr>
              <w:t xml:space="preserve">（</w:t>
            </w:r>
            <w:r>
              <w:rPr>
                <w:rFonts w:hint="eastAsia" w:ascii="宋体" w:hAnsi="宋体" w:eastAsia="宋体" w:cs="宋体"/>
                <w:b/>
                <w:sz w:val="21"/>
                <w:szCs w:val="21"/>
                <w:highlight w:val="none"/>
                <w:lang w:val="en-US" w:eastAsia="zh-CN"/>
              </w:rPr>
              <w:t xml:space="preserve">8</w:t>
            </w:r>
            <w:r>
              <w:rPr>
                <w:rFonts w:hint="eastAsia" w:ascii="宋体" w:hAnsi="宋体" w:eastAsia="宋体" w:cs="宋体"/>
                <w:b/>
                <w:sz w:val="21"/>
                <w:szCs w:val="21"/>
                <w:highlight w:val="none"/>
              </w:rPr>
              <w:t xml:space="preserve">分）</w:t>
            </w:r>
            <w:r/>
          </w:p>
        </w:tc>
        <w:tc>
          <w:tcPr>
            <w:tcMar>
              <w:left w:w="108" w:type="dxa"/>
              <w:top w:w="0" w:type="dxa"/>
              <w:right w:w="108" w:type="dxa"/>
              <w:bottom w:w="0" w:type="dxa"/>
            </w:tcMar>
            <w:tcW w:w="3063" w:type="pct"/>
            <w:vAlign w:val="center"/>
            <w:textDirection w:val="lrTb"/>
            <w:noWrap w:val="false"/>
          </w:tcPr>
          <w:p>
            <w:pPr>
              <w:ind w:firstLine="420"/>
              <w:spacing w:after="0" w:line="460" w:lineRule="exac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投标人具有有效的质量管理体系认证、信息安全管理体系认证、信息技术服务管理体系、测量管理体系认证，每项得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分。本项最高得</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分。</w:t>
            </w:r>
            <w:r/>
          </w:p>
          <w:p>
            <w:pPr>
              <w:ind w:firstLine="420"/>
              <w:spacing w:after="0" w:line="460" w:lineRule="exact"/>
              <w:rPr>
                <w:rFonts w:hint="default" w:ascii="宋体" w:hAnsi="宋体" w:eastAsia="宋体" w:cs="宋体"/>
                <w:color w:val="ff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注：提供有效期内的相应证书原件扫描件或国家认证认可监督</w:t>
            </w:r>
            <w:r>
              <w:rPr>
                <w:rFonts w:hint="eastAsia" w:ascii="宋体" w:hAnsi="宋体" w:eastAsia="宋体" w:cs="宋体"/>
                <w:sz w:val="21"/>
                <w:szCs w:val="21"/>
                <w:highlight w:val="none"/>
                <w:lang w:val="en-US" w:eastAsia="zh-CN"/>
              </w:rPr>
              <w:t xml:space="preserve">管理</w:t>
            </w:r>
            <w:r>
              <w:rPr>
                <w:rFonts w:hint="eastAsia" w:ascii="宋体" w:hAnsi="宋体" w:eastAsia="宋体" w:cs="宋体"/>
                <w:sz w:val="21"/>
                <w:szCs w:val="21"/>
                <w:highlight w:val="none"/>
              </w:rPr>
              <w:t xml:space="preserve">委员会网站查询截图加盖CA电子签章。</w:t>
            </w:r>
            <w:r/>
          </w:p>
        </w:tc>
        <w:tc>
          <w:tcPr>
            <w:tcMar>
              <w:left w:w="108" w:type="dxa"/>
              <w:top w:w="0" w:type="dxa"/>
              <w:right w:w="108" w:type="dxa"/>
              <w:bottom w:w="0" w:type="dxa"/>
            </w:tcMar>
            <w:tcW w:w="490" w:type="pct"/>
            <w:vAlign w:val="center"/>
            <w:textDirection w:val="lrTb"/>
            <w:noWrap w:val="false"/>
          </w:tcPr>
          <w:p>
            <w:pPr>
              <w:jc w:val="center"/>
              <w:spacing w:after="0" w:line="460" w:lineRule="exact"/>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highlight w:val="none"/>
                <w:lang w:val="en-US" w:eastAsia="zh-CN"/>
              </w:rPr>
              <w:t xml:space="preserve">8</w:t>
            </w:r>
            <w:r>
              <w:rPr>
                <w:rFonts w:hint="eastAsia" w:ascii="宋体" w:hAnsi="宋体" w:eastAsia="宋体" w:cs="宋体"/>
                <w:b/>
                <w:sz w:val="21"/>
                <w:szCs w:val="21"/>
                <w:highlight w:val="none"/>
              </w:rPr>
              <w:t xml:space="preserve">分</w:t>
            </w:r>
            <w:r/>
          </w:p>
        </w:tc>
      </w:tr>
      <w:tr>
        <w:trPr>
          <w:trHeight w:val="411"/>
        </w:trPr>
        <w:tc>
          <w:tcPr>
            <w:tcMar>
              <w:left w:w="108" w:type="dxa"/>
              <w:top w:w="0" w:type="dxa"/>
              <w:right w:w="108" w:type="dxa"/>
              <w:bottom w:w="0" w:type="dxa"/>
            </w:tcMar>
            <w:tcW w:w="646" w:type="pct"/>
            <w:vAlign w:val="center"/>
            <w:textDirection w:val="lrTb"/>
            <w:noWrap w:val="false"/>
          </w:tcPr>
          <w:p>
            <w:pPr>
              <w:jc w:val="center"/>
              <w:spacing w:after="0" w:line="460" w:lineRule="exact"/>
              <w:rPr>
                <w:rFonts w:ascii="宋体" w:hAnsi="宋体" w:eastAsia="宋体" w:cs="宋体"/>
                <w:b/>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highlight w:val="none"/>
              </w:rPr>
              <w:t xml:space="preserve">4</w:t>
            </w:r>
            <w:r/>
          </w:p>
        </w:tc>
        <w:tc>
          <w:tcPr>
            <w:tcMar>
              <w:left w:w="108" w:type="dxa"/>
              <w:top w:w="0" w:type="dxa"/>
              <w:right w:w="108" w:type="dxa"/>
              <w:bottom w:w="0" w:type="dxa"/>
            </w:tcMar>
            <w:tcW w:w="799" w:type="pct"/>
            <w:vAlign w:val="center"/>
            <w:textDirection w:val="lrTb"/>
            <w:noWrap w:val="false"/>
          </w:tcPr>
          <w:p>
            <w:pPr>
              <w:jc w:val="center"/>
              <w:spacing w:after="0" w:line="460" w:lineRule="exact"/>
              <w:rPr>
                <w:rFonts w:ascii="宋体" w:hAnsi="宋体" w:eastAsia="宋体" w:cs="宋体"/>
                <w:b/>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highlight w:val="none"/>
              </w:rPr>
              <w:t xml:space="preserve">荣誉证书（6分）</w:t>
            </w:r>
            <w:r/>
          </w:p>
        </w:tc>
        <w:tc>
          <w:tcPr>
            <w:tcMar>
              <w:left w:w="108" w:type="dxa"/>
              <w:top w:w="0" w:type="dxa"/>
              <w:right w:w="108" w:type="dxa"/>
              <w:bottom w:w="0" w:type="dxa"/>
            </w:tcMar>
            <w:tcW w:w="3063" w:type="pct"/>
            <w:vAlign w:val="center"/>
            <w:textDirection w:val="lrTb"/>
            <w:noWrap w:val="false"/>
          </w:tcPr>
          <w:p>
            <w:pPr>
              <w:ind w:firstLine="420"/>
              <w:spacing w:after="0" w:line="460" w:lineRule="exact"/>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2022年以来(以获奖证书颁发时间为准)，投标人获得过</w:t>
            </w:r>
            <w:r>
              <w:rPr>
                <w:rFonts w:hint="eastAsia" w:ascii="宋体" w:hAnsi="宋体" w:eastAsia="宋体" w:cs="宋体"/>
                <w:sz w:val="21"/>
                <w:szCs w:val="21"/>
                <w:highlight w:val="none"/>
                <w:lang w:val="en-US" w:eastAsia="zh-CN"/>
              </w:rPr>
              <w:t xml:space="preserve">区、县及以上</w:t>
            </w:r>
            <w:r>
              <w:rPr>
                <w:rFonts w:hint="eastAsia" w:ascii="宋体" w:hAnsi="宋体" w:eastAsia="宋体" w:cs="宋体"/>
                <w:sz w:val="21"/>
                <w:szCs w:val="21"/>
                <w:highlight w:val="none"/>
              </w:rPr>
              <w:t xml:space="preserve">测绘、调查类相关奖项的，每有1个得2分，最高得6分。</w:t>
            </w:r>
            <w:r/>
          </w:p>
        </w:tc>
        <w:tc>
          <w:tcPr>
            <w:tcMar>
              <w:left w:w="108" w:type="dxa"/>
              <w:top w:w="0" w:type="dxa"/>
              <w:right w:w="108" w:type="dxa"/>
              <w:bottom w:w="0" w:type="dxa"/>
            </w:tcMar>
            <w:tcW w:w="490" w:type="pct"/>
            <w:vAlign w:val="center"/>
            <w:textDirection w:val="lrTb"/>
            <w:noWrap w:val="false"/>
          </w:tcPr>
          <w:p>
            <w:pPr>
              <w:jc w:val="center"/>
              <w:spacing w:after="0" w:line="460" w:lineRule="exact"/>
              <w:rPr>
                <w:rFonts w:ascii="宋体" w:hAnsi="宋体" w:eastAsia="宋体" w:cs="宋体"/>
                <w:b/>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6分</w:t>
            </w:r>
            <w:r/>
          </w:p>
        </w:tc>
      </w:tr>
      <w:tr>
        <w:trPr>
          <w:trHeight w:val="411"/>
        </w:trPr>
        <w:tc>
          <w:tcPr>
            <w:tcMar>
              <w:left w:w="108" w:type="dxa"/>
              <w:top w:w="0" w:type="dxa"/>
              <w:right w:w="108" w:type="dxa"/>
              <w:bottom w:w="0" w:type="dxa"/>
            </w:tcMar>
            <w:tcW w:w="646" w:type="pct"/>
            <w:vAlign w:val="center"/>
            <w:textDirection w:val="lrTb"/>
            <w:noWrap w:val="false"/>
          </w:tcPr>
          <w:p>
            <w:pPr>
              <w:jc w:val="center"/>
              <w:spacing w:after="0" w:line="460" w:lineRule="exact"/>
              <w:rPr>
                <w:rFonts w:ascii="宋体" w:hAnsi="宋体" w:eastAsia="宋体" w:cs="宋体"/>
                <w:b/>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highlight w:val="none"/>
              </w:rPr>
              <w:t xml:space="preserve">5</w:t>
            </w:r>
            <w:r/>
          </w:p>
        </w:tc>
        <w:tc>
          <w:tcPr>
            <w:tcMar>
              <w:left w:w="108" w:type="dxa"/>
              <w:top w:w="0" w:type="dxa"/>
              <w:right w:w="108" w:type="dxa"/>
              <w:bottom w:w="0" w:type="dxa"/>
            </w:tcMar>
            <w:tcW w:w="799" w:type="pct"/>
            <w:vAlign w:val="center"/>
            <w:textDirection w:val="lrTb"/>
            <w:noWrap w:val="false"/>
          </w:tcPr>
          <w:p>
            <w:pPr>
              <w:jc w:val="center"/>
              <w:spacing w:after="0" w:line="460" w:lineRule="exact"/>
              <w:rPr>
                <w:rFonts w:ascii="宋体" w:hAnsi="宋体" w:eastAsia="宋体" w:cs="宋体"/>
                <w:b/>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highlight w:val="none"/>
              </w:rPr>
              <w:t xml:space="preserve">技术人员投入（1</w:t>
            </w:r>
            <w:r>
              <w:rPr>
                <w:rFonts w:hint="eastAsia" w:ascii="宋体" w:hAnsi="宋体" w:eastAsia="宋体" w:cs="宋体"/>
                <w:b/>
                <w:sz w:val="21"/>
                <w:szCs w:val="21"/>
                <w:highlight w:val="none"/>
                <w:lang w:val="en-US" w:eastAsia="zh-CN"/>
              </w:rPr>
              <w:t xml:space="preserve">6</w:t>
            </w:r>
            <w:r>
              <w:rPr>
                <w:rFonts w:hint="eastAsia" w:ascii="宋体" w:hAnsi="宋体" w:eastAsia="宋体" w:cs="宋体"/>
                <w:b/>
                <w:sz w:val="21"/>
                <w:szCs w:val="21"/>
                <w:highlight w:val="none"/>
              </w:rPr>
              <w:t xml:space="preserve">分）</w:t>
            </w:r>
            <w:r/>
          </w:p>
        </w:tc>
        <w:tc>
          <w:tcPr>
            <w:tcMar>
              <w:left w:w="108" w:type="dxa"/>
              <w:top w:w="0" w:type="dxa"/>
              <w:right w:w="108" w:type="dxa"/>
              <w:bottom w:w="0" w:type="dxa"/>
            </w:tcMar>
            <w:tcW w:w="3063" w:type="pct"/>
            <w:vAlign w:val="center"/>
            <w:textDirection w:val="lrTb"/>
            <w:noWrap w:val="false"/>
          </w:tcPr>
          <w:p>
            <w:pPr>
              <w:ind w:firstLine="420"/>
              <w:spacing w:after="0" w:line="460" w:lineRule="exact"/>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1.项目负责人：具有测绘类</w:t>
            </w:r>
            <w:r>
              <w:rPr>
                <w:rFonts w:hint="eastAsia" w:ascii="宋体" w:hAnsi="宋体" w:eastAsia="宋体" w:cs="宋体"/>
                <w:sz w:val="21"/>
                <w:szCs w:val="21"/>
                <w:highlight w:val="none"/>
                <w:lang w:val="en-US" w:eastAsia="zh-CN"/>
              </w:rPr>
              <w:t xml:space="preserve">副</w:t>
            </w:r>
            <w:r>
              <w:rPr>
                <w:rFonts w:hint="eastAsia" w:ascii="宋体" w:hAnsi="宋体" w:eastAsia="宋体" w:cs="宋体"/>
                <w:sz w:val="21"/>
                <w:szCs w:val="21"/>
                <w:highlight w:val="none"/>
              </w:rPr>
              <w:t xml:space="preserve">高级及以上职称证书和注册测绘师资格证书的，得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ind w:firstLine="420"/>
              <w:spacing w:after="0" w:line="460" w:lineRule="exact"/>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2．技术负责人：具有测绘类副高级及以上职称证书和注册测绘师资格证书的，得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ind w:firstLine="420"/>
              <w:spacing w:after="0" w:line="460" w:lineRule="exact"/>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3.档案负责人：具有测绘类副高级及以上职称证书</w:t>
            </w:r>
            <w:r>
              <w:rPr>
                <w:rFonts w:hint="eastAsia" w:ascii="宋体" w:hAnsi="宋体" w:eastAsia="宋体" w:cs="宋体"/>
                <w:sz w:val="21"/>
                <w:szCs w:val="21"/>
                <w:highlight w:val="none"/>
                <w:lang w:val="en-US" w:eastAsia="zh-CN"/>
              </w:rPr>
              <w:t xml:space="preserve">得2分</w:t>
            </w:r>
            <w:r>
              <w:rPr>
                <w:rFonts w:hint="eastAsia" w:ascii="宋体" w:hAnsi="宋体" w:eastAsia="宋体" w:cs="宋体"/>
                <w:sz w:val="21"/>
                <w:szCs w:val="21"/>
                <w:highlight w:val="none"/>
              </w:rPr>
              <w:t xml:space="preserve">。</w:t>
            </w:r>
            <w:r/>
          </w:p>
          <w:p>
            <w:pPr>
              <w:ind w:firstLine="420"/>
              <w:spacing w:after="0" w:line="460" w:lineRule="exact"/>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4.项目组成员：除项目负责人、技术负责人和档案负责人以外，成员中具有测绘类技术职称证书的，</w:t>
            </w:r>
            <w:r>
              <w:rPr>
                <w:rFonts w:hint="eastAsia" w:ascii="宋体" w:hAnsi="宋体" w:eastAsia="宋体" w:cs="宋体"/>
                <w:sz w:val="21"/>
                <w:szCs w:val="21"/>
                <w:highlight w:val="none"/>
                <w:lang w:val="en-US" w:eastAsia="zh-CN"/>
              </w:rPr>
              <w:t xml:space="preserve">按高、中、初级，有一人分别得3分、2分、1分</w:t>
            </w:r>
            <w:r>
              <w:rPr>
                <w:rFonts w:hint="eastAsia" w:ascii="宋体" w:hAnsi="宋体" w:eastAsia="宋体" w:cs="宋体"/>
                <w:sz w:val="21"/>
                <w:szCs w:val="21"/>
                <w:highlight w:val="none"/>
              </w:rPr>
              <w:t xml:space="preserve">。本项最高得6分。</w:t>
            </w:r>
            <w:r/>
          </w:p>
          <w:p>
            <w:pPr>
              <w:ind w:firstLine="420"/>
              <w:spacing w:after="0" w:line="460" w:lineRule="exact"/>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注：（1）以上人员不重复计分；（2）以上所涉及到的相关人员需提供投标单位近</w:t>
            </w:r>
            <w:r>
              <w:rPr>
                <w:rFonts w:hint="eastAsia" w:ascii="宋体" w:hAnsi="宋体" w:eastAsia="宋体" w:cs="宋体"/>
                <w:sz w:val="21"/>
                <w:szCs w:val="21"/>
                <w:highlight w:val="none"/>
                <w:lang w:val="en-US" w:eastAsia="zh-CN"/>
              </w:rPr>
              <w:t xml:space="preserve">三个月</w:t>
            </w:r>
            <w:r>
              <w:rPr>
                <w:rFonts w:hint="eastAsia" w:ascii="宋体" w:hAnsi="宋体" w:eastAsia="宋体" w:cs="宋体"/>
                <w:sz w:val="21"/>
                <w:szCs w:val="21"/>
                <w:highlight w:val="none"/>
              </w:rPr>
              <w:t xml:space="preserve">内任意一个月为其缴纳的社保证明。（退休人员，提供退休证和聘用合同）证明材料扫描件加盖CA电子签章。以上人员要求的相关职称证书、资格证书等证明材料，提供证书原件扫描件加盖CA电子签章，未提供不得分。</w:t>
            </w:r>
            <w:r/>
          </w:p>
        </w:tc>
        <w:tc>
          <w:tcPr>
            <w:tcMar>
              <w:left w:w="108" w:type="dxa"/>
              <w:top w:w="0" w:type="dxa"/>
              <w:right w:w="108" w:type="dxa"/>
              <w:bottom w:w="0" w:type="dxa"/>
            </w:tcMar>
            <w:tcW w:w="490" w:type="pct"/>
            <w:vAlign w:val="center"/>
            <w:textDirection w:val="lrTb"/>
            <w:noWrap w:val="false"/>
          </w:tcPr>
          <w:p>
            <w:pPr>
              <w:jc w:val="center"/>
              <w:spacing w:after="0" w:line="460" w:lineRule="exact"/>
              <w:rPr>
                <w:rFonts w:ascii="宋体" w:hAnsi="宋体" w:eastAsia="宋体" w:cs="宋体"/>
                <w:b/>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highlight w:val="none"/>
              </w:rPr>
              <w:t xml:space="preserve">1</w:t>
            </w:r>
            <w:r>
              <w:rPr>
                <w:rFonts w:hint="eastAsia" w:ascii="宋体" w:hAnsi="宋体" w:eastAsia="宋体" w:cs="宋体"/>
                <w:b/>
                <w:sz w:val="21"/>
                <w:szCs w:val="21"/>
                <w:highlight w:val="none"/>
                <w:lang w:val="en-US" w:eastAsia="zh-CN"/>
              </w:rPr>
              <w:t xml:space="preserve">6</w:t>
            </w:r>
            <w:r>
              <w:rPr>
                <w:rFonts w:hint="eastAsia" w:ascii="宋体" w:hAnsi="宋体" w:eastAsia="宋体" w:cs="宋体"/>
                <w:b/>
                <w:sz w:val="21"/>
                <w:szCs w:val="21"/>
                <w:highlight w:val="none"/>
              </w:rPr>
              <w:t xml:space="preserve">分</w:t>
            </w:r>
            <w:r/>
          </w:p>
        </w:tc>
      </w:tr>
      <w:tr>
        <w:trPr>
          <w:trHeight w:val="394"/>
        </w:trPr>
        <w:tc>
          <w:tcPr>
            <w:tcMar>
              <w:left w:w="108" w:type="dxa"/>
              <w:top w:w="0" w:type="dxa"/>
              <w:right w:w="108" w:type="dxa"/>
              <w:bottom w:w="0" w:type="dxa"/>
            </w:tcMar>
            <w:tcW w:w="646" w:type="pct"/>
            <w:vAlign w:val="center"/>
            <w:vMerge w:val="restart"/>
            <w:textDirection w:val="lrTb"/>
            <w:noWrap w:val="false"/>
          </w:tcPr>
          <w:p>
            <w:pPr>
              <w:jc w:val="center"/>
              <w:spacing w:after="0" w:line="46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highlight w:val="none"/>
                <w:lang w:val="en-US" w:eastAsia="zh-CN"/>
              </w:rPr>
              <w:t xml:space="preserve">6</w:t>
            </w:r>
            <w:r/>
          </w:p>
        </w:tc>
        <w:tc>
          <w:tcPr>
            <w:tcMar>
              <w:left w:w="108" w:type="dxa"/>
              <w:top w:w="0" w:type="dxa"/>
              <w:right w:w="108" w:type="dxa"/>
              <w:bottom w:w="0" w:type="dxa"/>
            </w:tcMar>
            <w:tcW w:w="799" w:type="pct"/>
            <w:vAlign w:val="center"/>
            <w:vMerge w:val="restart"/>
            <w:textDirection w:val="lrTb"/>
            <w:noWrap w:val="false"/>
          </w:tcPr>
          <w:p>
            <w:pPr>
              <w:jc w:val="center"/>
              <w:spacing w:after="0" w:line="460" w:lineRule="exact"/>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highlight w:val="none"/>
              </w:rPr>
              <w:t xml:space="preserve">供应商服务方案</w:t>
            </w:r>
            <w:r/>
          </w:p>
          <w:p>
            <w:pPr>
              <w:jc w:val="center"/>
              <w:spacing w:after="0" w:line="460" w:lineRule="exact"/>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highlight w:val="none"/>
              </w:rPr>
              <w:t xml:space="preserve">（</w:t>
            </w:r>
            <w:r>
              <w:rPr>
                <w:rFonts w:hint="eastAsia" w:ascii="宋体" w:hAnsi="宋体" w:eastAsia="宋体" w:cs="宋体"/>
                <w:b/>
                <w:sz w:val="21"/>
                <w:szCs w:val="21"/>
                <w:highlight w:val="none"/>
                <w:lang w:val="en-US" w:eastAsia="zh-CN"/>
              </w:rPr>
              <w:t xml:space="preserve">50</w:t>
            </w:r>
            <w:r>
              <w:rPr>
                <w:rFonts w:hint="eastAsia" w:ascii="宋体" w:hAnsi="宋体" w:eastAsia="宋体" w:cs="宋体"/>
                <w:b/>
                <w:sz w:val="21"/>
                <w:szCs w:val="21"/>
                <w:highlight w:val="none"/>
              </w:rPr>
              <w:t xml:space="preserve">分）</w:t>
            </w:r>
            <w:r/>
          </w:p>
        </w:tc>
        <w:tc>
          <w:tcPr>
            <w:tcMar>
              <w:left w:w="108" w:type="dxa"/>
              <w:top w:w="0" w:type="dxa"/>
              <w:right w:w="108" w:type="dxa"/>
              <w:bottom w:w="0" w:type="dxa"/>
            </w:tcMar>
            <w:tcW w:w="3063" w:type="pct"/>
            <w:vAlign w:val="center"/>
            <w:textDirection w:val="lrTb"/>
            <w:noWrap w:val="false"/>
          </w:tcPr>
          <w:p>
            <w:pPr>
              <w:spacing w:after="0" w:line="460" w:lineRule="exact"/>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根据</w:t>
            </w:r>
            <w:r>
              <w:rPr>
                <w:rFonts w:hint="eastAsia" w:ascii="宋体" w:hAnsi="宋体" w:eastAsia="宋体" w:cs="宋体"/>
                <w:sz w:val="21"/>
                <w:szCs w:val="21"/>
                <w:highlight w:val="none"/>
              </w:rPr>
              <w:t xml:space="preserve">投标人</w:t>
            </w:r>
            <w:r>
              <w:rPr>
                <w:rFonts w:hint="eastAsia" w:ascii="宋体" w:hAnsi="宋体" w:eastAsia="宋体" w:cs="宋体"/>
                <w:sz w:val="21"/>
                <w:szCs w:val="21"/>
                <w:highlight w:val="none"/>
                <w:lang w:val="en-US" w:eastAsia="zh-CN"/>
              </w:rPr>
              <w:t xml:space="preserve">提供的</w:t>
            </w:r>
            <w:r>
              <w:rPr>
                <w:rFonts w:hint="eastAsia" w:ascii="宋体" w:hAnsi="宋体" w:eastAsia="宋体" w:cs="宋体"/>
                <w:sz w:val="21"/>
                <w:szCs w:val="21"/>
                <w:highlight w:val="none"/>
              </w:rPr>
              <w:t xml:space="preserve">总体技术方案</w:t>
            </w:r>
            <w:r>
              <w:rPr>
                <w:rFonts w:hint="eastAsia" w:ascii="宋体" w:hAnsi="宋体" w:eastAsia="宋体" w:cs="宋体"/>
                <w:sz w:val="21"/>
                <w:szCs w:val="21"/>
                <w:highlight w:val="none"/>
                <w:lang w:val="en-US" w:eastAsia="zh-CN"/>
              </w:rPr>
              <w:t xml:space="preserve">进行评审</w:t>
            </w:r>
            <w:r>
              <w:rPr>
                <w:rFonts w:hint="eastAsia" w:ascii="宋体" w:hAnsi="宋体" w:eastAsia="宋体" w:cs="宋体"/>
                <w:sz w:val="21"/>
                <w:szCs w:val="21"/>
                <w:highlight w:val="none"/>
              </w:rPr>
              <w:t xml:space="preserve">，内容应当包括但不限于以下内容</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①项目背景和现状②相关规范及标准③建设目标及技术路线等</w:t>
            </w:r>
            <w:r>
              <w:rPr>
                <w:rFonts w:hint="eastAsia" w:ascii="宋体" w:hAnsi="宋体" w:eastAsia="宋体" w:cs="宋体"/>
                <w:sz w:val="21"/>
                <w:szCs w:val="21"/>
                <w:highlight w:val="none"/>
                <w:lang w:eastAsia="zh-CN"/>
              </w:rPr>
              <w:t xml:space="preserve">。优于招标文件要求的得</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eastAsia="zh-CN"/>
              </w:rPr>
              <w:t xml:space="preserve">分；符合招标文件要求的得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分；不满足招标文件</w:t>
            </w:r>
            <w:r>
              <w:rPr>
                <w:rFonts w:hint="eastAsia" w:ascii="宋体" w:hAnsi="宋体" w:eastAsia="宋体" w:cs="宋体"/>
                <w:sz w:val="21"/>
                <w:szCs w:val="21"/>
                <w:highlight w:val="none"/>
                <w:lang w:val="en-US" w:eastAsia="zh-CN"/>
              </w:rPr>
              <w:t xml:space="preserve">的的2分</w:t>
            </w:r>
            <w:r>
              <w:rPr>
                <w:rFonts w:hint="eastAsia" w:ascii="宋体" w:hAnsi="宋体" w:eastAsia="宋体" w:cs="宋体"/>
                <w:sz w:val="21"/>
                <w:szCs w:val="21"/>
                <w:highlight w:val="none"/>
                <w:lang w:eastAsia="zh-CN"/>
              </w:rPr>
              <w:t xml:space="preserve">；未提供的不得分</w:t>
            </w:r>
            <w:r>
              <w:rPr>
                <w:rFonts w:hint="eastAsia" w:ascii="宋体" w:hAnsi="宋体" w:eastAsia="宋体" w:cs="宋体"/>
                <w:sz w:val="21"/>
                <w:szCs w:val="21"/>
                <w:highlight w:val="none"/>
              </w:rPr>
              <w:t xml:space="preserve">。</w:t>
            </w:r>
            <w:r/>
          </w:p>
        </w:tc>
        <w:tc>
          <w:tcPr>
            <w:tcMar>
              <w:left w:w="108" w:type="dxa"/>
              <w:top w:w="0" w:type="dxa"/>
              <w:right w:w="108" w:type="dxa"/>
              <w:bottom w:w="0" w:type="dxa"/>
            </w:tcMar>
            <w:tcW w:w="490" w:type="pct"/>
            <w:vAlign w:val="center"/>
            <w:textDirection w:val="lrTb"/>
            <w:noWrap w:val="false"/>
          </w:tcPr>
          <w:p>
            <w:pPr>
              <w:jc w:val="center"/>
              <w:spacing w:after="0" w:line="460" w:lineRule="exact"/>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highlight w:val="none"/>
                <w:lang w:val="en-US" w:eastAsia="zh-CN"/>
              </w:rPr>
              <w:t xml:space="preserve">7</w:t>
            </w:r>
            <w:r>
              <w:rPr>
                <w:rFonts w:hint="eastAsia" w:ascii="宋体" w:hAnsi="宋体" w:eastAsia="宋体" w:cs="宋体"/>
                <w:b/>
                <w:sz w:val="21"/>
                <w:szCs w:val="21"/>
                <w:highlight w:val="none"/>
              </w:rPr>
              <w:t xml:space="preserve">分</w:t>
            </w:r>
            <w:r/>
          </w:p>
        </w:tc>
      </w:tr>
      <w:tr>
        <w:trPr>
          <w:trHeight w:val="394"/>
        </w:trPr>
        <w:tc>
          <w:tcPr>
            <w:tcW w:w="646" w:type="pct"/>
            <w:vMerge w:val="continue"/>
            <w:textDirection w:val="lrTb"/>
            <w:noWrap w:val="false"/>
          </w:tcPr>
          <w:p>
            <w:pPr>
              <w:spacing w:after="0" w:line="460" w:lineRule="exact"/>
              <w:rPr>
                <w:rFonts w:ascii="宋体" w:hAnsi="宋体" w:eastAsia="宋体" w:cs="宋体"/>
                <w:sz w:val="21"/>
                <w:szCs w:val="21"/>
                <w:highlight w:val="none"/>
              </w:rPr>
            </w:pPr>
            <w:r>
              <w:rPr>
                <w:rFonts w:ascii="宋体" w:hAnsi="宋体" w:eastAsia="宋体" w:cs="宋体"/>
                <w:sz w:val="21"/>
                <w:szCs w:val="21"/>
                <w:highlight w:val="none"/>
              </w:rPr>
            </w:r>
            <w:r/>
          </w:p>
        </w:tc>
        <w:tc>
          <w:tcPr>
            <w:tcW w:w="799" w:type="pct"/>
            <w:vMerge w:val="continue"/>
            <w:textDirection w:val="lrTb"/>
            <w:noWrap w:val="false"/>
          </w:tcPr>
          <w:p>
            <w:pPr>
              <w:spacing w:after="0" w:line="460" w:lineRule="exact"/>
              <w:rPr>
                <w:rFonts w:ascii="宋体" w:hAnsi="宋体" w:eastAsia="宋体" w:cs="宋体"/>
                <w:sz w:val="21"/>
                <w:szCs w:val="21"/>
                <w:highlight w:val="none"/>
              </w:rPr>
            </w:pPr>
            <w:r>
              <w:rPr>
                <w:rFonts w:ascii="宋体" w:hAnsi="宋体" w:eastAsia="宋体" w:cs="宋体"/>
                <w:sz w:val="21"/>
                <w:szCs w:val="21"/>
                <w:highlight w:val="none"/>
              </w:rPr>
            </w:r>
            <w:r/>
          </w:p>
        </w:tc>
        <w:tc>
          <w:tcPr>
            <w:tcMar>
              <w:left w:w="108" w:type="dxa"/>
              <w:top w:w="0" w:type="dxa"/>
              <w:right w:w="108" w:type="dxa"/>
              <w:bottom w:w="0" w:type="dxa"/>
            </w:tcMar>
            <w:tcW w:w="3063" w:type="pct"/>
            <w:vAlign w:val="center"/>
            <w:textDirection w:val="lrTb"/>
            <w:noWrap w:val="false"/>
          </w:tcPr>
          <w:p>
            <w:pPr>
              <w:spacing w:after="0" w:line="460" w:lineRule="exact"/>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根据</w:t>
            </w:r>
            <w:r>
              <w:rPr>
                <w:rFonts w:hint="eastAsia" w:ascii="宋体" w:hAnsi="宋体" w:eastAsia="宋体" w:cs="宋体"/>
                <w:sz w:val="21"/>
                <w:szCs w:val="21"/>
                <w:highlight w:val="none"/>
              </w:rPr>
              <w:t xml:space="preserve">投标人</w:t>
            </w:r>
            <w:r>
              <w:rPr>
                <w:rFonts w:hint="eastAsia" w:ascii="宋体" w:hAnsi="宋体" w:eastAsia="宋体" w:cs="宋体"/>
                <w:sz w:val="21"/>
                <w:szCs w:val="21"/>
                <w:highlight w:val="none"/>
                <w:lang w:val="en-US" w:eastAsia="zh-CN"/>
              </w:rPr>
              <w:t xml:space="preserve">提供的</w:t>
            </w:r>
            <w:r>
              <w:rPr>
                <w:rFonts w:hint="eastAsia" w:ascii="宋体" w:hAnsi="宋体" w:eastAsia="宋体" w:cs="宋体"/>
                <w:sz w:val="21"/>
                <w:szCs w:val="21"/>
                <w:highlight w:val="none"/>
              </w:rPr>
              <w:t xml:space="preserve">项目组织管理方案</w:t>
            </w:r>
            <w:r>
              <w:rPr>
                <w:rFonts w:hint="eastAsia" w:ascii="宋体" w:hAnsi="宋体" w:eastAsia="宋体" w:cs="宋体"/>
                <w:sz w:val="21"/>
                <w:szCs w:val="21"/>
                <w:highlight w:val="none"/>
                <w:lang w:val="en-US" w:eastAsia="zh-CN"/>
              </w:rPr>
              <w:t xml:space="preserve">进行评审</w:t>
            </w:r>
            <w:r>
              <w:rPr>
                <w:rFonts w:hint="eastAsia" w:ascii="宋体" w:hAnsi="宋体" w:eastAsia="宋体" w:cs="宋体"/>
                <w:sz w:val="21"/>
                <w:szCs w:val="21"/>
                <w:highlight w:val="none"/>
              </w:rPr>
              <w:t xml:space="preserve">，内容应当包括但不限于以下内容</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①</w:t>
            </w:r>
            <w:r>
              <w:rPr>
                <w:rFonts w:hint="eastAsia" w:ascii="宋体" w:hAnsi="宋体" w:eastAsia="宋体" w:cs="宋体"/>
                <w:sz w:val="21"/>
                <w:szCs w:val="21"/>
                <w:highlight w:val="none"/>
              </w:rPr>
              <w:t xml:space="preserve">单位组织机构</w:t>
            </w:r>
            <w:r>
              <w:rPr>
                <w:rFonts w:hint="eastAsia" w:ascii="宋体" w:hAnsi="宋体" w:eastAsia="宋体" w:cs="宋体"/>
                <w:sz w:val="21"/>
                <w:szCs w:val="21"/>
                <w:highlight w:val="none"/>
                <w:lang w:val="en-US" w:eastAsia="zh-CN"/>
              </w:rPr>
              <w:t xml:space="preserve">构成</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②制定管理</w:t>
            </w:r>
            <w:r>
              <w:rPr>
                <w:rFonts w:hint="eastAsia" w:ascii="宋体" w:hAnsi="宋体" w:eastAsia="宋体" w:cs="宋体"/>
                <w:sz w:val="21"/>
                <w:szCs w:val="21"/>
                <w:highlight w:val="none"/>
              </w:rPr>
              <w:t xml:space="preserve">制度</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③明确</w:t>
            </w:r>
            <w:r>
              <w:rPr>
                <w:rFonts w:hint="eastAsia" w:ascii="宋体" w:hAnsi="宋体" w:eastAsia="宋体" w:cs="宋体"/>
                <w:sz w:val="21"/>
                <w:szCs w:val="21"/>
                <w:highlight w:val="none"/>
              </w:rPr>
              <w:t xml:space="preserve">责任分工</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优于招标文件要求的得</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eastAsia="zh-CN"/>
              </w:rPr>
              <w:t xml:space="preserve">分；符合招标文件要求的得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分；不满足招标文件</w:t>
            </w:r>
            <w:r>
              <w:rPr>
                <w:rFonts w:hint="eastAsia" w:ascii="宋体" w:hAnsi="宋体" w:eastAsia="宋体" w:cs="宋体"/>
                <w:sz w:val="21"/>
                <w:szCs w:val="21"/>
                <w:highlight w:val="none"/>
                <w:lang w:val="en-US" w:eastAsia="zh-CN"/>
              </w:rPr>
              <w:t xml:space="preserve">的的2分</w:t>
            </w:r>
            <w:r>
              <w:rPr>
                <w:rFonts w:hint="eastAsia" w:ascii="宋体" w:hAnsi="宋体" w:eastAsia="宋体" w:cs="宋体"/>
                <w:sz w:val="21"/>
                <w:szCs w:val="21"/>
                <w:highlight w:val="none"/>
                <w:lang w:eastAsia="zh-CN"/>
              </w:rPr>
              <w:t xml:space="preserve">；未提供的不得分</w:t>
            </w:r>
            <w:r>
              <w:rPr>
                <w:rFonts w:hint="eastAsia" w:ascii="宋体" w:hAnsi="宋体" w:eastAsia="宋体" w:cs="宋体"/>
                <w:sz w:val="21"/>
                <w:szCs w:val="21"/>
                <w:highlight w:val="none"/>
              </w:rPr>
              <w:t xml:space="preserve">。</w:t>
            </w:r>
            <w:r/>
          </w:p>
        </w:tc>
        <w:tc>
          <w:tcPr>
            <w:tcMar>
              <w:left w:w="108" w:type="dxa"/>
              <w:top w:w="0" w:type="dxa"/>
              <w:right w:w="108" w:type="dxa"/>
              <w:bottom w:w="0" w:type="dxa"/>
            </w:tcMar>
            <w:tcW w:w="490" w:type="pct"/>
            <w:vAlign w:val="center"/>
            <w:textDirection w:val="lrTb"/>
            <w:noWrap w:val="false"/>
          </w:tcPr>
          <w:p>
            <w:pPr>
              <w:jc w:val="center"/>
              <w:spacing w:after="0" w:line="460" w:lineRule="exact"/>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highlight w:val="none"/>
                <w:lang w:val="en-US" w:eastAsia="zh-CN"/>
              </w:rPr>
              <w:t xml:space="preserve">7</w:t>
            </w:r>
            <w:r>
              <w:rPr>
                <w:rFonts w:hint="eastAsia" w:ascii="宋体" w:hAnsi="宋体" w:eastAsia="宋体" w:cs="宋体"/>
                <w:b/>
                <w:sz w:val="21"/>
                <w:szCs w:val="21"/>
                <w:highlight w:val="none"/>
              </w:rPr>
              <w:t xml:space="preserve">分</w:t>
            </w:r>
            <w:r/>
          </w:p>
        </w:tc>
      </w:tr>
      <w:tr>
        <w:trPr>
          <w:trHeight w:val="394"/>
        </w:trPr>
        <w:tc>
          <w:tcPr>
            <w:tcW w:w="646" w:type="pct"/>
            <w:vMerge w:val="continue"/>
            <w:textDirection w:val="lrTb"/>
            <w:noWrap w:val="false"/>
          </w:tcPr>
          <w:p>
            <w:pPr>
              <w:spacing w:after="0" w:line="460" w:lineRule="exact"/>
              <w:rPr>
                <w:rFonts w:ascii="宋体" w:hAnsi="宋体" w:eastAsia="宋体" w:cs="宋体"/>
                <w:sz w:val="21"/>
                <w:szCs w:val="21"/>
                <w:highlight w:val="none"/>
              </w:rPr>
            </w:pPr>
            <w:r>
              <w:rPr>
                <w:rFonts w:ascii="宋体" w:hAnsi="宋体" w:eastAsia="宋体" w:cs="宋体"/>
                <w:sz w:val="21"/>
                <w:szCs w:val="21"/>
                <w:highlight w:val="none"/>
              </w:rPr>
            </w:r>
            <w:r/>
          </w:p>
        </w:tc>
        <w:tc>
          <w:tcPr>
            <w:tcW w:w="799" w:type="pct"/>
            <w:vMerge w:val="continue"/>
            <w:textDirection w:val="lrTb"/>
            <w:noWrap w:val="false"/>
          </w:tcPr>
          <w:p>
            <w:pPr>
              <w:spacing w:after="0" w:line="460" w:lineRule="exact"/>
              <w:rPr>
                <w:rFonts w:ascii="宋体" w:hAnsi="宋体" w:eastAsia="宋体" w:cs="宋体"/>
                <w:sz w:val="21"/>
                <w:szCs w:val="21"/>
                <w:highlight w:val="none"/>
              </w:rPr>
            </w:pPr>
            <w:r>
              <w:rPr>
                <w:rFonts w:ascii="宋体" w:hAnsi="宋体" w:eastAsia="宋体" w:cs="宋体"/>
                <w:sz w:val="21"/>
                <w:szCs w:val="21"/>
                <w:highlight w:val="none"/>
              </w:rPr>
            </w:r>
            <w:r/>
          </w:p>
        </w:tc>
        <w:tc>
          <w:tcPr>
            <w:tcMar>
              <w:left w:w="108" w:type="dxa"/>
              <w:top w:w="0" w:type="dxa"/>
              <w:right w:w="108" w:type="dxa"/>
              <w:bottom w:w="0" w:type="dxa"/>
            </w:tcMar>
            <w:tcW w:w="3063" w:type="pct"/>
            <w:vAlign w:val="center"/>
            <w:textDirection w:val="lrTb"/>
            <w:noWrap w:val="false"/>
          </w:tcPr>
          <w:p>
            <w:pPr>
              <w:spacing w:after="0" w:line="460" w:lineRule="exact"/>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根据</w:t>
            </w:r>
            <w:r>
              <w:rPr>
                <w:rFonts w:hint="eastAsia" w:ascii="宋体" w:hAnsi="宋体" w:eastAsia="宋体" w:cs="宋体"/>
                <w:sz w:val="21"/>
                <w:szCs w:val="21"/>
                <w:highlight w:val="none"/>
              </w:rPr>
              <w:t xml:space="preserve">投标人</w:t>
            </w:r>
            <w:r>
              <w:rPr>
                <w:rFonts w:hint="eastAsia" w:ascii="宋体" w:hAnsi="宋体" w:eastAsia="宋体" w:cs="宋体"/>
                <w:sz w:val="21"/>
                <w:szCs w:val="21"/>
                <w:highlight w:val="none"/>
                <w:lang w:val="en-US" w:eastAsia="zh-CN"/>
              </w:rPr>
              <w:t xml:space="preserve">提供的</w:t>
            </w:r>
            <w:r>
              <w:rPr>
                <w:rFonts w:hint="eastAsia" w:ascii="宋体" w:hAnsi="宋体" w:eastAsia="宋体" w:cs="宋体"/>
                <w:sz w:val="21"/>
                <w:szCs w:val="21"/>
                <w:highlight w:val="none"/>
              </w:rPr>
              <w:t xml:space="preserve">进度安排方案</w:t>
            </w:r>
            <w:r>
              <w:rPr>
                <w:rFonts w:hint="eastAsia" w:ascii="宋体" w:hAnsi="宋体" w:eastAsia="宋体" w:cs="宋体"/>
                <w:sz w:val="21"/>
                <w:szCs w:val="21"/>
                <w:highlight w:val="none"/>
                <w:lang w:val="en-US" w:eastAsia="zh-CN"/>
              </w:rPr>
              <w:t xml:space="preserve">进行评审</w:t>
            </w:r>
            <w:r>
              <w:rPr>
                <w:rFonts w:hint="eastAsia" w:ascii="宋体" w:hAnsi="宋体" w:eastAsia="宋体" w:cs="宋体"/>
                <w:sz w:val="21"/>
                <w:szCs w:val="21"/>
                <w:highlight w:val="none"/>
              </w:rPr>
              <w:t xml:space="preserve">，内容应当包括但不限于以下内容</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①</w:t>
            </w:r>
            <w:r>
              <w:rPr>
                <w:rFonts w:hint="eastAsia" w:ascii="宋体" w:hAnsi="宋体" w:eastAsia="宋体" w:cs="宋体"/>
                <w:sz w:val="21"/>
                <w:szCs w:val="21"/>
                <w:highlight w:val="none"/>
              </w:rPr>
              <w:t xml:space="preserve">项目实施计划</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②工期安排③人员安排等。</w:t>
            </w:r>
            <w:r>
              <w:rPr>
                <w:rFonts w:hint="eastAsia" w:ascii="宋体" w:hAnsi="宋体" w:eastAsia="宋体" w:cs="宋体"/>
                <w:sz w:val="21"/>
                <w:szCs w:val="21"/>
                <w:highlight w:val="none"/>
                <w:lang w:eastAsia="zh-CN"/>
              </w:rPr>
              <w:t xml:space="preserve">优于招标文件要求的得</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eastAsia="zh-CN"/>
              </w:rPr>
              <w:t xml:space="preserve">分；符合招标文件要求的得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分；不满足招标文件</w:t>
            </w:r>
            <w:r>
              <w:rPr>
                <w:rFonts w:hint="eastAsia" w:ascii="宋体" w:hAnsi="宋体" w:eastAsia="宋体" w:cs="宋体"/>
                <w:sz w:val="21"/>
                <w:szCs w:val="21"/>
                <w:highlight w:val="none"/>
                <w:lang w:val="en-US" w:eastAsia="zh-CN"/>
              </w:rPr>
              <w:t xml:space="preserve">的的2分</w:t>
            </w:r>
            <w:r>
              <w:rPr>
                <w:rFonts w:hint="eastAsia" w:ascii="宋体" w:hAnsi="宋体" w:eastAsia="宋体" w:cs="宋体"/>
                <w:sz w:val="21"/>
                <w:szCs w:val="21"/>
                <w:highlight w:val="none"/>
                <w:lang w:eastAsia="zh-CN"/>
              </w:rPr>
              <w:t xml:space="preserve">；未提供的不得分</w:t>
            </w:r>
            <w:r>
              <w:rPr>
                <w:rFonts w:hint="eastAsia" w:ascii="宋体" w:hAnsi="宋体" w:eastAsia="宋体" w:cs="宋体"/>
                <w:sz w:val="21"/>
                <w:szCs w:val="21"/>
                <w:highlight w:val="none"/>
              </w:rPr>
              <w:t xml:space="preserve">。</w:t>
            </w:r>
            <w:r/>
          </w:p>
        </w:tc>
        <w:tc>
          <w:tcPr>
            <w:tcMar>
              <w:left w:w="108" w:type="dxa"/>
              <w:top w:w="0" w:type="dxa"/>
              <w:right w:w="108" w:type="dxa"/>
              <w:bottom w:w="0" w:type="dxa"/>
            </w:tcMar>
            <w:tcW w:w="490" w:type="pct"/>
            <w:vAlign w:val="center"/>
            <w:textDirection w:val="lrTb"/>
            <w:noWrap w:val="false"/>
          </w:tcPr>
          <w:p>
            <w:pPr>
              <w:jc w:val="center"/>
              <w:spacing w:after="0" w:line="460" w:lineRule="exact"/>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highlight w:val="none"/>
                <w:lang w:val="en-US" w:eastAsia="zh-CN"/>
              </w:rPr>
              <w:t xml:space="preserve">7</w:t>
            </w:r>
            <w:r>
              <w:rPr>
                <w:rFonts w:hint="eastAsia" w:ascii="宋体" w:hAnsi="宋体" w:eastAsia="宋体" w:cs="宋体"/>
                <w:b/>
                <w:sz w:val="21"/>
                <w:szCs w:val="21"/>
                <w:highlight w:val="none"/>
              </w:rPr>
              <w:t xml:space="preserve">分</w:t>
            </w:r>
            <w:r/>
          </w:p>
        </w:tc>
      </w:tr>
      <w:tr>
        <w:trPr>
          <w:trHeight w:val="394"/>
        </w:trPr>
        <w:tc>
          <w:tcPr>
            <w:tcW w:w="646" w:type="pct"/>
            <w:vMerge w:val="continue"/>
            <w:textDirection w:val="lrTb"/>
            <w:noWrap w:val="false"/>
          </w:tcPr>
          <w:p>
            <w:pPr>
              <w:spacing w:after="0" w:line="460" w:lineRule="exact"/>
              <w:rPr>
                <w:rFonts w:ascii="宋体" w:hAnsi="宋体" w:eastAsia="宋体" w:cs="宋体"/>
                <w:sz w:val="21"/>
                <w:szCs w:val="21"/>
                <w:highlight w:val="none"/>
              </w:rPr>
            </w:pPr>
            <w:r>
              <w:rPr>
                <w:rFonts w:ascii="宋体" w:hAnsi="宋体" w:eastAsia="宋体" w:cs="宋体"/>
                <w:sz w:val="21"/>
                <w:szCs w:val="21"/>
                <w:highlight w:val="none"/>
              </w:rPr>
            </w:r>
            <w:r/>
          </w:p>
        </w:tc>
        <w:tc>
          <w:tcPr>
            <w:tcW w:w="799" w:type="pct"/>
            <w:vMerge w:val="continue"/>
            <w:textDirection w:val="lrTb"/>
            <w:noWrap w:val="false"/>
          </w:tcPr>
          <w:p>
            <w:pPr>
              <w:spacing w:after="0" w:line="460" w:lineRule="exact"/>
              <w:rPr>
                <w:rFonts w:ascii="宋体" w:hAnsi="宋体" w:eastAsia="宋体" w:cs="宋体"/>
                <w:sz w:val="21"/>
                <w:szCs w:val="21"/>
                <w:highlight w:val="none"/>
              </w:rPr>
            </w:pPr>
            <w:r>
              <w:rPr>
                <w:rFonts w:ascii="宋体" w:hAnsi="宋体" w:eastAsia="宋体" w:cs="宋体"/>
                <w:sz w:val="21"/>
                <w:szCs w:val="21"/>
                <w:highlight w:val="none"/>
              </w:rPr>
            </w:r>
            <w:r/>
          </w:p>
        </w:tc>
        <w:tc>
          <w:tcPr>
            <w:tcMar>
              <w:left w:w="108" w:type="dxa"/>
              <w:top w:w="0" w:type="dxa"/>
              <w:right w:w="108" w:type="dxa"/>
              <w:bottom w:w="0" w:type="dxa"/>
            </w:tcMar>
            <w:tcW w:w="3063" w:type="pct"/>
            <w:vAlign w:val="center"/>
            <w:textDirection w:val="lrTb"/>
            <w:noWrap w:val="false"/>
          </w:tcPr>
          <w:p>
            <w:pPr>
              <w:spacing w:after="0" w:line="460" w:lineRule="exact"/>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根据</w:t>
            </w:r>
            <w:r>
              <w:rPr>
                <w:rFonts w:hint="eastAsia" w:ascii="宋体" w:hAnsi="宋体" w:eastAsia="宋体" w:cs="宋体"/>
                <w:sz w:val="21"/>
                <w:szCs w:val="21"/>
                <w:highlight w:val="none"/>
              </w:rPr>
              <w:t xml:space="preserve">投标人</w:t>
            </w:r>
            <w:r>
              <w:rPr>
                <w:rFonts w:hint="eastAsia" w:ascii="宋体" w:hAnsi="宋体" w:eastAsia="宋体" w:cs="宋体"/>
                <w:sz w:val="21"/>
                <w:szCs w:val="21"/>
                <w:highlight w:val="none"/>
                <w:lang w:val="en-US" w:eastAsia="zh-CN"/>
              </w:rPr>
              <w:t xml:space="preserve">提供的</w:t>
            </w:r>
            <w:r>
              <w:rPr>
                <w:rFonts w:hint="eastAsia" w:ascii="宋体" w:hAnsi="宋体" w:eastAsia="宋体" w:cs="宋体"/>
                <w:sz w:val="21"/>
                <w:szCs w:val="21"/>
                <w:highlight w:val="none"/>
              </w:rPr>
              <w:t xml:space="preserve">质量保证措施</w:t>
            </w:r>
            <w:r>
              <w:rPr>
                <w:rFonts w:hint="eastAsia" w:ascii="宋体" w:hAnsi="宋体" w:eastAsia="宋体" w:cs="宋体"/>
                <w:sz w:val="21"/>
                <w:szCs w:val="21"/>
                <w:highlight w:val="none"/>
                <w:lang w:val="en-US" w:eastAsia="zh-CN"/>
              </w:rPr>
              <w:t xml:space="preserve">进行评审</w:t>
            </w:r>
            <w:r>
              <w:rPr>
                <w:rFonts w:hint="eastAsia" w:ascii="宋体" w:hAnsi="宋体" w:eastAsia="宋体" w:cs="宋体"/>
                <w:sz w:val="21"/>
                <w:szCs w:val="21"/>
                <w:highlight w:val="none"/>
              </w:rPr>
              <w:t xml:space="preserve">，内容应当包括但不限于以下内容</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①</w:t>
            </w:r>
            <w:r>
              <w:rPr>
                <w:rFonts w:hint="eastAsia" w:ascii="宋体" w:hAnsi="宋体" w:eastAsia="宋体" w:cs="宋体"/>
                <w:sz w:val="21"/>
                <w:szCs w:val="21"/>
                <w:highlight w:val="none"/>
              </w:rPr>
              <w:t xml:space="preserve">质量目标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②</w:t>
            </w:r>
            <w:r>
              <w:rPr>
                <w:rFonts w:hint="eastAsia" w:ascii="宋体" w:hAnsi="宋体" w:eastAsia="宋体" w:cs="宋体"/>
                <w:sz w:val="21"/>
                <w:szCs w:val="21"/>
                <w:highlight w:val="none"/>
              </w:rPr>
              <w:t xml:space="preserve">各级质量管理人员配备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③</w:t>
            </w:r>
            <w:r>
              <w:rPr>
                <w:rFonts w:hint="eastAsia" w:ascii="宋体" w:hAnsi="宋体" w:eastAsia="宋体" w:cs="宋体"/>
                <w:sz w:val="21"/>
                <w:szCs w:val="21"/>
                <w:highlight w:val="none"/>
              </w:rPr>
              <w:t xml:space="preserve">质量保证措施</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优于招标文件要求的得</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eastAsia="zh-CN"/>
              </w:rPr>
              <w:t xml:space="preserve">分；符合招标文件要求的得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分；不满足招标文件</w:t>
            </w:r>
            <w:r>
              <w:rPr>
                <w:rFonts w:hint="eastAsia" w:ascii="宋体" w:hAnsi="宋体" w:eastAsia="宋体" w:cs="宋体"/>
                <w:sz w:val="21"/>
                <w:szCs w:val="21"/>
                <w:highlight w:val="none"/>
                <w:lang w:val="en-US" w:eastAsia="zh-CN"/>
              </w:rPr>
              <w:t xml:space="preserve">的的2分</w:t>
            </w:r>
            <w:r>
              <w:rPr>
                <w:rFonts w:hint="eastAsia" w:ascii="宋体" w:hAnsi="宋体" w:eastAsia="宋体" w:cs="宋体"/>
                <w:sz w:val="21"/>
                <w:szCs w:val="21"/>
                <w:highlight w:val="none"/>
                <w:lang w:eastAsia="zh-CN"/>
              </w:rPr>
              <w:t xml:space="preserve">；未提供的不得分</w:t>
            </w:r>
            <w:r>
              <w:rPr>
                <w:rFonts w:hint="eastAsia" w:ascii="宋体" w:hAnsi="宋体" w:eastAsia="宋体" w:cs="宋体"/>
                <w:sz w:val="21"/>
                <w:szCs w:val="21"/>
                <w:highlight w:val="none"/>
              </w:rPr>
              <w:t xml:space="preserve">。</w:t>
            </w:r>
            <w:r/>
          </w:p>
        </w:tc>
        <w:tc>
          <w:tcPr>
            <w:tcMar>
              <w:left w:w="108" w:type="dxa"/>
              <w:top w:w="0" w:type="dxa"/>
              <w:right w:w="108" w:type="dxa"/>
              <w:bottom w:w="0" w:type="dxa"/>
            </w:tcMar>
            <w:tcW w:w="490" w:type="pct"/>
            <w:vAlign w:val="center"/>
            <w:textDirection w:val="lrTb"/>
            <w:noWrap w:val="false"/>
          </w:tcPr>
          <w:p>
            <w:pPr>
              <w:jc w:val="center"/>
              <w:spacing w:after="0" w:line="460" w:lineRule="exact"/>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highlight w:val="none"/>
                <w:lang w:val="en-US" w:eastAsia="zh-CN"/>
              </w:rPr>
              <w:t xml:space="preserve">7</w:t>
            </w:r>
            <w:r>
              <w:rPr>
                <w:rFonts w:hint="eastAsia" w:ascii="宋体" w:hAnsi="宋体" w:eastAsia="宋体" w:cs="宋体"/>
                <w:b/>
                <w:sz w:val="21"/>
                <w:szCs w:val="21"/>
                <w:highlight w:val="none"/>
              </w:rPr>
              <w:t xml:space="preserve">分</w:t>
            </w:r>
            <w:r/>
          </w:p>
        </w:tc>
      </w:tr>
      <w:tr>
        <w:trPr>
          <w:trHeight w:val="394"/>
        </w:trPr>
        <w:tc>
          <w:tcPr>
            <w:tcW w:w="646" w:type="pct"/>
            <w:vMerge w:val="continue"/>
            <w:textDirection w:val="lrTb"/>
            <w:noWrap w:val="false"/>
          </w:tcPr>
          <w:p>
            <w:pPr>
              <w:spacing w:after="0" w:line="460" w:lineRule="exact"/>
              <w:rPr>
                <w:rFonts w:ascii="宋体" w:hAnsi="宋体" w:eastAsia="宋体" w:cs="宋体"/>
                <w:sz w:val="21"/>
                <w:szCs w:val="21"/>
                <w:highlight w:val="none"/>
              </w:rPr>
            </w:pPr>
            <w:r>
              <w:rPr>
                <w:rFonts w:ascii="宋体" w:hAnsi="宋体" w:eastAsia="宋体" w:cs="宋体"/>
                <w:sz w:val="21"/>
                <w:szCs w:val="21"/>
                <w:highlight w:val="none"/>
              </w:rPr>
            </w:r>
            <w:r/>
          </w:p>
        </w:tc>
        <w:tc>
          <w:tcPr>
            <w:tcW w:w="799" w:type="pct"/>
            <w:vMerge w:val="continue"/>
            <w:textDirection w:val="lrTb"/>
            <w:noWrap w:val="false"/>
          </w:tcPr>
          <w:p>
            <w:pPr>
              <w:spacing w:after="0" w:line="460" w:lineRule="exact"/>
              <w:rPr>
                <w:rFonts w:ascii="宋体" w:hAnsi="宋体" w:eastAsia="宋体" w:cs="宋体"/>
                <w:sz w:val="21"/>
                <w:szCs w:val="21"/>
                <w:highlight w:val="none"/>
              </w:rPr>
            </w:pPr>
            <w:r>
              <w:rPr>
                <w:rFonts w:ascii="宋体" w:hAnsi="宋体" w:eastAsia="宋体" w:cs="宋体"/>
                <w:sz w:val="21"/>
                <w:szCs w:val="21"/>
                <w:highlight w:val="none"/>
              </w:rPr>
            </w:r>
            <w:r/>
          </w:p>
        </w:tc>
        <w:tc>
          <w:tcPr>
            <w:tcMar>
              <w:left w:w="108" w:type="dxa"/>
              <w:top w:w="0" w:type="dxa"/>
              <w:right w:w="108" w:type="dxa"/>
              <w:bottom w:w="0" w:type="dxa"/>
            </w:tcMar>
            <w:tcW w:w="3063" w:type="pct"/>
            <w:vAlign w:val="center"/>
            <w:textDirection w:val="lrTb"/>
            <w:noWrap w:val="false"/>
          </w:tcPr>
          <w:p>
            <w:pPr>
              <w:spacing w:after="0" w:line="460" w:lineRule="exact"/>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根据</w:t>
            </w:r>
            <w:r>
              <w:rPr>
                <w:rFonts w:hint="eastAsia" w:ascii="宋体" w:hAnsi="宋体" w:eastAsia="宋体" w:cs="宋体"/>
                <w:sz w:val="21"/>
                <w:szCs w:val="21"/>
                <w:highlight w:val="none"/>
              </w:rPr>
              <w:t xml:space="preserve">投标人</w:t>
            </w:r>
            <w:r>
              <w:rPr>
                <w:rFonts w:hint="eastAsia" w:ascii="宋体" w:hAnsi="宋体" w:eastAsia="宋体" w:cs="宋体"/>
                <w:sz w:val="21"/>
                <w:szCs w:val="21"/>
                <w:highlight w:val="none"/>
                <w:lang w:val="en-US" w:eastAsia="zh-CN"/>
              </w:rPr>
              <w:t xml:space="preserve">提供的</w:t>
            </w:r>
            <w:r>
              <w:rPr>
                <w:rFonts w:hint="eastAsia" w:ascii="宋体" w:hAnsi="宋体" w:eastAsia="宋体" w:cs="宋体"/>
                <w:sz w:val="21"/>
                <w:szCs w:val="21"/>
                <w:highlight w:val="none"/>
              </w:rPr>
              <w:t xml:space="preserve">安全生产及项目保密措施</w:t>
            </w:r>
            <w:r>
              <w:rPr>
                <w:rFonts w:hint="eastAsia" w:ascii="宋体" w:hAnsi="宋体" w:eastAsia="宋体" w:cs="宋体"/>
                <w:sz w:val="21"/>
                <w:szCs w:val="21"/>
                <w:highlight w:val="none"/>
                <w:lang w:val="en-US" w:eastAsia="zh-CN"/>
              </w:rPr>
              <w:t xml:space="preserve">进行评审</w:t>
            </w:r>
            <w:r>
              <w:rPr>
                <w:rFonts w:hint="eastAsia" w:ascii="宋体" w:hAnsi="宋体" w:eastAsia="宋体" w:cs="宋体"/>
                <w:sz w:val="21"/>
                <w:szCs w:val="21"/>
                <w:highlight w:val="none"/>
              </w:rPr>
              <w:t xml:space="preserve">，内容应当包括但不限于以下内容</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①</w:t>
            </w:r>
            <w:r>
              <w:rPr>
                <w:rFonts w:hint="eastAsia" w:ascii="宋体" w:hAnsi="宋体" w:eastAsia="宋体" w:cs="宋体"/>
                <w:sz w:val="21"/>
                <w:szCs w:val="21"/>
                <w:highlight w:val="none"/>
              </w:rPr>
              <w:t xml:space="preserve">项目保密管理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②</w:t>
            </w:r>
            <w:r>
              <w:rPr>
                <w:rFonts w:hint="eastAsia" w:ascii="宋体" w:hAnsi="宋体" w:eastAsia="宋体" w:cs="宋体"/>
                <w:sz w:val="21"/>
                <w:szCs w:val="21"/>
                <w:highlight w:val="none"/>
              </w:rPr>
              <w:t xml:space="preserve">安全生产管理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③</w:t>
            </w:r>
            <w:r>
              <w:rPr>
                <w:rFonts w:hint="eastAsia" w:ascii="宋体" w:hAnsi="宋体" w:eastAsia="宋体" w:cs="宋体"/>
                <w:sz w:val="21"/>
                <w:szCs w:val="21"/>
                <w:highlight w:val="none"/>
              </w:rPr>
              <w:t xml:space="preserve">保密措施保障等</w:t>
            </w:r>
            <w:r>
              <w:rPr>
                <w:rFonts w:hint="eastAsia" w:ascii="宋体" w:hAnsi="宋体" w:eastAsia="宋体" w:cs="宋体"/>
                <w:sz w:val="21"/>
                <w:szCs w:val="21"/>
                <w:highlight w:val="none"/>
                <w:lang w:eastAsia="zh-CN"/>
              </w:rPr>
              <w:t xml:space="preserve">。优于招标文件要求的得</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eastAsia="zh-CN"/>
              </w:rPr>
              <w:t xml:space="preserve">分；符合招标文件要求的得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分；不满足招标文件</w:t>
            </w:r>
            <w:r>
              <w:rPr>
                <w:rFonts w:hint="eastAsia" w:ascii="宋体" w:hAnsi="宋体" w:eastAsia="宋体" w:cs="宋体"/>
                <w:sz w:val="21"/>
                <w:szCs w:val="21"/>
                <w:highlight w:val="none"/>
                <w:lang w:val="en-US" w:eastAsia="zh-CN"/>
              </w:rPr>
              <w:t xml:space="preserve">的的2分</w:t>
            </w:r>
            <w:r>
              <w:rPr>
                <w:rFonts w:hint="eastAsia" w:ascii="宋体" w:hAnsi="宋体" w:eastAsia="宋体" w:cs="宋体"/>
                <w:sz w:val="21"/>
                <w:szCs w:val="21"/>
                <w:highlight w:val="none"/>
                <w:lang w:eastAsia="zh-CN"/>
              </w:rPr>
              <w:t xml:space="preserve">；未提供的不得分</w:t>
            </w:r>
            <w:r>
              <w:rPr>
                <w:rFonts w:hint="eastAsia" w:ascii="宋体" w:hAnsi="宋体" w:eastAsia="宋体" w:cs="宋体"/>
                <w:sz w:val="21"/>
                <w:szCs w:val="21"/>
                <w:highlight w:val="none"/>
              </w:rPr>
              <w:t xml:space="preserve">。</w:t>
            </w:r>
            <w:r/>
          </w:p>
        </w:tc>
        <w:tc>
          <w:tcPr>
            <w:tcMar>
              <w:left w:w="108" w:type="dxa"/>
              <w:top w:w="0" w:type="dxa"/>
              <w:right w:w="108" w:type="dxa"/>
              <w:bottom w:w="0" w:type="dxa"/>
            </w:tcMar>
            <w:tcW w:w="490" w:type="pct"/>
            <w:vAlign w:val="center"/>
            <w:textDirection w:val="lrTb"/>
            <w:noWrap w:val="false"/>
          </w:tcPr>
          <w:p>
            <w:pPr>
              <w:jc w:val="center"/>
              <w:spacing w:after="0" w:line="460" w:lineRule="exact"/>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highlight w:val="none"/>
                <w:lang w:val="en-US" w:eastAsia="zh-CN"/>
              </w:rPr>
              <w:t xml:space="preserve">7</w:t>
            </w:r>
            <w:r>
              <w:rPr>
                <w:rFonts w:hint="eastAsia" w:ascii="宋体" w:hAnsi="宋体" w:eastAsia="宋体" w:cs="宋体"/>
                <w:b/>
                <w:sz w:val="21"/>
                <w:szCs w:val="21"/>
                <w:highlight w:val="none"/>
              </w:rPr>
              <w:t xml:space="preserve">分</w:t>
            </w:r>
            <w:r/>
          </w:p>
        </w:tc>
      </w:tr>
      <w:tr>
        <w:trPr>
          <w:trHeight w:val="394"/>
        </w:trPr>
        <w:tc>
          <w:tcPr>
            <w:tcW w:w="646" w:type="pct"/>
            <w:vMerge w:val="continue"/>
            <w:textDirection w:val="lrTb"/>
            <w:noWrap w:val="false"/>
          </w:tcPr>
          <w:p>
            <w:pPr>
              <w:spacing w:after="0" w:line="460" w:lineRule="exact"/>
              <w:rPr>
                <w:rFonts w:ascii="宋体" w:hAnsi="宋体" w:eastAsia="宋体" w:cs="宋体"/>
                <w:sz w:val="21"/>
                <w:szCs w:val="21"/>
                <w:highlight w:val="none"/>
              </w:rPr>
            </w:pPr>
            <w:r>
              <w:rPr>
                <w:rFonts w:ascii="宋体" w:hAnsi="宋体" w:eastAsia="宋体" w:cs="宋体"/>
                <w:sz w:val="21"/>
                <w:szCs w:val="21"/>
                <w:highlight w:val="none"/>
              </w:rPr>
            </w:r>
            <w:r/>
          </w:p>
        </w:tc>
        <w:tc>
          <w:tcPr>
            <w:tcW w:w="799" w:type="pct"/>
            <w:vMerge w:val="continue"/>
            <w:textDirection w:val="lrTb"/>
            <w:noWrap w:val="false"/>
          </w:tcPr>
          <w:p>
            <w:pPr>
              <w:spacing w:after="0" w:line="460" w:lineRule="exact"/>
              <w:rPr>
                <w:rFonts w:ascii="宋体" w:hAnsi="宋体" w:eastAsia="宋体" w:cs="宋体"/>
                <w:sz w:val="21"/>
                <w:szCs w:val="21"/>
                <w:highlight w:val="none"/>
              </w:rPr>
            </w:pPr>
            <w:r>
              <w:rPr>
                <w:rFonts w:ascii="宋体" w:hAnsi="宋体" w:eastAsia="宋体" w:cs="宋体"/>
                <w:sz w:val="21"/>
                <w:szCs w:val="21"/>
                <w:highlight w:val="none"/>
              </w:rPr>
            </w:r>
            <w:r/>
          </w:p>
        </w:tc>
        <w:tc>
          <w:tcPr>
            <w:tcMar>
              <w:left w:w="108" w:type="dxa"/>
              <w:top w:w="0" w:type="dxa"/>
              <w:right w:w="108" w:type="dxa"/>
              <w:bottom w:w="0" w:type="dxa"/>
            </w:tcMar>
            <w:tcW w:w="3063" w:type="pct"/>
            <w:vAlign w:val="center"/>
            <w:textDirection w:val="lrTb"/>
            <w:noWrap w:val="false"/>
          </w:tcPr>
          <w:p>
            <w:pPr>
              <w:spacing w:after="0" w:line="460" w:lineRule="exact"/>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根据</w:t>
            </w:r>
            <w:r>
              <w:rPr>
                <w:rFonts w:hint="eastAsia" w:ascii="宋体" w:hAnsi="宋体" w:eastAsia="宋体" w:cs="宋体"/>
                <w:sz w:val="21"/>
                <w:szCs w:val="21"/>
                <w:highlight w:val="none"/>
              </w:rPr>
              <w:t xml:space="preserve">投标人</w:t>
            </w:r>
            <w:r>
              <w:rPr>
                <w:rFonts w:hint="eastAsia" w:ascii="宋体" w:hAnsi="宋体" w:eastAsia="宋体" w:cs="宋体"/>
                <w:sz w:val="21"/>
                <w:szCs w:val="21"/>
                <w:highlight w:val="none"/>
                <w:lang w:val="en-US" w:eastAsia="zh-CN"/>
              </w:rPr>
              <w:t xml:space="preserve">提供的</w:t>
            </w:r>
            <w:r>
              <w:rPr>
                <w:rFonts w:hint="eastAsia" w:ascii="宋体" w:hAnsi="宋体" w:eastAsia="宋体" w:cs="宋体"/>
                <w:sz w:val="21"/>
                <w:szCs w:val="21"/>
                <w:highlight w:val="none"/>
              </w:rPr>
              <w:t xml:space="preserve">重难点分析及合理化建议</w:t>
            </w:r>
            <w:r>
              <w:rPr>
                <w:rFonts w:hint="eastAsia" w:ascii="宋体" w:hAnsi="宋体" w:eastAsia="宋体" w:cs="宋体"/>
                <w:sz w:val="21"/>
                <w:szCs w:val="21"/>
                <w:highlight w:val="none"/>
                <w:lang w:val="en-US" w:eastAsia="zh-CN"/>
              </w:rPr>
              <w:t xml:space="preserve">进行评审</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优于招标文件要求的得</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分；符合招标文件要求的得</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分；不满足招标文件</w:t>
            </w:r>
            <w:r>
              <w:rPr>
                <w:rFonts w:hint="eastAsia" w:ascii="宋体" w:hAnsi="宋体" w:eastAsia="宋体" w:cs="宋体"/>
                <w:sz w:val="21"/>
                <w:szCs w:val="21"/>
                <w:highlight w:val="none"/>
                <w:lang w:val="en-US" w:eastAsia="zh-CN"/>
              </w:rPr>
              <w:t xml:space="preserve">的的2分</w:t>
            </w:r>
            <w:r>
              <w:rPr>
                <w:rFonts w:hint="eastAsia" w:ascii="宋体" w:hAnsi="宋体" w:eastAsia="宋体" w:cs="宋体"/>
                <w:sz w:val="21"/>
                <w:szCs w:val="21"/>
                <w:highlight w:val="none"/>
                <w:lang w:eastAsia="zh-CN"/>
              </w:rPr>
              <w:t xml:space="preserve">；未提供的不得分</w:t>
            </w:r>
            <w:r>
              <w:rPr>
                <w:rFonts w:hint="eastAsia" w:ascii="宋体" w:hAnsi="宋体" w:eastAsia="宋体" w:cs="宋体"/>
                <w:sz w:val="21"/>
                <w:szCs w:val="21"/>
                <w:highlight w:val="none"/>
              </w:rPr>
              <w:t xml:space="preserve">。</w:t>
            </w:r>
            <w:r/>
          </w:p>
        </w:tc>
        <w:tc>
          <w:tcPr>
            <w:tcMar>
              <w:left w:w="108" w:type="dxa"/>
              <w:top w:w="0" w:type="dxa"/>
              <w:right w:w="108" w:type="dxa"/>
              <w:bottom w:w="0" w:type="dxa"/>
            </w:tcMar>
            <w:tcW w:w="490" w:type="pct"/>
            <w:vAlign w:val="center"/>
            <w:textDirection w:val="lrTb"/>
            <w:noWrap w:val="false"/>
          </w:tcPr>
          <w:p>
            <w:pPr>
              <w:jc w:val="center"/>
              <w:spacing w:after="0" w:line="460" w:lineRule="exact"/>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highlight w:val="none"/>
                <w:lang w:val="en-US" w:eastAsia="zh-CN"/>
              </w:rPr>
              <w:t xml:space="preserve">8</w:t>
            </w:r>
            <w:r>
              <w:rPr>
                <w:rFonts w:hint="eastAsia" w:ascii="宋体" w:hAnsi="宋体" w:eastAsia="宋体" w:cs="宋体"/>
                <w:b/>
                <w:sz w:val="21"/>
                <w:szCs w:val="21"/>
                <w:highlight w:val="none"/>
              </w:rPr>
              <w:t xml:space="preserve">分</w:t>
            </w:r>
            <w:r/>
          </w:p>
        </w:tc>
      </w:tr>
      <w:tr>
        <w:trPr>
          <w:trHeight w:val="394"/>
        </w:trPr>
        <w:tc>
          <w:tcPr>
            <w:tcW w:w="646" w:type="pct"/>
            <w:vMerge w:val="continue"/>
            <w:textDirection w:val="lrTb"/>
            <w:noWrap w:val="false"/>
          </w:tcPr>
          <w:p>
            <w:pPr>
              <w:spacing w:after="0" w:line="460" w:lineRule="exact"/>
              <w:rPr>
                <w:rFonts w:ascii="宋体" w:hAnsi="宋体" w:eastAsia="宋体" w:cs="宋体"/>
                <w:sz w:val="21"/>
                <w:szCs w:val="21"/>
                <w:highlight w:val="none"/>
              </w:rPr>
            </w:pPr>
            <w:r>
              <w:rPr>
                <w:rFonts w:ascii="宋体" w:hAnsi="宋体" w:eastAsia="宋体" w:cs="宋体"/>
                <w:sz w:val="21"/>
                <w:szCs w:val="21"/>
                <w:highlight w:val="none"/>
              </w:rPr>
            </w:r>
            <w:r/>
          </w:p>
        </w:tc>
        <w:tc>
          <w:tcPr>
            <w:tcW w:w="799" w:type="pct"/>
            <w:vMerge w:val="continue"/>
            <w:textDirection w:val="lrTb"/>
            <w:noWrap w:val="false"/>
          </w:tcPr>
          <w:p>
            <w:pPr>
              <w:spacing w:after="0" w:line="460" w:lineRule="exact"/>
              <w:rPr>
                <w:rFonts w:ascii="宋体" w:hAnsi="宋体" w:eastAsia="宋体" w:cs="宋体"/>
                <w:sz w:val="21"/>
                <w:szCs w:val="21"/>
                <w:highlight w:val="none"/>
              </w:rPr>
            </w:pPr>
            <w:r>
              <w:rPr>
                <w:rFonts w:ascii="宋体" w:hAnsi="宋体" w:eastAsia="宋体" w:cs="宋体"/>
                <w:sz w:val="21"/>
                <w:szCs w:val="21"/>
                <w:highlight w:val="none"/>
              </w:rPr>
            </w:r>
            <w:r/>
          </w:p>
        </w:tc>
        <w:tc>
          <w:tcPr>
            <w:tcMar>
              <w:left w:w="108" w:type="dxa"/>
              <w:top w:w="0" w:type="dxa"/>
              <w:right w:w="108" w:type="dxa"/>
              <w:bottom w:w="0" w:type="dxa"/>
            </w:tcMar>
            <w:tcW w:w="3063" w:type="pct"/>
            <w:vAlign w:val="center"/>
            <w:textDirection w:val="lrTb"/>
            <w:noWrap w:val="false"/>
          </w:tcPr>
          <w:p>
            <w:pPr>
              <w:spacing w:after="0" w:line="460" w:lineRule="exact"/>
              <w:rPr>
                <w:rFonts w:hint="default"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根据</w:t>
            </w:r>
            <w:r>
              <w:rPr>
                <w:rFonts w:hint="eastAsia" w:ascii="宋体" w:hAnsi="宋体" w:eastAsia="宋体" w:cs="宋体"/>
                <w:sz w:val="21"/>
                <w:szCs w:val="21"/>
                <w:highlight w:val="none"/>
              </w:rPr>
              <w:t xml:space="preserve">投标人</w:t>
            </w:r>
            <w:r>
              <w:rPr>
                <w:rFonts w:hint="eastAsia" w:ascii="宋体" w:hAnsi="宋体" w:eastAsia="宋体" w:cs="宋体"/>
                <w:sz w:val="21"/>
                <w:szCs w:val="21"/>
                <w:highlight w:val="none"/>
                <w:lang w:val="en-US" w:eastAsia="zh-CN"/>
              </w:rPr>
              <w:t xml:space="preserve">提供的</w:t>
            </w:r>
            <w:r>
              <w:rPr>
                <w:rFonts w:hint="eastAsia" w:ascii="宋体" w:hAnsi="宋体" w:eastAsia="宋体" w:cs="宋体"/>
                <w:sz w:val="21"/>
                <w:szCs w:val="21"/>
                <w:highlight w:val="none"/>
              </w:rPr>
              <w:t xml:space="preserve">服务承诺方案</w:t>
            </w:r>
            <w:r>
              <w:rPr>
                <w:rFonts w:hint="eastAsia" w:ascii="宋体" w:hAnsi="宋体" w:eastAsia="宋体" w:cs="宋体"/>
                <w:sz w:val="21"/>
                <w:szCs w:val="21"/>
                <w:highlight w:val="none"/>
                <w:lang w:val="en-US" w:eastAsia="zh-CN"/>
              </w:rPr>
              <w:t xml:space="preserve">进行评审</w:t>
            </w:r>
            <w:r>
              <w:rPr>
                <w:rFonts w:hint="eastAsia" w:ascii="宋体" w:hAnsi="宋体" w:eastAsia="宋体" w:cs="宋体"/>
                <w:sz w:val="21"/>
                <w:szCs w:val="21"/>
                <w:highlight w:val="none"/>
              </w:rPr>
              <w:t xml:space="preserve">，内容应当包括但不限于以下内容</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①</w:t>
            </w:r>
            <w:r>
              <w:rPr>
                <w:rFonts w:hint="eastAsia" w:ascii="宋体" w:hAnsi="宋体" w:eastAsia="宋体" w:cs="宋体"/>
                <w:sz w:val="21"/>
                <w:szCs w:val="21"/>
                <w:highlight w:val="none"/>
              </w:rPr>
              <w:t xml:space="preserve">驻点技术服务人员</w:t>
            </w:r>
            <w:r>
              <w:rPr>
                <w:rFonts w:hint="eastAsia" w:ascii="宋体" w:hAnsi="宋体" w:eastAsia="宋体" w:cs="宋体"/>
                <w:sz w:val="21"/>
                <w:szCs w:val="21"/>
                <w:highlight w:val="none"/>
                <w:lang w:val="en-US" w:eastAsia="zh-CN"/>
              </w:rPr>
              <w:t xml:space="preserve">安排</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②</w:t>
            </w:r>
            <w:r>
              <w:rPr>
                <w:rFonts w:hint="eastAsia" w:ascii="宋体" w:hAnsi="宋体" w:eastAsia="宋体" w:cs="宋体"/>
                <w:sz w:val="21"/>
                <w:szCs w:val="21"/>
                <w:highlight w:val="none"/>
              </w:rPr>
              <w:t xml:space="preserve">设备仪器工作车辆计划安排</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lang w:eastAsia="zh-CN"/>
              </w:rPr>
              <w:t xml:space="preserve">优于招标文件要求的得</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eastAsia="zh-CN"/>
              </w:rPr>
              <w:t xml:space="preserve">分；符合招标文件要求的得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分；不满足招标文件</w:t>
            </w:r>
            <w:r>
              <w:rPr>
                <w:rFonts w:hint="eastAsia" w:ascii="宋体" w:hAnsi="宋体" w:eastAsia="宋体" w:cs="宋体"/>
                <w:sz w:val="21"/>
                <w:szCs w:val="21"/>
                <w:highlight w:val="none"/>
                <w:lang w:val="en-US" w:eastAsia="zh-CN"/>
              </w:rPr>
              <w:t xml:space="preserve">的的2分</w:t>
            </w:r>
            <w:r>
              <w:rPr>
                <w:rFonts w:hint="eastAsia" w:ascii="宋体" w:hAnsi="宋体" w:eastAsia="宋体" w:cs="宋体"/>
                <w:sz w:val="21"/>
                <w:szCs w:val="21"/>
                <w:highlight w:val="none"/>
                <w:lang w:eastAsia="zh-CN"/>
              </w:rPr>
              <w:t xml:space="preserve">；未提供的不得分</w:t>
            </w:r>
            <w:r>
              <w:rPr>
                <w:rFonts w:hint="eastAsia" w:ascii="宋体" w:hAnsi="宋体" w:eastAsia="宋体" w:cs="宋体"/>
                <w:sz w:val="21"/>
                <w:szCs w:val="21"/>
                <w:highlight w:val="none"/>
              </w:rPr>
              <w:t xml:space="preserve">。</w:t>
            </w:r>
            <w:r/>
          </w:p>
        </w:tc>
        <w:tc>
          <w:tcPr>
            <w:tcMar>
              <w:left w:w="108" w:type="dxa"/>
              <w:top w:w="0" w:type="dxa"/>
              <w:right w:w="108" w:type="dxa"/>
              <w:bottom w:w="0" w:type="dxa"/>
            </w:tcMar>
            <w:tcW w:w="490" w:type="pct"/>
            <w:vAlign w:val="center"/>
            <w:textDirection w:val="lrTb"/>
            <w:noWrap w:val="false"/>
          </w:tcPr>
          <w:p>
            <w:pPr>
              <w:jc w:val="center"/>
              <w:spacing w:after="0" w:line="460" w:lineRule="exact"/>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highlight w:val="none"/>
                <w:lang w:val="en-US" w:eastAsia="zh-CN"/>
              </w:rPr>
              <w:t xml:space="preserve">7</w:t>
            </w:r>
            <w:r>
              <w:rPr>
                <w:rFonts w:hint="eastAsia" w:ascii="宋体" w:hAnsi="宋体" w:eastAsia="宋体" w:cs="宋体"/>
                <w:b/>
                <w:sz w:val="21"/>
                <w:szCs w:val="21"/>
                <w:highlight w:val="none"/>
              </w:rPr>
              <w:t xml:space="preserve">分</w:t>
            </w:r>
            <w:r/>
          </w:p>
        </w:tc>
      </w:tr>
      <w:tr>
        <w:trPr>
          <w:trHeight w:val="92"/>
        </w:trPr>
        <w:tc>
          <w:tcPr>
            <w:gridSpan w:val="4"/>
            <w:tcMar>
              <w:left w:w="108" w:type="dxa"/>
              <w:top w:w="0" w:type="dxa"/>
              <w:right w:w="108" w:type="dxa"/>
              <w:bottom w:w="0" w:type="dxa"/>
            </w:tcMar>
            <w:tcW w:w="5000" w:type="pct"/>
            <w:vAlign w:val="center"/>
            <w:textDirection w:val="lrTb"/>
            <w:noWrap w:val="false"/>
          </w:tcPr>
          <w:p>
            <w:pPr>
              <w:pStyle w:val="613"/>
              <w:ind w:left="0" w:firstLine="0"/>
              <w:spacing w:line="46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备注：</w:t>
            </w:r>
            <w:r/>
          </w:p>
          <w:p>
            <w:pPr>
              <w:pStyle w:val="613"/>
              <w:ind w:left="0" w:firstLine="0"/>
              <w:spacing w:line="46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1.上述人员须在供应商单位就职，且不得在其他单位兼职；成交后上述人员配备未经采购人同意不得变更。</w:t>
            </w:r>
            <w:r/>
          </w:p>
          <w:p>
            <w:pPr>
              <w:pStyle w:val="613"/>
              <w:ind w:left="0" w:firstLine="0"/>
              <w:spacing w:line="460" w:lineRule="exact"/>
              <w:rPr>
                <w:rFonts w:ascii="宋体" w:hAnsi="宋体" w:cs="宋体"/>
                <w:b/>
                <w:sz w:val="21"/>
                <w:szCs w:val="21"/>
                <w:highlight w:val="none"/>
              </w:rPr>
            </w:pPr>
            <w:r>
              <w:rPr>
                <w:rFonts w:hint="eastAsia" w:ascii="宋体" w:hAnsi="宋体" w:eastAsia="宋体" w:cs="宋体"/>
                <w:sz w:val="21"/>
                <w:szCs w:val="21"/>
                <w:highlight w:val="none"/>
                <w:lang w:val="en-US" w:eastAsia="zh-CN" w:bidi="ar-SA"/>
              </w:rPr>
              <w:t xml:space="preserve">2.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bl>
    <w:p>
      <w:pPr>
        <w:pStyle w:val="612"/>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1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12"/>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12"/>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12"/>
        <w:jc w:val="both"/>
        <w:spacing w:beforeAutospacing="0" w:afterAutospacing="0"/>
        <w:rPr>
          <w:highlight w:val="none"/>
        </w:rPr>
      </w:pPr>
      <w:r>
        <w:rPr>
          <w:highlight w:val="none"/>
        </w:rPr>
        <w:t xml:space="preserve"> </w:t>
      </w:r>
      <w:r/>
    </w:p>
    <w:p>
      <w:pPr>
        <w:pStyle w:val="612"/>
        <w:jc w:val="both"/>
        <w:spacing w:beforeAutospacing="0" w:afterAutospacing="0"/>
        <w:rPr>
          <w:highlight w:val="none"/>
        </w:rPr>
      </w:pPr>
      <w:r>
        <w:rPr>
          <w:highlight w:val="none"/>
        </w:rPr>
        <w:t xml:space="preserve"> </w:t>
      </w:r>
      <w:r/>
    </w:p>
    <w:p>
      <w:pPr>
        <w:pStyle w:val="612"/>
        <w:jc w:val="both"/>
        <w:spacing w:beforeAutospacing="0" w:afterAutospacing="0"/>
        <w:rPr>
          <w:highlight w:val="none"/>
        </w:rPr>
      </w:pPr>
      <w:r>
        <w:rPr>
          <w:highlight w:val="none"/>
        </w:rPr>
        <w:t xml:space="preserve"> </w:t>
      </w:r>
      <w:r/>
    </w:p>
    <w:p>
      <w:pPr>
        <w:pStyle w:val="612"/>
        <w:jc w:val="both"/>
        <w:spacing w:beforeAutospacing="0" w:afterAutospacing="0"/>
        <w:rPr>
          <w:highlight w:val="none"/>
        </w:rPr>
      </w:pPr>
      <w:r>
        <w:rPr>
          <w:highlight w:val="none"/>
        </w:rPr>
        <w:t xml:space="preserve"> </w:t>
      </w:r>
      <w:r/>
    </w:p>
    <w:p>
      <w:pPr>
        <w:pStyle w:val="612"/>
        <w:jc w:val="both"/>
        <w:spacing w:beforeAutospacing="0" w:afterAutospacing="0"/>
        <w:rPr>
          <w:highlight w:val="none"/>
        </w:rPr>
      </w:pPr>
      <w:r>
        <w:rPr>
          <w:highlight w:val="none"/>
        </w:rPr>
      </w:r>
      <w:r/>
    </w:p>
    <w:p>
      <w:pPr>
        <w:pStyle w:val="612"/>
        <w:jc w:val="both"/>
        <w:spacing w:beforeAutospacing="0" w:afterAutospacing="0"/>
        <w:rPr>
          <w:highlight w:val="none"/>
        </w:rPr>
      </w:pPr>
      <w:r>
        <w:rPr>
          <w:highlight w:val="none"/>
        </w:rPr>
      </w:r>
      <w:r/>
    </w:p>
    <w:p>
      <w:pPr>
        <w:pStyle w:val="612"/>
        <w:jc w:val="both"/>
        <w:spacing w:beforeAutospacing="0" w:afterAutospacing="0"/>
        <w:rPr>
          <w:highlight w:val="none"/>
        </w:rPr>
      </w:pPr>
      <w:r>
        <w:rPr>
          <w:highlight w:val="none"/>
        </w:rPr>
      </w:r>
      <w:r/>
    </w:p>
    <w:p>
      <w:pPr>
        <w:pStyle w:val="612"/>
        <w:jc w:val="both"/>
        <w:spacing w:beforeAutospacing="0" w:afterAutospacing="0"/>
        <w:rPr>
          <w:highlight w:val="none"/>
        </w:rPr>
      </w:pPr>
      <w:r>
        <w:rPr>
          <w:highlight w:val="none"/>
        </w:rPr>
      </w:r>
      <w:r/>
    </w:p>
    <w:p>
      <w:pPr>
        <w:pStyle w:val="612"/>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12"/>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12"/>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12"/>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12"/>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p>
    <w:p>
      <w:pPr>
        <w:pStyle w:val="612"/>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p>
    <w:p>
      <w:pPr>
        <w:pStyle w:val="612"/>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12"/>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12"/>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第六章  投标文件格式 </w:t>
      </w:r>
      <w:r/>
    </w:p>
    <w:p>
      <w:pPr>
        <w:pStyle w:val="612"/>
        <w:jc w:val="center"/>
        <w:spacing w:beforeAutospacing="0" w:afterAutospacing="0"/>
        <w:rPr>
          <w:highlight w:val="none"/>
        </w:rPr>
      </w:pPr>
      <w:r/>
      <w:bookmarkStart w:id="181" w:name="_Hlt26671244"/>
      <w:r/>
      <w:bookmarkEnd w:id="181"/>
      <w:r/>
      <w:bookmarkStart w:id="182" w:name="_Hlt26955039"/>
      <w:r/>
      <w:bookmarkEnd w:id="182"/>
      <w:r/>
      <w:bookmarkStart w:id="183" w:name="_Toc26554094"/>
      <w:r/>
      <w:bookmarkEnd w:id="183"/>
      <w:r/>
      <w:bookmarkStart w:id="184" w:name="_Toc120614282"/>
      <w:r/>
      <w:bookmarkStart w:id="185" w:name="_Toc49090576"/>
      <w:r>
        <w:rPr>
          <w:rFonts w:hint="eastAsia" w:ascii="宋体" w:hAnsi="宋体" w:eastAsia="宋体" w:cs="宋体"/>
          <w:b/>
          <w:color w:val="000000"/>
          <w:sz w:val="72"/>
          <w:szCs w:val="72"/>
          <w:highlight w:val="none"/>
        </w:rPr>
        <w:t xml:space="preserve">投  标  文  件</w:t>
      </w:r>
      <w:r/>
    </w:p>
    <w:p>
      <w:pPr>
        <w:pStyle w:val="612"/>
        <w:jc w:val="center"/>
        <w:spacing w:beforeAutospacing="0" w:afterAutospacing="0"/>
        <w:rPr>
          <w:highlight w:val="none"/>
        </w:rPr>
      </w:pPr>
      <w:r>
        <w:rPr>
          <w:highlight w:val="none"/>
        </w:rPr>
        <w:t xml:space="preserve"> </w:t>
      </w:r>
      <w:r/>
    </w:p>
    <w:p>
      <w:pPr>
        <w:pStyle w:val="612"/>
        <w:jc w:val="center"/>
        <w:spacing w:beforeAutospacing="0" w:afterAutospacing="0"/>
        <w:rPr>
          <w:highlight w:val="none"/>
        </w:rPr>
      </w:pPr>
      <w:r>
        <w:rPr>
          <w:highlight w:val="none"/>
        </w:rPr>
        <w:t xml:space="preserve"> </w:t>
      </w:r>
      <w:r/>
    </w:p>
    <w:p>
      <w:pPr>
        <w:pStyle w:val="612"/>
        <w:jc w:val="center"/>
        <w:spacing w:beforeAutospacing="0" w:afterAutospacing="0"/>
        <w:rPr>
          <w:highlight w:val="none"/>
        </w:rPr>
      </w:pPr>
      <w:r>
        <w:rPr>
          <w:highlight w:val="none"/>
        </w:rPr>
        <w:t xml:space="preserve"> </w:t>
      </w:r>
      <w:r/>
    </w:p>
    <w:p>
      <w:pPr>
        <w:pStyle w:val="612"/>
        <w:jc w:val="center"/>
        <w:spacing w:beforeAutospacing="0" w:afterAutospacing="0"/>
        <w:rPr>
          <w:highlight w:val="none"/>
        </w:rPr>
      </w:pPr>
      <w:r>
        <w:rPr>
          <w:highlight w:val="none"/>
        </w:rPr>
        <w:t xml:space="preserve"> </w:t>
      </w:r>
      <w:r/>
    </w:p>
    <w:p>
      <w:pPr>
        <w:pStyle w:val="612"/>
        <w:jc w:val="center"/>
        <w:spacing w:beforeAutospacing="0" w:afterAutospacing="0"/>
        <w:rPr>
          <w:highlight w:val="none"/>
        </w:rPr>
      </w:pPr>
      <w:r>
        <w:rPr>
          <w:highlight w:val="none"/>
        </w:rPr>
        <w:t xml:space="preserve"> </w:t>
      </w:r>
      <w:r/>
    </w:p>
    <w:p>
      <w:pPr>
        <w:pStyle w:val="612"/>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名 称：</w:t>
      </w:r>
      <w:r>
        <w:rPr>
          <w:rFonts w:hint="eastAsia" w:ascii="宋体" w:hAnsi="宋体" w:eastAsia="宋体" w:cs="宋体"/>
          <w:b/>
          <w:color w:val="000000"/>
          <w:sz w:val="36"/>
          <w:szCs w:val="36"/>
          <w:highlight w:val="none"/>
          <w:u w:val="single"/>
        </w:rPr>
        <w:t xml:space="preserve">               </w:t>
      </w:r>
      <w:r/>
    </w:p>
    <w:p>
      <w:pPr>
        <w:pStyle w:val="612"/>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编 号：</w:t>
      </w:r>
      <w:r>
        <w:rPr>
          <w:rFonts w:hint="eastAsia" w:ascii="宋体" w:hAnsi="宋体" w:eastAsia="宋体" w:cs="宋体"/>
          <w:b/>
          <w:color w:val="000000"/>
          <w:sz w:val="36"/>
          <w:szCs w:val="36"/>
          <w:highlight w:val="none"/>
          <w:u w:val="single"/>
        </w:rPr>
        <w:t xml:space="preserve">               </w:t>
      </w:r>
      <w:r/>
    </w:p>
    <w:p>
      <w:pPr>
        <w:pStyle w:val="612"/>
        <w:jc w:val="both"/>
        <w:spacing w:beforeAutospacing="0" w:afterAutospacing="0"/>
        <w:rPr>
          <w:highlight w:val="none"/>
        </w:rPr>
      </w:pPr>
      <w:r>
        <w:rPr>
          <w:rFonts w:hint="eastAsia" w:ascii="宋体" w:hAnsi="宋体" w:eastAsia="宋体" w:cs="宋体"/>
          <w:b/>
          <w:color w:val="000000"/>
          <w:sz w:val="36"/>
          <w:szCs w:val="36"/>
          <w:highlight w:val="none"/>
        </w:rPr>
        <w:t xml:space="preserve">      投标人名称：</w:t>
      </w:r>
      <w:r>
        <w:rPr>
          <w:rFonts w:hint="eastAsia" w:ascii="宋体" w:hAnsi="宋体" w:eastAsia="宋体" w:cs="宋体"/>
          <w:b/>
          <w:color w:val="000000"/>
          <w:sz w:val="36"/>
          <w:szCs w:val="36"/>
          <w:highlight w:val="none"/>
          <w:u w:val="single"/>
        </w:rPr>
        <w:t xml:space="preserve">（加盖CA电子公章） </w:t>
      </w:r>
      <w:r/>
    </w:p>
    <w:p>
      <w:pPr>
        <w:pStyle w:val="612"/>
        <w:jc w:val="both"/>
        <w:spacing w:beforeAutospacing="0" w:afterAutospacing="0"/>
        <w:rPr>
          <w:highlight w:val="none"/>
        </w:rPr>
      </w:pPr>
      <w:r>
        <w:rPr>
          <w:rFonts w:hint="eastAsia" w:ascii="宋体" w:hAnsi="宋体" w:eastAsia="宋体" w:cs="宋体"/>
          <w:b/>
          <w:color w:val="000000"/>
          <w:sz w:val="36"/>
          <w:szCs w:val="36"/>
          <w:highlight w:val="none"/>
        </w:rPr>
        <w:t xml:space="preserve">      日      期：</w:t>
      </w:r>
      <w:r>
        <w:rPr>
          <w:rFonts w:hint="eastAsia" w:ascii="宋体" w:hAnsi="宋体" w:eastAsia="宋体" w:cs="宋体"/>
          <w:b/>
          <w:color w:val="000000"/>
          <w:sz w:val="36"/>
          <w:szCs w:val="36"/>
          <w:highlight w:val="none"/>
          <w:u w:val="single"/>
        </w:rPr>
        <w:t xml:space="preserve">                    </w:t>
      </w:r>
      <w:r/>
    </w:p>
    <w:p>
      <w:pPr>
        <w:pStyle w:val="612"/>
        <w:jc w:val="center"/>
        <w:spacing w:beforeAutospacing="0" w:afterAutospacing="0" w:line="0" w:lineRule="atLeast"/>
        <w:rPr>
          <w:highlight w:val="none"/>
        </w:rPr>
      </w:pPr>
      <w:r>
        <w:rPr>
          <w:highlight w:val="none"/>
        </w:rPr>
        <w:t xml:space="preserve"> </w:t>
      </w:r>
      <w:r/>
    </w:p>
    <w:p>
      <w:pPr>
        <w:pStyle w:val="612"/>
        <w:jc w:val="both"/>
        <w:spacing w:beforeAutospacing="0" w:afterAutospacing="0" w:line="0" w:lineRule="atLeast"/>
        <w:rPr>
          <w:highlight w:val="none"/>
        </w:rPr>
      </w:pPr>
      <w:r>
        <w:rPr>
          <w:highlight w:val="none"/>
        </w:rPr>
        <w:t xml:space="preserve"> </w:t>
      </w:r>
      <w:r/>
    </w:p>
    <w:p>
      <w:pPr>
        <w:pStyle w:val="61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1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1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1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1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1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1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12"/>
        <w:jc w:val="both"/>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12"/>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612"/>
        <w:jc w:val="center"/>
        <w:spacing w:beforeAutospacing="0" w:afterAutospacing="0" w:line="0" w:lineRule="atLeast"/>
        <w:rPr>
          <w:highlight w:val="none"/>
        </w:rPr>
      </w:pPr>
      <w:r>
        <w:rPr>
          <w:highlight w:val="none"/>
        </w:rPr>
        <w:t xml:space="preserve"> </w:t>
      </w:r>
      <w:r/>
    </w:p>
    <w:p>
      <w:pPr>
        <w:pStyle w:val="612"/>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w:t>
      </w:r>
      <w:r/>
    </w:p>
    <w:p>
      <w:pPr>
        <w:pStyle w:val="612"/>
        <w:ind w:left="480"/>
        <w:jc w:val="both"/>
        <w:spacing w:beforeAutospacing="0" w:afterAutospacing="0"/>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投标人成立不满一年无需提供）</w:t>
      </w:r>
      <w:r/>
    </w:p>
    <w:p>
      <w:pPr>
        <w:pStyle w:val="612"/>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612"/>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12"/>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612"/>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612"/>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七、法人授权书</w:t>
      </w:r>
      <w:r/>
    </w:p>
    <w:p>
      <w:pPr>
        <w:pStyle w:val="612"/>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八、投标函</w:t>
      </w:r>
      <w:r/>
    </w:p>
    <w:p>
      <w:pPr>
        <w:pStyle w:val="612"/>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612"/>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612"/>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十一、联合体协议</w:t>
      </w:r>
      <w:r/>
    </w:p>
    <w:p>
      <w:pPr>
        <w:pStyle w:val="612"/>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十二、投标分项报价表</w:t>
      </w:r>
      <w:r/>
    </w:p>
    <w:p>
      <w:pPr>
        <w:pStyle w:val="612"/>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十三、技术要求响应及偏离表</w:t>
      </w:r>
      <w:r/>
    </w:p>
    <w:p>
      <w:pPr>
        <w:pStyle w:val="612"/>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十四、商务要求响应及偏离表</w:t>
      </w:r>
      <w:r/>
    </w:p>
    <w:p>
      <w:pPr>
        <w:pStyle w:val="612"/>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十五、开标一览表</w:t>
      </w:r>
      <w:r/>
    </w:p>
    <w:p>
      <w:pPr>
        <w:ind w:firstLine="480"/>
        <w:spacing w:before="50" w:after="50"/>
        <w:widowControl/>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十六、供应商认为需要提供的其他材料</w:t>
      </w:r>
      <w:r/>
    </w:p>
    <w:p>
      <w:pPr>
        <w:pStyle w:val="612"/>
        <w:ind w:firstLine="480"/>
        <w:jc w:val="both"/>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十七、</w:t>
      </w:r>
      <w:r>
        <w:rPr>
          <w:rFonts w:hint="eastAsia" w:ascii="宋体" w:hAnsi="宋体" w:eastAsia="宋体" w:cs="宋体"/>
          <w:i w:val="0"/>
          <w:iCs/>
          <w:color w:val="000000"/>
          <w:highlight w:val="none"/>
          <w:u w:val="none"/>
          <w:lang w:val="en-US" w:eastAsia="zh-CN"/>
        </w:rPr>
        <w:t xml:space="preserve">响水县</w:t>
      </w:r>
      <w:r>
        <w:rPr>
          <w:rFonts w:hint="eastAsia" w:ascii="宋体" w:hAnsi="宋体" w:eastAsia="宋体" w:cs="宋体"/>
          <w:i w:val="0"/>
          <w:iCs/>
          <w:color w:val="000000"/>
          <w:highlight w:val="none"/>
          <w:u w:val="none"/>
        </w:rPr>
        <w:t xml:space="preserve">政府采购事前信用承诺书</w:t>
      </w:r>
      <w:r/>
    </w:p>
    <w:p>
      <w:pPr>
        <w:pStyle w:val="612"/>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612"/>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612"/>
        <w:ind w:firstLine="480"/>
        <w:jc w:val="both"/>
        <w:spacing w:beforeAutospacing="0" w:afterAutospacing="0" w:line="0" w:lineRule="atLeast"/>
        <w:rPr>
          <w:highlight w:val="none"/>
        </w:rPr>
      </w:pPr>
      <w:r>
        <w:rPr>
          <w:highlight w:val="none"/>
        </w:rPr>
        <w:t xml:space="preserve"> </w:t>
      </w:r>
      <w:r/>
    </w:p>
    <w:p>
      <w:pPr>
        <w:pStyle w:val="612"/>
        <w:ind w:firstLine="480"/>
        <w:jc w:val="both"/>
        <w:spacing w:beforeAutospacing="0" w:afterAutospacing="0" w:line="0" w:lineRule="atLeast"/>
        <w:rPr>
          <w:highlight w:val="none"/>
        </w:rPr>
      </w:pPr>
      <w:r>
        <w:rPr>
          <w:highlight w:val="none"/>
        </w:rPr>
        <w:t xml:space="preserve"> </w:t>
      </w:r>
      <w:r/>
    </w:p>
    <w:p>
      <w:pPr>
        <w:pStyle w:val="612"/>
        <w:ind w:firstLine="480"/>
        <w:jc w:val="both"/>
        <w:spacing w:beforeAutospacing="0" w:afterAutospacing="0" w:line="0" w:lineRule="atLeast"/>
        <w:rPr>
          <w:highlight w:val="none"/>
        </w:rPr>
      </w:pPr>
      <w:r>
        <w:rPr>
          <w:highlight w:val="none"/>
        </w:rPr>
        <w:t xml:space="preserve"> </w:t>
      </w:r>
      <w:r/>
    </w:p>
    <w:p>
      <w:pPr>
        <w:pStyle w:val="612"/>
        <w:ind w:firstLine="480"/>
        <w:jc w:val="both"/>
        <w:spacing w:beforeAutospacing="0" w:afterAutospacing="0" w:line="0" w:lineRule="atLeast"/>
        <w:rPr>
          <w:highlight w:val="none"/>
        </w:rPr>
      </w:pPr>
      <w:r>
        <w:rPr>
          <w:highlight w:val="none"/>
        </w:rPr>
        <w:t xml:space="preserve"> </w:t>
      </w:r>
      <w:r/>
    </w:p>
    <w:p>
      <w:pPr>
        <w:pStyle w:val="612"/>
        <w:ind w:firstLine="480"/>
        <w:jc w:val="both"/>
        <w:spacing w:beforeAutospacing="0" w:afterAutospacing="0" w:line="0" w:lineRule="atLeast"/>
        <w:rPr>
          <w:highlight w:val="none"/>
        </w:rPr>
      </w:pPr>
      <w:r>
        <w:rPr>
          <w:highlight w:val="none"/>
        </w:rPr>
      </w:r>
      <w:r/>
    </w:p>
    <w:p>
      <w:pPr>
        <w:pStyle w:val="612"/>
        <w:ind w:firstLine="480"/>
        <w:jc w:val="both"/>
        <w:spacing w:beforeAutospacing="0" w:afterAutospacing="0" w:line="0" w:lineRule="atLeast"/>
        <w:rPr>
          <w:highlight w:val="none"/>
        </w:rPr>
      </w:pPr>
      <w:r>
        <w:rPr>
          <w:highlight w:val="none"/>
        </w:rPr>
      </w:r>
      <w:r/>
    </w:p>
    <w:p>
      <w:pPr>
        <w:pStyle w:val="612"/>
        <w:ind w:firstLine="480"/>
        <w:jc w:val="both"/>
        <w:spacing w:beforeAutospacing="0" w:afterAutospacing="0" w:line="0" w:lineRule="atLeast"/>
        <w:rPr>
          <w:highlight w:val="none"/>
        </w:rPr>
      </w:pPr>
      <w:r>
        <w:rPr>
          <w:highlight w:val="none"/>
        </w:rPr>
      </w:r>
      <w:r/>
    </w:p>
    <w:p>
      <w:pPr>
        <w:pStyle w:val="612"/>
        <w:ind w:firstLine="480"/>
        <w:jc w:val="both"/>
        <w:spacing w:beforeAutospacing="0" w:afterAutospacing="0" w:line="0" w:lineRule="atLeast"/>
        <w:rPr>
          <w:highlight w:val="none"/>
        </w:rPr>
      </w:pPr>
      <w:r>
        <w:rPr>
          <w:highlight w:val="none"/>
        </w:rPr>
      </w:r>
      <w:r/>
    </w:p>
    <w:p>
      <w:pPr>
        <w:pStyle w:val="612"/>
        <w:ind w:firstLine="480"/>
        <w:jc w:val="both"/>
        <w:spacing w:beforeAutospacing="0" w:afterAutospacing="0" w:line="0" w:lineRule="atLeast"/>
        <w:rPr>
          <w:highlight w:val="none"/>
        </w:rPr>
      </w:pPr>
      <w:r>
        <w:rPr>
          <w:highlight w:val="none"/>
        </w:rPr>
      </w:r>
      <w:r/>
    </w:p>
    <w:p>
      <w:pPr>
        <w:pStyle w:val="612"/>
        <w:ind w:firstLine="480"/>
        <w:jc w:val="both"/>
        <w:spacing w:beforeAutospacing="0" w:afterAutospacing="0" w:line="0" w:lineRule="atLeast"/>
        <w:rPr>
          <w:highlight w:val="none"/>
        </w:rPr>
      </w:pPr>
      <w:r>
        <w:rPr>
          <w:highlight w:val="none"/>
        </w:rPr>
      </w:r>
      <w:r/>
    </w:p>
    <w:p>
      <w:pPr>
        <w:pStyle w:val="612"/>
        <w:ind w:firstLine="480"/>
        <w:jc w:val="both"/>
        <w:spacing w:beforeAutospacing="0" w:afterAutospacing="0" w:line="0" w:lineRule="atLeast"/>
        <w:rPr>
          <w:highlight w:val="none"/>
        </w:rPr>
      </w:pPr>
      <w:r>
        <w:rPr>
          <w:highlight w:val="none"/>
        </w:rPr>
      </w:r>
      <w:r/>
    </w:p>
    <w:p>
      <w:pPr>
        <w:pStyle w:val="612"/>
        <w:ind w:firstLine="480"/>
        <w:jc w:val="both"/>
        <w:spacing w:beforeAutospacing="0" w:afterAutospacing="0" w:line="0" w:lineRule="atLeast"/>
        <w:rPr>
          <w:highlight w:val="none"/>
        </w:rPr>
      </w:pPr>
      <w:r>
        <w:rPr>
          <w:highlight w:val="none"/>
        </w:rPr>
      </w:r>
      <w:r/>
    </w:p>
    <w:p>
      <w:pPr>
        <w:pStyle w:val="612"/>
        <w:ind w:firstLine="480"/>
        <w:jc w:val="both"/>
        <w:spacing w:beforeAutospacing="0" w:afterAutospacing="0" w:line="0" w:lineRule="atLeast"/>
        <w:rPr>
          <w:highlight w:val="none"/>
        </w:rPr>
      </w:pPr>
      <w:r>
        <w:rPr>
          <w:highlight w:val="none"/>
        </w:rPr>
      </w:r>
      <w:r/>
    </w:p>
    <w:p>
      <w:pPr>
        <w:pStyle w:val="612"/>
        <w:ind w:firstLine="480"/>
        <w:jc w:val="both"/>
        <w:spacing w:beforeAutospacing="0" w:afterAutospacing="0" w:line="0" w:lineRule="atLeast"/>
        <w:rPr>
          <w:highlight w:val="none"/>
        </w:rPr>
      </w:pPr>
      <w:r>
        <w:rPr>
          <w:highlight w:val="none"/>
        </w:rPr>
      </w:r>
      <w:r/>
    </w:p>
    <w:p>
      <w:pPr>
        <w:pStyle w:val="612"/>
        <w:ind w:firstLine="480"/>
        <w:jc w:val="both"/>
        <w:spacing w:beforeAutospacing="0" w:afterAutospacing="0" w:line="0" w:lineRule="atLeast"/>
        <w:rPr>
          <w:highlight w:val="none"/>
        </w:rPr>
      </w:pPr>
      <w:r>
        <w:rPr>
          <w:highlight w:val="none"/>
        </w:rPr>
      </w:r>
      <w:r/>
    </w:p>
    <w:p>
      <w:pPr>
        <w:pStyle w:val="612"/>
        <w:ind w:firstLine="480"/>
        <w:jc w:val="both"/>
        <w:spacing w:beforeAutospacing="0" w:afterAutospacing="0" w:line="0" w:lineRule="atLeast"/>
        <w:rPr>
          <w:highlight w:val="none"/>
        </w:rPr>
      </w:pPr>
      <w:r>
        <w:rPr>
          <w:highlight w:val="none"/>
        </w:rPr>
      </w:r>
      <w:r/>
    </w:p>
    <w:p>
      <w:pPr>
        <w:pStyle w:val="612"/>
        <w:ind w:firstLine="480"/>
        <w:jc w:val="both"/>
        <w:spacing w:beforeAutospacing="0" w:afterAutospacing="0" w:line="0" w:lineRule="atLeast"/>
        <w:rPr>
          <w:highlight w:val="none"/>
        </w:rPr>
      </w:pPr>
      <w:r>
        <w:rPr>
          <w:highlight w:val="none"/>
        </w:rPr>
      </w:r>
      <w:r/>
    </w:p>
    <w:p>
      <w:pPr>
        <w:pStyle w:val="612"/>
        <w:ind w:firstLine="480"/>
        <w:jc w:val="both"/>
        <w:spacing w:beforeAutospacing="0" w:afterAutospacing="0" w:line="0" w:lineRule="atLeast"/>
        <w:rPr>
          <w:highlight w:val="none"/>
        </w:rPr>
      </w:pPr>
      <w:r>
        <w:rPr>
          <w:highlight w:val="none"/>
        </w:rPr>
      </w:r>
      <w:r/>
    </w:p>
    <w:p>
      <w:pPr>
        <w:pStyle w:val="612"/>
        <w:ind w:firstLine="480"/>
        <w:jc w:val="both"/>
        <w:spacing w:beforeAutospacing="0" w:afterAutospacing="0" w:line="0" w:lineRule="atLeast"/>
        <w:rPr>
          <w:highlight w:val="none"/>
        </w:rPr>
      </w:pPr>
      <w:r>
        <w:rPr>
          <w:highlight w:val="none"/>
        </w:rPr>
        <w:t xml:space="preserve"> </w:t>
      </w:r>
      <w:r/>
    </w:p>
    <w:p>
      <w:pPr>
        <w:pStyle w:val="612"/>
        <w:ind w:firstLine="480"/>
        <w:jc w:val="both"/>
        <w:spacing w:beforeAutospacing="0" w:afterAutospacing="0" w:line="0" w:lineRule="atLeast"/>
        <w:rPr>
          <w:highlight w:val="none"/>
        </w:rPr>
      </w:pPr>
      <w:r>
        <w:rPr>
          <w:highlight w:val="none"/>
        </w:rPr>
        <w:t xml:space="preserve"> </w:t>
      </w:r>
      <w:r/>
    </w:p>
    <w:p>
      <w:pPr>
        <w:pStyle w:val="612"/>
        <w:ind w:firstLine="480"/>
        <w:jc w:val="both"/>
        <w:spacing w:beforeAutospacing="0" w:afterAutospacing="0" w:line="0" w:lineRule="atLeast"/>
        <w:rPr>
          <w:highlight w:val="none"/>
        </w:rPr>
      </w:pPr>
      <w:r>
        <w:rPr>
          <w:highlight w:val="none"/>
        </w:rPr>
        <w:t xml:space="preserve"> </w:t>
      </w:r>
      <w:r/>
    </w:p>
    <w:p>
      <w:pPr>
        <w:pStyle w:val="612"/>
        <w:ind w:firstLine="480"/>
        <w:jc w:val="both"/>
        <w:spacing w:beforeAutospacing="0" w:afterAutospacing="0" w:line="0" w:lineRule="atLeast"/>
        <w:rPr>
          <w:highlight w:val="none"/>
        </w:rPr>
      </w:pPr>
      <w:r>
        <w:rPr>
          <w:highlight w:val="none"/>
        </w:rPr>
        <w:t xml:space="preserve"> </w:t>
      </w:r>
      <w:r/>
    </w:p>
    <w:p>
      <w:pPr>
        <w:pStyle w:val="612"/>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612"/>
        <w:ind w:firstLine="480"/>
        <w:jc w:val="both"/>
        <w:spacing w:beforeAutospacing="0" w:afterAutospacing="0" w:line="0" w:lineRule="atLeast"/>
        <w:rPr>
          <w:highlight w:val="none"/>
        </w:rPr>
      </w:pPr>
      <w:r>
        <w:rPr>
          <w:highlight w:val="none"/>
        </w:rPr>
        <w:t xml:space="preserve"> </w:t>
      </w:r>
      <w:r/>
    </w:p>
    <w:p>
      <w:pPr>
        <w:pStyle w:val="612"/>
        <w:jc w:val="both"/>
        <w:spacing w:beforeAutospacing="0" w:afterAutospacing="0"/>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p>
    <w:p>
      <w:pPr>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（至少提供资产负债表、利润表、现金流量表，投标人成立不满一年无需提供）</w:t>
      </w:r>
      <w:r/>
    </w:p>
    <w:p>
      <w:pPr>
        <w:pStyle w:val="612"/>
        <w:ind w:firstLine="480"/>
        <w:jc w:val="both"/>
        <w:spacing w:beforeAutospacing="0" w:afterAutospacing="0" w:line="0" w:lineRule="atLeast"/>
        <w:rPr>
          <w:highlight w:val="none"/>
        </w:rPr>
      </w:pPr>
      <w:r>
        <w:rPr>
          <w:highlight w:val="none"/>
        </w:rPr>
      </w:r>
      <w:r/>
    </w:p>
    <w:p>
      <w:pPr>
        <w:pStyle w:val="612"/>
        <w:jc w:val="both"/>
        <w:spacing w:beforeAutospacing="0" w:afterAutospacing="0"/>
        <w:rPr>
          <w:highlight w:val="none"/>
        </w:rPr>
      </w:pPr>
      <w:r>
        <w:rPr>
          <w:highlight w:val="none"/>
        </w:rPr>
        <w:t xml:space="preserve"> </w:t>
      </w:r>
      <w:r/>
    </w:p>
    <w:p>
      <w:pPr>
        <w:pStyle w:val="612"/>
        <w:jc w:val="both"/>
        <w:spacing w:beforeAutospacing="0" w:afterAutospacing="0"/>
        <w:rPr>
          <w:highlight w:val="none"/>
        </w:rPr>
      </w:pPr>
      <w:r>
        <w:rPr>
          <w:highlight w:val="none"/>
        </w:rPr>
        <w:t xml:space="preserve"> </w:t>
      </w:r>
      <w:r/>
    </w:p>
    <w:p>
      <w:pPr>
        <w:pStyle w:val="612"/>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612"/>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612"/>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12"/>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12"/>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612"/>
        <w:ind w:firstLine="480"/>
        <w:jc w:val="both"/>
        <w:spacing w:beforeAutospacing="0" w:afterAutospacing="0"/>
        <w:rPr>
          <w:highlight w:val="none"/>
        </w:rPr>
      </w:pPr>
      <w:r/>
      <w:bookmarkStart w:id="186" w:name="_Toc120614284"/>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186"/>
      <w:r/>
      <w:r/>
    </w:p>
    <w:p>
      <w:pPr>
        <w:pStyle w:val="612"/>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612"/>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612"/>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12"/>
        <w:jc w:val="both"/>
        <w:spacing w:beforeAutospacing="0" w:afterAutospacing="0"/>
        <w:rPr>
          <w:highlight w:val="none"/>
        </w:rPr>
      </w:pPr>
      <w:r>
        <w:rPr>
          <w:highlight w:val="none"/>
        </w:rPr>
        <w:t xml:space="preserve"> </w:t>
      </w:r>
      <w:r/>
    </w:p>
    <w:p>
      <w:pPr>
        <w:pStyle w:val="612"/>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612"/>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612"/>
        <w:jc w:val="both"/>
        <w:spacing w:beforeAutospacing="0" w:afterAutospacing="0" w:line="0" w:lineRule="atLeast"/>
        <w:rPr>
          <w:highlight w:val="none"/>
        </w:rPr>
      </w:pPr>
      <w:r>
        <w:rPr>
          <w:highlight w:val="none"/>
        </w:rPr>
        <w:t xml:space="preserve"> </w:t>
      </w:r>
      <w:r/>
    </w:p>
    <w:p>
      <w:pPr>
        <w:pStyle w:val="612"/>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12"/>
        <w:jc w:val="center"/>
        <w:spacing w:beforeAutospacing="0" w:afterAutospacing="0"/>
        <w:rPr>
          <w:rFonts w:ascii="黑体" w:hAnsi="宋体" w:eastAsia="黑体" w:cs="黑体"/>
          <w:bCs/>
          <w:i/>
          <w:color w:val="000000"/>
          <w:sz w:val="32"/>
          <w:szCs w:val="32"/>
          <w:highlight w:val="none"/>
          <w:u w:val="single"/>
        </w:rPr>
      </w:pPr>
      <w:r>
        <w:rPr>
          <w:rFonts w:ascii="黑体" w:hAnsi="宋体" w:eastAsia="黑体" w:cs="黑体"/>
          <w:i/>
          <w:color w:val="000000"/>
          <w:sz w:val="32"/>
          <w:szCs w:val="32"/>
          <w:highlight w:val="none"/>
          <w:u w:val="single"/>
        </w:rPr>
      </w:r>
      <w:r>
        <w:rPr>
          <w:rFonts w:ascii="黑体" w:hAnsi="宋体" w:eastAsia="黑体" w:cs="黑体"/>
          <w:i/>
          <w:color w:val="000000"/>
          <w:sz w:val="32"/>
          <w:szCs w:val="32"/>
          <w:highlight w:val="none"/>
          <w:u w:val="single"/>
        </w:rPr>
      </w:r>
    </w:p>
    <w:p>
      <w:pPr>
        <w:pStyle w:val="612"/>
        <w:jc w:val="center"/>
        <w:spacing w:beforeAutospacing="0" w:afterAutospacing="0"/>
        <w:rPr>
          <w:rFonts w:ascii="黑体" w:hAnsi="宋体" w:eastAsia="黑体" w:cs="黑体"/>
          <w:bCs/>
          <w:i/>
          <w:color w:val="000000"/>
          <w:sz w:val="32"/>
          <w:szCs w:val="32"/>
          <w:highlight w:val="none"/>
          <w:u w:val="single"/>
        </w:rPr>
      </w:pPr>
      <w:r>
        <w:rPr>
          <w:rFonts w:ascii="黑体" w:hAnsi="宋体" w:eastAsia="黑体" w:cs="黑体"/>
          <w:bCs/>
          <w:i/>
          <w:color w:val="000000"/>
          <w:sz w:val="32"/>
          <w:szCs w:val="32"/>
          <w:highlight w:val="none"/>
          <w:u w:val="single"/>
        </w:rPr>
      </w:r>
      <w:r>
        <w:rPr>
          <w:rFonts w:ascii="黑体" w:hAnsi="宋体" w:eastAsia="黑体" w:cs="黑体"/>
          <w:bCs/>
          <w:i/>
          <w:color w:val="000000"/>
          <w:sz w:val="32"/>
          <w:szCs w:val="32"/>
          <w:highlight w:val="none"/>
          <w:u w:val="single"/>
        </w:rPr>
      </w:r>
    </w:p>
    <w:p>
      <w:pPr>
        <w:pStyle w:val="612"/>
        <w:jc w:val="center"/>
        <w:spacing w:beforeAutospacing="0" w:afterAutospacing="0"/>
        <w:rPr>
          <w:rFonts w:ascii="黑体" w:hAnsi="宋体" w:eastAsia="黑体" w:cs="黑体"/>
          <w:bCs/>
          <w:i/>
          <w:color w:val="000000"/>
          <w:sz w:val="32"/>
          <w:szCs w:val="32"/>
          <w:highlight w:val="none"/>
          <w:u w:val="single"/>
        </w:rPr>
      </w:pPr>
      <w:r>
        <w:rPr>
          <w:rFonts w:ascii="黑体" w:hAnsi="宋体" w:eastAsia="黑体" w:cs="黑体"/>
          <w:bCs/>
          <w:i/>
          <w:color w:val="000000"/>
          <w:sz w:val="32"/>
          <w:szCs w:val="32"/>
          <w:highlight w:val="none"/>
          <w:u w:val="single"/>
        </w:rPr>
      </w:r>
      <w:r>
        <w:rPr>
          <w:rFonts w:ascii="黑体" w:hAnsi="宋体" w:eastAsia="黑体" w:cs="黑体"/>
          <w:bCs/>
          <w:i/>
          <w:color w:val="000000"/>
          <w:sz w:val="32"/>
          <w:szCs w:val="32"/>
          <w:highlight w:val="none"/>
          <w:u w:val="single"/>
        </w:rPr>
      </w:r>
    </w:p>
    <w:p>
      <w:pPr>
        <w:pStyle w:val="612"/>
        <w:jc w:val="center"/>
        <w:spacing w:beforeAutospacing="0" w:afterAutospacing="0"/>
        <w:rPr>
          <w:rFonts w:ascii="黑体" w:hAnsi="宋体" w:eastAsia="黑体" w:cs="黑体"/>
          <w:bCs/>
          <w:i/>
          <w:color w:val="000000"/>
          <w:sz w:val="32"/>
          <w:szCs w:val="32"/>
          <w:highlight w:val="none"/>
          <w:u w:val="single"/>
        </w:rPr>
      </w:pPr>
      <w:r>
        <w:rPr>
          <w:rFonts w:ascii="黑体" w:hAnsi="宋体" w:eastAsia="黑体" w:cs="黑体"/>
          <w:i/>
          <w:color w:val="000000"/>
          <w:sz w:val="32"/>
          <w:szCs w:val="32"/>
          <w:highlight w:val="none"/>
          <w:u w:val="single"/>
        </w:rPr>
      </w:r>
      <w:r/>
    </w:p>
    <w:p>
      <w:pPr>
        <w:pStyle w:val="612"/>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12"/>
        <w:jc w:val="center"/>
        <w:spacing w:beforeAutospacing="0" w:afterAutospacing="0"/>
        <w:rPr>
          <w:highlight w:val="none"/>
        </w:rPr>
      </w:pPr>
      <w:r>
        <w:rPr>
          <w:rFonts w:hint="eastAsia" w:ascii="黑体" w:hAnsi="宋体" w:eastAsia="黑体" w:cs="黑体"/>
          <w:i/>
          <w:color w:val="000000"/>
          <w:sz w:val="32"/>
          <w:szCs w:val="32"/>
          <w:highlight w:val="none"/>
          <w:u w:val="single"/>
        </w:rPr>
        <w:t xml:space="preserve">七、法人授权书</w:t>
      </w:r>
      <w:r/>
    </w:p>
    <w:p>
      <w:pPr>
        <w:pStyle w:val="612"/>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612"/>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612"/>
        <w:jc w:val="both"/>
        <w:spacing w:beforeAutospacing="0" w:afterAutospacing="0"/>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612"/>
        <w:jc w:val="both"/>
        <w:spacing w:beforeAutospacing="0" w:afterAutospacing="0"/>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612"/>
        <w:ind w:firstLine="72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612"/>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612"/>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日期：</w:t>
      </w:r>
      <w:bookmarkStart w:id="187" w:name="_Hlt26955070"/>
      <w:r/>
      <w:bookmarkStart w:id="188" w:name="_Hlt26671380"/>
      <w:r/>
      <w:bookmarkStart w:id="189" w:name="_格式3__银行出具的资信证明"/>
      <w:r>
        <w:rPr>
          <w:rFonts w:ascii="Times New Roman" w:hAnsi="Times New Roman"/>
          <w:color w:val="000000"/>
          <w:highlight w:val="none"/>
          <w:u w:val="single"/>
        </w:rPr>
        <w:t xml:space="preserve">                                         </w:t>
      </w:r>
      <w:r/>
    </w:p>
    <w:p>
      <w:pPr>
        <w:pStyle w:val="612"/>
        <w:ind w:firstLine="420"/>
        <w:jc w:val="both"/>
        <w:spacing w:beforeAutospacing="0" w:afterAutospacing="0"/>
        <w:rPr>
          <w:highlight w:val="none"/>
        </w:rPr>
      </w:pPr>
      <w:r>
        <w:rPr>
          <w:highlight w:val="none"/>
        </w:rPr>
        <w:t xml:space="preserve"> </w:t>
      </w:r>
      <w:r/>
    </w:p>
    <w:p>
      <w:pPr>
        <w:pStyle w:val="612"/>
        <w:jc w:val="both"/>
        <w:spacing w:beforeAutospacing="0" w:afterAutospacing="0"/>
        <w:rPr>
          <w:highlight w:val="none"/>
        </w:rPr>
      </w:pPr>
      <w:r>
        <w:rPr>
          <w:highlight w:val="none"/>
        </w:rPr>
        <w:t xml:space="preserve"> </w:t>
      </w:r>
      <w:r/>
    </w:p>
    <w:p>
      <w:pPr>
        <w:pStyle w:val="612"/>
        <w:jc w:val="both"/>
        <w:spacing w:beforeAutospacing="0" w:afterAutospacing="0" w:line="0" w:lineRule="atLeast"/>
        <w:rPr>
          <w:highlight w:val="none"/>
        </w:rPr>
      </w:pPr>
      <w:r>
        <w:rPr>
          <w:highlight w:val="none"/>
        </w:rPr>
        <w:t xml:space="preserve"> </w:t>
      </w:r>
      <w:r/>
    </w:p>
    <w:p>
      <w:pPr>
        <w:pStyle w:val="612"/>
        <w:ind w:firstLine="3390"/>
        <w:jc w:val="both"/>
        <w:keepLines/>
        <w:keepNext/>
        <w:spacing w:before="260" w:beforeAutospacing="0" w:after="260" w:afterAutospacing="0" w:line="415" w:lineRule="auto"/>
        <w:rPr>
          <w:rFonts w:ascii="黑体" w:hAnsi="宋体" w:eastAsia="黑体" w:cs="黑体"/>
          <w:b/>
          <w:color w:val="000000"/>
          <w:sz w:val="32"/>
          <w:szCs w:val="32"/>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r>
        <w:rPr>
          <w:rFonts w:hint="eastAsia" w:ascii="黑体" w:hAnsi="宋体" w:eastAsia="黑体" w:cs="黑体"/>
          <w:b/>
          <w:color w:val="000000"/>
          <w:sz w:val="32"/>
          <w:szCs w:val="32"/>
          <w:highlight w:val="none"/>
        </w:rPr>
        <w:t xml:space="preserve">八、投标函</w:t>
      </w:r>
      <w:r/>
    </w:p>
    <w:p>
      <w:pPr>
        <w:pStyle w:val="612"/>
        <w:spacing w:beforeAutospacing="0" w:afterAutospacing="0" w:line="0" w:lineRule="atLeast"/>
        <w:rPr>
          <w:rFonts w:hint="default" w:eastAsia="宋体"/>
          <w:highlight w:val="none"/>
          <w:lang w:val="en-US"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val="en-US" w:eastAsia="zh-CN"/>
        </w:rPr>
        <w:t xml:space="preserve">响水县农业农村局</w:t>
      </w:r>
      <w:r/>
    </w:p>
    <w:p>
      <w:pPr>
        <w:pStyle w:val="612"/>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根据贵方的JSZC-</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号招标文件，正式授权下述签字人______(姓名)代表我方______________（投标人的名称），全权处理本次项目投标的有关事宜。</w:t>
      </w:r>
      <w:r/>
    </w:p>
    <w:p>
      <w:pPr>
        <w:pStyle w:val="612"/>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612"/>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612"/>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612"/>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612"/>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612"/>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612"/>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612"/>
        <w:ind w:firstLine="480"/>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612"/>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612"/>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pStyle w:val="612"/>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pStyle w:val="612"/>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pStyle w:val="612"/>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标</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人</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开</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户</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行：</w:t>
      </w:r>
      <w:r/>
    </w:p>
    <w:p>
      <w:pPr>
        <w:pStyle w:val="612"/>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号： </w:t>
      </w:r>
      <w:r/>
    </w:p>
    <w:p>
      <w:pPr>
        <w:pStyle w:val="612"/>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期：________年____月____日</w:t>
      </w:r>
      <w:r/>
    </w:p>
    <w:p>
      <w:pPr>
        <w:pStyle w:val="612"/>
        <w:ind w:firstLine="240"/>
        <w:jc w:val="center"/>
        <w:spacing w:beforeAutospacing="0" w:afterAutospacing="0" w:line="0" w:lineRule="atLeast"/>
        <w:rPr>
          <w:highlight w:val="none"/>
        </w:rPr>
      </w:pPr>
      <w:r>
        <w:rPr>
          <w:highlight w:val="none"/>
        </w:rPr>
        <w:t xml:space="preserve"> </w:t>
      </w:r>
      <w:r/>
    </w:p>
    <w:p>
      <w:pPr>
        <w:pStyle w:val="612"/>
        <w:ind w:firstLine="240"/>
        <w:jc w:val="center"/>
        <w:spacing w:beforeAutospacing="0" w:afterAutospacing="0" w:line="0" w:lineRule="atLeast"/>
        <w:rPr>
          <w:highlight w:val="none"/>
        </w:rPr>
      </w:pPr>
      <w:r>
        <w:rPr>
          <w:highlight w:val="none"/>
        </w:rPr>
        <w:t xml:space="preserve"> </w:t>
      </w:r>
      <w:r/>
    </w:p>
    <w:p>
      <w:pPr>
        <w:pStyle w:val="612"/>
        <w:ind w:firstLine="240"/>
        <w:jc w:val="center"/>
        <w:spacing w:beforeAutospacing="0" w:afterAutospacing="0" w:line="0" w:lineRule="atLeast"/>
        <w:rPr>
          <w:highlight w:val="none"/>
        </w:rPr>
      </w:pPr>
      <w:r>
        <w:rPr>
          <w:highlight w:val="none"/>
        </w:rPr>
        <w:t xml:space="preserve"> </w:t>
      </w:r>
      <w:r/>
    </w:p>
    <w:p>
      <w:pPr>
        <w:pStyle w:val="612"/>
        <w:ind w:firstLine="240"/>
        <w:jc w:val="center"/>
        <w:spacing w:beforeAutospacing="0" w:afterAutospacing="0" w:line="0" w:lineRule="atLeast"/>
        <w:rPr>
          <w:highlight w:val="none"/>
        </w:rPr>
      </w:pPr>
      <w:r>
        <w:rPr>
          <w:highlight w:val="none"/>
        </w:rPr>
        <w:t xml:space="preserve"> </w:t>
      </w:r>
      <w:r/>
    </w:p>
    <w:p>
      <w:pPr>
        <w:pStyle w:val="612"/>
        <w:ind w:firstLine="240"/>
        <w:jc w:val="center"/>
        <w:spacing w:beforeAutospacing="0" w:afterAutospacing="0" w:line="0" w:lineRule="atLeast"/>
        <w:rPr>
          <w:highlight w:val="none"/>
        </w:rPr>
      </w:pPr>
      <w:r>
        <w:rPr>
          <w:highlight w:val="none"/>
        </w:rPr>
        <w:t xml:space="preserve"> </w:t>
      </w:r>
      <w:r/>
    </w:p>
    <w:p>
      <w:pPr>
        <w:pStyle w:val="612"/>
        <w:ind w:firstLine="240"/>
        <w:jc w:val="center"/>
        <w:spacing w:beforeAutospacing="0" w:afterAutospacing="0" w:line="0" w:lineRule="atLeast"/>
        <w:rPr>
          <w:highlight w:val="none"/>
        </w:rPr>
      </w:pPr>
      <w:r>
        <w:rPr>
          <w:highlight w:val="none"/>
        </w:rPr>
      </w:r>
      <w:r/>
    </w:p>
    <w:p>
      <w:pPr>
        <w:pStyle w:val="612"/>
        <w:ind w:firstLine="240"/>
        <w:jc w:val="center"/>
        <w:spacing w:beforeAutospacing="0" w:afterAutospacing="0" w:line="0" w:lineRule="atLeast"/>
        <w:rPr>
          <w:highlight w:val="none"/>
        </w:rPr>
      </w:pPr>
      <w:r>
        <w:rPr>
          <w:highlight w:val="none"/>
        </w:rPr>
      </w:r>
      <w:r/>
    </w:p>
    <w:p>
      <w:pPr>
        <w:pStyle w:val="612"/>
        <w:ind w:firstLine="240"/>
        <w:jc w:val="center"/>
        <w:spacing w:beforeAutospacing="0" w:afterAutospacing="0" w:line="0" w:lineRule="atLeast"/>
        <w:rPr>
          <w:highlight w:val="none"/>
        </w:rPr>
      </w:pPr>
      <w:r>
        <w:rPr>
          <w:highlight w:val="none"/>
        </w:rPr>
      </w:r>
      <w:r/>
    </w:p>
    <w:p>
      <w:pPr>
        <w:pStyle w:val="612"/>
        <w:ind w:firstLine="240"/>
        <w:jc w:val="center"/>
        <w:spacing w:beforeAutospacing="0" w:afterAutospacing="0" w:line="0" w:lineRule="atLeast"/>
        <w:rPr>
          <w:highlight w:val="none"/>
        </w:rPr>
      </w:pPr>
      <w:r>
        <w:rPr>
          <w:highlight w:val="none"/>
        </w:rPr>
      </w:r>
      <w:r/>
    </w:p>
    <w:p>
      <w:pPr>
        <w:pStyle w:val="612"/>
        <w:ind w:firstLine="240"/>
        <w:jc w:val="center"/>
        <w:spacing w:beforeAutospacing="0" w:afterAutospacing="0" w:line="0" w:lineRule="atLeast"/>
        <w:rPr>
          <w:highlight w:val="none"/>
        </w:rPr>
      </w:pPr>
      <w:r>
        <w:rPr>
          <w:highlight w:val="none"/>
        </w:rPr>
      </w:r>
      <w:r/>
    </w:p>
    <w:p>
      <w:pPr>
        <w:pStyle w:val="612"/>
        <w:ind w:firstLine="240"/>
        <w:jc w:val="center"/>
        <w:spacing w:beforeAutospacing="0" w:afterAutospacing="0" w:line="0" w:lineRule="atLeast"/>
        <w:rPr>
          <w:highlight w:val="none"/>
        </w:rPr>
      </w:pPr>
      <w:r>
        <w:rPr>
          <w:highlight w:val="none"/>
        </w:rPr>
      </w:r>
      <w:r/>
    </w:p>
    <w:p>
      <w:pPr>
        <w:pStyle w:val="612"/>
        <w:ind w:firstLine="240"/>
        <w:jc w:val="center"/>
        <w:spacing w:beforeAutospacing="0" w:afterAutospacing="0" w:line="0" w:lineRule="atLeast"/>
        <w:rPr>
          <w:highlight w:val="none"/>
        </w:rPr>
      </w:pPr>
      <w:r>
        <w:rPr>
          <w:highlight w:val="none"/>
        </w:rPr>
      </w:r>
      <w:r/>
    </w:p>
    <w:p>
      <w:pPr>
        <w:pStyle w:val="612"/>
        <w:ind w:firstLine="240"/>
        <w:jc w:val="center"/>
        <w:spacing w:beforeAutospacing="0" w:afterAutospacing="0" w:line="0" w:lineRule="atLeast"/>
        <w:rPr>
          <w:highlight w:val="none"/>
        </w:rPr>
      </w:pPr>
      <w:r>
        <w:rPr>
          <w:highlight w:val="none"/>
        </w:rPr>
      </w:r>
      <w:r/>
    </w:p>
    <w:p>
      <w:pPr>
        <w:pStyle w:val="612"/>
        <w:ind w:firstLine="240"/>
        <w:jc w:val="center"/>
        <w:spacing w:beforeAutospacing="0" w:afterAutospacing="0" w:line="0" w:lineRule="atLeast"/>
        <w:rPr>
          <w:highlight w:val="none"/>
        </w:rPr>
      </w:pPr>
      <w:r>
        <w:rPr>
          <w:highlight w:val="none"/>
        </w:rPr>
      </w:r>
      <w:r/>
    </w:p>
    <w:p>
      <w:pPr>
        <w:pStyle w:val="612"/>
        <w:ind w:firstLine="240"/>
        <w:jc w:val="center"/>
        <w:spacing w:beforeAutospacing="0" w:afterAutospacing="0" w:line="0" w:lineRule="atLeast"/>
        <w:rPr>
          <w:highlight w:val="none"/>
        </w:rPr>
      </w:pPr>
      <w:r>
        <w:rPr>
          <w:highlight w:val="none"/>
        </w:rPr>
      </w:r>
      <w:r/>
    </w:p>
    <w:p>
      <w:pPr>
        <w:pStyle w:val="612"/>
        <w:ind w:firstLine="240"/>
        <w:jc w:val="center"/>
        <w:spacing w:beforeAutospacing="0" w:afterAutospacing="0" w:line="0" w:lineRule="atLeast"/>
        <w:rPr>
          <w:highlight w:val="none"/>
        </w:rPr>
      </w:pPr>
      <w:r>
        <w:rPr>
          <w:highlight w:val="none"/>
        </w:rPr>
      </w:r>
      <w:r/>
    </w:p>
    <w:p>
      <w:pPr>
        <w:pStyle w:val="612"/>
        <w:ind w:firstLine="240"/>
        <w:jc w:val="center"/>
        <w:spacing w:beforeAutospacing="0" w:afterAutospacing="0" w:line="0" w:lineRule="atLeast"/>
        <w:rPr>
          <w:highlight w:val="none"/>
        </w:rPr>
      </w:pPr>
      <w:r>
        <w:rPr>
          <w:highlight w:val="none"/>
        </w:rPr>
      </w:r>
      <w:r/>
    </w:p>
    <w:p>
      <w:pPr>
        <w:pStyle w:val="612"/>
        <w:jc w:val="center"/>
        <w:spacing w:beforeAutospacing="0" w:afterAutospacing="0" w:line="0" w:lineRule="atLeast"/>
        <w:rPr>
          <w:highlight w:val="none"/>
        </w:rPr>
      </w:pPr>
      <w:r>
        <w:rPr>
          <w:highlight w:val="none"/>
        </w:rPr>
        <w:t xml:space="preserve"> </w:t>
      </w:r>
      <w:r/>
    </w:p>
    <w:p>
      <w:pPr>
        <w:pStyle w:val="612"/>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lang w:val="en-US" w:eastAsia="zh-CN"/>
        </w:rPr>
        <w:t xml:space="preserve">正中国际项目管理集团有限公司</w:t>
      </w:r>
      <w:r>
        <w:rPr>
          <w:rFonts w:hint="eastAsia"/>
          <w:color w:val="auto"/>
          <w:sz w:val="24"/>
          <w:highlight w:val="none"/>
        </w:rPr>
        <w:t xml:space="preserve">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2"/>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2"/>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612"/>
        <w:ind w:right="720"/>
        <w:jc w:val="both"/>
        <w:spacing w:beforeAutospacing="0" w:afterAutospacing="0" w:line="0" w:lineRule="atLeast"/>
        <w:rPr>
          <w:color w:val="auto"/>
          <w:highlight w:val="none"/>
        </w:rPr>
      </w:pPr>
      <w:r>
        <w:rPr>
          <w:color w:val="auto"/>
          <w:highlight w:val="none"/>
        </w:rPr>
        <w:t xml:space="preserve"> </w:t>
      </w:r>
      <w:r/>
    </w:p>
    <w:p>
      <w:pPr>
        <w:pStyle w:val="612"/>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612"/>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612"/>
        <w:ind w:firstLine="240"/>
        <w:jc w:val="both"/>
        <w:spacing w:beforeAutospacing="0" w:afterAutospacing="0" w:line="0" w:lineRule="atLeast"/>
        <w:rPr>
          <w:color w:val="auto"/>
          <w:highlight w:val="none"/>
        </w:rPr>
      </w:pPr>
      <w:r>
        <w:rPr>
          <w:color w:val="auto"/>
          <w:highlight w:val="none"/>
        </w:rPr>
        <w:t xml:space="preserve"> </w:t>
      </w:r>
      <w:r/>
    </w:p>
    <w:p>
      <w:pPr>
        <w:pStyle w:val="61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1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12"/>
        <w:jc w:val="center"/>
        <w:spacing w:beforeAutospacing="0" w:afterAutospacing="0" w:line="0" w:lineRule="atLeast"/>
        <w:rPr>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000000"/>
          <w:sz w:val="32"/>
          <w:szCs w:val="32"/>
          <w:highlight w:val="none"/>
        </w:rPr>
        <w:t xml:space="preserve"> 十、残疾人福利性单位声明函</w:t>
      </w:r>
      <w:r/>
    </w:p>
    <w:p>
      <w:pPr>
        <w:pStyle w:val="612"/>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项目（分包号：**）采购活动由本单位提供服务。</w:t>
      </w:r>
      <w:r/>
    </w:p>
    <w:p>
      <w:pPr>
        <w:pStyle w:val="612"/>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612"/>
        <w:ind w:firstLine="480"/>
        <w:jc w:val="both"/>
        <w:spacing w:beforeAutospacing="0" w:afterAutospacing="0" w:line="0" w:lineRule="atLeast"/>
        <w:rPr>
          <w:highlight w:val="none"/>
        </w:rPr>
      </w:pPr>
      <w:r>
        <w:rPr>
          <w:highlight w:val="none"/>
        </w:rPr>
        <w:t xml:space="preserve"> </w:t>
      </w:r>
      <w:r/>
    </w:p>
    <w:p>
      <w:pPr>
        <w:pStyle w:val="612"/>
        <w:ind w:firstLine="480"/>
        <w:jc w:val="both"/>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612"/>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p>
    <w:p>
      <w:pPr>
        <w:pStyle w:val="612"/>
        <w:ind w:firstLine="624"/>
        <w:jc w:val="both"/>
        <w:spacing w:beforeAutospacing="0" w:afterAutospacing="0" w:line="0" w:lineRule="atLeast"/>
        <w:rPr>
          <w:highlight w:val="none"/>
        </w:rPr>
      </w:pPr>
      <w:r>
        <w:rPr>
          <w:highlight w:val="none"/>
        </w:rPr>
        <w:t xml:space="preserve"> </w:t>
      </w:r>
      <w:r/>
    </w:p>
    <w:p>
      <w:pPr>
        <w:pStyle w:val="612"/>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612"/>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612"/>
        <w:jc w:val="center"/>
        <w:spacing w:beforeAutospacing="0" w:afterAutospacing="0" w:line="0" w:lineRule="atLeast"/>
        <w:rPr>
          <w:highlight w:val="none"/>
        </w:rPr>
      </w:pPr>
      <w:r>
        <w:rPr>
          <w:highlight w:val="none"/>
        </w:rPr>
        <w:t xml:space="preserve"> </w:t>
      </w:r>
      <w:r/>
    </w:p>
    <w:p>
      <w:pPr>
        <w:pStyle w:val="612"/>
        <w:jc w:val="center"/>
        <w:spacing w:beforeAutospacing="0" w:afterAutospacing="0" w:line="0" w:lineRule="atLeast"/>
        <w:rPr>
          <w:highlight w:val="none"/>
        </w:rPr>
      </w:pPr>
      <w:r>
        <w:rPr>
          <w:highlight w:val="none"/>
        </w:rPr>
        <w:t xml:space="preserve"> </w:t>
      </w:r>
      <w:r/>
    </w:p>
    <w:p>
      <w:pPr>
        <w:pStyle w:val="612"/>
        <w:jc w:val="center"/>
        <w:spacing w:beforeAutospacing="0" w:afterAutospacing="0" w:line="0" w:lineRule="atLeast"/>
        <w:rPr>
          <w:highlight w:val="none"/>
        </w:rPr>
      </w:pPr>
      <w:r>
        <w:rPr>
          <w:highlight w:val="none"/>
        </w:rPr>
        <w:t xml:space="preserve"> </w:t>
      </w:r>
      <w:r/>
    </w:p>
    <w:p>
      <w:pPr>
        <w:pStyle w:val="612"/>
        <w:jc w:val="center"/>
        <w:spacing w:beforeAutospacing="0" w:afterAutospacing="0" w:line="0" w:lineRule="atLeast"/>
        <w:rPr>
          <w:highlight w:val="none"/>
        </w:rPr>
      </w:pPr>
      <w:r>
        <w:rPr>
          <w:highlight w:val="none"/>
        </w:rPr>
        <w:t xml:space="preserve"> </w:t>
      </w:r>
      <w:r/>
    </w:p>
    <w:p>
      <w:pPr>
        <w:pStyle w:val="612"/>
        <w:jc w:val="center"/>
        <w:spacing w:beforeAutospacing="0" w:afterAutospacing="0" w:line="0" w:lineRule="atLeast"/>
        <w:rPr>
          <w:highlight w:val="none"/>
        </w:rPr>
      </w:pPr>
      <w:r>
        <w:rPr>
          <w:highlight w:val="none"/>
        </w:rPr>
        <w:t xml:space="preserve"> </w:t>
      </w:r>
      <w:r/>
    </w:p>
    <w:p>
      <w:pPr>
        <w:pStyle w:val="612"/>
        <w:jc w:val="center"/>
        <w:spacing w:beforeAutospacing="0" w:afterAutospacing="0" w:line="0" w:lineRule="atLeast"/>
        <w:rPr>
          <w:highlight w:val="none"/>
        </w:rPr>
      </w:pPr>
      <w:r>
        <w:rPr>
          <w:highlight w:val="none"/>
        </w:rPr>
        <w:t xml:space="preserve"> </w:t>
      </w:r>
      <w:r/>
    </w:p>
    <w:p>
      <w:pPr>
        <w:pStyle w:val="612"/>
        <w:jc w:val="center"/>
        <w:spacing w:beforeAutospacing="0" w:afterAutospacing="0" w:line="0" w:lineRule="atLeast"/>
        <w:rPr>
          <w:highlight w:val="none"/>
        </w:rPr>
      </w:pPr>
      <w:r>
        <w:rPr>
          <w:highlight w:val="none"/>
        </w:rPr>
        <w:t xml:space="preserve"> </w:t>
      </w:r>
      <w:r/>
    </w:p>
    <w:p>
      <w:pPr>
        <w:pStyle w:val="612"/>
        <w:jc w:val="center"/>
        <w:spacing w:beforeAutospacing="0" w:afterAutospacing="0" w:line="0" w:lineRule="atLeast"/>
        <w:rPr>
          <w:highlight w:val="none"/>
        </w:rPr>
      </w:pPr>
      <w:r>
        <w:rPr>
          <w:highlight w:val="none"/>
        </w:rPr>
        <w:t xml:space="preserve"> </w:t>
      </w:r>
      <w:r/>
    </w:p>
    <w:p>
      <w:pPr>
        <w:pStyle w:val="612"/>
        <w:jc w:val="center"/>
        <w:spacing w:beforeAutospacing="0" w:afterAutospacing="0" w:line="0" w:lineRule="atLeast"/>
        <w:rPr>
          <w:highlight w:val="none"/>
        </w:rPr>
      </w:pPr>
      <w:r>
        <w:rPr>
          <w:highlight w:val="none"/>
        </w:rPr>
      </w:r>
      <w:r/>
    </w:p>
    <w:p>
      <w:pPr>
        <w:pStyle w:val="612"/>
        <w:jc w:val="center"/>
        <w:spacing w:beforeAutospacing="0" w:afterAutospacing="0" w:line="0" w:lineRule="atLeast"/>
        <w:rPr>
          <w:highlight w:val="none"/>
        </w:rPr>
      </w:pPr>
      <w:r>
        <w:rPr>
          <w:highlight w:val="none"/>
        </w:rPr>
      </w:r>
      <w:r/>
    </w:p>
    <w:p>
      <w:pPr>
        <w:pStyle w:val="612"/>
        <w:jc w:val="center"/>
        <w:spacing w:beforeAutospacing="0" w:afterAutospacing="0" w:line="0" w:lineRule="atLeast"/>
        <w:rPr>
          <w:highlight w:val="none"/>
        </w:rPr>
      </w:pPr>
      <w:r>
        <w:rPr>
          <w:highlight w:val="none"/>
        </w:rPr>
      </w:r>
      <w:r/>
    </w:p>
    <w:p>
      <w:pPr>
        <w:pStyle w:val="612"/>
        <w:jc w:val="center"/>
        <w:spacing w:beforeAutospacing="0" w:afterAutospacing="0" w:line="0" w:lineRule="atLeast"/>
        <w:rPr>
          <w:highlight w:val="none"/>
        </w:rPr>
      </w:pPr>
      <w:r>
        <w:rPr>
          <w:highlight w:val="none"/>
        </w:rPr>
      </w:r>
      <w:r/>
    </w:p>
    <w:p>
      <w:pPr>
        <w:pStyle w:val="612"/>
        <w:jc w:val="center"/>
        <w:spacing w:beforeAutospacing="0" w:afterAutospacing="0" w:line="0" w:lineRule="atLeast"/>
        <w:rPr>
          <w:highlight w:val="none"/>
        </w:rPr>
      </w:pPr>
      <w:r>
        <w:rPr>
          <w:highlight w:val="none"/>
        </w:rPr>
      </w:r>
      <w:r/>
    </w:p>
    <w:p>
      <w:pPr>
        <w:pStyle w:val="612"/>
        <w:jc w:val="center"/>
        <w:spacing w:beforeAutospacing="0" w:afterAutospacing="0" w:line="0" w:lineRule="atLeast"/>
        <w:rPr>
          <w:highlight w:val="none"/>
        </w:rPr>
      </w:pPr>
      <w:r>
        <w:rPr>
          <w:highlight w:val="none"/>
        </w:rPr>
      </w:r>
      <w:r/>
    </w:p>
    <w:p>
      <w:pPr>
        <w:pStyle w:val="612"/>
        <w:jc w:val="center"/>
        <w:spacing w:beforeAutospacing="0" w:afterAutospacing="0" w:line="0" w:lineRule="atLeast"/>
        <w:rPr>
          <w:highlight w:val="none"/>
        </w:rPr>
      </w:pPr>
      <w:r>
        <w:rPr>
          <w:highlight w:val="none"/>
        </w:rPr>
      </w:r>
      <w:r/>
    </w:p>
    <w:p>
      <w:pPr>
        <w:pStyle w:val="612"/>
        <w:jc w:val="center"/>
        <w:spacing w:beforeAutospacing="0" w:afterAutospacing="0" w:line="0" w:lineRule="atLeast"/>
        <w:rPr>
          <w:highlight w:val="none"/>
        </w:rPr>
      </w:pPr>
      <w:r>
        <w:rPr>
          <w:highlight w:val="none"/>
        </w:rPr>
      </w:r>
      <w:r/>
    </w:p>
    <w:p>
      <w:pPr>
        <w:pStyle w:val="612"/>
        <w:jc w:val="center"/>
        <w:spacing w:beforeAutospacing="0" w:afterAutospacing="0" w:line="0" w:lineRule="atLeast"/>
        <w:rPr>
          <w:highlight w:val="none"/>
        </w:rPr>
      </w:pPr>
      <w:r>
        <w:rPr>
          <w:highlight w:val="none"/>
        </w:rPr>
      </w:r>
      <w:r/>
    </w:p>
    <w:p>
      <w:pPr>
        <w:pStyle w:val="612"/>
        <w:jc w:val="center"/>
        <w:spacing w:beforeAutospacing="0" w:afterAutospacing="0" w:line="0" w:lineRule="atLeast"/>
        <w:rPr>
          <w:highlight w:val="none"/>
        </w:rPr>
      </w:pPr>
      <w:r>
        <w:rPr>
          <w:highlight w:val="none"/>
        </w:rPr>
      </w:r>
      <w:r/>
    </w:p>
    <w:p>
      <w:pPr>
        <w:pStyle w:val="612"/>
        <w:jc w:val="center"/>
        <w:spacing w:beforeAutospacing="0" w:afterAutospacing="0" w:line="0" w:lineRule="atLeast"/>
        <w:rPr>
          <w:highlight w:val="none"/>
        </w:rPr>
      </w:pPr>
      <w:r>
        <w:rPr>
          <w:highlight w:val="none"/>
        </w:rPr>
      </w:r>
      <w:r/>
    </w:p>
    <w:p>
      <w:pPr>
        <w:pStyle w:val="612"/>
        <w:jc w:val="center"/>
        <w:spacing w:beforeAutospacing="0" w:afterAutospacing="0" w:line="0" w:lineRule="atLeast"/>
        <w:rPr>
          <w:highlight w:val="none"/>
        </w:rPr>
      </w:pPr>
      <w:r>
        <w:rPr>
          <w:highlight w:val="none"/>
        </w:rPr>
      </w:r>
      <w:r/>
    </w:p>
    <w:p>
      <w:pPr>
        <w:pStyle w:val="612"/>
        <w:jc w:val="center"/>
        <w:spacing w:beforeAutospacing="0" w:afterAutospacing="0" w:line="0" w:lineRule="atLeast"/>
        <w:rPr>
          <w:highlight w:val="none"/>
        </w:rPr>
      </w:pPr>
      <w:r>
        <w:rPr>
          <w:highlight w:val="none"/>
        </w:rPr>
      </w:r>
      <w:r/>
    </w:p>
    <w:p>
      <w:pPr>
        <w:pStyle w:val="612"/>
        <w:jc w:val="center"/>
        <w:spacing w:beforeAutospacing="0" w:afterAutospacing="0" w:line="0" w:lineRule="atLeast"/>
        <w:rPr>
          <w:highlight w:val="none"/>
        </w:rPr>
      </w:pPr>
      <w:r>
        <w:rPr>
          <w:highlight w:val="none"/>
        </w:rPr>
      </w:r>
      <w:r/>
    </w:p>
    <w:p>
      <w:pPr>
        <w:pStyle w:val="612"/>
        <w:jc w:val="center"/>
        <w:spacing w:beforeAutospacing="0" w:afterAutospacing="0" w:line="0" w:lineRule="atLeast"/>
        <w:rPr>
          <w:highlight w:val="none"/>
        </w:rPr>
      </w:pPr>
      <w:r>
        <w:rPr>
          <w:highlight w:val="none"/>
        </w:rPr>
      </w:r>
      <w:r/>
    </w:p>
    <w:p>
      <w:pPr>
        <w:pStyle w:val="612"/>
        <w:jc w:val="center"/>
        <w:spacing w:beforeAutospacing="0" w:afterAutospacing="0" w:line="0" w:lineRule="atLeast"/>
        <w:rPr>
          <w:highlight w:val="none"/>
        </w:rPr>
      </w:pPr>
      <w:r>
        <w:rPr>
          <w:highlight w:val="none"/>
        </w:rPr>
      </w:r>
      <w:r/>
    </w:p>
    <w:p>
      <w:pPr>
        <w:pStyle w:val="612"/>
        <w:jc w:val="center"/>
        <w:spacing w:beforeAutospacing="0" w:afterAutospacing="0" w:line="0" w:lineRule="atLeast"/>
        <w:rPr>
          <w:highlight w:val="none"/>
        </w:rPr>
      </w:pPr>
      <w:r>
        <w:rPr>
          <w:highlight w:val="none"/>
        </w:rPr>
      </w:r>
      <w:r/>
    </w:p>
    <w:p>
      <w:pPr>
        <w:pStyle w:val="612"/>
        <w:jc w:val="center"/>
        <w:spacing w:beforeAutospacing="0" w:afterAutospacing="0" w:line="0" w:lineRule="atLeast"/>
        <w:rPr>
          <w:highlight w:val="none"/>
        </w:rPr>
      </w:pPr>
      <w:r>
        <w:rPr>
          <w:highlight w:val="none"/>
        </w:rPr>
      </w:r>
      <w:r/>
    </w:p>
    <w:p>
      <w:pPr>
        <w:pStyle w:val="612"/>
        <w:jc w:val="center"/>
        <w:spacing w:beforeAutospacing="0" w:afterAutospacing="0" w:line="0" w:lineRule="atLeast"/>
        <w:rPr>
          <w:highlight w:val="none"/>
        </w:rPr>
      </w:pPr>
      <w:r>
        <w:rPr>
          <w:highlight w:val="none"/>
        </w:rPr>
      </w:r>
      <w:r/>
    </w:p>
    <w:p>
      <w:pPr>
        <w:pStyle w:val="612"/>
        <w:jc w:val="center"/>
        <w:spacing w:beforeAutospacing="0" w:afterAutospacing="0" w:line="0" w:lineRule="atLeast"/>
        <w:rPr>
          <w:highlight w:val="none"/>
        </w:rPr>
      </w:pPr>
      <w:r>
        <w:rPr>
          <w:highlight w:val="none"/>
        </w:rPr>
      </w:r>
      <w:r/>
    </w:p>
    <w:p>
      <w:pPr>
        <w:pStyle w:val="612"/>
        <w:jc w:val="center"/>
        <w:spacing w:beforeAutospacing="0" w:afterAutospacing="0" w:line="0" w:lineRule="atLeast"/>
        <w:rPr>
          <w:highlight w:val="none"/>
        </w:rPr>
      </w:pPr>
      <w:r>
        <w:rPr>
          <w:highlight w:val="none"/>
        </w:rPr>
        <w:t xml:space="preserve"> </w:t>
      </w:r>
      <w:r/>
    </w:p>
    <w:p>
      <w:pPr>
        <w:pStyle w:val="612"/>
        <w:jc w:val="center"/>
        <w:spacing w:beforeAutospacing="0" w:afterAutospacing="0" w:line="0" w:lineRule="atLeast"/>
        <w:rPr>
          <w:highlight w:val="none"/>
        </w:rPr>
      </w:pPr>
      <w:r>
        <w:rPr>
          <w:highlight w:val="none"/>
        </w:rPr>
        <w:t xml:space="preserve"> </w:t>
      </w:r>
      <w:r/>
    </w:p>
    <w:p>
      <w:pPr>
        <w:pStyle w:val="612"/>
        <w:jc w:val="center"/>
        <w:spacing w:beforeAutospacing="0" w:afterAutospacing="0" w:line="0" w:lineRule="atLeast"/>
        <w:rPr>
          <w:highlight w:val="none"/>
        </w:rPr>
      </w:pPr>
      <w:r>
        <w:rPr>
          <w:highlight w:val="none"/>
        </w:rPr>
        <w:t xml:space="preserve"> </w:t>
      </w:r>
      <w:r/>
    </w:p>
    <w:p>
      <w:pPr>
        <w:pStyle w:val="612"/>
        <w:jc w:val="center"/>
        <w:spacing w:beforeAutospacing="0" w:afterAutospacing="0" w:line="0" w:lineRule="atLeast"/>
        <w:rPr>
          <w:highlight w:val="none"/>
        </w:rPr>
      </w:pPr>
      <w:r>
        <w:rPr>
          <w:highlight w:val="none"/>
        </w:rPr>
        <w:t xml:space="preserve"> </w:t>
      </w:r>
      <w:r/>
    </w:p>
    <w:p>
      <w:pPr>
        <w:pStyle w:val="612"/>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十一、联合体协议（参考格式）</w:t>
      </w:r>
      <w:r/>
    </w:p>
    <w:p>
      <w:pPr>
        <w:pStyle w:val="612"/>
        <w:jc w:val="both"/>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（联合体中各供应商全称）在此达成以下协议：</w:t>
      </w:r>
      <w:r/>
    </w:p>
    <w:p>
      <w:pPr>
        <w:pStyle w:val="612"/>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 xml:space="preserve">自愿组成联合体，参加</w:t>
      </w:r>
      <w:r>
        <w:rPr>
          <w:rFonts w:hint="eastAsia" w:ascii="宋体" w:hAnsi="宋体" w:eastAsia="宋体" w:cs="宋体"/>
          <w:color w:val="000000"/>
          <w:highlight w:val="none"/>
          <w:lang w:val="en-US" w:eastAsia="zh-CN"/>
        </w:rPr>
        <w:t xml:space="preserve">正中国际项目管理集团有限公司组织</w:t>
      </w:r>
      <w:r>
        <w:rPr>
          <w:rFonts w:hint="eastAsia" w:ascii="宋体" w:hAnsi="宋体" w:eastAsia="宋体" w:cs="宋体"/>
          <w:color w:val="000000"/>
          <w:highlight w:val="none"/>
        </w:rPr>
        <w:t xml:space="preserve">的采购编号为</w:t>
      </w:r>
      <w:r>
        <w:rPr>
          <w:rFonts w:hint="eastAsia" w:ascii="宋体" w:hAnsi="宋体" w:eastAsia="宋体" w:cs="宋体"/>
          <w:color w:val="000000"/>
          <w:highlight w:val="none"/>
          <w:u w:val="single"/>
        </w:rPr>
        <w:t xml:space="preserve">（编号全称），（项目全称）</w:t>
      </w:r>
      <w:r>
        <w:rPr>
          <w:rFonts w:hint="eastAsia" w:ascii="宋体" w:hAnsi="宋体" w:eastAsia="宋体" w:cs="宋体"/>
          <w:color w:val="000000"/>
          <w:highlight w:val="none"/>
        </w:rPr>
        <w:t xml:space="preserve">项目（分包号：**）的政府采购活动，我联合体指定</w:t>
      </w:r>
      <w:r>
        <w:rPr>
          <w:rFonts w:hint="eastAsia" w:ascii="宋体" w:hAnsi="宋体" w:eastAsia="宋体" w:cs="宋体"/>
          <w:color w:val="000000"/>
          <w:highlight w:val="none"/>
          <w:u w:val="single"/>
        </w:rPr>
        <w:t xml:space="preserve">（供应商*）</w:t>
      </w:r>
      <w:r>
        <w:rPr>
          <w:rFonts w:hint="eastAsia" w:ascii="宋体" w:hAnsi="宋体" w:eastAsia="宋体" w:cs="宋体"/>
          <w:color w:val="000000"/>
          <w:highlight w:val="none"/>
        </w:rPr>
        <w:t xml:space="preserve">为牵头单位（牵头单位必须为联合体成员）。</w:t>
      </w:r>
      <w:r/>
    </w:p>
    <w:p>
      <w:pPr>
        <w:pStyle w:val="612"/>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612"/>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12"/>
        <w:ind w:firstLine="645"/>
        <w:jc w:val="both"/>
        <w:spacing w:beforeAutospacing="0" w:afterAutospacing="0" w:line="0" w:lineRule="atLeast"/>
        <w:rPr>
          <w:highlight w:val="none"/>
        </w:rPr>
      </w:pPr>
      <w:r>
        <w:rPr>
          <w:highlight w:val="none"/>
        </w:rPr>
        <w:t xml:space="preserve"> </w:t>
      </w:r>
      <w:r/>
    </w:p>
    <w:p>
      <w:pPr>
        <w:pStyle w:val="612"/>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备注：本招标文件中要求加盖CA电子签章的地方，仅需加盖牵头单位的CA电子签章。</w:t>
      </w:r>
      <w:r/>
    </w:p>
    <w:p>
      <w:pPr>
        <w:pStyle w:val="612"/>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w:t>
      </w:r>
      <w:r/>
    </w:p>
    <w:p>
      <w:pPr>
        <w:pStyle w:val="612"/>
        <w:ind w:firstLine="645"/>
        <w:jc w:val="right"/>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联合体中各供应商全称（公章）：     </w:t>
      </w:r>
      <w:r/>
    </w:p>
    <w:p>
      <w:pPr>
        <w:pStyle w:val="612"/>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日期：</w:t>
      </w:r>
      <w:r/>
    </w:p>
    <w:p>
      <w:pPr>
        <w:pStyle w:val="612"/>
        <w:ind w:firstLine="645"/>
        <w:jc w:val="both"/>
        <w:spacing w:beforeAutospacing="0" w:afterAutospacing="0" w:line="0" w:lineRule="atLeast"/>
        <w:rPr>
          <w:highlight w:val="none"/>
        </w:rPr>
      </w:pPr>
      <w:r>
        <w:rPr>
          <w:highlight w:val="none"/>
        </w:rPr>
        <w:t xml:space="preserve"> </w:t>
      </w:r>
      <w:r/>
    </w:p>
    <w:p>
      <w:pPr>
        <w:pStyle w:val="612"/>
        <w:jc w:val="both"/>
        <w:spacing w:beforeAutospacing="0" w:afterAutospacing="0" w:line="0" w:lineRule="atLeast"/>
        <w:rPr>
          <w:highlight w:val="none"/>
        </w:rPr>
      </w:pPr>
      <w:r>
        <w:rPr>
          <w:highlight w:val="none"/>
        </w:rPr>
        <w:t xml:space="preserve"> </w:t>
      </w:r>
      <w:r/>
    </w:p>
    <w:p>
      <w:pPr>
        <w:pStyle w:val="612"/>
        <w:jc w:val="both"/>
        <w:spacing w:beforeAutospacing="0" w:afterAutospacing="0" w:line="0" w:lineRule="atLeast"/>
        <w:rPr>
          <w:highlight w:val="none"/>
        </w:rPr>
      </w:pPr>
      <w:r>
        <w:rPr>
          <w:highlight w:val="none"/>
        </w:rPr>
        <w:t xml:space="preserve"> </w:t>
      </w:r>
      <w:r/>
    </w:p>
    <w:p>
      <w:pPr>
        <w:pStyle w:val="612"/>
        <w:jc w:val="both"/>
        <w:spacing w:beforeAutospacing="0" w:afterAutospacing="0" w:line="0" w:lineRule="atLeast"/>
        <w:rPr>
          <w:highlight w:val="none"/>
        </w:rPr>
      </w:pPr>
      <w:r>
        <w:rPr>
          <w:highlight w:val="none"/>
        </w:rPr>
        <w:t xml:space="preserve"> </w:t>
      </w:r>
      <w:r/>
    </w:p>
    <w:p>
      <w:pPr>
        <w:pStyle w:val="612"/>
        <w:jc w:val="both"/>
        <w:spacing w:beforeAutospacing="0" w:afterAutospacing="0" w:line="0" w:lineRule="atLeast"/>
        <w:rPr>
          <w:highlight w:val="none"/>
        </w:rPr>
      </w:pPr>
      <w:r>
        <w:rPr>
          <w:highlight w:val="none"/>
        </w:rPr>
        <w:t xml:space="preserve"> </w:t>
      </w:r>
      <w:r/>
    </w:p>
    <w:p>
      <w:pPr>
        <w:pStyle w:val="612"/>
        <w:jc w:val="both"/>
        <w:spacing w:beforeAutospacing="0" w:afterAutospacing="0" w:line="0" w:lineRule="atLeast"/>
        <w:rPr>
          <w:highlight w:val="none"/>
        </w:rPr>
      </w:pPr>
      <w:r>
        <w:rPr>
          <w:highlight w:val="none"/>
        </w:rPr>
        <w:t xml:space="preserve"> </w:t>
      </w:r>
      <w:r/>
    </w:p>
    <w:p>
      <w:pPr>
        <w:pStyle w:val="612"/>
        <w:jc w:val="both"/>
        <w:spacing w:beforeAutospacing="0" w:afterAutospacing="0" w:line="0" w:lineRule="atLeast"/>
        <w:rPr>
          <w:highlight w:val="none"/>
        </w:rPr>
      </w:pPr>
      <w:r>
        <w:rPr>
          <w:highlight w:val="none"/>
        </w:rPr>
      </w:r>
      <w:r/>
    </w:p>
    <w:p>
      <w:pPr>
        <w:pStyle w:val="612"/>
        <w:jc w:val="both"/>
        <w:spacing w:beforeAutospacing="0" w:afterAutospacing="0" w:line="0" w:lineRule="atLeast"/>
        <w:rPr>
          <w:highlight w:val="none"/>
        </w:rPr>
      </w:pPr>
      <w:r>
        <w:rPr>
          <w:highlight w:val="none"/>
        </w:rPr>
      </w:r>
      <w:r/>
    </w:p>
    <w:p>
      <w:pPr>
        <w:pStyle w:val="612"/>
        <w:jc w:val="both"/>
        <w:spacing w:beforeAutospacing="0" w:afterAutospacing="0" w:line="0" w:lineRule="atLeast"/>
        <w:rPr>
          <w:highlight w:val="none"/>
        </w:rPr>
      </w:pPr>
      <w:r>
        <w:rPr>
          <w:highlight w:val="none"/>
        </w:rPr>
      </w:r>
      <w:r/>
    </w:p>
    <w:p>
      <w:pPr>
        <w:pStyle w:val="612"/>
        <w:jc w:val="both"/>
        <w:spacing w:beforeAutospacing="0" w:afterAutospacing="0" w:line="0" w:lineRule="atLeast"/>
        <w:rPr>
          <w:highlight w:val="none"/>
        </w:rPr>
      </w:pPr>
      <w:r>
        <w:rPr>
          <w:highlight w:val="none"/>
        </w:rPr>
      </w:r>
      <w:r/>
    </w:p>
    <w:p>
      <w:pPr>
        <w:pStyle w:val="612"/>
        <w:jc w:val="both"/>
        <w:spacing w:beforeAutospacing="0" w:afterAutospacing="0" w:line="0" w:lineRule="atLeast"/>
        <w:rPr>
          <w:highlight w:val="none"/>
        </w:rPr>
      </w:pPr>
      <w:r>
        <w:rPr>
          <w:highlight w:val="none"/>
        </w:rPr>
      </w:r>
      <w:r/>
    </w:p>
    <w:p>
      <w:pPr>
        <w:pStyle w:val="612"/>
        <w:jc w:val="both"/>
        <w:spacing w:beforeAutospacing="0" w:afterAutospacing="0" w:line="0" w:lineRule="atLeast"/>
        <w:rPr>
          <w:highlight w:val="none"/>
        </w:rPr>
      </w:pPr>
      <w:r>
        <w:rPr>
          <w:highlight w:val="none"/>
        </w:rPr>
      </w:r>
      <w:r/>
    </w:p>
    <w:p>
      <w:pPr>
        <w:pStyle w:val="612"/>
        <w:jc w:val="both"/>
        <w:spacing w:beforeAutospacing="0" w:afterAutospacing="0" w:line="0" w:lineRule="atLeast"/>
        <w:rPr>
          <w:highlight w:val="none"/>
        </w:rPr>
      </w:pPr>
      <w:r>
        <w:rPr>
          <w:highlight w:val="none"/>
        </w:rPr>
      </w:r>
      <w:r/>
    </w:p>
    <w:p>
      <w:pPr>
        <w:pStyle w:val="612"/>
        <w:jc w:val="both"/>
        <w:spacing w:beforeAutospacing="0" w:afterAutospacing="0" w:line="0" w:lineRule="atLeast"/>
        <w:rPr>
          <w:highlight w:val="none"/>
        </w:rPr>
      </w:pPr>
      <w:r>
        <w:rPr>
          <w:highlight w:val="none"/>
        </w:rPr>
      </w:r>
      <w:r/>
    </w:p>
    <w:p>
      <w:pPr>
        <w:pStyle w:val="612"/>
        <w:jc w:val="both"/>
        <w:spacing w:beforeAutospacing="0" w:afterAutospacing="0" w:line="0" w:lineRule="atLeast"/>
        <w:rPr>
          <w:highlight w:val="none"/>
        </w:rPr>
      </w:pPr>
      <w:r>
        <w:rPr>
          <w:highlight w:val="none"/>
        </w:rPr>
      </w:r>
      <w:r/>
    </w:p>
    <w:p>
      <w:pPr>
        <w:pStyle w:val="612"/>
        <w:jc w:val="both"/>
        <w:spacing w:beforeAutospacing="0" w:afterAutospacing="0" w:line="0" w:lineRule="atLeast"/>
        <w:rPr>
          <w:highlight w:val="none"/>
        </w:rPr>
      </w:pPr>
      <w:r>
        <w:rPr>
          <w:highlight w:val="none"/>
        </w:rPr>
      </w:r>
      <w:r/>
    </w:p>
    <w:p>
      <w:pPr>
        <w:pStyle w:val="612"/>
        <w:jc w:val="both"/>
        <w:spacing w:beforeAutospacing="0" w:afterAutospacing="0" w:line="0" w:lineRule="atLeast"/>
        <w:rPr>
          <w:highlight w:val="none"/>
        </w:rPr>
      </w:pPr>
      <w:r>
        <w:rPr>
          <w:highlight w:val="none"/>
        </w:rPr>
      </w:r>
      <w:r/>
    </w:p>
    <w:p>
      <w:pPr>
        <w:pStyle w:val="612"/>
        <w:jc w:val="both"/>
        <w:spacing w:beforeAutospacing="0" w:afterAutospacing="0" w:line="0" w:lineRule="atLeast"/>
        <w:rPr>
          <w:highlight w:val="none"/>
        </w:rPr>
      </w:pPr>
      <w:r>
        <w:rPr>
          <w:highlight w:val="none"/>
        </w:rPr>
      </w:r>
      <w:r/>
    </w:p>
    <w:p>
      <w:pPr>
        <w:pStyle w:val="612"/>
        <w:jc w:val="both"/>
        <w:spacing w:beforeAutospacing="0" w:afterAutospacing="0" w:line="0" w:lineRule="atLeast"/>
        <w:rPr>
          <w:highlight w:val="none"/>
        </w:rPr>
      </w:pPr>
      <w:r>
        <w:rPr>
          <w:highlight w:val="none"/>
        </w:rPr>
      </w:r>
      <w:r/>
    </w:p>
    <w:p>
      <w:pPr>
        <w:pStyle w:val="612"/>
        <w:jc w:val="both"/>
        <w:spacing w:beforeAutospacing="0" w:afterAutospacing="0" w:line="0" w:lineRule="atLeast"/>
        <w:rPr>
          <w:highlight w:val="none"/>
        </w:rPr>
      </w:pPr>
      <w:r>
        <w:rPr>
          <w:highlight w:val="none"/>
        </w:rPr>
      </w:r>
      <w:r/>
    </w:p>
    <w:p>
      <w:pPr>
        <w:pStyle w:val="612"/>
        <w:jc w:val="both"/>
        <w:spacing w:beforeAutospacing="0" w:afterAutospacing="0" w:line="0" w:lineRule="atLeast"/>
        <w:rPr>
          <w:highlight w:val="none"/>
        </w:rPr>
      </w:pPr>
      <w:r>
        <w:rPr>
          <w:highlight w:val="none"/>
        </w:rPr>
      </w:r>
      <w:r>
        <w:rPr>
          <w:highlight w:val="none"/>
        </w:rPr>
      </w:r>
    </w:p>
    <w:p>
      <w:pPr>
        <w:pStyle w:val="612"/>
        <w:jc w:val="both"/>
        <w:spacing w:beforeAutospacing="0" w:afterAutospacing="0" w:line="0" w:lineRule="atLeast"/>
        <w:rPr>
          <w:highlight w:val="none"/>
        </w:rPr>
      </w:pPr>
      <w:r>
        <w:rPr>
          <w:highlight w:val="none"/>
        </w:rPr>
      </w:r>
      <w:r/>
    </w:p>
    <w:p>
      <w:pPr>
        <w:pStyle w:val="612"/>
        <w:jc w:val="both"/>
        <w:spacing w:beforeAutospacing="0" w:afterAutospacing="0" w:line="0" w:lineRule="atLeast"/>
        <w:rPr>
          <w:highlight w:val="none"/>
        </w:rPr>
      </w:pPr>
      <w:r>
        <w:rPr>
          <w:highlight w:val="none"/>
        </w:rPr>
      </w:r>
      <w:r/>
    </w:p>
    <w:p>
      <w:pPr>
        <w:pStyle w:val="612"/>
        <w:jc w:val="both"/>
        <w:spacing w:beforeAutospacing="0" w:afterAutospacing="0" w:line="0" w:lineRule="atLeast"/>
        <w:rPr>
          <w:highlight w:val="none"/>
        </w:rPr>
      </w:pPr>
      <w:r>
        <w:rPr>
          <w:highlight w:val="none"/>
        </w:rPr>
      </w:r>
      <w:r/>
    </w:p>
    <w:p>
      <w:pPr>
        <w:pStyle w:val="612"/>
        <w:jc w:val="both"/>
        <w:spacing w:beforeAutospacing="0" w:afterAutospacing="0" w:line="0" w:lineRule="atLeast"/>
        <w:rPr>
          <w:highlight w:val="none"/>
        </w:rPr>
      </w:pPr>
      <w:r>
        <w:rPr>
          <w:highlight w:val="none"/>
        </w:rPr>
        <w:t xml:space="preserve"> </w:t>
      </w:r>
      <w:r/>
    </w:p>
    <w:p>
      <w:pPr>
        <w:pStyle w:val="612"/>
        <w:jc w:val="both"/>
        <w:spacing w:beforeAutospacing="0" w:afterAutospacing="0"/>
        <w:rPr>
          <w:highlight w:val="none"/>
        </w:rPr>
      </w:pPr>
      <w:r>
        <w:rPr>
          <w:highlight w:val="none"/>
        </w:rPr>
        <w:t xml:space="preserve"> </w:t>
      </w:r>
      <w:r/>
    </w:p>
    <w:p>
      <w:pPr>
        <w:pStyle w:val="612"/>
        <w:jc w:val="center"/>
        <w:spacing w:beforeAutospacing="0" w:afterAutospacing="0"/>
        <w:rPr>
          <w:highlight w:val="none"/>
        </w:rPr>
      </w:pPr>
      <w:r>
        <w:rPr>
          <w:rFonts w:hint="eastAsia" w:ascii="黑体" w:hAnsi="宋体" w:eastAsia="黑体" w:cs="黑体"/>
          <w:b/>
          <w:color w:val="000000"/>
          <w:sz w:val="32"/>
          <w:szCs w:val="32"/>
          <w:highlight w:val="none"/>
        </w:rPr>
        <w:t xml:space="preserve">十二、投标分项报价表</w:t>
      </w:r>
      <w:r/>
    </w:p>
    <w:tbl>
      <w:tblPr>
        <w:tblStyle w:val="605"/>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612"/>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12"/>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12"/>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12"/>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12"/>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12"/>
              <w:jc w:val="center"/>
              <w:spacing w:beforeAutospacing="0" w:afterAutospacing="0" w:line="0" w:lineRule="atLeast"/>
              <w:rPr>
                <w:highlight w:val="none"/>
              </w:rPr>
            </w:pPr>
            <w:r>
              <w:rPr>
                <w:rFonts w:hint="eastAsia" w:ascii="宋体" w:hAnsi="宋体" w:eastAsia="宋体" w:cs="宋体"/>
                <w:color w:val="00000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12"/>
              <w:jc w:val="center"/>
              <w:spacing w:beforeAutospacing="0" w:afterAutospacing="0" w:line="0" w:lineRule="atLeast"/>
              <w:rPr>
                <w:highlight w:val="none"/>
              </w:rPr>
            </w:pPr>
            <w:r>
              <w:rPr>
                <w:rFonts w:hint="eastAsia" w:ascii="宋体" w:hAnsi="宋体" w:eastAsia="宋体" w:cs="宋体"/>
                <w:color w:val="000000"/>
                <w:highlight w:val="none"/>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sz w:val="24"/>
                <w:highlight w:val="none"/>
              </w:rPr>
            </w:pPr>
            <w:r>
              <w:rPr>
                <w:rFonts w:ascii="宋体"/>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12"/>
              <w:jc w:val="center"/>
              <w:spacing w:beforeAutospacing="0" w:afterAutospacing="0" w:line="0" w:lineRule="atLeast"/>
              <w:rPr>
                <w:highlight w:val="none"/>
              </w:rPr>
            </w:pPr>
            <w:r>
              <w:rPr>
                <w:rFonts w:hint="eastAsia" w:ascii="宋体" w:hAnsi="宋体" w:eastAsia="宋体" w:cs="宋体"/>
                <w:color w:val="000000"/>
                <w:highlight w:val="none"/>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12"/>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12"/>
              <w:jc w:val="center"/>
              <w:spacing w:beforeAutospacing="0" w:afterAutospacing="0" w:line="0" w:lineRule="atLeast"/>
              <w:rPr>
                <w:highlight w:val="none"/>
              </w:rPr>
            </w:pPr>
            <w:r>
              <w:rPr>
                <w:rFonts w:hint="eastAsia" w:ascii="宋体" w:hAnsi="宋体" w:eastAsia="宋体" w:cs="宋体"/>
                <w:color w:val="000000"/>
                <w:highlight w:val="none"/>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12"/>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12"/>
              <w:jc w:val="center"/>
              <w:spacing w:beforeAutospacing="0" w:afterAutospacing="0" w:line="0" w:lineRule="atLeast"/>
              <w:rPr>
                <w:highlight w:val="none"/>
              </w:rPr>
            </w:pPr>
            <w:r>
              <w:rPr>
                <w:rFonts w:hint="eastAsia" w:ascii="宋体" w:hAnsi="宋体" w:eastAsia="宋体" w:cs="宋体"/>
                <w:color w:val="000000"/>
                <w:highlight w:val="none"/>
              </w:rPr>
              <w:t xml:space="preserve">分项</w:t>
            </w:r>
            <w:r/>
          </w:p>
          <w:p>
            <w:pPr>
              <w:pStyle w:val="612"/>
              <w:jc w:val="center"/>
              <w:spacing w:beforeAutospacing="0" w:afterAutospacing="0" w:line="0" w:lineRule="atLeast"/>
              <w:rPr>
                <w:highlight w:val="none"/>
              </w:rPr>
            </w:pPr>
            <w:r>
              <w:rPr>
                <w:rFonts w:hint="eastAsia" w:ascii="宋体" w:hAnsi="宋体" w:eastAsia="宋体" w:cs="宋体"/>
                <w:color w:val="000000"/>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12"/>
              <w:jc w:val="center"/>
              <w:spacing w:beforeAutospacing="0" w:afterAutospacing="0" w:line="0" w:lineRule="atLeast"/>
              <w:rPr>
                <w:highlight w:val="none"/>
              </w:rPr>
            </w:pPr>
            <w:r>
              <w:rPr>
                <w:rFonts w:hint="eastAsia" w:ascii="宋体" w:hAnsi="宋体" w:eastAsia="宋体" w:cs="宋体"/>
                <w:color w:val="000000"/>
                <w:highlight w:val="none"/>
              </w:rPr>
              <w:t xml:space="preserve">分项</w:t>
            </w:r>
            <w:r/>
          </w:p>
          <w:p>
            <w:pPr>
              <w:pStyle w:val="612"/>
              <w:jc w:val="center"/>
              <w:spacing w:beforeAutospacing="0" w:afterAutospacing="0" w:line="0" w:lineRule="atLeast"/>
              <w:rPr>
                <w:highlight w:val="none"/>
              </w:rPr>
            </w:pPr>
            <w:r>
              <w:rPr>
                <w:rFonts w:hint="eastAsia" w:ascii="宋体" w:hAnsi="宋体" w:eastAsia="宋体" w:cs="宋体"/>
                <w:color w:val="000000"/>
                <w:highlight w:val="none"/>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12"/>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12"/>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12"/>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12"/>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12"/>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12"/>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12"/>
              <w:jc w:val="center"/>
              <w:spacing w:beforeAutospacing="0" w:afterAutospacing="0" w:line="0" w:lineRule="atLeast"/>
              <w:rPr>
                <w:highlight w:val="none"/>
              </w:rPr>
            </w:pPr>
            <w:r>
              <w:rPr>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12"/>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12"/>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12"/>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12"/>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12"/>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12"/>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12"/>
              <w:jc w:val="center"/>
              <w:spacing w:beforeAutospacing="0" w:afterAutospacing="0" w:line="0" w:lineRule="atLeast"/>
              <w:rPr>
                <w:highlight w:val="none"/>
              </w:rPr>
            </w:pPr>
            <w:r>
              <w:rPr>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12"/>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12"/>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12"/>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12"/>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12"/>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12"/>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12"/>
              <w:jc w:val="center"/>
              <w:spacing w:beforeAutospacing="0" w:afterAutospacing="0" w:line="0" w:lineRule="atLeast"/>
              <w:rPr>
                <w:highlight w:val="none"/>
              </w:rPr>
            </w:pPr>
            <w:r>
              <w:rPr>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12"/>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12"/>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12"/>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12"/>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12"/>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12"/>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12"/>
              <w:jc w:val="center"/>
              <w:spacing w:beforeAutospacing="0" w:afterAutospacing="0" w:line="0" w:lineRule="atLeast"/>
              <w:rPr>
                <w:highlight w:val="none"/>
              </w:rPr>
            </w:pPr>
            <w:r>
              <w:rPr>
                <w:highlight w:val="none"/>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612"/>
              <w:jc w:val="center"/>
              <w:spacing w:beforeAutospacing="0" w:afterAutospacing="0" w:line="0" w:lineRule="atLeast"/>
              <w:rPr>
                <w:highlight w:val="none"/>
              </w:rPr>
            </w:pPr>
            <w:r>
              <w:rPr>
                <w:rFonts w:hint="eastAsia" w:ascii="宋体" w:hAnsi="宋体" w:eastAsia="宋体" w:cs="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12"/>
              <w:jc w:val="both"/>
              <w:spacing w:beforeAutospacing="0" w:afterAutospacing="0" w:line="0" w:lineRule="atLeast"/>
              <w:rPr>
                <w:highlight w:val="none"/>
              </w:rPr>
            </w:pPr>
            <w:r>
              <w:rPr>
                <w:highlight w:val="none"/>
              </w:rPr>
              <w:t xml:space="preserve"> </w:t>
            </w:r>
            <w:r/>
          </w:p>
        </w:tc>
      </w:tr>
    </w:tbl>
    <w:p>
      <w:pPr>
        <w:pStyle w:val="61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w:t>
      </w:r>
      <w:r>
        <w:rPr>
          <w:rFonts w:hint="eastAsia" w:ascii="宋体" w:hAnsi="宋体" w:eastAsia="宋体" w:cs="宋体"/>
          <w:color w:val="000000"/>
          <w:highlight w:val="none"/>
          <w:lang w:val="en-US" w:eastAsia="zh-CN"/>
        </w:rPr>
        <w:t xml:space="preserve">的其它所有费用，招标文件另有规定的除外。2. “投标分项报价表”中“投标总报价”数额应当与“开标一览表”中“投标总报价”数额一致。</w:t>
      </w:r>
      <w:r/>
    </w:p>
    <w:p>
      <w:pPr>
        <w:pStyle w:val="612"/>
        <w:jc w:val="center"/>
        <w:spacing w:beforeAutospacing="0" w:afterAutospacing="0"/>
        <w:rPr>
          <w:highlight w:val="none"/>
        </w:rPr>
      </w:pPr>
      <w:r>
        <w:rPr>
          <w:highlight w:val="none"/>
        </w:rPr>
        <w:t xml:space="preserve"> </w:t>
      </w:r>
      <w:r/>
    </w:p>
    <w:p>
      <w:pPr>
        <w:pStyle w:val="612"/>
        <w:jc w:val="center"/>
        <w:spacing w:beforeAutospacing="0" w:afterAutospacing="0"/>
        <w:rPr>
          <w:highlight w:val="none"/>
        </w:rPr>
      </w:pPr>
      <w:r>
        <w:rPr>
          <w:highlight w:val="none"/>
        </w:rPr>
        <w:t xml:space="preserve"> </w:t>
      </w:r>
      <w:r/>
    </w:p>
    <w:p>
      <w:pPr>
        <w:pStyle w:val="612"/>
        <w:jc w:val="center"/>
        <w:spacing w:beforeAutospacing="0" w:afterAutospacing="0"/>
        <w:rPr>
          <w:highlight w:val="none"/>
        </w:rPr>
      </w:pPr>
      <w:r>
        <w:rPr>
          <w:highlight w:val="none"/>
        </w:rPr>
        <w:t xml:space="preserve"> </w:t>
      </w:r>
      <w:r/>
    </w:p>
    <w:p>
      <w:pPr>
        <w:pStyle w:val="612"/>
        <w:jc w:val="center"/>
        <w:spacing w:beforeAutospacing="0" w:afterAutospacing="0"/>
        <w:rPr>
          <w:highlight w:val="none"/>
        </w:rPr>
      </w:pPr>
      <w:r>
        <w:rPr>
          <w:highlight w:val="none"/>
        </w:rPr>
        <w:t xml:space="preserve"> </w:t>
      </w:r>
      <w:r/>
    </w:p>
    <w:p>
      <w:pPr>
        <w:pStyle w:val="612"/>
        <w:jc w:val="center"/>
        <w:spacing w:beforeAutospacing="0" w:afterAutospacing="0"/>
        <w:rPr>
          <w:highlight w:val="none"/>
        </w:rPr>
      </w:pPr>
      <w:r>
        <w:rPr>
          <w:highlight w:val="none"/>
        </w:rPr>
      </w:r>
      <w:r/>
    </w:p>
    <w:p>
      <w:pPr>
        <w:pStyle w:val="612"/>
        <w:jc w:val="center"/>
        <w:spacing w:beforeAutospacing="0" w:afterAutospacing="0"/>
        <w:rPr>
          <w:highlight w:val="none"/>
        </w:rPr>
      </w:pPr>
      <w:r>
        <w:rPr>
          <w:highlight w:val="none"/>
        </w:rPr>
      </w:r>
      <w:r/>
    </w:p>
    <w:p>
      <w:pPr>
        <w:pStyle w:val="612"/>
        <w:jc w:val="center"/>
        <w:spacing w:beforeAutospacing="0" w:afterAutospacing="0"/>
        <w:rPr>
          <w:highlight w:val="none"/>
        </w:rPr>
      </w:pPr>
      <w:r>
        <w:rPr>
          <w:highlight w:val="none"/>
        </w:rPr>
      </w:r>
      <w:r/>
    </w:p>
    <w:p>
      <w:pPr>
        <w:pStyle w:val="612"/>
        <w:jc w:val="center"/>
        <w:spacing w:beforeAutospacing="0" w:afterAutospacing="0"/>
        <w:rPr>
          <w:highlight w:val="none"/>
        </w:rPr>
      </w:pPr>
      <w:r>
        <w:rPr>
          <w:highlight w:val="none"/>
        </w:rPr>
      </w:r>
      <w:r/>
    </w:p>
    <w:p>
      <w:pPr>
        <w:pStyle w:val="612"/>
        <w:jc w:val="center"/>
        <w:spacing w:beforeAutospacing="0" w:afterAutospacing="0"/>
        <w:rPr>
          <w:highlight w:val="none"/>
        </w:rPr>
      </w:pPr>
      <w:r>
        <w:rPr>
          <w:highlight w:val="none"/>
        </w:rPr>
      </w:r>
      <w:r/>
    </w:p>
    <w:p>
      <w:pPr>
        <w:pStyle w:val="612"/>
        <w:jc w:val="center"/>
        <w:spacing w:beforeAutospacing="0" w:afterAutospacing="0"/>
        <w:rPr>
          <w:highlight w:val="none"/>
        </w:rPr>
      </w:pPr>
      <w:r>
        <w:rPr>
          <w:highlight w:val="none"/>
        </w:rPr>
      </w:r>
      <w:r/>
    </w:p>
    <w:p>
      <w:pPr>
        <w:pStyle w:val="612"/>
        <w:jc w:val="center"/>
        <w:spacing w:beforeAutospacing="0" w:afterAutospacing="0"/>
        <w:rPr>
          <w:highlight w:val="none"/>
        </w:rPr>
      </w:pPr>
      <w:r>
        <w:rPr>
          <w:highlight w:val="none"/>
        </w:rPr>
      </w:r>
      <w:r/>
    </w:p>
    <w:p>
      <w:pPr>
        <w:pStyle w:val="612"/>
        <w:jc w:val="center"/>
        <w:spacing w:beforeAutospacing="0" w:afterAutospacing="0"/>
        <w:rPr>
          <w:highlight w:val="none"/>
        </w:rPr>
      </w:pPr>
      <w:r>
        <w:rPr>
          <w:highlight w:val="none"/>
        </w:rPr>
      </w:r>
      <w:r/>
    </w:p>
    <w:p>
      <w:pPr>
        <w:pStyle w:val="612"/>
        <w:jc w:val="center"/>
        <w:spacing w:beforeAutospacing="0" w:afterAutospacing="0"/>
        <w:rPr>
          <w:highlight w:val="none"/>
        </w:rPr>
      </w:pPr>
      <w:r>
        <w:rPr>
          <w:highlight w:val="none"/>
        </w:rPr>
      </w:r>
      <w:r/>
    </w:p>
    <w:p>
      <w:pPr>
        <w:pStyle w:val="612"/>
        <w:jc w:val="center"/>
        <w:spacing w:beforeAutospacing="0" w:afterAutospacing="0"/>
        <w:rPr>
          <w:highlight w:val="none"/>
        </w:rPr>
      </w:pPr>
      <w:r>
        <w:rPr>
          <w:highlight w:val="none"/>
        </w:rPr>
        <w:t xml:space="preserve"> </w:t>
      </w:r>
      <w:r/>
    </w:p>
    <w:p>
      <w:pPr>
        <w:pStyle w:val="612"/>
        <w:jc w:val="center"/>
        <w:spacing w:beforeAutospacing="0" w:afterAutospacing="0"/>
        <w:rPr>
          <w:highlight w:val="none"/>
        </w:rPr>
      </w:pPr>
      <w:r>
        <w:rPr>
          <w:highlight w:val="none"/>
        </w:rPr>
        <w:t xml:space="preserve"> </w:t>
      </w:r>
      <w:r/>
    </w:p>
    <w:p>
      <w:pPr>
        <w:pStyle w:val="612"/>
        <w:jc w:val="center"/>
        <w:spacing w:beforeAutospacing="0" w:afterAutospacing="0"/>
        <w:rPr>
          <w:highlight w:val="none"/>
        </w:rPr>
      </w:pPr>
      <w:r>
        <w:rPr>
          <w:highlight w:val="none"/>
        </w:rPr>
        <w:t xml:space="preserve"> </w:t>
      </w:r>
      <w:r/>
    </w:p>
    <w:p>
      <w:pPr>
        <w:pStyle w:val="612"/>
        <w:jc w:val="center"/>
        <w:spacing w:beforeAutospacing="0" w:afterAutospacing="0"/>
        <w:rPr>
          <w:highlight w:val="none"/>
        </w:rPr>
      </w:pPr>
      <w:r>
        <w:rPr>
          <w:highlight w:val="none"/>
        </w:rPr>
        <w:t xml:space="preserve"> </w:t>
      </w:r>
      <w:r/>
    </w:p>
    <w:p>
      <w:pPr>
        <w:pStyle w:val="612"/>
        <w:jc w:val="center"/>
        <w:spacing w:beforeAutospacing="0" w:afterAutospacing="0"/>
        <w:rPr>
          <w:highlight w:val="none"/>
        </w:rPr>
      </w:pPr>
      <w:r>
        <w:rPr>
          <w:highlight w:val="none"/>
        </w:rPr>
      </w:r>
      <w:r/>
    </w:p>
    <w:p>
      <w:pPr>
        <w:pStyle w:val="612"/>
        <w:jc w:val="center"/>
        <w:spacing w:beforeAutospacing="0" w:afterAutospacing="0"/>
        <w:rPr>
          <w:highlight w:val="none"/>
        </w:rPr>
      </w:pPr>
      <w:r>
        <w:rPr>
          <w:highlight w:val="none"/>
        </w:rPr>
      </w:r>
      <w:r/>
    </w:p>
    <w:p>
      <w:pPr>
        <w:pStyle w:val="612"/>
        <w:jc w:val="center"/>
        <w:spacing w:beforeAutospacing="0" w:afterAutospacing="0"/>
        <w:rPr>
          <w:highlight w:val="none"/>
        </w:rPr>
      </w:pPr>
      <w:r>
        <w:rPr>
          <w:highlight w:val="none"/>
        </w:rPr>
      </w:r>
      <w:r/>
    </w:p>
    <w:p>
      <w:pPr>
        <w:pStyle w:val="612"/>
        <w:jc w:val="center"/>
        <w:spacing w:beforeAutospacing="0" w:afterAutospacing="0"/>
        <w:rPr>
          <w:highlight w:val="none"/>
        </w:rPr>
      </w:pPr>
      <w:r>
        <w:rPr>
          <w:highlight w:val="none"/>
        </w:rPr>
        <w:t xml:space="preserve"> </w:t>
      </w:r>
      <w:r/>
    </w:p>
    <w:p>
      <w:pPr>
        <w:pStyle w:val="612"/>
        <w:jc w:val="center"/>
        <w:spacing w:beforeAutospacing="0" w:afterAutospacing="0"/>
        <w:rPr>
          <w:highlight w:val="none"/>
        </w:rPr>
      </w:pPr>
      <w:r>
        <w:rPr>
          <w:highlight w:val="none"/>
        </w:rPr>
      </w:r>
      <w:r>
        <w:rPr>
          <w:highlight w:val="none"/>
        </w:rPr>
      </w:r>
    </w:p>
    <w:p>
      <w:pPr>
        <w:pStyle w:val="612"/>
        <w:jc w:val="center"/>
        <w:spacing w:beforeAutospacing="0" w:afterAutospacing="0"/>
        <w:rPr>
          <w:highlight w:val="none"/>
        </w:rPr>
      </w:pPr>
      <w:r>
        <w:rPr>
          <w:highlight w:val="none"/>
        </w:rPr>
      </w:r>
      <w:r>
        <w:rPr>
          <w:highlight w:val="none"/>
        </w:rPr>
      </w:r>
    </w:p>
    <w:p>
      <w:pPr>
        <w:pStyle w:val="612"/>
        <w:jc w:val="center"/>
        <w:spacing w:beforeAutospacing="0" w:afterAutospacing="0"/>
        <w:rPr>
          <w:highlight w:val="none"/>
        </w:rPr>
      </w:pPr>
      <w:r>
        <w:rPr>
          <w:highlight w:val="none"/>
        </w:rPr>
      </w:r>
      <w:r/>
    </w:p>
    <w:p>
      <w:pPr>
        <w:pStyle w:val="612"/>
        <w:jc w:val="center"/>
        <w:spacing w:beforeAutospacing="0" w:afterAutospacing="0"/>
        <w:rPr>
          <w:highlight w:val="none"/>
        </w:rPr>
      </w:pPr>
      <w:r>
        <w:rPr>
          <w:rFonts w:hint="eastAsia" w:ascii="黑体" w:hAnsi="宋体" w:eastAsia="黑体" w:cs="黑体"/>
          <w:b/>
          <w:color w:val="000000"/>
          <w:sz w:val="32"/>
          <w:szCs w:val="32"/>
          <w:highlight w:val="none"/>
        </w:rPr>
        <w:t xml:space="preserve">十三、技术要求响应及偏离表</w:t>
      </w:r>
      <w:r/>
    </w:p>
    <w:tbl>
      <w:tblPr>
        <w:tblStyle w:val="605"/>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12"/>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12"/>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2"/>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2"/>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2"/>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12"/>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12"/>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2"/>
              <w:jc w:val="center"/>
              <w:spacing w:beforeAutospacing="0" w:afterAutospacing="0"/>
              <w:rPr>
                <w:highlight w:val="none"/>
              </w:rPr>
            </w:pPr>
            <w:r>
              <w:rPr>
                <w:highlight w:val="none"/>
              </w:rPr>
              <w:t xml:space="preserve"> </w:t>
            </w:r>
            <w:r/>
          </w:p>
        </w:tc>
      </w:tr>
    </w:tbl>
    <w:p>
      <w:pPr>
        <w:pStyle w:val="612"/>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12"/>
        <w:jc w:val="center"/>
        <w:spacing w:beforeAutospacing="0" w:afterAutospacing="0"/>
        <w:rPr>
          <w:highlight w:val="none"/>
        </w:rPr>
      </w:pPr>
      <w:r>
        <w:rPr>
          <w:highlight w:val="none"/>
        </w:rPr>
        <w:t xml:space="preserve"> </w:t>
      </w:r>
      <w:r/>
    </w:p>
    <w:p>
      <w:pPr>
        <w:pStyle w:val="612"/>
        <w:jc w:val="center"/>
        <w:spacing w:beforeAutospacing="0" w:afterAutospacing="0"/>
        <w:rPr>
          <w:highlight w:val="none"/>
        </w:rPr>
      </w:pPr>
      <w:r>
        <w:rPr>
          <w:highlight w:val="none"/>
        </w:rPr>
        <w:t xml:space="preserve"> </w:t>
      </w:r>
      <w:r/>
    </w:p>
    <w:p>
      <w:pPr>
        <w:pStyle w:val="612"/>
        <w:jc w:val="center"/>
        <w:spacing w:beforeAutospacing="0" w:afterAutospacing="0"/>
        <w:rPr>
          <w:highlight w:val="none"/>
        </w:rPr>
      </w:pPr>
      <w:r>
        <w:rPr>
          <w:highlight w:val="none"/>
        </w:rPr>
        <w:t xml:space="preserve"> </w:t>
      </w:r>
      <w:r/>
    </w:p>
    <w:p>
      <w:pPr>
        <w:pStyle w:val="612"/>
        <w:jc w:val="center"/>
        <w:spacing w:beforeAutospacing="0" w:afterAutospacing="0"/>
        <w:rPr>
          <w:highlight w:val="none"/>
        </w:rPr>
      </w:pPr>
      <w:r>
        <w:rPr>
          <w:highlight w:val="none"/>
        </w:rPr>
        <w:t xml:space="preserve"> </w:t>
      </w:r>
      <w:r/>
    </w:p>
    <w:p>
      <w:pPr>
        <w:pStyle w:val="612"/>
        <w:jc w:val="both"/>
        <w:spacing w:beforeAutospacing="0" w:afterAutospacing="0"/>
        <w:rPr>
          <w:highlight w:val="none"/>
        </w:rPr>
      </w:pPr>
      <w:r>
        <w:rPr>
          <w:highlight w:val="none"/>
        </w:rPr>
        <w:t xml:space="preserve"> </w:t>
      </w:r>
      <w:r/>
    </w:p>
    <w:p>
      <w:pPr>
        <w:pStyle w:val="612"/>
        <w:jc w:val="both"/>
        <w:spacing w:beforeAutospacing="0" w:afterAutospacing="0"/>
        <w:rPr>
          <w:highlight w:val="none"/>
        </w:rPr>
      </w:pPr>
      <w:r>
        <w:rPr>
          <w:highlight w:val="none"/>
        </w:rPr>
        <w:t xml:space="preserve"> </w:t>
      </w:r>
      <w:r/>
    </w:p>
    <w:p>
      <w:pPr>
        <w:pStyle w:val="612"/>
        <w:jc w:val="both"/>
        <w:spacing w:beforeAutospacing="0" w:afterAutospacing="0"/>
        <w:rPr>
          <w:highlight w:val="none"/>
        </w:rPr>
      </w:pPr>
      <w:r>
        <w:rPr>
          <w:highlight w:val="none"/>
        </w:rPr>
        <w:t xml:space="preserve"> </w:t>
      </w:r>
      <w:r/>
    </w:p>
    <w:p>
      <w:pPr>
        <w:pStyle w:val="612"/>
        <w:jc w:val="both"/>
        <w:spacing w:beforeAutospacing="0" w:afterAutospacing="0"/>
        <w:rPr>
          <w:highlight w:val="none"/>
        </w:rPr>
      </w:pPr>
      <w:r>
        <w:rPr>
          <w:highlight w:val="none"/>
        </w:rPr>
        <w:t xml:space="preserve"> </w:t>
      </w:r>
      <w:r/>
    </w:p>
    <w:p>
      <w:pPr>
        <w:pStyle w:val="612"/>
        <w:jc w:val="both"/>
        <w:spacing w:beforeAutospacing="0" w:afterAutospacing="0"/>
        <w:rPr>
          <w:highlight w:val="none"/>
        </w:rPr>
      </w:pPr>
      <w:r>
        <w:rPr>
          <w:highlight w:val="none"/>
        </w:rPr>
      </w:r>
      <w:r/>
    </w:p>
    <w:p>
      <w:pPr>
        <w:pStyle w:val="612"/>
        <w:jc w:val="both"/>
        <w:spacing w:beforeAutospacing="0" w:afterAutospacing="0"/>
        <w:rPr>
          <w:highlight w:val="none"/>
        </w:rPr>
      </w:pPr>
      <w:r>
        <w:rPr>
          <w:highlight w:val="none"/>
        </w:rPr>
      </w:r>
      <w:r/>
    </w:p>
    <w:p>
      <w:pPr>
        <w:pStyle w:val="612"/>
        <w:jc w:val="both"/>
        <w:spacing w:beforeAutospacing="0" w:afterAutospacing="0"/>
        <w:rPr>
          <w:highlight w:val="none"/>
        </w:rPr>
      </w:pPr>
      <w:r>
        <w:rPr>
          <w:highlight w:val="none"/>
        </w:rPr>
      </w:r>
      <w:r/>
    </w:p>
    <w:p>
      <w:pPr>
        <w:pStyle w:val="612"/>
        <w:jc w:val="both"/>
        <w:spacing w:beforeAutospacing="0" w:afterAutospacing="0"/>
        <w:rPr>
          <w:highlight w:val="none"/>
        </w:rPr>
      </w:pPr>
      <w:r>
        <w:rPr>
          <w:highlight w:val="none"/>
        </w:rPr>
      </w:r>
      <w:r/>
    </w:p>
    <w:p>
      <w:pPr>
        <w:pStyle w:val="612"/>
        <w:jc w:val="both"/>
        <w:spacing w:beforeAutospacing="0" w:afterAutospacing="0"/>
        <w:rPr>
          <w:highlight w:val="none"/>
        </w:rPr>
      </w:pPr>
      <w:r>
        <w:rPr>
          <w:highlight w:val="none"/>
        </w:rPr>
      </w:r>
      <w:r/>
    </w:p>
    <w:p>
      <w:pPr>
        <w:pStyle w:val="612"/>
        <w:jc w:val="both"/>
        <w:spacing w:beforeAutospacing="0" w:afterAutospacing="0"/>
        <w:rPr>
          <w:highlight w:val="none"/>
        </w:rPr>
      </w:pPr>
      <w:r>
        <w:rPr>
          <w:highlight w:val="none"/>
        </w:rPr>
      </w:r>
      <w:r/>
    </w:p>
    <w:p>
      <w:pPr>
        <w:pStyle w:val="612"/>
        <w:jc w:val="both"/>
        <w:spacing w:beforeAutospacing="0" w:afterAutospacing="0"/>
        <w:rPr>
          <w:highlight w:val="none"/>
        </w:rPr>
      </w:pPr>
      <w:r>
        <w:rPr>
          <w:highlight w:val="none"/>
        </w:rPr>
      </w:r>
      <w:r/>
    </w:p>
    <w:p>
      <w:pPr>
        <w:pStyle w:val="612"/>
        <w:jc w:val="both"/>
        <w:spacing w:beforeAutospacing="0" w:afterAutospacing="0"/>
        <w:rPr>
          <w:highlight w:val="none"/>
        </w:rPr>
      </w:pPr>
      <w:r>
        <w:rPr>
          <w:highlight w:val="none"/>
        </w:rPr>
      </w:r>
      <w:r/>
    </w:p>
    <w:p>
      <w:pPr>
        <w:pStyle w:val="612"/>
        <w:jc w:val="both"/>
        <w:spacing w:beforeAutospacing="0" w:afterAutospacing="0"/>
        <w:rPr>
          <w:highlight w:val="none"/>
        </w:rPr>
      </w:pPr>
      <w:r>
        <w:rPr>
          <w:highlight w:val="none"/>
        </w:rPr>
      </w:r>
      <w:r/>
    </w:p>
    <w:p>
      <w:pPr>
        <w:pStyle w:val="612"/>
        <w:jc w:val="both"/>
        <w:spacing w:beforeAutospacing="0" w:afterAutospacing="0"/>
        <w:rPr>
          <w:highlight w:val="none"/>
        </w:rPr>
      </w:pPr>
      <w:r>
        <w:rPr>
          <w:highlight w:val="none"/>
        </w:rPr>
      </w:r>
      <w:r/>
    </w:p>
    <w:p>
      <w:pPr>
        <w:pStyle w:val="612"/>
        <w:jc w:val="both"/>
        <w:spacing w:beforeAutospacing="0" w:afterAutospacing="0"/>
        <w:rPr>
          <w:highlight w:val="none"/>
        </w:rPr>
      </w:pPr>
      <w:r>
        <w:rPr>
          <w:highlight w:val="none"/>
        </w:rPr>
      </w:r>
      <w:r/>
    </w:p>
    <w:p>
      <w:pPr>
        <w:pStyle w:val="612"/>
        <w:jc w:val="both"/>
        <w:spacing w:beforeAutospacing="0" w:afterAutospacing="0"/>
        <w:rPr>
          <w:highlight w:val="none"/>
        </w:rPr>
      </w:pPr>
      <w:r>
        <w:rPr>
          <w:highlight w:val="none"/>
        </w:rPr>
      </w:r>
      <w:r/>
    </w:p>
    <w:p>
      <w:pPr>
        <w:pStyle w:val="612"/>
        <w:jc w:val="both"/>
        <w:spacing w:beforeAutospacing="0" w:afterAutospacing="0"/>
        <w:rPr>
          <w:highlight w:val="none"/>
        </w:rPr>
      </w:pPr>
      <w:r>
        <w:rPr>
          <w:highlight w:val="none"/>
        </w:rPr>
      </w:r>
      <w:r>
        <w:rPr>
          <w:highlight w:val="none"/>
        </w:rPr>
      </w:r>
    </w:p>
    <w:p>
      <w:pPr>
        <w:pStyle w:val="612"/>
        <w:jc w:val="both"/>
        <w:spacing w:beforeAutospacing="0" w:afterAutospacing="0"/>
        <w:rPr>
          <w:highlight w:val="none"/>
        </w:rPr>
      </w:pPr>
      <w:r>
        <w:rPr>
          <w:highlight w:val="none"/>
        </w:rPr>
      </w:r>
      <w:r>
        <w:rPr>
          <w:highlight w:val="none"/>
        </w:rPr>
      </w:r>
    </w:p>
    <w:p>
      <w:pPr>
        <w:pStyle w:val="612"/>
        <w:jc w:val="both"/>
        <w:spacing w:beforeAutospacing="0" w:afterAutospacing="0"/>
        <w:rPr>
          <w:highlight w:val="none"/>
        </w:rPr>
      </w:pPr>
      <w:r>
        <w:rPr>
          <w:highlight w:val="none"/>
        </w:rPr>
      </w:r>
      <w:r/>
    </w:p>
    <w:p>
      <w:pPr>
        <w:pStyle w:val="612"/>
        <w:jc w:val="both"/>
        <w:spacing w:beforeAutospacing="0" w:afterAutospacing="0"/>
        <w:rPr>
          <w:highlight w:val="none"/>
        </w:rPr>
      </w:pPr>
      <w:r>
        <w:rPr>
          <w:highlight w:val="none"/>
        </w:rPr>
        <w:t xml:space="preserve"> </w:t>
      </w:r>
      <w:r/>
    </w:p>
    <w:p>
      <w:pPr>
        <w:pStyle w:val="612"/>
        <w:jc w:val="center"/>
        <w:spacing w:beforeAutospacing="0" w:afterAutospacing="0"/>
        <w:rPr>
          <w:highlight w:val="none"/>
        </w:rPr>
      </w:pPr>
      <w:r/>
      <w:bookmarkStart w:id="190" w:name="_Hlt26955054"/>
      <w:r>
        <w:rPr>
          <w:rFonts w:hint="eastAsia" w:ascii="黑体" w:hAnsi="宋体" w:eastAsia="黑体" w:cs="黑体"/>
          <w:b/>
          <w:color w:val="000000"/>
          <w:sz w:val="32"/>
          <w:szCs w:val="32"/>
          <w:highlight w:val="none"/>
        </w:rPr>
        <w:t xml:space="preserve">十四、商务要求响应及偏离表</w:t>
      </w:r>
      <w:r/>
    </w:p>
    <w:tbl>
      <w:tblPr>
        <w:tblStyle w:val="605"/>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12"/>
              <w:jc w:val="center"/>
              <w:spacing w:beforeAutospacing="0" w:afterAutospacing="0"/>
              <w:rPr>
                <w:highlight w:val="none"/>
              </w:rPr>
            </w:pPr>
            <w:r/>
            <w:bookmarkStart w:id="191" w:name="_Hlt26671343"/>
            <w:r/>
            <w:bookmarkStart w:id="192" w:name="_Hlt26609391"/>
            <w:r/>
            <w:bookmarkStart w:id="193" w:name="_Hlt24879081"/>
            <w:r/>
            <w:bookmarkStart w:id="194" w:name="_Hlt26955064"/>
            <w:r/>
            <w:bookmarkStart w:id="195" w:name="_Hlt26580838"/>
            <w:r/>
            <w:bookmarkStart w:id="196" w:name="_Hlt26955056"/>
            <w:r/>
            <w:bookmarkStart w:id="197" w:name="_Hlt26782999"/>
            <w:r/>
            <w:bookmarkStart w:id="198" w:name="_Hlt26671372"/>
            <w:r>
              <w:rPr>
                <w:rFonts w:hint="eastAsia" w:ascii="宋体" w:hAnsi="宋体" w:eastAsia="宋体" w:cs="宋体"/>
                <w:color w:val="000000"/>
                <w:highlight w:val="none"/>
              </w:rPr>
              <w:t xml:space="preserve">序号</w:t>
            </w:r>
            <w:bookmarkEnd w:id="191"/>
            <w:bookmarkEnd w:id="192"/>
            <w:bookmarkEnd w:id="193"/>
            <w:bookmarkEnd w:id="194"/>
            <w:bookmarkEnd w:id="195"/>
            <w:bookmarkEnd w:id="196"/>
            <w:bookmarkEnd w:id="197"/>
            <w:bookmarkEnd w:id="198"/>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12"/>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12"/>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12"/>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12"/>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12"/>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1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1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1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1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1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1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1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1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12"/>
              <w:jc w:val="center"/>
              <w:spacing w:beforeAutospacing="0" w:afterAutospacing="0"/>
              <w:rPr>
                <w:highlight w:val="none"/>
              </w:rPr>
            </w:pPr>
            <w:r>
              <w:rPr>
                <w:highlight w:val="none"/>
              </w:rPr>
              <w:t xml:space="preserve"> </w:t>
            </w:r>
            <w:r/>
          </w:p>
        </w:tc>
      </w:tr>
    </w:tbl>
    <w:p>
      <w:pPr>
        <w:pStyle w:val="612"/>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12"/>
        <w:jc w:val="both"/>
        <w:spacing w:beforeAutospacing="0" w:afterAutospacing="0" w:line="480" w:lineRule="auto"/>
        <w:rPr>
          <w:highlight w:val="none"/>
        </w:rPr>
      </w:pPr>
      <w:r>
        <w:rPr>
          <w:highlight w:val="none"/>
        </w:rPr>
        <w:t xml:space="preserve"> </w:t>
      </w:r>
      <w:r/>
    </w:p>
    <w:p>
      <w:pPr>
        <w:pStyle w:val="612"/>
        <w:jc w:val="both"/>
        <w:spacing w:beforeAutospacing="0" w:afterAutospacing="0" w:line="480" w:lineRule="auto"/>
        <w:rPr>
          <w:highlight w:val="none"/>
        </w:rPr>
      </w:pPr>
      <w:r>
        <w:rPr>
          <w:highlight w:val="none"/>
        </w:rPr>
        <w:t xml:space="preserve"> </w:t>
      </w:r>
      <w:r/>
    </w:p>
    <w:p>
      <w:pPr>
        <w:pStyle w:val="612"/>
        <w:jc w:val="center"/>
        <w:spacing w:beforeAutospacing="0" w:afterAutospacing="0"/>
        <w:rPr>
          <w:highlight w:val="none"/>
        </w:rPr>
      </w:pPr>
      <w:r/>
      <w:bookmarkStart w:id="199" w:name="_Toc462564146"/>
      <w:r/>
      <w:bookmarkStart w:id="200" w:name="_格式2__法定代表人授权书"/>
      <w:r/>
      <w:bookmarkStart w:id="201" w:name="_Hlt26609389"/>
      <w:r/>
      <w:bookmarkStart w:id="202" w:name="_Hlt26955066"/>
      <w:r/>
      <w:bookmarkStart w:id="203" w:name="_Hlt26671374"/>
      <w:r>
        <w:rPr>
          <w:highlight w:val="none"/>
        </w:rPr>
        <w:t xml:space="preserve"> </w:t>
      </w:r>
      <w:r/>
    </w:p>
    <w:p>
      <w:pPr>
        <w:pStyle w:val="612"/>
        <w:jc w:val="both"/>
        <w:spacing w:beforeAutospacing="0" w:afterAutospacing="0"/>
        <w:rPr>
          <w:highlight w:val="none"/>
        </w:rPr>
      </w:pPr>
      <w:r>
        <w:rPr>
          <w:highlight w:val="none"/>
        </w:rPr>
        <w:t xml:space="preserve"> </w:t>
      </w:r>
      <w:r/>
    </w:p>
    <w:p>
      <w:pPr>
        <w:pStyle w:val="612"/>
        <w:jc w:val="both"/>
        <w:spacing w:beforeAutospacing="0" w:afterAutospacing="0"/>
        <w:rPr>
          <w:highlight w:val="none"/>
        </w:rPr>
      </w:pPr>
      <w:r>
        <w:rPr>
          <w:highlight w:val="none"/>
        </w:rPr>
        <w:t xml:space="preserve"> </w:t>
      </w:r>
      <w:r/>
    </w:p>
    <w:p>
      <w:pPr>
        <w:pStyle w:val="612"/>
        <w:jc w:val="both"/>
        <w:spacing w:beforeAutospacing="0" w:afterAutospacing="0"/>
        <w:rPr>
          <w:highlight w:val="none"/>
        </w:rPr>
      </w:pPr>
      <w:r>
        <w:rPr>
          <w:highlight w:val="none"/>
        </w:rPr>
      </w:r>
      <w:r/>
    </w:p>
    <w:p>
      <w:pPr>
        <w:pStyle w:val="612"/>
        <w:jc w:val="both"/>
        <w:spacing w:beforeAutospacing="0" w:afterAutospacing="0"/>
        <w:rPr>
          <w:highlight w:val="none"/>
        </w:rPr>
      </w:pPr>
      <w:r>
        <w:rPr>
          <w:highlight w:val="none"/>
        </w:rPr>
      </w:r>
      <w:r/>
    </w:p>
    <w:p>
      <w:pPr>
        <w:pStyle w:val="612"/>
        <w:jc w:val="both"/>
        <w:spacing w:beforeAutospacing="0" w:afterAutospacing="0"/>
        <w:rPr>
          <w:highlight w:val="none"/>
        </w:rPr>
      </w:pPr>
      <w:r>
        <w:rPr>
          <w:highlight w:val="none"/>
        </w:rPr>
      </w:r>
      <w:r/>
    </w:p>
    <w:p>
      <w:pPr>
        <w:pStyle w:val="612"/>
        <w:jc w:val="both"/>
        <w:spacing w:beforeAutospacing="0" w:afterAutospacing="0"/>
        <w:rPr>
          <w:highlight w:val="none"/>
        </w:rPr>
      </w:pPr>
      <w:r>
        <w:rPr>
          <w:highlight w:val="none"/>
        </w:rPr>
      </w:r>
      <w:r/>
    </w:p>
    <w:p>
      <w:pPr>
        <w:pStyle w:val="612"/>
        <w:jc w:val="both"/>
        <w:spacing w:beforeAutospacing="0" w:afterAutospacing="0"/>
        <w:rPr>
          <w:highlight w:val="none"/>
        </w:rPr>
      </w:pPr>
      <w:r>
        <w:rPr>
          <w:highlight w:val="none"/>
        </w:rPr>
      </w:r>
      <w:r/>
    </w:p>
    <w:p>
      <w:pPr>
        <w:pStyle w:val="612"/>
        <w:jc w:val="both"/>
        <w:spacing w:beforeAutospacing="0" w:afterAutospacing="0"/>
        <w:rPr>
          <w:highlight w:val="none"/>
        </w:rPr>
      </w:pPr>
      <w:r>
        <w:rPr>
          <w:highlight w:val="none"/>
        </w:rPr>
      </w:r>
      <w:r/>
    </w:p>
    <w:p>
      <w:pPr>
        <w:pStyle w:val="612"/>
        <w:jc w:val="both"/>
        <w:spacing w:beforeAutospacing="0" w:afterAutospacing="0"/>
        <w:rPr>
          <w:highlight w:val="none"/>
        </w:rPr>
      </w:pPr>
      <w:r>
        <w:rPr>
          <w:highlight w:val="none"/>
        </w:rPr>
      </w:r>
      <w:r/>
    </w:p>
    <w:p>
      <w:pPr>
        <w:pStyle w:val="612"/>
        <w:jc w:val="both"/>
        <w:spacing w:beforeAutospacing="0" w:afterAutospacing="0"/>
        <w:rPr>
          <w:highlight w:val="none"/>
        </w:rPr>
      </w:pPr>
      <w:r>
        <w:rPr>
          <w:highlight w:val="none"/>
        </w:rPr>
      </w:r>
      <w:r/>
    </w:p>
    <w:p>
      <w:pPr>
        <w:pStyle w:val="612"/>
        <w:jc w:val="both"/>
        <w:spacing w:beforeAutospacing="0" w:afterAutospacing="0"/>
        <w:rPr>
          <w:highlight w:val="none"/>
        </w:rPr>
      </w:pPr>
      <w:r>
        <w:rPr>
          <w:highlight w:val="none"/>
        </w:rPr>
      </w:r>
      <w:r/>
    </w:p>
    <w:p>
      <w:pPr>
        <w:pStyle w:val="612"/>
        <w:jc w:val="both"/>
        <w:spacing w:beforeAutospacing="0" w:afterAutospacing="0"/>
        <w:rPr>
          <w:highlight w:val="none"/>
        </w:rPr>
      </w:pPr>
      <w:r>
        <w:rPr>
          <w:highlight w:val="none"/>
        </w:rPr>
      </w:r>
      <w:r/>
    </w:p>
    <w:p>
      <w:pPr>
        <w:pStyle w:val="612"/>
        <w:jc w:val="both"/>
        <w:spacing w:beforeAutospacing="0" w:afterAutospacing="0"/>
        <w:rPr>
          <w:highlight w:val="none"/>
        </w:rPr>
      </w:pPr>
      <w:r>
        <w:rPr>
          <w:highlight w:val="none"/>
        </w:rPr>
      </w:r>
      <w:r/>
    </w:p>
    <w:p>
      <w:pPr>
        <w:pStyle w:val="612"/>
        <w:jc w:val="both"/>
        <w:spacing w:beforeAutospacing="0" w:afterAutospacing="0"/>
        <w:rPr>
          <w:highlight w:val="none"/>
        </w:rPr>
      </w:pPr>
      <w:r>
        <w:rPr>
          <w:highlight w:val="none"/>
        </w:rPr>
      </w:r>
      <w:r/>
    </w:p>
    <w:p>
      <w:pPr>
        <w:pStyle w:val="612"/>
        <w:jc w:val="both"/>
        <w:spacing w:beforeAutospacing="0" w:afterAutospacing="0"/>
        <w:rPr>
          <w:highlight w:val="none"/>
        </w:rPr>
      </w:pPr>
      <w:r>
        <w:rPr>
          <w:highlight w:val="none"/>
        </w:rPr>
      </w:r>
      <w:r>
        <w:rPr>
          <w:highlight w:val="none"/>
        </w:rPr>
      </w:r>
    </w:p>
    <w:p>
      <w:pPr>
        <w:pStyle w:val="612"/>
        <w:jc w:val="both"/>
        <w:spacing w:beforeAutospacing="0" w:afterAutospacing="0"/>
        <w:rPr>
          <w:highlight w:val="none"/>
        </w:rPr>
      </w:pPr>
      <w:r>
        <w:rPr>
          <w:highlight w:val="none"/>
        </w:rPr>
      </w:r>
      <w:r>
        <w:rPr>
          <w:highlight w:val="none"/>
        </w:rPr>
      </w:r>
    </w:p>
    <w:p>
      <w:pPr>
        <w:pStyle w:val="612"/>
        <w:jc w:val="both"/>
        <w:spacing w:beforeAutospacing="0" w:afterAutospacing="0"/>
        <w:rPr>
          <w:highlight w:val="none"/>
        </w:rPr>
      </w:pPr>
      <w:r>
        <w:rPr>
          <w:highlight w:val="none"/>
        </w:rPr>
      </w:r>
      <w:r/>
    </w:p>
    <w:p>
      <w:pPr>
        <w:pStyle w:val="612"/>
        <w:jc w:val="both"/>
        <w:spacing w:beforeAutospacing="0" w:afterAutospacing="0"/>
        <w:rPr>
          <w:highlight w:val="none"/>
        </w:rPr>
      </w:pPr>
      <w:r>
        <w:rPr>
          <w:highlight w:val="none"/>
        </w:rPr>
      </w:r>
      <w:r/>
    </w:p>
    <w:p>
      <w:pPr>
        <w:pStyle w:val="612"/>
        <w:jc w:val="both"/>
        <w:spacing w:beforeAutospacing="0" w:afterAutospacing="0"/>
        <w:rPr>
          <w:highlight w:val="none"/>
        </w:rPr>
      </w:pPr>
      <w:r>
        <w:rPr>
          <w:highlight w:val="none"/>
        </w:rPr>
      </w:r>
      <w:r/>
    </w:p>
    <w:p>
      <w:pPr>
        <w:pStyle w:val="612"/>
        <w:jc w:val="center"/>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十五、开标一览表</w:t>
      </w:r>
      <w:r/>
    </w:p>
    <w:p>
      <w:pPr>
        <w:pStyle w:val="612"/>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612"/>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612"/>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12"/>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605"/>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12"/>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12"/>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12"/>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612"/>
        <w:jc w:val="both"/>
        <w:spacing w:beforeAutospacing="0" w:afterAutospacing="0"/>
        <w:rPr>
          <w:color w:val="auto"/>
          <w:highlight w:val="none"/>
        </w:rPr>
      </w:pPr>
      <w:r>
        <w:rPr>
          <w:color w:val="auto"/>
          <w:highlight w:val="none"/>
        </w:rPr>
        <w:t xml:space="preserve"> </w:t>
      </w:r>
      <w:r/>
    </w:p>
    <w:p>
      <w:pPr>
        <w:pStyle w:val="612"/>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12"/>
        <w:ind w:firstLine="480"/>
        <w:jc w:val="both"/>
        <w:spacing w:beforeAutospacing="0" w:afterAutospacing="0"/>
        <w:rPr>
          <w:highlight w:val="none"/>
        </w:rPr>
      </w:pPr>
      <w:r>
        <w:rPr>
          <w:highlight w:val="none"/>
        </w:rPr>
        <w:t xml:space="preserve"> </w:t>
      </w:r>
      <w:r/>
    </w:p>
    <w:p>
      <w:pPr>
        <w:pStyle w:val="61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1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1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1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1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1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1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1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1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1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1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1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1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1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jc w:val="center"/>
        <w:spacing w:before="50" w:after="50"/>
        <w:widowControl/>
        <w:rPr>
          <w:highlight w:val="none"/>
        </w:rPr>
      </w:pPr>
      <w:r>
        <w:rPr>
          <w:highlight w:val="none"/>
        </w:rPr>
        <w:tab/>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pStyle w:val="615"/>
        <w:rPr>
          <w:highlight w:val="none"/>
        </w:rPr>
      </w:pPr>
      <w:r>
        <w:rPr>
          <w:highlight w:val="none"/>
        </w:rPr>
      </w:r>
      <w:r/>
    </w:p>
    <w:p>
      <w:pPr>
        <w:pStyle w:val="615"/>
        <w:rPr>
          <w:highlight w:val="none"/>
        </w:rPr>
      </w:pPr>
      <w:r>
        <w:rPr>
          <w:highlight w:val="none"/>
        </w:rPr>
      </w:r>
      <w:r/>
    </w:p>
    <w:p>
      <w:pPr>
        <w:pStyle w:val="615"/>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rPr>
          <w:highlight w:val="none"/>
        </w:rPr>
      </w:r>
    </w:p>
    <w:p>
      <w:pPr>
        <w:jc w:val="center"/>
        <w:spacing w:before="50" w:after="50"/>
        <w:widowControl/>
        <w:rPr>
          <w:highlight w:val="none"/>
        </w:rPr>
      </w:pPr>
      <w:r>
        <w:rPr>
          <w:highlight w:val="none"/>
        </w:rPr>
      </w:r>
      <w:r>
        <w:rPr>
          <w:highlight w:val="none"/>
        </w:rPr>
      </w:r>
    </w:p>
    <w:p>
      <w:pPr>
        <w:jc w:val="center"/>
        <w:spacing w:before="50" w:after="50"/>
        <w:widowControl/>
        <w:rPr>
          <w:highlight w:val="none"/>
        </w:rPr>
      </w:pPr>
      <w:r>
        <w:rPr>
          <w:highlight w:val="none"/>
        </w:rPr>
      </w:r>
      <w:r>
        <w:rPr>
          <w:highlight w:val="none"/>
        </w:rP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十六、供应商认为需要提供的其他材料</w:t>
      </w:r>
      <w:r/>
    </w:p>
    <w:p>
      <w:pPr>
        <w:pStyle w:val="612"/>
        <w:jc w:val="both"/>
        <w:spacing w:beforeAutospacing="0" w:afterAutospacing="0"/>
        <w:tabs>
          <w:tab w:val="left" w:pos="2160" w:leader="none"/>
        </w:tabs>
        <w:rPr>
          <w:highlight w:val="none"/>
        </w:rPr>
      </w:pPr>
      <w:r>
        <w:rPr>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rPr>
          <w:rFonts w:ascii="宋体" w:hAnsi="宋体" w:eastAsia="宋体" w:cs="宋体"/>
          <w:color w:val="000000"/>
          <w:sz w:val="32"/>
          <w:szCs w:val="32"/>
          <w:highlight w:val="none"/>
        </w:rP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rPr>
          <w:rFonts w:ascii="宋体" w:hAnsi="宋体" w:eastAsia="宋体" w:cs="宋体"/>
          <w:color w:val="000000"/>
          <w:sz w:val="32"/>
          <w:szCs w:val="32"/>
          <w:highlight w:val="none"/>
        </w:rP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rPr>
          <w:rFonts w:ascii="宋体" w:hAnsi="宋体" w:eastAsia="宋体" w:cs="宋体"/>
          <w:color w:val="000000"/>
          <w:sz w:val="32"/>
          <w:szCs w:val="32"/>
          <w:highlight w:val="none"/>
        </w:rP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rPr>
          <w:rFonts w:ascii="宋体" w:hAnsi="宋体" w:eastAsia="宋体" w:cs="宋体"/>
          <w:color w:val="000000"/>
          <w:sz w:val="32"/>
          <w:szCs w:val="32"/>
          <w:highlight w:val="none"/>
        </w:rP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rPr>
          <w:rFonts w:ascii="宋体" w:hAnsi="宋体" w:eastAsia="宋体" w:cs="宋体"/>
          <w:color w:val="000000"/>
          <w:sz w:val="32"/>
          <w:szCs w:val="32"/>
          <w:highlight w:val="none"/>
        </w:rP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rPr>
          <w:rFonts w:ascii="宋体" w:hAnsi="宋体" w:eastAsia="宋体" w:cs="宋体"/>
          <w:color w:val="000000"/>
          <w:sz w:val="32"/>
          <w:szCs w:val="32"/>
          <w:highlight w:val="none"/>
        </w:rP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十七、</w:t>
      </w:r>
      <w:r>
        <w:rPr>
          <w:rFonts w:hint="eastAsia" w:ascii="宋体" w:hAnsi="宋体" w:eastAsia="宋体" w:cs="宋体"/>
          <w:b/>
          <w:bCs/>
          <w:color w:val="000000"/>
          <w:sz w:val="32"/>
          <w:szCs w:val="32"/>
          <w:highlight w:val="none"/>
          <w:lang w:val="en-US" w:eastAsia="zh-CN"/>
        </w:rPr>
        <w:t xml:space="preserve">响水县</w:t>
      </w:r>
      <w:r>
        <w:rPr>
          <w:rFonts w:hint="eastAsia" w:ascii="宋体" w:hAnsi="宋体" w:eastAsia="宋体" w:cs="宋体"/>
          <w:b/>
          <w:bCs/>
          <w:color w:val="000000"/>
          <w:sz w:val="32"/>
          <w:szCs w:val="32"/>
          <w:highlight w:val="none"/>
        </w:rPr>
        <w:t xml:space="preserve">政府采购事前信用承诺书</w:t>
      </w:r>
      <w:r/>
    </w:p>
    <w:p>
      <w:pPr>
        <w:ind w:firstLine="640"/>
        <w:jc w:val="left"/>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w:t>
      </w:r>
      <w:r>
        <w:rPr>
          <w:rFonts w:hint="eastAsia" w:ascii="宋体" w:hAnsi="宋体" w:eastAsia="宋体" w:cs="宋体"/>
          <w:color w:val="000000"/>
          <w:sz w:val="24"/>
          <w:highlight w:val="none"/>
          <w:lang w:val="en-US" w:eastAsia="zh-CN"/>
        </w:rPr>
        <w:t xml:space="preserve">县</w:t>
      </w:r>
      <w:r>
        <w:rPr>
          <w:rFonts w:hint="eastAsia" w:ascii="宋体" w:hAnsi="宋体" w:eastAsia="宋体" w:cs="宋体"/>
          <w:color w:val="000000"/>
          <w:sz w:val="24"/>
          <w:highlight w:val="none"/>
        </w:rPr>
        <w:t xml:space="preserve">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年月日</w:t>
      </w:r>
      <w:r/>
    </w:p>
    <w:p>
      <w:pPr>
        <w:pStyle w:val="612"/>
        <w:jc w:val="center"/>
        <w:spacing w:beforeAutospacing="0" w:afterAutospacing="0"/>
        <w:rPr>
          <w:highlight w:val="none"/>
        </w:rPr>
      </w:pPr>
      <w:r>
        <w:rPr>
          <w:highlight w:val="none"/>
        </w:rPr>
      </w:r>
      <w:r>
        <w:rPr>
          <w:highlight w:val="none"/>
        </w:rPr>
      </w:r>
    </w:p>
    <w:p>
      <w:pPr>
        <w:pStyle w:val="612"/>
        <w:jc w:val="center"/>
        <w:spacing w:beforeAutospacing="0" w:afterAutospacing="0"/>
        <w:rPr>
          <w:highlight w:val="none"/>
        </w:rPr>
      </w:pPr>
      <w:r>
        <w:rPr>
          <w:highlight w:val="none"/>
        </w:rPr>
      </w:r>
      <w:bookmarkEnd w:id="31"/>
      <w:bookmarkEnd w:id="45"/>
      <w:bookmarkEnd w:id="90"/>
      <w:bookmarkEnd w:id="91"/>
      <w:bookmarkEnd w:id="92"/>
      <w:bookmarkEnd w:id="95"/>
      <w:bookmarkEnd w:id="96"/>
      <w:bookmarkEnd w:id="97"/>
      <w:bookmarkEnd w:id="98"/>
      <w:bookmarkEnd w:id="99"/>
      <w:bookmarkEnd w:id="100"/>
      <w:bookmarkEnd w:id="101"/>
      <w:bookmarkEnd w:id="102"/>
      <w:bookmarkEnd w:id="103"/>
      <w:bookmarkEnd w:id="104"/>
      <w:bookmarkEnd w:id="105"/>
      <w:bookmarkEnd w:id="106"/>
      <w:bookmarkEnd w:id="107"/>
      <w:bookmarkEnd w:id="112"/>
      <w:bookmarkEnd w:id="113"/>
      <w:bookmarkEnd w:id="114"/>
      <w:bookmarkEnd w:id="119"/>
      <w:bookmarkEnd w:id="120"/>
      <w:bookmarkEnd w:id="127"/>
      <w:bookmarkEnd w:id="177"/>
      <w:bookmarkEnd w:id="180"/>
      <w:bookmarkEnd w:id="184"/>
      <w:bookmarkEnd w:id="185"/>
      <w:bookmarkEnd w:id="187"/>
      <w:bookmarkEnd w:id="188"/>
      <w:bookmarkEnd w:id="189"/>
      <w:bookmarkEnd w:id="190"/>
      <w:bookmarkEnd w:id="199"/>
      <w:bookmarkEnd w:id="200"/>
      <w:bookmarkEnd w:id="201"/>
      <w:bookmarkEnd w:id="202"/>
      <w:bookmarkEnd w:id="203"/>
      <w:r/>
    </w:p>
    <w:p>
      <w:pPr>
        <w:rPr>
          <w:highlight w:val="none"/>
        </w:rPr>
      </w:pPr>
      <w:r>
        <w:rPr>
          <w:highlight w:val="none"/>
        </w:rPr>
      </w:r>
      <w:r/>
    </w:p>
    <w:p>
      <w:pPr>
        <w:pStyle w:val="612"/>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612"/>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61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12"/>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1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12"/>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1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61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1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12"/>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1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61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61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612"/>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61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1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61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61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61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612"/>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61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61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61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61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61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612"/>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612"/>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61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61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1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61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61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61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12"/>
        <w:ind w:firstLine="420"/>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rPr>
          <w:highlight w:val="none"/>
        </w:rPr>
      </w:pPr>
      <w:r>
        <w:rPr>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楷体_GB2312">
    <w:panose1 w:val="02010609060101010101"/>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02"/>
    <w:next w:val="60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04"/>
    <w:link w:val="12"/>
    <w:uiPriority w:val="9"/>
    <w:rPr>
      <w:rFonts w:ascii="Arial" w:hAnsi="Arial" w:eastAsia="Arial" w:cs="Arial"/>
      <w:sz w:val="40"/>
      <w:szCs w:val="40"/>
    </w:rPr>
  </w:style>
  <w:style w:type="character" w:styleId="15">
    <w:name w:val="Heading 2 Char"/>
    <w:basedOn w:val="604"/>
    <w:link w:val="603"/>
    <w:uiPriority w:val="9"/>
    <w:rPr>
      <w:rFonts w:ascii="Arial" w:hAnsi="Arial" w:eastAsia="Arial" w:cs="Arial"/>
      <w:sz w:val="34"/>
    </w:rPr>
  </w:style>
  <w:style w:type="paragraph" w:styleId="16">
    <w:name w:val="Heading 3"/>
    <w:basedOn w:val="602"/>
    <w:next w:val="60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04"/>
    <w:link w:val="16"/>
    <w:uiPriority w:val="9"/>
    <w:rPr>
      <w:rFonts w:ascii="Arial" w:hAnsi="Arial" w:eastAsia="Arial" w:cs="Arial"/>
      <w:sz w:val="30"/>
      <w:szCs w:val="30"/>
    </w:rPr>
  </w:style>
  <w:style w:type="paragraph" w:styleId="18">
    <w:name w:val="Heading 4"/>
    <w:basedOn w:val="602"/>
    <w:next w:val="60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04"/>
    <w:link w:val="18"/>
    <w:uiPriority w:val="9"/>
    <w:rPr>
      <w:rFonts w:ascii="Arial" w:hAnsi="Arial" w:eastAsia="Arial" w:cs="Arial"/>
      <w:b/>
      <w:bCs/>
      <w:sz w:val="26"/>
      <w:szCs w:val="26"/>
    </w:rPr>
  </w:style>
  <w:style w:type="paragraph" w:styleId="20">
    <w:name w:val="Heading 5"/>
    <w:basedOn w:val="602"/>
    <w:next w:val="60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04"/>
    <w:link w:val="20"/>
    <w:uiPriority w:val="9"/>
    <w:rPr>
      <w:rFonts w:ascii="Arial" w:hAnsi="Arial" w:eastAsia="Arial" w:cs="Arial"/>
      <w:b/>
      <w:bCs/>
      <w:sz w:val="24"/>
      <w:szCs w:val="24"/>
    </w:rPr>
  </w:style>
  <w:style w:type="paragraph" w:styleId="22">
    <w:name w:val="Heading 6"/>
    <w:basedOn w:val="602"/>
    <w:next w:val="60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04"/>
    <w:link w:val="22"/>
    <w:uiPriority w:val="9"/>
    <w:rPr>
      <w:rFonts w:ascii="Arial" w:hAnsi="Arial" w:eastAsia="Arial" w:cs="Arial"/>
      <w:b/>
      <w:bCs/>
      <w:sz w:val="22"/>
      <w:szCs w:val="22"/>
    </w:rPr>
  </w:style>
  <w:style w:type="paragraph" w:styleId="24">
    <w:name w:val="Heading 7"/>
    <w:basedOn w:val="602"/>
    <w:next w:val="60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04"/>
    <w:link w:val="24"/>
    <w:uiPriority w:val="9"/>
    <w:rPr>
      <w:rFonts w:ascii="Arial" w:hAnsi="Arial" w:eastAsia="Arial" w:cs="Arial"/>
      <w:b/>
      <w:bCs/>
      <w:i/>
      <w:iCs/>
      <w:sz w:val="22"/>
      <w:szCs w:val="22"/>
    </w:rPr>
  </w:style>
  <w:style w:type="paragraph" w:styleId="26">
    <w:name w:val="Heading 8"/>
    <w:basedOn w:val="602"/>
    <w:next w:val="60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04"/>
    <w:link w:val="26"/>
    <w:uiPriority w:val="9"/>
    <w:rPr>
      <w:rFonts w:ascii="Arial" w:hAnsi="Arial" w:eastAsia="Arial" w:cs="Arial"/>
      <w:i/>
      <w:iCs/>
      <w:sz w:val="22"/>
      <w:szCs w:val="22"/>
    </w:rPr>
  </w:style>
  <w:style w:type="paragraph" w:styleId="28">
    <w:name w:val="Heading 9"/>
    <w:basedOn w:val="602"/>
    <w:next w:val="60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04"/>
    <w:link w:val="28"/>
    <w:uiPriority w:val="9"/>
    <w:rPr>
      <w:rFonts w:ascii="Arial" w:hAnsi="Arial" w:eastAsia="Arial" w:cs="Arial"/>
      <w:i/>
      <w:iCs/>
      <w:sz w:val="21"/>
      <w:szCs w:val="21"/>
    </w:rPr>
  </w:style>
  <w:style w:type="paragraph" w:styleId="30">
    <w:name w:val="List Paragraph"/>
    <w:basedOn w:val="60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02"/>
    <w:next w:val="602"/>
    <w:link w:val="34"/>
    <w:uiPriority w:val="10"/>
    <w:qFormat/>
    <w:pPr>
      <w:contextualSpacing/>
      <w:spacing w:before="300" w:after="200"/>
    </w:pPr>
    <w:rPr>
      <w:sz w:val="48"/>
      <w:szCs w:val="48"/>
    </w:rPr>
  </w:style>
  <w:style w:type="character" w:styleId="34">
    <w:name w:val="Title Char"/>
    <w:basedOn w:val="604"/>
    <w:link w:val="33"/>
    <w:uiPriority w:val="10"/>
    <w:rPr>
      <w:sz w:val="48"/>
      <w:szCs w:val="48"/>
    </w:rPr>
  </w:style>
  <w:style w:type="paragraph" w:styleId="35">
    <w:name w:val="Subtitle"/>
    <w:basedOn w:val="602"/>
    <w:next w:val="602"/>
    <w:link w:val="36"/>
    <w:uiPriority w:val="11"/>
    <w:qFormat/>
    <w:pPr>
      <w:spacing w:before="200" w:after="200"/>
    </w:pPr>
    <w:rPr>
      <w:sz w:val="24"/>
      <w:szCs w:val="24"/>
    </w:rPr>
  </w:style>
  <w:style w:type="character" w:styleId="36">
    <w:name w:val="Subtitle Char"/>
    <w:basedOn w:val="604"/>
    <w:link w:val="35"/>
    <w:uiPriority w:val="11"/>
    <w:rPr>
      <w:sz w:val="24"/>
      <w:szCs w:val="24"/>
    </w:rPr>
  </w:style>
  <w:style w:type="paragraph" w:styleId="37">
    <w:name w:val="Quote"/>
    <w:basedOn w:val="602"/>
    <w:next w:val="602"/>
    <w:link w:val="38"/>
    <w:uiPriority w:val="29"/>
    <w:qFormat/>
    <w:pPr>
      <w:ind w:left="720" w:right="720"/>
    </w:pPr>
    <w:rPr>
      <w:i/>
    </w:rPr>
  </w:style>
  <w:style w:type="character" w:styleId="38">
    <w:name w:val="Quote Char"/>
    <w:link w:val="37"/>
    <w:uiPriority w:val="29"/>
    <w:rPr>
      <w:i/>
    </w:rPr>
  </w:style>
  <w:style w:type="paragraph" w:styleId="39">
    <w:name w:val="Intense Quote"/>
    <w:basedOn w:val="602"/>
    <w:next w:val="60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04"/>
    <w:link w:val="611"/>
    <w:uiPriority w:val="99"/>
  </w:style>
  <w:style w:type="character" w:styleId="44">
    <w:name w:val="Footer Char"/>
    <w:basedOn w:val="604"/>
    <w:link w:val="610"/>
    <w:uiPriority w:val="99"/>
  </w:style>
  <w:style w:type="paragraph" w:styleId="45">
    <w:name w:val="Caption"/>
    <w:basedOn w:val="602"/>
    <w:next w:val="602"/>
    <w:uiPriority w:val="35"/>
    <w:semiHidden/>
    <w:unhideWhenUsed/>
    <w:qFormat/>
    <w:pPr>
      <w:spacing w:line="276" w:lineRule="auto"/>
    </w:pPr>
    <w:rPr>
      <w:b/>
      <w:bCs/>
      <w:color w:val="4f81bd" w:themeColor="accent1"/>
      <w:sz w:val="18"/>
      <w:szCs w:val="18"/>
    </w:rPr>
  </w:style>
  <w:style w:type="character" w:styleId="46">
    <w:name w:val="Caption Char"/>
    <w:basedOn w:val="45"/>
    <w:link w:val="610"/>
    <w:uiPriority w:val="99"/>
  </w:style>
  <w:style w:type="table" w:styleId="48">
    <w:name w:val="Table Grid Light"/>
    <w:basedOn w:val="6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0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0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0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0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0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0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0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04"/>
    <w:uiPriority w:val="99"/>
    <w:unhideWhenUsed/>
    <w:rPr>
      <w:vertAlign w:val="superscript"/>
    </w:rPr>
  </w:style>
  <w:style w:type="paragraph" w:styleId="177">
    <w:name w:val="endnote text"/>
    <w:basedOn w:val="60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04"/>
    <w:uiPriority w:val="99"/>
    <w:semiHidden/>
    <w:unhideWhenUsed/>
    <w:rPr>
      <w:vertAlign w:val="superscript"/>
    </w:rPr>
  </w:style>
  <w:style w:type="paragraph" w:styleId="180">
    <w:name w:val="toc 1"/>
    <w:basedOn w:val="602"/>
    <w:next w:val="602"/>
    <w:uiPriority w:val="39"/>
    <w:unhideWhenUsed/>
    <w:pPr>
      <w:ind w:left="0" w:right="0" w:firstLine="0"/>
      <w:spacing w:after="57"/>
    </w:pPr>
  </w:style>
  <w:style w:type="paragraph" w:styleId="181">
    <w:name w:val="toc 2"/>
    <w:basedOn w:val="602"/>
    <w:next w:val="602"/>
    <w:uiPriority w:val="39"/>
    <w:unhideWhenUsed/>
    <w:pPr>
      <w:ind w:left="283" w:right="0" w:firstLine="0"/>
      <w:spacing w:after="57"/>
    </w:pPr>
  </w:style>
  <w:style w:type="paragraph" w:styleId="182">
    <w:name w:val="toc 3"/>
    <w:basedOn w:val="602"/>
    <w:next w:val="602"/>
    <w:uiPriority w:val="39"/>
    <w:unhideWhenUsed/>
    <w:pPr>
      <w:ind w:left="567" w:right="0" w:firstLine="0"/>
      <w:spacing w:after="57"/>
    </w:pPr>
  </w:style>
  <w:style w:type="paragraph" w:styleId="183">
    <w:name w:val="toc 4"/>
    <w:basedOn w:val="602"/>
    <w:next w:val="602"/>
    <w:uiPriority w:val="39"/>
    <w:unhideWhenUsed/>
    <w:pPr>
      <w:ind w:left="850" w:right="0" w:firstLine="0"/>
      <w:spacing w:after="57"/>
    </w:pPr>
  </w:style>
  <w:style w:type="paragraph" w:styleId="184">
    <w:name w:val="toc 5"/>
    <w:basedOn w:val="602"/>
    <w:next w:val="602"/>
    <w:uiPriority w:val="39"/>
    <w:unhideWhenUsed/>
    <w:pPr>
      <w:ind w:left="1134" w:right="0" w:firstLine="0"/>
      <w:spacing w:after="57"/>
    </w:pPr>
  </w:style>
  <w:style w:type="paragraph" w:styleId="185">
    <w:name w:val="toc 6"/>
    <w:basedOn w:val="602"/>
    <w:next w:val="602"/>
    <w:uiPriority w:val="39"/>
    <w:unhideWhenUsed/>
    <w:pPr>
      <w:ind w:left="1417" w:right="0" w:firstLine="0"/>
      <w:spacing w:after="57"/>
    </w:pPr>
  </w:style>
  <w:style w:type="paragraph" w:styleId="186">
    <w:name w:val="toc 7"/>
    <w:basedOn w:val="602"/>
    <w:next w:val="602"/>
    <w:uiPriority w:val="39"/>
    <w:unhideWhenUsed/>
    <w:pPr>
      <w:ind w:left="1701" w:right="0" w:firstLine="0"/>
      <w:spacing w:after="57"/>
    </w:pPr>
  </w:style>
  <w:style w:type="paragraph" w:styleId="187">
    <w:name w:val="toc 8"/>
    <w:basedOn w:val="602"/>
    <w:next w:val="602"/>
    <w:uiPriority w:val="39"/>
    <w:unhideWhenUsed/>
    <w:pPr>
      <w:ind w:left="1984" w:right="0" w:firstLine="0"/>
      <w:spacing w:after="57"/>
    </w:pPr>
  </w:style>
  <w:style w:type="paragraph" w:styleId="188">
    <w:name w:val="toc 9"/>
    <w:basedOn w:val="602"/>
    <w:next w:val="60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02"/>
    <w:next w:val="602"/>
    <w:uiPriority w:val="99"/>
    <w:unhideWhenUsed/>
    <w:pPr>
      <w:spacing w:after="0" w:afterAutospacing="0"/>
    </w:pPr>
  </w:style>
  <w:style w:type="paragraph" w:styleId="602"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03">
    <w:name w:val="Heading 2"/>
    <w:basedOn w:val="602"/>
    <w:next w:val="602"/>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04" w:default="1">
    <w:name w:val="Default Paragraph Font"/>
    <w:uiPriority w:val="1"/>
    <w:semiHidden/>
    <w:unhideWhenUsed/>
    <w:qFormat/>
  </w:style>
  <w:style w:type="table" w:styleId="605" w:default="1">
    <w:name w:val="Normal Table"/>
    <w:uiPriority w:val="99"/>
    <w:semiHidden/>
    <w:unhideWhenUsed/>
    <w:qFormat/>
    <w:tblPr>
      <w:tblCellMar>
        <w:left w:w="108" w:type="dxa"/>
        <w:top w:w="0" w:type="dxa"/>
        <w:right w:w="108" w:type="dxa"/>
        <w:bottom w:w="0" w:type="dxa"/>
      </w:tblCellMar>
    </w:tblPr>
  </w:style>
  <w:style w:type="paragraph" w:styleId="606">
    <w:name w:val="annotation text"/>
    <w:basedOn w:val="602"/>
    <w:uiPriority w:val="0"/>
    <w:qFormat/>
    <w:pPr>
      <w:jc w:val="left"/>
    </w:pPr>
  </w:style>
  <w:style w:type="paragraph" w:styleId="607">
    <w:name w:val="Body Text"/>
    <w:basedOn w:val="602"/>
    <w:uiPriority w:val="0"/>
    <w:semiHidden/>
    <w:qFormat/>
    <w:rPr>
      <w:rFonts w:ascii="仿宋" w:hAnsi="仿宋" w:eastAsia="仿宋" w:cs="仿宋"/>
      <w:sz w:val="31"/>
      <w:szCs w:val="31"/>
      <w:lang w:val="en-US" w:eastAsia="en-US" w:bidi="ar-SA"/>
    </w:rPr>
  </w:style>
  <w:style w:type="paragraph" w:styleId="608">
    <w:name w:val="Body Text Indent"/>
    <w:basedOn w:val="602"/>
    <w:next w:val="609"/>
    <w:uiPriority w:val="0"/>
    <w:qFormat/>
    <w:pPr>
      <w:ind w:firstLine="645"/>
    </w:pPr>
    <w:rPr>
      <w:rFonts w:ascii="楷体_GB2312" w:hAnsi="Times New Roman" w:eastAsia="楷体_GB2312"/>
      <w:sz w:val="32"/>
      <w:szCs w:val="20"/>
    </w:rPr>
  </w:style>
  <w:style w:type="paragraph" w:styleId="609">
    <w:name w:val="envelope return"/>
    <w:basedOn w:val="602"/>
    <w:uiPriority w:val="0"/>
    <w:qFormat/>
    <w:rPr>
      <w:rFonts w:ascii="Arial" w:hAnsi="Arial" w:eastAsia="宋体" w:cs="Times New Roman"/>
    </w:rPr>
  </w:style>
  <w:style w:type="paragraph" w:styleId="610">
    <w:name w:val="Footer"/>
    <w:basedOn w:val="602"/>
    <w:link w:val="617"/>
    <w:uiPriority w:val="0"/>
    <w:qFormat/>
    <w:pPr>
      <w:jc w:val="left"/>
      <w:tabs>
        <w:tab w:val="center" w:pos="4153" w:leader="none"/>
        <w:tab w:val="right" w:pos="8306" w:leader="none"/>
      </w:tabs>
    </w:pPr>
    <w:rPr>
      <w:sz w:val="18"/>
      <w:szCs w:val="18"/>
    </w:rPr>
  </w:style>
  <w:style w:type="paragraph" w:styleId="611">
    <w:name w:val="Header"/>
    <w:basedOn w:val="602"/>
    <w:link w:val="616"/>
    <w:uiPriority w:val="0"/>
    <w:qFormat/>
    <w:pPr>
      <w:jc w:val="center"/>
      <w:tabs>
        <w:tab w:val="center" w:pos="4153" w:leader="none"/>
        <w:tab w:val="right" w:pos="8306" w:leader="none"/>
      </w:tabs>
      <w:pBdr>
        <w:bottom w:val="single" w:color="auto" w:sz="6" w:space="1"/>
      </w:pBdr>
    </w:pPr>
    <w:rPr>
      <w:sz w:val="18"/>
      <w:szCs w:val="18"/>
    </w:rPr>
  </w:style>
  <w:style w:type="paragraph" w:styleId="612">
    <w:name w:val="Normal (Web)"/>
    <w:basedOn w:val="602"/>
    <w:uiPriority w:val="0"/>
    <w:qFormat/>
    <w:pPr>
      <w:jc w:val="left"/>
      <w:spacing w:beforeAutospacing="1" w:afterAutospacing="1"/>
    </w:pPr>
    <w:rPr>
      <w:rFonts w:cs="Times New Roman"/>
      <w:sz w:val="24"/>
    </w:rPr>
  </w:style>
  <w:style w:type="paragraph" w:styleId="613">
    <w:name w:val="Body Text First Indent 2"/>
    <w:basedOn w:val="608"/>
    <w:next w:val="602"/>
    <w:uiPriority w:val="0"/>
    <w:qFormat/>
    <w:pPr>
      <w:ind w:left="420" w:firstLine="420"/>
      <w:spacing w:after="120" w:line="240" w:lineRule="auto"/>
    </w:pPr>
    <w:rPr>
      <w:rFonts w:ascii="Calibri" w:eastAsia="宋体"/>
      <w:sz w:val="28"/>
    </w:rPr>
  </w:style>
  <w:style w:type="table" w:styleId="61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615" w:customStyle="1">
    <w:name w:val="Default"/>
    <w:basedOn w:val="602"/>
    <w:uiPriority w:val="0"/>
    <w:semiHidden/>
    <w:qFormat/>
    <w:pPr>
      <w:jc w:val="left"/>
    </w:pPr>
    <w:rPr>
      <w:rFonts w:ascii="宋体" w:hAnsi="Calibri" w:cs="宋体"/>
      <w:color w:val="000000"/>
      <w:sz w:val="24"/>
    </w:rPr>
  </w:style>
  <w:style w:type="character" w:styleId="616" w:customStyle="1">
    <w:name w:val="页眉 Char"/>
    <w:basedOn w:val="604"/>
    <w:link w:val="611"/>
    <w:uiPriority w:val="0"/>
    <w:qFormat/>
    <w:rPr>
      <w:rFonts w:asciiTheme="minorHAnsi" w:hAnsiTheme="minorHAnsi" w:eastAsiaTheme="minorEastAsia" w:cstheme="minorBidi"/>
      <w:sz w:val="18"/>
      <w:szCs w:val="18"/>
    </w:rPr>
  </w:style>
  <w:style w:type="character" w:styleId="617" w:customStyle="1">
    <w:name w:val="页脚 Char"/>
    <w:basedOn w:val="604"/>
    <w:link w:val="610"/>
    <w:uiPriority w:val="0"/>
    <w:qFormat/>
    <w:rPr>
      <w:rFonts w:asciiTheme="minorHAnsi" w:hAnsiTheme="minorHAnsi" w:eastAsiaTheme="minorEastAsia" w:cstheme="minorBidi"/>
      <w:sz w:val="18"/>
      <w:szCs w:val="18"/>
    </w:rPr>
  </w:style>
  <w:style w:type="paragraph" w:styleId="618" w:customStyle="1">
    <w:name w:val="普通正文"/>
    <w:basedOn w:val="602"/>
    <w:uiPriority w:val="0"/>
    <w:qFormat/>
    <w:pPr>
      <w:ind w:firstLine="480"/>
      <w:jc w:val="left"/>
      <w:spacing w:before="120" w:after="120" w:line="360" w:lineRule="auto"/>
    </w:pPr>
    <w:rPr>
      <w:rFonts w:ascii="Arial" w:hAnsi="Arial" w:eastAsia="等线" w:cs="Arial"/>
      <w:sz w:val="24"/>
      <w:szCs w:val="24"/>
    </w:rPr>
  </w:style>
  <w:style w:type="paragraph" w:styleId="619" w:customStyle="1">
    <w:name w:val="正文首行缩进 21"/>
    <w:basedOn w:val="620"/>
    <w:uiPriority w:val="0"/>
    <w:qFormat/>
    <w:pPr>
      <w:ind w:firstLine="420"/>
    </w:pPr>
  </w:style>
  <w:style w:type="paragraph" w:styleId="620" w:customStyle="1">
    <w:name w:val="正文文本缩进1"/>
    <w:basedOn w:val="602"/>
    <w:uiPriority w:val="0"/>
    <w:qFormat/>
    <w:pPr>
      <w:ind w:left="420"/>
      <w:spacing w:after="120"/>
    </w:pPr>
  </w:style>
  <w:style w:type="numbering" w:styleId="88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翟慧（盐城分公司）</cp:lastModifiedBy>
  <cp:revision>273</cp:revision>
  <dcterms:created xsi:type="dcterms:W3CDTF">2014-10-29T12:08:00Z</dcterms:created>
  <dcterms:modified xsi:type="dcterms:W3CDTF">2025-11-04T04:10:11Z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30ECD378CB1945A1B007ACD367F23EE9_13</vt:lpwstr>
  </property>
  <property fmtid="{D5CDD505-2E9C-101B-9397-08002B2CF9AE}" pid="4" name="KSOTemplateDocerSaveRecord">
    <vt:lpwstr>eyJoZGlkIjoiOGM4ODAzZjIyZjU3MDU2NDdkNjkxNDQwZDZhZmE0NTEiLCJ1c2VySWQiOiIxMTM4MzEwNzAxIn0=</vt:lpwstr>
  </property>
</Properties>
</file>