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firstLine="224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sdt>
        <w:sdtPr>
          <w:alias w:val="1"/>
          <w15:appearance w15:val="hidden"/>
          <w:id w:val="1"/>
          <w:lock w:val="sdtContentLocked"/>
          <w:tag w:val="项目名称"/>
          <w:rPr>
            <w:rFonts w:ascii="Arial" w:hAnsi="Arial" w:eastAsia="Arial" w:cs="Arial"/>
            <w:color w:val="000000"/>
            <w:sz w:val="24"/>
          </w:rPr>
        </w:sdtPr>
        <w:sdtContent>
          <w:r>
            <w:rPr>
              <w:rFonts w:ascii="经典仿宋简" w:hAnsi="经典仿宋简" w:eastAsia="经典仿宋简" w:cs="经典仿宋简"/>
              <w:sz w:val="22"/>
            </w:rPr>
            <w:t xml:space="preserve">2026-2027年度高架桥桥梁检测服务</w:t>
          </w:r>
        </w:sdtContent>
      </w:sdt>
      <w:r/>
      <w:r/>
    </w:p>
    <w:p>
      <w:pPr>
        <w:ind w:left="2100" w:firstLine="161"/>
        <w:pBdr>
          <w:top w:val="none" w:color="000000" w:sz="0" w:space="0"/>
          <w:left w:val="none" w:color="000000" w:sz="0" w:space="0"/>
          <w:bottom w:val="none" w:color="000000" w:sz="0" w:space="0"/>
          <w:right w:val="none" w:color="000000" w:sz="0" w:space="0"/>
        </w:pBdr>
      </w:pPr>
      <w:r>
        <w:rPr>
          <w:rFonts w:ascii="宋体" w:hAnsi="宋体" w:cs="宋体"/>
          <w:b/>
          <w:color w:val="ff0000"/>
          <w:sz w:val="32"/>
        </w:rPr>
        <w:t xml:space="preserve">项目编号：</w:t>
      </w:r>
      <w:sdt>
        <w:sdtPr>
          <w:alias w:val="2"/>
          <w15:appearance w15:val="hidden"/>
          <w:id w:val="2"/>
          <w:lock w:val="unlocked"/>
          <w:tag w:val="项目编号"/>
          <w:rPr>
            <w:rFonts w:eastAsia="Times New Roman"/>
            <w:b/>
            <w:color w:val="ff0000"/>
            <w:sz w:val="32"/>
          </w:rPr>
        </w:sdtPr>
        <w:sdtContent>
          <w:r>
            <w:rPr>
              <w:rFonts w:ascii="经典仿宋简" w:hAnsi="经典仿宋简" w:eastAsia="经典仿宋简" w:cs="经典仿宋简"/>
              <w:sz w:val="22"/>
            </w:rPr>
            <w:t xml:space="preserve">JSZC-320400-JZCG-G2025-0448</w:t>
          </w:r>
        </w:sdtContent>
      </w:sdt>
      <w:r>
        <w:rPr>
          <w:rFonts w:eastAsia="Times New Roman"/>
          <w:color w:val="ff0000"/>
        </w:rPr>
        <w:t xml:space="preserve">        </w:t>
      </w:r>
      <w:r>
        <w:rPr>
          <w:rFonts w:eastAsia="Times New Roman"/>
          <w:b/>
          <w:color w:val="ff0000"/>
          <w:sz w:val="30"/>
        </w:rPr>
        <w:t xml:space="preserve">   </w:t>
      </w:r>
      <w:r>
        <w:rPr>
          <w:rFonts w:eastAsia="Times New Roman"/>
          <w:color w:val="ff0000"/>
        </w:rPr>
        <w:t xml:space="preserve">  </w:t>
      </w:r>
      <w:r>
        <w:rPr>
          <w:rFonts w:eastAsia="Times New Roman"/>
          <w:b/>
          <w:color w:val="ff0000"/>
          <w:sz w:val="30"/>
        </w:rPr>
        <w:t xml:space="preserve"> </w:t>
      </w:r>
      <w:r/>
    </w:p>
    <w:p>
      <w:pPr>
        <w:ind w:left="2100"/>
        <w:pBdr>
          <w:top w:val="none" w:color="000000" w:sz="0" w:space="0"/>
          <w:left w:val="none" w:color="000000" w:sz="0" w:space="0"/>
          <w:bottom w:val="none" w:color="000000" w:sz="0" w:space="0"/>
          <w:right w:val="none" w:color="000000" w:sz="0" w:space="0"/>
        </w:pBdr>
      </w:pPr>
      <w:r>
        <w:rPr>
          <w:rFonts w:ascii="宋体" w:hAnsi="宋体" w:cs="宋体"/>
          <w:b/>
          <w:color w:val="ff0000"/>
          <w:sz w:val="30"/>
        </w:rPr>
        <w:t xml:space="preserve">（全流程电子化</w:t>
      </w:r>
      <w:r>
        <w:rPr>
          <w:rFonts w:eastAsia="Times New Roman"/>
          <w:b/>
          <w:color w:val="ff0000"/>
          <w:sz w:val="30"/>
        </w:rPr>
        <w:t xml:space="preserve">-</w:t>
      </w:r>
      <w:r>
        <w:rPr>
          <w:rFonts w:ascii="宋体" w:hAnsi="宋体" w:cs="宋体"/>
          <w:b/>
          <w:color w:val="ff0000"/>
          <w:sz w:val="30"/>
        </w:rPr>
        <w:t xml:space="preserve">服务类项目，适用苏采云系统，非专门面向中小企业）</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常州市政府采购中心</w:t>
      </w:r>
      <w:r/>
    </w:p>
    <w:p>
      <w:pPr>
        <w:jc w:val="center"/>
        <w:spacing w:before="120" w:after="120" w:line="360" w:lineRule="atLeast"/>
        <w:pBdr>
          <w:top w:val="none" w:color="000000" w:sz="0" w:space="0"/>
          <w:left w:val="none" w:color="000000" w:sz="0" w:space="0"/>
          <w:bottom w:val="none" w:color="000000" w:sz="0" w:space="0"/>
          <w:right w:val="none" w:color="000000" w:sz="0" w:space="0"/>
        </w:pBdr>
      </w:pPr>
      <w:r/>
      <w:sdt>
        <w:sdtPr>
          <w:alias w:val="3"/>
          <w15:appearance w15:val="hidden"/>
          <w:id w:val="3"/>
          <w:lock w:val="unlocked"/>
          <w:tag w:val="系统当前时间"/>
          <w:rPr>
            <w:rFonts w:ascii="Arial" w:hAnsi="Arial" w:eastAsia="Arial" w:cs="Arial"/>
            <w:b/>
            <w:color w:val="000000"/>
            <w:sz w:val="32"/>
          </w:rPr>
        </w:sdtPr>
        <w:sdtContent>
          <w:r>
            <w:rPr>
              <w:rFonts w:ascii="经典仿宋简" w:hAnsi="经典仿宋简" w:eastAsia="经典仿宋简" w:cs="经典仿宋简"/>
              <w:sz w:val="22"/>
            </w:rPr>
            <w:t xml:space="preserve">2025年11月03日</w:t>
          </w:r>
        </w:sdtContent>
      </w:sdt>
      <w:r/>
      <w:r/>
    </w:p>
    <w:p>
      <w:pP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line="113"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黑体" w:hAnsi="黑体" w:eastAsia="黑体" w:cs="黑体"/>
          <w:b/>
          <w:color w:val="000000"/>
          <w:sz w:val="44"/>
        </w:rPr>
        <w:t xml:space="preserve">总  目  录</w:t>
      </w:r>
      <w:r/>
    </w:p>
    <w:p>
      <w:pPr>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 </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  </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28"/>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  投标邀请</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sdt>
        <w:sdtPr>
          <w:alias w:val="15"/>
          <w15:appearance w15:val="hidden"/>
          <w:id w:val="15"/>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常州市城乡建设工程管理中心</w:t>
          </w:r>
        </w:sdtContent>
      </w:sdt>
      <w:r>
        <w:rPr>
          <w:rFonts w:ascii="宋体" w:hAnsi="宋体" w:cs="宋体"/>
          <w:color w:val="000000"/>
          <w:sz w:val="24"/>
        </w:rPr>
        <w:t xml:space="preserve">]的委托，常州市政府采购中心就[</w:t>
      </w:r>
      <w:sdt>
        <w:sdtPr>
          <w:alias w:val="16"/>
          <w15:appearance w15:val="hidden"/>
          <w:id w:val="16"/>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2026-2027年度高架桥桥梁检测服务</w:t>
          </w:r>
        </w:sdtContent>
      </w:sdt>
      <w:r>
        <w:rPr>
          <w:rFonts w:ascii="宋体" w:hAnsi="宋体" w:cs="宋体"/>
          <w:color w:val="000000"/>
          <w:sz w:val="24"/>
        </w:rPr>
        <w:t xml:space="preserve">]([</w:t>
      </w:r>
      <w:sdt>
        <w:sdtPr>
          <w:alias w:val="17"/>
          <w15:appearance w15:val="hidden"/>
          <w:id w:val="17"/>
          <w:lock w:val="un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JSZC-320400-JZCG-G2025-0448</w:t>
          </w:r>
        </w:sdtContent>
      </w:sdt>
      <w:r>
        <w:rPr>
          <w:rFonts w:ascii="宋体" w:hAnsi="宋体" w:cs="宋体"/>
          <w:color w:val="000000"/>
          <w:sz w:val="24"/>
        </w:rPr>
        <w:t xml:space="preserve">])项目进行公开招标采购，欢迎符合条件的供应商投标。</w:t>
      </w:r>
      <w:r/>
    </w:p>
    <w:p>
      <w:pPr>
        <w:pStyle w:val="730"/>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sdt>
        <w:sdtPr>
          <w:alias w:val="4"/>
          <w15:appearance w15:val="hidden"/>
          <w:id w:val="4"/>
          <w:lock w:val="un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JSZC-320400-JZCG-G2025-0448</w:t>
          </w:r>
        </w:sdtContent>
      </w:sd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sdt>
        <w:sdtPr>
          <w:alias w:val="5"/>
          <w15:appearance w15:val="hidden"/>
          <w:id w:val="5"/>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2026-2027年度高架桥桥梁检测服务</w:t>
          </w:r>
        </w:sdtContent>
      </w:sdt>
      <w:r/>
      <w:r/>
    </w:p>
    <w:p>
      <w:pPr>
        <w:ind w:firstLine="480"/>
        <w:spacing w:line="360" w:lineRule="auto"/>
        <w:rPr>
          <w:sz w:val="24"/>
        </w:rPr>
      </w:pPr>
      <w:r>
        <w:rPr>
          <w:rFonts w:ascii="宋体" w:hAnsi="宋体" w:cs="宋体"/>
          <w:color w:val="000000"/>
          <w:sz w:val="24"/>
        </w:rPr>
        <w:t xml:space="preserve">3.预算金额：</w:t>
      </w:r>
      <w:sdt>
        <w:sdtPr>
          <w:alias w:val="6"/>
          <w15:appearance w15:val="hidden"/>
          <w:id w:val="6"/>
          <w:lock w:val="sdtContentLocked"/>
          <w:tag w:val="项目预算小写"/>
          <w:rPr>
            <w:rFonts w:ascii="宋体" w:hAnsi="宋体" w:cs="宋体"/>
            <w:color w:val="000000"/>
            <w:sz w:val="24"/>
          </w:rPr>
        </w:sdtPr>
        <w:sdtContent>
          <w:r>
            <w:rPr>
              <w:rFonts w:ascii="经典仿宋简" w:hAnsi="经典仿宋简" w:eastAsia="经典仿宋简" w:cs="经典仿宋简"/>
              <w:sz w:val="22"/>
            </w:rPr>
            <w:t xml:space="preserve">4600000</w:t>
          </w:r>
        </w:sdtContent>
      </w:sdt>
      <w:r>
        <w:rPr>
          <w:rFonts w:ascii="宋体" w:hAnsi="宋体" w:cs="宋体"/>
          <w:color w:val="000000"/>
          <w:sz w:val="24"/>
          <w:highlight w:val="yellow"/>
        </w:rPr>
        <w:t xml:space="preserve">元</w:t>
      </w:r>
      <w:r>
        <w:rPr>
          <w:rFonts w:ascii="宋体" w:hAnsi="宋体" w:cs="宋体"/>
          <w:color w:val="000000"/>
          <w:sz w:val="24"/>
        </w:rPr>
        <w:t xml:space="preserve">。</w:t>
      </w:r>
      <w:r>
        <w:rPr>
          <w:rFonts w:hint="eastAsia"/>
          <w:sz w:val="24"/>
        </w:rPr>
        <w:t xml:space="preserve">其中:</w:t>
      </w:r>
      <w:r/>
    </w:p>
    <w:p>
      <w:pPr>
        <w:ind w:firstLine="480"/>
        <w:spacing w:line="360" w:lineRule="auto"/>
        <w:rPr>
          <w:color w:val="auto"/>
          <w:sz w:val="24"/>
        </w:rPr>
      </w:pPr>
      <w:r>
        <w:rPr>
          <w:rFonts w:hint="eastAsia"/>
          <w:color w:val="auto"/>
          <w:sz w:val="24"/>
        </w:rPr>
        <w:t xml:space="preserve">第一标段预算</w:t>
      </w:r>
      <w:r>
        <w:rPr>
          <w:color w:val="auto"/>
          <w:sz w:val="24"/>
        </w:rPr>
        <w:t xml:space="preserve">价264</w:t>
      </w:r>
      <w:r>
        <w:rPr>
          <w:rFonts w:hint="eastAsia"/>
          <w:color w:val="auto"/>
          <w:sz w:val="24"/>
        </w:rPr>
        <w:t xml:space="preserve">0</w:t>
      </w:r>
      <w:r>
        <w:rPr>
          <w:color w:val="auto"/>
          <w:sz w:val="24"/>
        </w:rPr>
        <w:t xml:space="preserve">000</w:t>
      </w:r>
      <w:r>
        <w:rPr>
          <w:rFonts w:hint="eastAsia"/>
          <w:color w:val="auto"/>
          <w:sz w:val="24"/>
        </w:rPr>
        <w:t xml:space="preserve">元，服务</w:t>
      </w:r>
      <w:r>
        <w:rPr>
          <w:color w:val="auto"/>
          <w:sz w:val="24"/>
        </w:rPr>
        <w:t xml:space="preserve">时间2</w:t>
      </w:r>
      <w:r>
        <w:rPr>
          <w:rFonts w:hint="eastAsia"/>
          <w:color w:val="auto"/>
          <w:sz w:val="24"/>
        </w:rPr>
        <w:t xml:space="preserve">年。</w:t>
      </w:r>
      <w:r/>
    </w:p>
    <w:p>
      <w:pPr>
        <w:ind w:firstLine="480"/>
        <w:spacing w:line="360" w:lineRule="auto"/>
        <w:rPr>
          <w:color w:val="auto"/>
          <w:sz w:val="24"/>
        </w:rPr>
      </w:pPr>
      <w:r>
        <w:rPr>
          <w:rFonts w:hint="eastAsia"/>
          <w:color w:val="auto"/>
          <w:sz w:val="24"/>
        </w:rPr>
        <w:t xml:space="preserve">第二标段预算</w:t>
      </w:r>
      <w:r>
        <w:rPr>
          <w:color w:val="auto"/>
          <w:sz w:val="24"/>
        </w:rPr>
        <w:t xml:space="preserve">价196</w:t>
      </w:r>
      <w:r>
        <w:rPr>
          <w:rFonts w:hint="eastAsia"/>
          <w:color w:val="auto"/>
          <w:sz w:val="24"/>
        </w:rPr>
        <w:t xml:space="preserve">0</w:t>
      </w:r>
      <w:r>
        <w:rPr>
          <w:color w:val="auto"/>
          <w:sz w:val="24"/>
        </w:rPr>
        <w:t xml:space="preserve">000</w:t>
      </w:r>
      <w:r>
        <w:rPr>
          <w:rFonts w:hint="eastAsia"/>
          <w:color w:val="auto"/>
          <w:sz w:val="24"/>
        </w:rPr>
        <w:t xml:space="preserve">元，</w:t>
      </w:r>
      <w:r>
        <w:rPr>
          <w:color w:val="auto"/>
          <w:sz w:val="24"/>
        </w:rPr>
        <w:t xml:space="preserve">服务时间2</w:t>
      </w:r>
      <w:r>
        <w:rPr>
          <w:rFonts w:hint="eastAsia"/>
          <w:color w:val="auto"/>
          <w:sz w:val="24"/>
        </w:rPr>
        <w:t xml:space="preserve">年。</w:t>
      </w:r>
      <w:r/>
    </w:p>
    <w:p>
      <w:pPr>
        <w:ind w:firstLine="480"/>
        <w:rPr>
          <w:color w:val="auto"/>
        </w:rPr>
        <w:pBdr>
          <w:top w:val="none" w:color="000000" w:sz="0" w:space="0"/>
          <w:left w:val="none" w:color="000000" w:sz="0" w:space="0"/>
          <w:bottom w:val="none" w:color="000000" w:sz="0" w:space="0"/>
          <w:right w:val="none" w:color="000000" w:sz="0" w:space="0"/>
        </w:pBdr>
      </w:pPr>
      <w:r>
        <w:rPr>
          <w:color w:val="auto"/>
        </w:rPr>
      </w:r>
      <w:r/>
    </w:p>
    <w:p>
      <w:pPr>
        <w:ind w:firstLine="480"/>
        <w:spacing w:line="360" w:lineRule="auto"/>
        <w:rPr>
          <w:color w:val="auto"/>
          <w:sz w:val="24"/>
        </w:rPr>
      </w:pPr>
      <w:r>
        <w:rPr>
          <w:rFonts w:ascii="宋体" w:hAnsi="宋体" w:cs="宋体"/>
          <w:color w:val="auto"/>
          <w:sz w:val="24"/>
        </w:rPr>
        <w:t xml:space="preserve">4.本项目最高限价为435</w:t>
      </w:r>
      <w:r>
        <w:rPr>
          <w:rFonts w:hint="eastAsia" w:ascii="宋体" w:hAnsi="宋体" w:cs="宋体"/>
          <w:color w:val="auto"/>
          <w:sz w:val="24"/>
        </w:rPr>
        <w:t xml:space="preserve">0</w:t>
      </w:r>
      <w:r>
        <w:rPr>
          <w:rFonts w:ascii="宋体" w:hAnsi="宋体" w:cs="宋体"/>
          <w:color w:val="auto"/>
          <w:sz w:val="24"/>
        </w:rPr>
        <w:t xml:space="preserve">000元。</w:t>
      </w:r>
      <w:r>
        <w:rPr>
          <w:rFonts w:hint="eastAsia"/>
          <w:color w:val="auto"/>
          <w:sz w:val="24"/>
        </w:rPr>
        <w:t xml:space="preserve">其中:</w:t>
      </w:r>
      <w:r/>
    </w:p>
    <w:p>
      <w:pPr>
        <w:ind w:firstLine="480"/>
        <w:spacing w:line="360" w:lineRule="auto"/>
        <w:rPr>
          <w:color w:val="auto"/>
          <w:sz w:val="24"/>
        </w:rPr>
      </w:pPr>
      <w:r>
        <w:rPr>
          <w:rFonts w:hint="eastAsia"/>
          <w:color w:val="auto"/>
          <w:sz w:val="24"/>
        </w:rPr>
        <w:t xml:space="preserve">第一标段最高</w:t>
      </w:r>
      <w:r>
        <w:rPr>
          <w:color w:val="auto"/>
          <w:sz w:val="24"/>
        </w:rPr>
        <w:t xml:space="preserve">限价</w:t>
      </w:r>
      <w:r>
        <w:rPr>
          <w:rFonts w:hint="eastAsia"/>
          <w:color w:val="auto"/>
          <w:sz w:val="24"/>
        </w:rPr>
        <w:t xml:space="preserve">2500</w:t>
      </w:r>
      <w:r>
        <w:rPr>
          <w:color w:val="auto"/>
          <w:sz w:val="24"/>
        </w:rPr>
        <w:t xml:space="preserve">000</w:t>
      </w:r>
      <w:r>
        <w:rPr>
          <w:rFonts w:hint="eastAsia"/>
          <w:color w:val="auto"/>
          <w:sz w:val="24"/>
        </w:rPr>
        <w:t xml:space="preserve">元，服务</w:t>
      </w:r>
      <w:r>
        <w:rPr>
          <w:color w:val="auto"/>
          <w:sz w:val="24"/>
        </w:rPr>
        <w:t xml:space="preserve">时间2</w:t>
      </w:r>
      <w:r>
        <w:rPr>
          <w:rFonts w:hint="eastAsia"/>
          <w:color w:val="auto"/>
          <w:sz w:val="24"/>
        </w:rPr>
        <w:t xml:space="preserve">年。</w:t>
      </w:r>
      <w:r/>
    </w:p>
    <w:p>
      <w:pPr>
        <w:ind w:firstLine="480"/>
        <w:spacing w:line="360" w:lineRule="auto"/>
        <w:rPr>
          <w:color w:val="auto"/>
          <w:sz w:val="24"/>
        </w:rPr>
      </w:pPr>
      <w:r>
        <w:rPr>
          <w:rFonts w:hint="eastAsia"/>
          <w:color w:val="auto"/>
          <w:sz w:val="24"/>
        </w:rPr>
        <w:t xml:space="preserve">第二标段最高</w:t>
      </w:r>
      <w:r>
        <w:rPr>
          <w:color w:val="auto"/>
          <w:sz w:val="24"/>
        </w:rPr>
        <w:t xml:space="preserve">限价</w:t>
      </w:r>
      <w:r>
        <w:rPr>
          <w:rFonts w:hint="eastAsia"/>
          <w:color w:val="auto"/>
          <w:sz w:val="24"/>
        </w:rPr>
        <w:t xml:space="preserve">1850</w:t>
      </w:r>
      <w:r>
        <w:rPr>
          <w:color w:val="auto"/>
          <w:sz w:val="24"/>
        </w:rPr>
        <w:t xml:space="preserve">000</w:t>
      </w:r>
      <w:r>
        <w:rPr>
          <w:rFonts w:hint="eastAsia"/>
          <w:color w:val="auto"/>
          <w:sz w:val="24"/>
        </w:rPr>
        <w:t xml:space="preserve">元，</w:t>
      </w:r>
      <w:r>
        <w:rPr>
          <w:color w:val="auto"/>
          <w:sz w:val="24"/>
        </w:rPr>
        <w:t xml:space="preserve">服务时间2</w:t>
      </w:r>
      <w:r>
        <w:rPr>
          <w:rFonts w:hint="eastAsia"/>
          <w:color w:val="auto"/>
          <w:sz w:val="24"/>
        </w:rPr>
        <w:t xml:space="preserve">年。</w:t>
      </w:r>
      <w:r/>
    </w:p>
    <w:p>
      <w:pPr>
        <w:ind w:firstLine="480"/>
        <w:jc w:val="left"/>
        <w:spacing w:line="360" w:lineRule="auto"/>
        <w:rPr>
          <w:rFonts w:ascii="宋体" w:hAnsi="宋体" w:cs="宋体"/>
          <w:color w:val="000000"/>
          <w:sz w:val="24"/>
        </w:rPr>
      </w:pPr>
      <w:r>
        <w:rPr>
          <w:rFonts w:ascii="宋体" w:hAnsi="宋体" w:cs="宋体"/>
          <w:color w:val="000000"/>
          <w:sz w:val="24"/>
        </w:rPr>
        <w:t xml:space="preserve">5.采购需求（简介）：</w:t>
      </w:r>
      <w:r/>
    </w:p>
    <w:p>
      <w:pPr>
        <w:ind w:firstLine="480"/>
        <w:jc w:val="left"/>
        <w:spacing w:line="360" w:lineRule="auto"/>
        <w:rPr>
          <w:rFonts w:ascii="宋体" w:hAnsi="宋体"/>
          <w:sz w:val="24"/>
        </w:rPr>
      </w:pPr>
      <w:r>
        <w:rPr>
          <w:rFonts w:hint="eastAsia" w:ascii="宋体" w:hAnsi="宋体"/>
          <w:sz w:val="24"/>
        </w:rPr>
        <w:t xml:space="preserve">第一标段：龙城大道高架（龙城大道隧道东入口往西部分）、龙江路高架（含钟楼大桥）、长虹路高架（兰陵路往西部分）约34km。</w:t>
      </w:r>
      <w:r/>
    </w:p>
    <w:p>
      <w:pPr>
        <w:ind w:firstLine="480"/>
        <w:jc w:val="left"/>
        <w:spacing w:line="360" w:lineRule="auto"/>
        <w:rPr>
          <w:rFonts w:ascii="宋体" w:hAnsi="宋体"/>
          <w:sz w:val="24"/>
        </w:rPr>
      </w:pPr>
      <w:r>
        <w:rPr>
          <w:rFonts w:hint="eastAsia" w:ascii="宋体" w:hAnsi="宋体"/>
          <w:sz w:val="24"/>
        </w:rPr>
        <w:t xml:space="preserve">第二标段：龙城大道高架（龙城大道隧道东入口往东部分）、长虹路高架（兰陵路往东部分）、青洋路高架约27.8km。</w:t>
      </w:r>
      <w:r/>
    </w:p>
    <w:p>
      <w:pPr>
        <w:ind w:firstLine="480"/>
        <w:jc w:val="left"/>
        <w:spacing w:line="360" w:lineRule="auto"/>
        <w:rPr>
          <w:rFonts w:hint="eastAsia" w:ascii="宋体" w:hAnsi="宋体"/>
          <w:sz w:val="24"/>
        </w:rPr>
      </w:pPr>
      <w:r>
        <w:rPr>
          <w:rFonts w:hint="eastAsia" w:ascii="宋体" w:hAnsi="宋体"/>
          <w:sz w:val="24"/>
        </w:rPr>
        <w:t xml:space="preserve">经常性检查、常规定期检测、结构定期检测等。</w:t>
      </w:r>
      <w:r/>
    </w:p>
    <w:p>
      <w:pPr>
        <w:ind w:firstLine="480"/>
        <w:jc w:val="left"/>
        <w:spacing w:line="360" w:lineRule="auto"/>
        <w:rPr>
          <w:rFonts w:hint="eastAsia" w:ascii="宋体" w:hAnsi="宋体"/>
          <w:sz w:val="24"/>
        </w:rPr>
      </w:pPr>
      <w:r>
        <w:rPr>
          <w:rFonts w:hint="eastAsia" w:ascii="宋体" w:hAnsi="宋体"/>
          <w:color w:val="auto"/>
          <w:sz w:val="24"/>
          <w:szCs w:val="24"/>
        </w:rPr>
        <w:t xml:space="preserve">本项目共分2个标段，</w:t>
      </w:r>
      <w:r>
        <w:rPr>
          <w:rFonts w:ascii="Segoe UI" w:hAnsi="Segoe UI" w:cs="Segoe UI"/>
          <w:sz w:val="24"/>
          <w:szCs w:val="24"/>
        </w:rPr>
        <w:t xml:space="preserve">每个投标人可选择相应的分包投标，兼投不兼中。在分包一中被推荐为第一中标候选人的单位可参与分包二评标，但不得成为分包二的推荐中标候选人，按分包顺序，以此类推</w:t>
      </w:r>
      <w:r>
        <w:rPr>
          <w:rFonts w:hint="eastAsia" w:ascii="宋体" w:hAnsi="宋体"/>
          <w:color w:val="auto"/>
          <w:sz w:val="24"/>
          <w:szCs w:val="24"/>
        </w:rPr>
        <w:t xml:space="preserve">。</w:t>
      </w:r>
      <w:bookmarkStart w:id="7" w:name="_GoBack"/>
      <w:r/>
      <w:bookmarkEnd w:id="7"/>
      <w:r/>
      <w:r/>
    </w:p>
    <w:p>
      <w:pPr>
        <w:ind w:firstLine="480"/>
        <w:jc w:val="left"/>
        <w:spacing w:line="360" w:lineRule="auto"/>
        <w:rPr>
          <w:rFonts w:ascii="宋体" w:hAnsi="宋体" w:cs="宋体"/>
          <w:sz w:val="24"/>
        </w:rPr>
      </w:pPr>
      <w:r>
        <w:rPr>
          <w:rFonts w:ascii="宋体" w:hAnsi="宋体" w:cs="宋体"/>
          <w:color w:val="000000"/>
          <w:sz w:val="24"/>
        </w:rPr>
        <w:t xml:space="preserve">6.合同履行期限：</w:t>
      </w:r>
      <w:r>
        <w:rPr>
          <w:rFonts w:hint="eastAsia" w:ascii="宋体" w:hAnsi="宋体"/>
          <w:sz w:val="24"/>
        </w:rPr>
        <w:t xml:space="preserve">2026年1月1日~2027年12月31日，</w:t>
      </w:r>
      <w:r>
        <w:rPr>
          <w:rFonts w:hint="eastAsia" w:ascii="宋体" w:hAnsi="宋体" w:cs="宋体"/>
          <w:sz w:val="24"/>
        </w:rPr>
        <w:t xml:space="preserve">第一年服务期满后经双方</w:t>
      </w:r>
      <w:r>
        <w:rPr>
          <w:rFonts w:ascii="宋体" w:hAnsi="宋体" w:cs="宋体"/>
          <w:sz w:val="24"/>
        </w:rPr>
        <w:t xml:space="preserve">商定</w:t>
      </w:r>
      <w:r>
        <w:rPr>
          <w:rFonts w:hint="eastAsia" w:ascii="宋体" w:hAnsi="宋体" w:cs="宋体"/>
          <w:sz w:val="24"/>
        </w:rPr>
        <w:t xml:space="preserve">后可续签下一年合同。</w:t>
      </w:r>
      <w:r/>
    </w:p>
    <w:p>
      <w:pPr>
        <w:pStyle w:val="730"/>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1.满足《中华人民共和国政府采购法》第二十二条规定，并提供投标人资格声明函。</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w:t>
      </w:r>
      <w:r>
        <w:rPr>
          <w:rFonts w:ascii="宋体" w:hAnsi="宋体" w:cs="宋体"/>
          <w:color w:val="auto"/>
          <w:sz w:val="24"/>
          <w:u w:val="single"/>
        </w:rPr>
        <w:t xml:space="preserve">不接受</w:t>
      </w:r>
      <w:r>
        <w:rPr>
          <w:rFonts w:ascii="宋体" w:hAnsi="宋体" w:cs="宋体"/>
          <w:color w:val="auto"/>
          <w:sz w:val="24"/>
        </w:rPr>
        <w:t xml:space="preserve">联</w:t>
      </w:r>
      <w:r>
        <w:rPr>
          <w:rFonts w:ascii="宋体" w:hAnsi="宋体" w:cs="宋体"/>
          <w:color w:val="000000"/>
          <w:sz w:val="24"/>
        </w:rPr>
        <w:t xml:space="preserve">合体投标</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rPr>
      </w:pPr>
      <w:r>
        <w:rPr>
          <w:color w:val="auto"/>
          <w:sz w:val="24"/>
        </w:rPr>
        <w:t xml:space="preserve">1</w:t>
      </w:r>
      <w:r>
        <w:rPr>
          <w:rFonts w:hint="eastAsia"/>
          <w:color w:val="auto"/>
          <w:sz w:val="24"/>
        </w:rPr>
        <w:t xml:space="preserve">投标人具有省级及以上建设主管部门核发的建设工程质量检测资质(附表中核准的项目含“桥梁结构”)或交通运输部门核发的公路工程综合检测甲级资质或桥隧工程专项试验检测资质（须在有效期内）；</w:t>
      </w:r>
      <w:r/>
    </w:p>
    <w:p>
      <w:pPr>
        <w:ind w:firstLine="480"/>
        <w:spacing w:line="360" w:lineRule="auto"/>
        <w:tabs>
          <w:tab w:val="left" w:pos="900" w:leader="none"/>
          <w:tab w:val="left" w:pos="1134" w:leader="none"/>
          <w:tab w:val="left" w:pos="1589" w:leader="none"/>
          <w:tab w:val="left" w:pos="5521" w:leader="none"/>
        </w:tabs>
        <w:rPr>
          <w:color w:val="auto"/>
          <w:sz w:val="24"/>
        </w:rPr>
      </w:pPr>
      <w:r>
        <w:rPr>
          <w:color w:val="auto"/>
          <w:sz w:val="24"/>
        </w:rPr>
        <w:t xml:space="preserve">2</w:t>
      </w:r>
      <w:r>
        <w:rPr>
          <w:rFonts w:hint="eastAsia"/>
          <w:color w:val="auto"/>
          <w:sz w:val="24"/>
        </w:rPr>
        <w:t xml:space="preserve">投标人具有省级及以上技术监督部门颁发的CMA计量认证合格证书（须在有效期内），证书附表中批准的项目必须包含桥梁静载和动载检测项目。</w:t>
      </w:r>
      <w:r/>
    </w:p>
    <w:p>
      <w:pPr>
        <w:pStyle w:val="730"/>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1.时间：详见招标公告。</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2.方式：在“江苏政府采购网”、“常州市政府采购网”自行免费下载招标文件。</w:t>
      </w:r>
      <w:r/>
    </w:p>
    <w:p>
      <w:pPr>
        <w:pStyle w:val="730"/>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四、投标文件提交</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1.时间：详见招标公告。</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2.地点：苏采云政府采购一体化平台</w:t>
      </w:r>
      <w:r/>
    </w:p>
    <w:p>
      <w:pPr>
        <w:pStyle w:val="730"/>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招标公告及招标文件公告期限为自本公告发布之日起5个工作日。</w:t>
      </w:r>
      <w:r/>
    </w:p>
    <w:p>
      <w:pPr>
        <w:pStyle w:val="730"/>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pStyle w:val="730"/>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sdt>
        <w:sdtPr>
          <w:alias w:val="9"/>
          <w15:appearance w15:val="hidden"/>
          <w:id w:val="9"/>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常州市城乡建设工程管理中心</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sdt>
        <w:sdtPr>
          <w:alias w:val="10"/>
          <w15:appearance w15:val="hidden"/>
          <w:id w:val="10"/>
          <w:lock w:val="sdtContentLocked"/>
          <w:tag w:val="采购单位地址"/>
          <w:rPr>
            <w:rFonts w:ascii="宋体" w:hAnsi="宋体" w:cs="宋体"/>
            <w:color w:val="000000"/>
            <w:sz w:val="24"/>
          </w:rPr>
        </w:sdtPr>
        <w:sdtContent>
          <w:r>
            <w:rPr>
              <w:rFonts w:ascii="经典仿宋简" w:hAnsi="经典仿宋简" w:eastAsia="经典仿宋简" w:cs="经典仿宋简"/>
              <w:sz w:val="22"/>
            </w:rPr>
            <w:t xml:space="preserve">常州市勤业路188号</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sdt>
        <w:sdtPr>
          <w:alias w:val="11"/>
          <w15:appearance w15:val="hidden"/>
          <w:id w:val="11"/>
          <w:lock w:val="sdtContentLocked"/>
          <w:tag w:val="采购人联系人"/>
          <w:rPr>
            <w:rFonts w:ascii="宋体" w:hAnsi="宋体" w:cs="宋体"/>
            <w:color w:val="000000"/>
            <w:sz w:val="24"/>
            <w:u w:val="single"/>
          </w:rPr>
        </w:sdtPr>
        <w:sdtContent>
          <w:r>
            <w:rPr>
              <w:rFonts w:ascii="经典仿宋简" w:hAnsi="经典仿宋简" w:eastAsia="经典仿宋简" w:cs="经典仿宋简"/>
              <w:sz w:val="22"/>
            </w:rPr>
            <w:t xml:space="preserve">周志华</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sdt>
        <w:sdtPr>
          <w:alias w:val="12"/>
          <w15:appearance w15:val="hidden"/>
          <w:id w:val="12"/>
          <w:tag w:val="采购人联系电话"/>
          <w:rPr>
            <w:rFonts w:ascii="宋体" w:hAnsi="宋体" w:cs="宋体"/>
            <w:color w:val="000000"/>
            <w:sz w:val="24"/>
          </w:rPr>
        </w:sdtPr>
        <w:sdtContent>
          <w:r>
            <w:rPr>
              <w:rFonts w:ascii="经典仿宋简" w:hAnsi="经典仿宋简" w:eastAsia="经典仿宋简" w:cs="经典仿宋简"/>
              <w:sz w:val="22"/>
            </w:rPr>
            <w:t xml:space="preserve">13861136115</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2.常州市政府采购中心信息</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sdt>
        <w:sdtPr>
          <w:alias w:val="13"/>
          <w15:appearance w15:val="hidden"/>
          <w:id w:val="13"/>
          <w:lock w:val="sdtContentLocked"/>
          <w:tag w:val="代理机构经办人"/>
          <w:rPr>
            <w:rFonts w:ascii="宋体" w:hAnsi="宋体" w:cs="宋体"/>
            <w:color w:val="000000"/>
            <w:sz w:val="24"/>
          </w:rPr>
        </w:sdtPr>
        <w:sdtContent>
          <w:r>
            <w:rPr>
              <w:rFonts w:ascii="经典仿宋简" w:hAnsi="经典仿宋简" w:eastAsia="经典仿宋简" w:cs="经典仿宋简"/>
              <w:sz w:val="22"/>
            </w:rPr>
            <w:t xml:space="preserve">马樱</w:t>
          </w:r>
        </w:sdtContent>
      </w:sdt>
      <w:r>
        <w:rPr>
          <w:rFonts w:ascii="宋体" w:hAnsi="宋体" w:cs="宋体"/>
          <w:color w:val="000000"/>
          <w:sz w:val="24"/>
        </w:rPr>
        <w:t xml:space="preserve">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sdt>
        <w:sdtPr>
          <w:alias w:val="14"/>
          <w15:appearance w15:val="hidden"/>
          <w:id w:val="14"/>
          <w:lock w:val="sdtContentLocked"/>
          <w:tag w:val="代理机构经办人联系电话"/>
          <w:rPr>
            <w:rFonts w:ascii="宋体" w:hAnsi="宋体" w:cs="宋体"/>
            <w:color w:val="000000"/>
            <w:sz w:val="24"/>
          </w:rPr>
        </w:sdtPr>
        <w:sdtContent>
          <w:r>
            <w:rPr>
              <w:rFonts w:ascii="经典仿宋简" w:hAnsi="经典仿宋简" w:eastAsia="经典仿宋简" w:cs="经典仿宋简"/>
              <w:sz w:val="22"/>
            </w:rPr>
            <w:t xml:space="preserve">0519-85588166</w:t>
          </w:r>
        </w:sdtContent>
      </w:sd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话：0519-85588166</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30"/>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1. 根据省财政厅《关于更</w:t>
      </w:r>
      <w:r>
        <w:rPr>
          <w:rFonts w:ascii="宋体" w:hAnsi="宋体" w:cs="宋体"/>
          <w:color w:val="ff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有关本次招标的事项若存在变动或修改，敬请及时关注常州市政府采购中心在“江苏政府采购网” 、“常州市政府采购网”发布的更正公告。</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29"/>
        <w:ind w:firstLine="2429"/>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pStyle w:val="730"/>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w:t>
      </w:r>
      <w:r>
        <w:rPr>
          <w:rFonts w:ascii="黑体" w:hAnsi="黑体" w:eastAsia="黑体" w:cs="黑体"/>
          <w:color w:val="000000"/>
          <w:sz w:val="28"/>
        </w:rPr>
        <w:t xml:space="preserve">、招标方式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w:t>
      </w:r>
      <w:r>
        <w:rPr>
          <w:rFonts w:ascii="黑体" w:hAnsi="黑体" w:eastAsia="黑体" w:cs="黑体"/>
          <w:color w:val="000000"/>
          <w:sz w:val="28"/>
        </w:rPr>
        <w:t xml:space="preserve">、合格的投标人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3</w:t>
      </w:r>
      <w:r>
        <w:rPr>
          <w:rFonts w:ascii="黑体" w:hAnsi="黑体" w:eastAsia="黑体" w:cs="黑体"/>
          <w:color w:val="000000"/>
          <w:sz w:val="28"/>
        </w:rPr>
        <w:t xml:space="preserve">、适用法律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4</w:t>
      </w:r>
      <w:r>
        <w:rPr>
          <w:rFonts w:ascii="黑体" w:hAnsi="黑体" w:eastAsia="黑体" w:cs="黑体"/>
          <w:color w:val="000000"/>
          <w:sz w:val="28"/>
        </w:rPr>
        <w:t xml:space="preserve">、投标费用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投标人应自行承担所有与参加投标有关的费用，无论投标过程中的做法和结果如何，常州市政府采购中心（以下简称采购中心）在任何情况下均无义务和责任承担这些费用。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4.2本次招标采购中心和采购人不收取标书工本费与中标服务费。</w:t>
      </w:r>
      <w:r/>
    </w:p>
    <w:p>
      <w:pPr>
        <w:pStyle w:val="731"/>
        <w:ind w:firstLine="60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5</w:t>
      </w:r>
      <w:r>
        <w:rPr>
          <w:rFonts w:ascii="黑体" w:hAnsi="黑体" w:eastAsia="黑体" w:cs="黑体"/>
          <w:color w:val="000000"/>
          <w:sz w:val="30"/>
        </w:rPr>
        <w:t xml:space="preserve">、</w:t>
      </w:r>
      <w:r>
        <w:rPr>
          <w:rFonts w:ascii="黑体" w:hAnsi="黑体" w:eastAsia="黑体" w:cs="黑体"/>
          <w:color w:val="000000"/>
          <w:sz w:val="28"/>
        </w:rPr>
        <w:t xml:space="preserve">招标文件的约束力</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pStyle w:val="730"/>
        <w:ind w:firstLine="32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6</w:t>
      </w:r>
      <w:r>
        <w:rPr>
          <w:rFonts w:ascii="黑体" w:hAnsi="黑体" w:eastAsia="黑体" w:cs="黑体"/>
          <w:color w:val="000000"/>
          <w:sz w:val="28"/>
        </w:rPr>
        <w:t xml:space="preserve">、招标文件构成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请仔细检查招标文件是否齐全，如有缺漏请立即与采购中心联系解决。</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1"/>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7</w:t>
      </w:r>
      <w:r>
        <w:rPr>
          <w:rFonts w:ascii="黑体" w:hAnsi="黑体" w:eastAsia="黑体" w:cs="黑体"/>
          <w:color w:val="000000"/>
          <w:sz w:val="28"/>
        </w:rPr>
        <w:t xml:space="preserve">、招标文件的澄清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前按招标公告中的通讯地址，以书面形式通知采购中心。</w:t>
      </w:r>
      <w:r/>
    </w:p>
    <w:p>
      <w:pPr>
        <w:pStyle w:val="731"/>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8</w:t>
      </w:r>
      <w:r>
        <w:rPr>
          <w:rFonts w:ascii="黑体" w:hAnsi="黑体" w:eastAsia="黑体" w:cs="黑体"/>
          <w:color w:val="000000"/>
          <w:sz w:val="28"/>
        </w:rPr>
        <w:t xml:space="preserve">、招标文件的修改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在投标截止时间前，采购中心可以对招标文件进行修改。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采购中心有权按照法定的要求推迟投标截止日期和开标日期。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招标文件的修改将在江苏政府采购网、常州市政府采购网公布，补充文件将作为招标文件的组成部分，并对投标人具有约束力。</w:t>
      </w:r>
      <w:r/>
    </w:p>
    <w:p>
      <w:pPr>
        <w:pStyle w:val="730"/>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pStyle w:val="731"/>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9</w:t>
      </w:r>
      <w:r>
        <w:rPr>
          <w:rFonts w:ascii="黑体" w:hAnsi="黑体" w:eastAsia="黑体" w:cs="黑体"/>
          <w:color w:val="000000"/>
          <w:sz w:val="28"/>
        </w:rPr>
        <w:t xml:space="preserve">、投标文件的语言及度量衡单位</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投标人提交的投标文件以及投标人与采购中心就有关投标的所有来往通知、函件和文件均应使用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10</w:t>
      </w:r>
      <w:r>
        <w:rPr>
          <w:rFonts w:ascii="黑体" w:hAnsi="黑体" w:eastAsia="黑体" w:cs="黑体"/>
          <w:color w:val="000000"/>
          <w:sz w:val="28"/>
        </w:rPr>
        <w:t xml:space="preserve">、投标文件构成</w:t>
      </w:r>
      <w:r/>
    </w:p>
    <w:p>
      <w:pPr>
        <w:ind w:firstLine="480"/>
        <w:spacing w:line="85" w:lineRule="atLeast"/>
        <w:tabs>
          <w:tab w:val="left" w:pos="1080" w:leader="none"/>
          <w:tab w:val="left" w:pos="1589" w:leader="none"/>
          <w:tab w:val="left" w:pos="2014"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10.1本项目如划分采购包，投标人可以对本项目的其中一个采购包进行投标，也可同时对多个采购包进行投标。</w:t>
      </w:r>
      <w:r>
        <w:rPr>
          <w:rFonts w:ascii="宋体" w:hAnsi="宋体" w:cs="宋体"/>
          <w:i/>
          <w:color w:val="000000"/>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10.3如标书制作工具中格式和内容与“江苏政府采购网” 、“常州市政府采购网”发布的招标文件不一致，请以“江苏政府采购网” 、“常州市政府采购网”发布的招标文件为准。</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11</w:t>
      </w:r>
      <w:r>
        <w:rPr>
          <w:rFonts w:ascii="黑体" w:hAnsi="黑体" w:eastAsia="黑体" w:cs="黑体"/>
          <w:color w:val="000000"/>
          <w:sz w:val="28"/>
        </w:rPr>
        <w:t xml:space="preserve">、证明投标人及投标标的符合招标文件规定的文件</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投标人应按照法律、法规、规章和规范性文件以及招标文件要求提交证明文件，证明其及投标标的符合招标文件规定。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12</w:t>
      </w:r>
      <w:r>
        <w:rPr>
          <w:rFonts w:ascii="黑体" w:hAnsi="黑体" w:eastAsia="黑体" w:cs="黑体"/>
          <w:color w:val="000000"/>
          <w:sz w:val="28"/>
        </w:rPr>
        <w:t xml:space="preserve">、投标分项报价表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13</w:t>
      </w:r>
      <w:r>
        <w:rPr>
          <w:rFonts w:ascii="黑体" w:hAnsi="黑体" w:eastAsia="黑体" w:cs="黑体"/>
          <w:color w:val="000000"/>
          <w:sz w:val="28"/>
        </w:rPr>
        <w:t xml:space="preserve">、技术要求响应及偏离表、商务要求响应及偏离表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投标人需对招标文件中的技术要求与商务要求逐项作出响应或偏离，并说明原因。</w:t>
      </w:r>
      <w:r/>
    </w:p>
    <w:p>
      <w:pPr>
        <w:ind w:firstLine="480"/>
        <w:spacing w:line="499" w:lineRule="atLeast"/>
        <w:tabs>
          <w:tab w:val="left" w:pos="103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投标人可在投标文件中提供认为需要的其他技术文件或说明。</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14</w:t>
      </w:r>
      <w:r>
        <w:rPr>
          <w:rFonts w:ascii="黑体" w:hAnsi="黑体" w:eastAsia="黑体" w:cs="黑体"/>
          <w:color w:val="000000"/>
          <w:sz w:val="28"/>
        </w:rPr>
        <w:t xml:space="preserve">、投标函和开标一览表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投标人应按照招标文件中提供的格式完整、正确填写投标函、开标一览表。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15</w:t>
      </w:r>
      <w:r>
        <w:rPr>
          <w:rFonts w:ascii="黑体" w:hAnsi="黑体" w:eastAsia="黑体" w:cs="黑体"/>
          <w:color w:val="000000"/>
          <w:sz w:val="28"/>
        </w:rPr>
        <w:t xml:space="preserve">、投标有效期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投标有效期为采购中心规定的开标之日后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16</w:t>
      </w:r>
      <w:r>
        <w:rPr>
          <w:rFonts w:ascii="黑体" w:hAnsi="黑体" w:eastAsia="黑体" w:cs="黑体"/>
          <w:color w:val="000000"/>
          <w:sz w:val="28"/>
        </w:rPr>
        <w:t xml:space="preserve">、投标有效期的延长</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30"/>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pStyle w:val="731"/>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17</w:t>
      </w:r>
      <w:r>
        <w:rPr>
          <w:rFonts w:ascii="黑体" w:hAnsi="黑体" w:eastAsia="黑体" w:cs="黑体"/>
          <w:color w:val="000000"/>
          <w:sz w:val="28"/>
        </w:rPr>
        <w:t xml:space="preserve">、投标文件的递交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电子投标文件的递交</w:t>
      </w:r>
      <w:r/>
    </w:p>
    <w:p>
      <w:pPr>
        <w:ind w:left="52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投标人应当按照《操作手册》规定，在投标截止时间前制作并上传电子投标文件。</w:t>
      </w:r>
      <w:r/>
    </w:p>
    <w:p>
      <w:pPr>
        <w:pStyle w:val="731"/>
        <w:ind w:firstLine="420"/>
        <w:spacing w:before="280" w:after="290" w:line="436" w:lineRule="atLeast"/>
        <w:pBdr>
          <w:top w:val="none" w:color="000000" w:sz="0" w:space="0"/>
          <w:left w:val="none" w:color="000000" w:sz="0" w:space="0"/>
          <w:bottom w:val="none" w:color="000000" w:sz="0" w:space="0"/>
          <w:right w:val="none" w:color="000000" w:sz="0" w:space="0"/>
        </w:pBdr>
      </w:pPr>
      <w:r>
        <w:rPr>
          <w:color w:val="000000"/>
          <w:sz w:val="28"/>
        </w:rPr>
        <w:t xml:space="preserve">18</w:t>
      </w:r>
      <w:r>
        <w:rPr>
          <w:rFonts w:ascii="黑体" w:hAnsi="黑体" w:eastAsia="黑体" w:cs="黑体"/>
          <w:color w:val="000000"/>
          <w:sz w:val="28"/>
        </w:rPr>
        <w:t xml:space="preserve">、投标截止时间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18.1 投标人上传电子投标文件的时间不得迟于招标公告中规定的投标截止时间。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 采购中心可以按照规定，通过修改招标文件酌情延长投标截止时间，在此情况下，投标人的所有权利和义务以及投标人受制的截止时间均应以延长后新的截止时间为准。</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19</w:t>
      </w:r>
      <w:r>
        <w:rPr>
          <w:rFonts w:ascii="黑体" w:hAnsi="黑体" w:eastAsia="黑体" w:cs="黑体"/>
          <w:color w:val="000000"/>
          <w:sz w:val="28"/>
        </w:rPr>
        <w:t xml:space="preserve">、投标文件的拒收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19.1采购中心拒绝接收在其规定的投标截止时间后上传的任何投标文件。</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20</w:t>
      </w:r>
      <w:r>
        <w:rPr>
          <w:rFonts w:ascii="黑体" w:hAnsi="黑体" w:eastAsia="黑体" w:cs="黑体"/>
          <w:color w:val="000000"/>
          <w:sz w:val="28"/>
        </w:rPr>
        <w:t xml:space="preserve">、投标文件的撤回和修改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投标文件的撤回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 电子投标文件的撤回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 投标人撤回电子投标文件，则认为其不再参与本项目投标活动。</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投标文件的修改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 在投标截止时间之后，投标人不得对其电子投标文件作任何修改。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在投标截止时间至招标文件中规定的投标有效期满之间的这段时间内，投标人不得撤回其投标。</w:t>
      </w:r>
      <w:r/>
    </w:p>
    <w:p>
      <w:pPr>
        <w:pStyle w:val="730"/>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21</w:t>
      </w:r>
      <w:r>
        <w:rPr>
          <w:rFonts w:ascii="黑体" w:hAnsi="黑体" w:eastAsia="黑体" w:cs="黑体"/>
          <w:color w:val="000000"/>
          <w:sz w:val="28"/>
        </w:rPr>
        <w:t xml:space="preserve">、开标</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采购中心将在招标公告中规定的时间和地点组织公开开标。投标人应当按照《操作手册》规定，参加开标活动和在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21.2开标仪式由采购中心组织。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 </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22</w:t>
      </w:r>
      <w:r>
        <w:rPr>
          <w:rFonts w:ascii="黑体" w:hAnsi="黑体" w:eastAsia="黑体" w:cs="黑体"/>
          <w:color w:val="000000"/>
          <w:sz w:val="28"/>
        </w:rPr>
        <w:t xml:space="preserve">、评标委员会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22.1开标后，采购中心将立即组织评标委员会（以下简称评委会）进行评标。</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22.2 评委会由采购人代表和有关技术、经济等方面的专家组成，且人员构成符合政府采购有关规定。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22.3评委会独立工作，负责评审所有投标文件并确定中标候选人。</w:t>
      </w:r>
      <w:r/>
    </w:p>
    <w:p>
      <w:pPr>
        <w:pStyle w:val="731"/>
        <w:ind w:firstLine="42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23、评标过程的保密与公正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23.1凡是与审查、澄清、评价和比较投标的有关资料以及授标建议等，采购人、评委、采购中心均不得向投标人或与评标无关的其他人员透露。</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采购中心和评标委员会不向未中标的投标人解释未中标原因，也不公布评标过程中的相关细节。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24</w:t>
      </w:r>
      <w:r>
        <w:rPr>
          <w:rFonts w:ascii="黑体" w:hAnsi="黑体" w:eastAsia="黑体" w:cs="黑体"/>
          <w:color w:val="000000"/>
          <w:sz w:val="28"/>
        </w:rPr>
        <w:t xml:space="preserve">、投标文件的澄清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 ，有权要求投标人作出必要的澄清、说明或者补正。</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24.3 接到评委会澄清、说明和补正要求的投标人如未按规定做出澄清、说明和补正，其风险由投标人自行承担。</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25</w:t>
      </w:r>
      <w:r>
        <w:rPr>
          <w:rFonts w:ascii="黑体" w:hAnsi="黑体" w:eastAsia="黑体" w:cs="黑体"/>
          <w:color w:val="000000"/>
          <w:sz w:val="28"/>
        </w:rPr>
        <w:t xml:space="preserve">、对投标文件的初审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未通过资格审查或符合性审查的投标人，采购中心将在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中告知未通过资格审查或符合性审查的原因，评标结束后，采购中心将不再告知未通过资格审查和符合性审查的原因。</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25.4评委会将对确定为实质性响应的投标进行进一步审核，确定其是否有计算上或累加上的算术错误，修正错误的原则如下：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 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查阅、答复相关信息，并安排专人与采购中心及评标委员会联系。</w:t>
      </w:r>
      <w:r/>
    </w:p>
    <w:p>
      <w:pPr>
        <w:pStyle w:val="731"/>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26</w:t>
      </w:r>
      <w:r>
        <w:rPr>
          <w:rFonts w:ascii="黑体" w:hAnsi="黑体" w:eastAsia="黑体" w:cs="黑体"/>
          <w:color w:val="000000"/>
          <w:sz w:val="28"/>
        </w:rPr>
        <w:t xml:space="preserve">、无效投标条款和废标条款</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投标人未按照招标文件要求上传电子投标文件的。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26.1.3同一投标人提交两个（含两个）以上不同的投标报价的。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26.1.7不符合招标文件中规定的实质性要求和条件的</w:t>
      </w:r>
      <w:r>
        <w:rPr>
          <w:rFonts w:ascii="宋体" w:hAnsi="宋体" w:cs="宋体"/>
          <w:b/>
          <w:color w:val="000000"/>
          <w:sz w:val="24"/>
        </w:rPr>
        <w:t xml:space="preserve">（</w:t>
      </w:r>
      <w:r>
        <w:rPr>
          <w:rFonts w:ascii="宋体" w:hAnsi="宋体" w:cs="宋体"/>
          <w:b/>
          <w:i/>
          <w:color w:val="000000"/>
          <w:sz w:val="24"/>
          <w:u w:val="single"/>
        </w:rPr>
        <w:t xml:space="preserve">本招标文件中斜体且有下划线部分的、或者加“★”号的、或者以文字说明属于实质性要求的内容均为实质性要求和条件）。</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 投标文件含有采购人不能接受的附加条件的。</w:t>
      </w:r>
      <w:r/>
    </w:p>
    <w:p>
      <w:pPr>
        <w:ind w:firstLine="48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投标文件未按照招标文件要求加盖CA电子公章的。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26.1.12其他法律、法规及本招标文件规定的属无效投标的情形。</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26.2.1符合专业条件的供应商或者对招标文件作实质响应的供应商不足三家的。26.2.2出现影响采购公正的违法、违规行为的。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26.2.4评标委员会认定招标文件存在歧义、重大缺陷导致评审工作无法进行。</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 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投标截止时间结束后参加投标的供应商不足三家的处理：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26.3.1如出现投标截止时间结束后参加投标的供应商或者在评标期间对招标文件做出实质响应的供应商不足三家情况，按政府采购相关规定执行。</w:t>
      </w:r>
      <w:r/>
    </w:p>
    <w:p>
      <w:pPr>
        <w:pStyle w:val="730"/>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pStyle w:val="731"/>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27、确定中标单位</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采购人应根据评委会推荐的中标候选人按顺序确定中标人，中标候选人并列的，由采购人依法确定。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采购中心将在“江苏政府采购网、常州市政府采购网”发布中标公告，公告期限为1个工作日。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  若有充分证据证明，中标人出现下列情况之一的，一经查实，将被取消中标资格：</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27.4.2向采购人、采购中心行贿或者提供其他不正当利益的。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27.5有下列情形之一的，视为投标人串通投标，投标无效：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pStyle w:val="731"/>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28、质疑处理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 提出质疑的供应商应当是参与所质疑项目采购活动的供应商。潜在供应商依法获取其可质疑的采购文件的，可以对采购文件提出质疑。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28.2.3对中标或者成交结果提出质疑的，为中标或者成交结果公告期限届满之日。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采购中心及采购人只接收以纸质原件形式送达的质疑,建议外地供应商尽量通过邮寄方式提交质疑</w:t>
      </w:r>
      <w:r>
        <w:rPr>
          <w:rFonts w:ascii="宋体" w:hAnsi="宋体" w:cs="宋体"/>
          <w:color w:val="ff0000"/>
          <w:sz w:val="24"/>
        </w:rPr>
        <w:t xml:space="preserve">（采购人和采购中心不接受未填写快递运单的快件）。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采购人和采购中心质疑接收联系方式见第一章投标邀请。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 以下情形的质疑不予受理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 内容不符合《政府采购质疑和投诉办法》第十二条规定的质疑。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 超出政府采购法定期限的质疑。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以传真、电子邮件等方式递交的非原件形式的质疑。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 未参加投标活动的供应商或在投标活动中自身权益未受到损害的供应商所提出的质疑。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ind w:firstLine="4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1"/>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29.l中标结果确定后，采购中心将向中标人发出中标通知书。请中标人在中标结果公告届满之日起30日内,使用CA数字证书登录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30"/>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pStyle w:val="731"/>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 签订合同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30.l中标人应当在中标通知书发出之日起三十日内，按照招标文件确定的事项与采购人签订政府采购合同。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30.2招标文件、中标人的投标文件及招标过程中有关澄清、承诺文件均应作为合同附件。</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 签订合同后，</w:t>
      </w:r>
      <w:r>
        <w:rPr>
          <w:rFonts w:ascii="宋体" w:hAnsi="宋体" w:cs="宋体"/>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pStyle w:val="731"/>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31、服务（包含与服务相关的货物）的追加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1"/>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32、需要执行的政府采购政策（包括但不限于）</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32.1履约资金扶持政策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中标人可凭政府采购合同办理融资贷款，详情请见江苏政府采购网“政采贷”专栏。</w:t>
      </w:r>
      <w:r/>
    </w:p>
    <w:p>
      <w:pPr>
        <w:ind w:firstLine="482"/>
        <w:spacing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32.2进口产品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32.3中小企业、监狱企业及残疾人福利性单位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32.3.1中小企业定义：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中小企业是</w:t>
      </w:r>
      <w:r>
        <w:rPr>
          <w:rFonts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32.3.2供应商提供的货物、工程或者服务符合下列情形的，享受中小企业扶持政策：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32.3.2.1在货物采购项目中，货物由中小企业制造，即货物由中小企业生产且使用该中小企业商号或者注册商标；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32.3.2.2在工程采购项目中，工程由中小企业承建，即工程施工单位为中小企业；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32.3.2.3在服务采购项目中，服务由中小企业承接，即提供服务的人员为中小企业依照《中华人民共和国劳动合同法》订立劳动合同的从业人员。</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32.3.3在货物采购项目中，供应商提供的货物既有中小企业制造货物，也有大型企业制造货物的，不享受中小企业扶持政策。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32.3.4以联合体形式参加政府采购活动，联合体各方均为中小企业的，联合体视同中小企业。其中，联合体各方均为小微企业的，联合体视同小微企业。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32.3.6残疾人福利单位定义：享受政府采购支持政策的残疾人福利性单位应当同时满足以下条件：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32.3.6.1安置的残疾人占本单位在职职工人数的比例不低于25%（含25%），并且安置的残疾人人数不少于10 人（含10 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32.3.6.2依法与安置的每位残疾人签订了一年以上（含一年）的劳动合同或服务协议；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32.3.6.3为安置的每位残疾人按月足额缴纳了基本养老保险、基本医疗保险、失业保险、工伤保险和生育保险等社会保险费；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32.3.6.4通过银行等金融机构向安置的每位残疾人，按月支付了不低于单位所在区县适用的经省级人民政府批准的月最低工资标准的工资；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32.3.7本项目是否专门面向中小企业预留采购份额见第一章《投标邀请》。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32.3.8采购标的对应的中小企业划分标准所属行业见第四章《采购需求》。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32.3.9小微企业价格评审优惠的政策调整：见第五章《评标方法和评标标准》。</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32.4政府采购节能产品、环境标志产品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w:t>
      </w:r>
      <w:r>
        <w:rPr>
          <w:rFonts w:ascii="宋体" w:hAnsi="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32.4.2非政府强制采购的节能产品或环境标志产品，依据品目清单和认证证书实施政府优先采购。优先采购的具体规定见第五章《评标方法和评标标准》（如涉及）。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32.5绿色包装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32.6支持乡村产业振兴管理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32.7正版软件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32.8政府采购创新产品政策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32.9绿色数据中心政策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依据《绿色数据中心政府采购需求标准（试行）》（财办库〔2023〕7号）文件精神，采购</w:t>
      </w:r>
      <w:r>
        <w:rPr>
          <w:rFonts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b/>
          <w:color w:val="000000"/>
          <w:sz w:val="24"/>
        </w:rPr>
        <w:t xml:space="preserve">32.10履约保证金相关政策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28"/>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  合同文本</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jc w:val="cente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常州市政府采购合同（服务）（合同编号）</w:t>
      </w:r>
      <w:r/>
    </w:p>
    <w:p>
      <w:pPr>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w:t>
      </w:r>
      <w:r>
        <w:rPr>
          <w:rFonts w:ascii="宋体" w:hAnsi="宋体" w:cs="宋体"/>
          <w:color w:val="000000"/>
          <w:sz w:val="24"/>
        </w:rPr>
        <w:t xml:space="preserve">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甲、乙双方根据常州市政府采购中心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本合同金额为（大写）：____________________________________圆（_______________元）人民币或其他币种。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本项目</w:t>
      </w:r>
      <w:r>
        <w:rPr>
          <w:rFonts w:ascii="宋体" w:hAnsi="宋体" w:cs="宋体"/>
          <w:color w:val="auto"/>
          <w:sz w:val="24"/>
          <w:u w:val="single"/>
        </w:rPr>
        <w:t xml:space="preserve">不收取</w:t>
      </w:r>
      <w:r>
        <w:rPr>
          <w:rFonts w:ascii="宋体" w:hAnsi="宋体" w:cs="宋体"/>
          <w:color w:val="auto"/>
          <w:sz w:val="24"/>
        </w:rPr>
        <w:t xml:space="preserve">履约保</w:t>
      </w:r>
      <w:r>
        <w:rPr>
          <w:rFonts w:ascii="宋体" w:hAnsi="宋体" w:cs="宋体"/>
          <w:color w:val="000000"/>
          <w:sz w:val="24"/>
        </w:rPr>
        <w:t xml:space="preserve">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___/___元作为本合同的履约保证金。（不得超过合同金额的5%）。供应商可以自主选择以支票、汇票、本票、保函（保险）等非现金形式交纳或提交，按照省市有关文件精神，鼓励优先采用电子履约保函（保险）形式。</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56" w:after="156"/>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8.1</w:t>
      </w:r>
      <w:r>
        <w:rPr>
          <w:color w:val="auto"/>
        </w:rPr>
        <w:t xml:space="preserve"> </w:t>
      </w:r>
      <w:r>
        <w:rPr>
          <w:rFonts w:hint="eastAsia" w:ascii="宋体" w:hAnsi="宋体" w:cs="宋体"/>
          <w:color w:val="auto"/>
          <w:sz w:val="24"/>
        </w:rPr>
        <w:t xml:space="preserve">合同签订后预付合同总价的10%（在签订合同时，中标人明确表示无需预付款或者主动要求降低预付款比例的，采购人可不适用前述规定）；完成2026年度工作量并提交报告付至合同总价的</w:t>
      </w:r>
      <w:r>
        <w:rPr>
          <w:rFonts w:ascii="宋体" w:hAnsi="宋体" w:cs="宋体"/>
          <w:color w:val="auto"/>
          <w:sz w:val="24"/>
        </w:rPr>
        <w:t xml:space="preserve">5</w:t>
      </w:r>
      <w:r>
        <w:rPr>
          <w:rFonts w:hint="eastAsia" w:ascii="宋体" w:hAnsi="宋体" w:cs="宋体"/>
          <w:color w:val="auto"/>
          <w:sz w:val="24"/>
        </w:rPr>
        <w:t xml:space="preserve">0%；完成2027年度工作量并提交报告付至合同总价的100%（无息，同时需要扣除考核扣款）。乙方收款时应提供符合规定的发票，</w:t>
      </w:r>
      <w:r>
        <w:rPr>
          <w:rFonts w:hint="eastAsia" w:ascii="宋体" w:hAnsi="宋体"/>
          <w:color w:val="auto"/>
          <w:sz w:val="24"/>
        </w:rPr>
        <w:t xml:space="preserve">甲方收到服务费发票后10个工作日内向乙方支付相应费用。因乙方未及时提供发票及所需材料导致相应后果的，甲方不承担任何责任</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在合同有效期内，任何一方因不可抗力事件导致不能履行合同，则合同履行期可延长，其延长期与不可抗力影响 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 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本合同正本一式两份，具有同等法律效力，甲方、乙方各执一份。</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甲方：                       乙方：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        法定代表人或授权代表：</w:t>
      </w:r>
      <w:r/>
    </w:p>
    <w:p>
      <w:pPr>
        <w:ind w:firstLine="24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联系电话：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签订日期：      年    月   日</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28"/>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rPr>
        <w:t xml:space="preserve">第四章 采购需求</w:t>
      </w:r>
      <w:r/>
    </w:p>
    <w:p>
      <w:pP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一、采购标的</w:t>
      </w:r>
      <w:r/>
    </w:p>
    <w:p>
      <w:pPr>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1.</w:t>
      </w:r>
      <w:r>
        <w:rPr>
          <w:rFonts w:ascii="宋体" w:hAnsi="宋体" w:cs="宋体"/>
          <w:color w:val="auto"/>
          <w:sz w:val="24"/>
        </w:rPr>
        <w:t xml:space="preserve">项目名称：</w:t>
      </w:r>
      <w:r>
        <w:rPr>
          <w:rFonts w:eastAsia="Times New Roman"/>
          <w:color w:val="auto"/>
          <w:sz w:val="24"/>
        </w:rPr>
        <w:t xml:space="preserve"> </w:t>
      </w:r>
      <w:r>
        <w:rPr>
          <w:rFonts w:hint="eastAsia"/>
          <w:color w:val="auto"/>
          <w:sz w:val="24"/>
        </w:rPr>
        <w:t xml:space="preserve">2026-2027年度高架桥桥梁检测服务</w:t>
      </w:r>
      <w:r/>
    </w:p>
    <w:p>
      <w:pPr>
        <w:spacing w:line="360" w:lineRule="auto"/>
        <w:rPr>
          <w:color w:val="auto"/>
          <w:sz w:val="24"/>
        </w:rPr>
      </w:pPr>
      <w:r>
        <w:rPr>
          <w:rFonts w:ascii="宋体" w:hAnsi="宋体" w:cs="宋体"/>
          <w:color w:val="auto"/>
          <w:sz w:val="24"/>
        </w:rPr>
        <w:t xml:space="preserve">2.预算金额：</w:t>
      </w:r>
      <w:r>
        <w:rPr>
          <w:rFonts w:hint="eastAsia" w:ascii="宋体" w:hAnsi="宋体" w:cs="宋体"/>
          <w:color w:val="auto"/>
          <w:sz w:val="24"/>
        </w:rPr>
        <w:t xml:space="preserve">人</w:t>
      </w:r>
      <w:r>
        <w:rPr>
          <w:rFonts w:ascii="宋体" w:hAnsi="宋体" w:cs="宋体"/>
          <w:color w:val="auto"/>
          <w:sz w:val="24"/>
        </w:rPr>
        <w:t xml:space="preserve">民</w:t>
      </w:r>
      <w:r>
        <w:rPr>
          <w:rFonts w:hint="eastAsia" w:ascii="宋体" w:hAnsi="宋体" w:cs="宋体"/>
          <w:color w:val="auto"/>
          <w:sz w:val="24"/>
        </w:rPr>
        <w:t xml:space="preserve">币</w:t>
      </w:r>
      <w:r>
        <w:rPr>
          <w:color w:val="auto"/>
          <w:sz w:val="24"/>
        </w:rPr>
        <w:t xml:space="preserve">460</w:t>
      </w:r>
      <w:r>
        <w:rPr>
          <w:rFonts w:hint="eastAsia"/>
          <w:color w:val="auto"/>
          <w:sz w:val="24"/>
        </w:rPr>
        <w:t xml:space="preserve">0000元。其中:</w:t>
      </w:r>
      <w:r/>
    </w:p>
    <w:p>
      <w:pPr>
        <w:ind w:firstLine="480"/>
        <w:spacing w:line="360" w:lineRule="auto"/>
        <w:rPr>
          <w:color w:val="auto"/>
          <w:sz w:val="24"/>
        </w:rPr>
      </w:pPr>
      <w:r>
        <w:rPr>
          <w:rFonts w:hint="eastAsia"/>
          <w:color w:val="auto"/>
          <w:sz w:val="24"/>
        </w:rPr>
        <w:t xml:space="preserve">第一标段预算</w:t>
      </w:r>
      <w:r>
        <w:rPr>
          <w:color w:val="auto"/>
          <w:sz w:val="24"/>
        </w:rPr>
        <w:t xml:space="preserve">价264</w:t>
      </w:r>
      <w:r>
        <w:rPr>
          <w:rFonts w:hint="eastAsia"/>
          <w:color w:val="auto"/>
          <w:sz w:val="24"/>
        </w:rPr>
        <w:t xml:space="preserve">0</w:t>
      </w:r>
      <w:r>
        <w:rPr>
          <w:color w:val="auto"/>
          <w:sz w:val="24"/>
        </w:rPr>
        <w:t xml:space="preserve">000</w:t>
      </w:r>
      <w:r>
        <w:rPr>
          <w:rFonts w:hint="eastAsia"/>
          <w:color w:val="auto"/>
          <w:sz w:val="24"/>
        </w:rPr>
        <w:t xml:space="preserve">元，服务</w:t>
      </w:r>
      <w:r>
        <w:rPr>
          <w:color w:val="auto"/>
          <w:sz w:val="24"/>
        </w:rPr>
        <w:t xml:space="preserve">时间2</w:t>
      </w:r>
      <w:r>
        <w:rPr>
          <w:rFonts w:hint="eastAsia"/>
          <w:color w:val="auto"/>
          <w:sz w:val="24"/>
        </w:rPr>
        <w:t xml:space="preserve">年。</w:t>
      </w:r>
      <w:r/>
    </w:p>
    <w:p>
      <w:pPr>
        <w:ind w:firstLine="480"/>
        <w:spacing w:line="360" w:lineRule="auto"/>
        <w:rPr>
          <w:color w:val="auto"/>
          <w:sz w:val="24"/>
        </w:rPr>
      </w:pPr>
      <w:r>
        <w:rPr>
          <w:rFonts w:hint="eastAsia"/>
          <w:color w:val="auto"/>
          <w:sz w:val="24"/>
        </w:rPr>
        <w:t xml:space="preserve">第二标段预算</w:t>
      </w:r>
      <w:r>
        <w:rPr>
          <w:color w:val="auto"/>
          <w:sz w:val="24"/>
        </w:rPr>
        <w:t xml:space="preserve">价196</w:t>
      </w:r>
      <w:r>
        <w:rPr>
          <w:rFonts w:hint="eastAsia"/>
          <w:color w:val="auto"/>
          <w:sz w:val="24"/>
        </w:rPr>
        <w:t xml:space="preserve">0</w:t>
      </w:r>
      <w:r>
        <w:rPr>
          <w:color w:val="auto"/>
          <w:sz w:val="24"/>
        </w:rPr>
        <w:t xml:space="preserve">000</w:t>
      </w:r>
      <w:r>
        <w:rPr>
          <w:rFonts w:hint="eastAsia"/>
          <w:color w:val="auto"/>
          <w:sz w:val="24"/>
        </w:rPr>
        <w:t xml:space="preserve">元，</w:t>
      </w:r>
      <w:r>
        <w:rPr>
          <w:color w:val="auto"/>
          <w:sz w:val="24"/>
        </w:rPr>
        <w:t xml:space="preserve">服务时间2</w:t>
      </w:r>
      <w:r>
        <w:rPr>
          <w:rFonts w:hint="eastAsia"/>
          <w:color w:val="auto"/>
          <w:sz w:val="24"/>
        </w:rPr>
        <w:t xml:space="preserve">年。</w:t>
      </w:r>
      <w:r/>
    </w:p>
    <w:p>
      <w:pPr>
        <w:rPr>
          <w:color w:val="auto"/>
        </w:rPr>
        <w:pBdr>
          <w:top w:val="none" w:color="000000" w:sz="0" w:space="0"/>
          <w:left w:val="none" w:color="000000" w:sz="0" w:space="0"/>
          <w:bottom w:val="none" w:color="000000" w:sz="0" w:space="0"/>
          <w:right w:val="none" w:color="000000" w:sz="0" w:space="0"/>
        </w:pBdr>
      </w:pPr>
      <w:r>
        <w:rPr>
          <w:color w:val="auto"/>
        </w:rPr>
      </w:r>
      <w:r/>
    </w:p>
    <w:p>
      <w:pPr>
        <w:spacing w:line="360" w:lineRule="auto"/>
        <w:rPr>
          <w:color w:val="auto"/>
          <w:sz w:val="24"/>
        </w:rPr>
      </w:pPr>
      <w:r>
        <w:rPr>
          <w:rFonts w:ascii="宋体" w:hAnsi="宋体" w:cs="宋体"/>
          <w:color w:val="auto"/>
          <w:sz w:val="24"/>
        </w:rPr>
        <w:t xml:space="preserve">3.最高限价：</w:t>
      </w:r>
      <w:r>
        <w:rPr>
          <w:rFonts w:hint="eastAsia"/>
          <w:color w:val="auto"/>
          <w:sz w:val="24"/>
        </w:rPr>
        <w:t xml:space="preserve">人民币4350000元整，其中：</w:t>
      </w:r>
      <w:r/>
    </w:p>
    <w:p>
      <w:pPr>
        <w:ind w:firstLine="480"/>
        <w:spacing w:line="360" w:lineRule="auto"/>
        <w:rPr>
          <w:color w:val="auto"/>
          <w:sz w:val="24"/>
        </w:rPr>
      </w:pPr>
      <w:r>
        <w:rPr>
          <w:rFonts w:hint="eastAsia"/>
          <w:color w:val="auto"/>
          <w:sz w:val="24"/>
        </w:rPr>
        <w:t xml:space="preserve">第一标段最高</w:t>
      </w:r>
      <w:r>
        <w:rPr>
          <w:color w:val="auto"/>
          <w:sz w:val="24"/>
        </w:rPr>
        <w:t xml:space="preserve">限价</w:t>
      </w:r>
      <w:r>
        <w:rPr>
          <w:rFonts w:hint="eastAsia"/>
          <w:color w:val="auto"/>
          <w:sz w:val="24"/>
        </w:rPr>
        <w:t xml:space="preserve">2500000元，服务</w:t>
      </w:r>
      <w:r>
        <w:rPr>
          <w:color w:val="auto"/>
          <w:sz w:val="24"/>
        </w:rPr>
        <w:t xml:space="preserve">时间2</w:t>
      </w:r>
      <w:r>
        <w:rPr>
          <w:rFonts w:hint="eastAsia"/>
          <w:color w:val="auto"/>
          <w:sz w:val="24"/>
        </w:rPr>
        <w:t xml:space="preserve">年。</w:t>
      </w:r>
      <w:r/>
    </w:p>
    <w:p>
      <w:pPr>
        <w:ind w:firstLine="480"/>
        <w:spacing w:line="360" w:lineRule="auto"/>
        <w:rPr>
          <w:color w:val="auto"/>
          <w:sz w:val="24"/>
        </w:rPr>
      </w:pPr>
      <w:r>
        <w:rPr>
          <w:rFonts w:hint="eastAsia"/>
          <w:color w:val="auto"/>
          <w:sz w:val="24"/>
        </w:rPr>
        <w:t xml:space="preserve">第二标段最高</w:t>
      </w:r>
      <w:r>
        <w:rPr>
          <w:color w:val="auto"/>
          <w:sz w:val="24"/>
        </w:rPr>
        <w:t xml:space="preserve">限价</w:t>
      </w:r>
      <w:r>
        <w:rPr>
          <w:rFonts w:hint="eastAsia"/>
          <w:color w:val="auto"/>
          <w:sz w:val="24"/>
        </w:rPr>
        <w:t xml:space="preserve">1850000元，</w:t>
      </w:r>
      <w:r>
        <w:rPr>
          <w:color w:val="auto"/>
          <w:sz w:val="24"/>
        </w:rPr>
        <w:t xml:space="preserve">服务时间2</w:t>
      </w:r>
      <w:r>
        <w:rPr>
          <w:rFonts w:hint="eastAsia"/>
          <w:color w:val="auto"/>
          <w:sz w:val="24"/>
        </w:rPr>
        <w:t xml:space="preserve">年。</w:t>
      </w:r>
      <w:r/>
    </w:p>
    <w:p>
      <w:pPr>
        <w:ind w:firstLine="480"/>
        <w:jc w:val="left"/>
        <w:spacing w:line="360" w:lineRule="auto"/>
        <w:rPr>
          <w:rFonts w:ascii="宋体" w:hAnsi="宋体"/>
          <w:color w:val="auto"/>
          <w:sz w:val="24"/>
        </w:rPr>
      </w:pPr>
      <w:r>
        <w:rPr>
          <w:rFonts w:hint="eastAsia" w:ascii="宋体" w:hAnsi="宋体"/>
          <w:color w:val="auto"/>
          <w:sz w:val="24"/>
          <w:szCs w:val="24"/>
        </w:rPr>
        <w:t xml:space="preserve">本项目共分2个标段，</w:t>
      </w:r>
      <w:r>
        <w:rPr>
          <w:rFonts w:ascii="Segoe UI" w:hAnsi="Segoe UI" w:cs="Segoe UI"/>
          <w:sz w:val="24"/>
          <w:szCs w:val="24"/>
        </w:rPr>
        <w:t xml:space="preserve">每个投标人可选择相应的分包投标，兼投不兼中。在分包一中被推荐为第一中标候选人的单位可参与分包二评标，但不得成为分包二的推荐中标候选人，按分包顺序，以此类推</w:t>
      </w:r>
      <w:r>
        <w:rPr>
          <w:rFonts w:hint="eastAsia" w:ascii="宋体" w:hAnsi="宋体"/>
          <w:color w:val="auto"/>
          <w:sz w:val="24"/>
          <w:szCs w:val="24"/>
        </w:rPr>
        <w:t xml:space="preserve">。</w:t>
      </w:r>
      <w:r>
        <w:rPr>
          <w:rFonts w:hint="eastAsia" w:ascii="宋体" w:hAnsi="宋体"/>
          <w:color w:val="auto"/>
          <w:sz w:val="24"/>
        </w:rPr>
        <w:t xml:space="preserve">若存在某一标段符合专业条件的投标人或者对招标文件作实质性响应的投标人不足三家的则此标段废标。</w:t>
      </w:r>
      <w:r/>
    </w:p>
    <w:p>
      <w:pPr>
        <w:ind w:firstLine="480"/>
        <w:jc w:val="left"/>
        <w:spacing w:line="360" w:lineRule="auto"/>
        <w:rPr>
          <w:rFonts w:ascii="宋体" w:hAnsi="宋体"/>
          <w:color w:val="auto"/>
          <w:sz w:val="24"/>
        </w:rPr>
      </w:pPr>
      <w:r>
        <w:rPr>
          <w:rFonts w:ascii="宋体" w:hAnsi="宋体" w:cs="宋体"/>
          <w:color w:val="auto"/>
          <w:sz w:val="24"/>
        </w:rPr>
        <w:t xml:space="preserve">4.采购项目概况（简介）： </w:t>
      </w:r>
      <w:r>
        <w:rPr>
          <w:rFonts w:hint="eastAsia" w:ascii="宋体" w:hAnsi="宋体"/>
          <w:color w:val="auto"/>
          <w:sz w:val="24"/>
        </w:rPr>
        <w:t xml:space="preserve">第一标段：龙城大道高架（龙城大道隧道东入口往西部分）、龙江路高架（含钟楼大桥）、长虹路高架（兰陵路往西部分）约34km。</w:t>
      </w:r>
      <w:r/>
    </w:p>
    <w:p>
      <w:pPr>
        <w:ind w:firstLine="480"/>
        <w:jc w:val="left"/>
        <w:spacing w:line="360" w:lineRule="auto"/>
        <w:rPr>
          <w:rFonts w:ascii="宋体" w:hAnsi="宋体"/>
          <w:color w:val="auto"/>
          <w:sz w:val="24"/>
        </w:rPr>
      </w:pPr>
      <w:r>
        <w:rPr>
          <w:rFonts w:hint="eastAsia" w:ascii="宋体" w:hAnsi="宋体"/>
          <w:color w:val="auto"/>
          <w:sz w:val="24"/>
        </w:rPr>
        <w:t xml:space="preserve">第二标段：龙城大道高架（龙城大道隧道东入口往东部分）、长虹路高架（兰陵路往东部分）、青洋路高架约27.8km。</w:t>
      </w:r>
      <w:r/>
    </w:p>
    <w:p>
      <w:pPr>
        <w:ind w:firstLine="480"/>
        <w:jc w:val="left"/>
        <w:spacing w:line="360" w:lineRule="auto"/>
        <w:rPr>
          <w:rFonts w:ascii="宋体" w:hAnsi="宋体"/>
          <w:color w:val="auto"/>
          <w:sz w:val="24"/>
        </w:rPr>
      </w:pPr>
      <w:r>
        <w:rPr>
          <w:rFonts w:hint="eastAsia" w:ascii="宋体" w:hAnsi="宋体"/>
          <w:color w:val="auto"/>
          <w:sz w:val="24"/>
        </w:rPr>
        <w:t xml:space="preserve">经常性检查、常规定期检测、结构定期检测等。</w:t>
      </w:r>
      <w:r/>
    </w:p>
    <w:p>
      <w:pPr>
        <w:ind w:firstLine="480"/>
        <w:jc w:val="left"/>
        <w:spacing w:line="360" w:lineRule="auto"/>
        <w:rPr>
          <w:rFonts w:ascii="宋体" w:hAnsi="宋体"/>
          <w:color w:val="auto"/>
          <w:sz w:val="24"/>
        </w:rPr>
      </w:pPr>
      <w:r>
        <w:rPr>
          <w:rFonts w:ascii="宋体" w:hAnsi="宋体" w:cs="宋体"/>
          <w:color w:val="auto"/>
          <w:sz w:val="24"/>
        </w:rPr>
        <w:t xml:space="preserve">5.合同履行期限：</w:t>
      </w:r>
      <w:r>
        <w:rPr>
          <w:rFonts w:hint="eastAsia" w:ascii="宋体" w:hAnsi="宋体"/>
          <w:color w:val="auto"/>
          <w:sz w:val="24"/>
        </w:rPr>
        <w:t xml:space="preserve">2026年1月1日~2027年12月31日，</w:t>
      </w:r>
      <w:r>
        <w:rPr>
          <w:rFonts w:hint="eastAsia" w:ascii="宋体" w:hAnsi="宋体" w:cs="宋体"/>
          <w:color w:val="auto"/>
          <w:sz w:val="24"/>
        </w:rPr>
        <w:t xml:space="preserve">第一年服务期满后经采双方商定后可续签下一年合同。</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w:t>
      </w:r>
      <w:r>
        <w:rPr>
          <w:rFonts w:hint="eastAsia" w:ascii="宋体" w:hAnsi="宋体" w:cs="宋体"/>
          <w:color w:val="auto"/>
          <w:sz w:val="24"/>
        </w:rPr>
        <w:t xml:space="preserve">是/</w:t>
      </w:r>
      <w:r>
        <w:rPr>
          <w:rFonts w:ascii="宋体" w:hAnsi="宋体" w:cs="宋体"/>
          <w:color w:val="auto"/>
          <w:sz w:val="24"/>
        </w:rPr>
        <w:t xml:space="preserve">否接受联合体投标： </w:t>
      </w:r>
      <w:r>
        <w:rPr>
          <w:rFonts w:hint="eastAsia" w:ascii="宋体" w:hAnsi="宋体" w:cs="宋体"/>
          <w:color w:val="auto"/>
          <w:sz w:val="24"/>
        </w:rPr>
        <w:t xml:space="preserve">否</w:t>
      </w:r>
      <w:r>
        <w:rPr>
          <w:rFonts w:ascii="宋体" w:hAnsi="宋体" w:cs="宋体"/>
          <w:color w:val="auto"/>
          <w:sz w:val="24"/>
        </w:rPr>
        <w:t xml:space="preserve">  ；</w:t>
      </w:r>
      <w:r/>
    </w:p>
    <w:p>
      <w:pPr>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7.</w:t>
      </w:r>
      <w:r>
        <w:rPr>
          <w:rFonts w:ascii="宋体" w:hAnsi="宋体" w:cs="宋体"/>
          <w:color w:val="auto"/>
          <w:sz w:val="24"/>
        </w:rPr>
        <w:t xml:space="preserve">是</w:t>
      </w:r>
      <w:r>
        <w:rPr>
          <w:rFonts w:eastAsia="Times New Roman"/>
          <w:color w:val="auto"/>
          <w:sz w:val="24"/>
        </w:rPr>
        <w:t xml:space="preserve">/</w:t>
      </w:r>
      <w:r>
        <w:rPr>
          <w:rFonts w:ascii="宋体" w:hAnsi="宋体" w:cs="宋体"/>
          <w:color w:val="auto"/>
          <w:sz w:val="24"/>
        </w:rPr>
        <w:t xml:space="preserve">否接受分支机构参与响应：</w:t>
      </w:r>
      <w:r>
        <w:rPr>
          <w:rFonts w:hint="eastAsia" w:ascii="宋体" w:hAnsi="宋体" w:cs="宋体"/>
          <w:color w:val="auto"/>
          <w:sz w:val="24"/>
        </w:rPr>
        <w:t xml:space="preserve">否</w:t>
      </w:r>
      <w:r>
        <w:rPr>
          <w:color w:val="auto"/>
        </w:rPr>
        <w:t xml:space="preserve"> </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8.是/否属于政府购买服务：</w:t>
      </w:r>
      <w:r>
        <w:rPr>
          <w:rFonts w:hint="eastAsia" w:ascii="宋体" w:hAnsi="宋体" w:cs="宋体"/>
          <w:color w:val="auto"/>
          <w:sz w:val="24"/>
        </w:rPr>
        <w:t xml:space="preserve">否</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9.是</w:t>
      </w:r>
      <w:r>
        <w:rPr>
          <w:rFonts w:eastAsia="Times New Roman"/>
          <w:color w:val="auto"/>
          <w:sz w:val="24"/>
        </w:rPr>
        <w:t xml:space="preserve">/</w:t>
      </w:r>
      <w:r>
        <w:rPr>
          <w:rFonts w:ascii="宋体" w:hAnsi="宋体" w:cs="宋体"/>
          <w:color w:val="auto"/>
          <w:sz w:val="24"/>
        </w:rPr>
        <w:t xml:space="preserve">否接受进口产品投标：</w:t>
      </w:r>
      <w:r>
        <w:rPr>
          <w:rFonts w:hint="eastAsia" w:ascii="宋体" w:hAnsi="宋体" w:cs="宋体"/>
          <w:color w:val="auto"/>
          <w:sz w:val="24"/>
        </w:rPr>
        <w:t xml:space="preserve">否</w:t>
      </w:r>
      <w:r/>
    </w:p>
    <w:p>
      <w:pPr>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10. </w:t>
      </w:r>
      <w:r>
        <w:rPr>
          <w:rFonts w:ascii="宋体" w:hAnsi="宋体" w:cs="宋体"/>
          <w:color w:val="auto"/>
          <w:sz w:val="24"/>
        </w:rPr>
        <w:t xml:space="preserve">是</w:t>
      </w:r>
      <w:r>
        <w:rPr>
          <w:rFonts w:eastAsia="Times New Roman"/>
          <w:color w:val="auto"/>
          <w:sz w:val="24"/>
        </w:rPr>
        <w:t xml:space="preserve">/</w:t>
      </w:r>
      <w:r>
        <w:rPr>
          <w:rFonts w:ascii="宋体" w:hAnsi="宋体" w:cs="宋体"/>
          <w:color w:val="auto"/>
          <w:sz w:val="24"/>
        </w:rPr>
        <w:t xml:space="preserve">否专门面向中小企业预留采购份额：</w:t>
      </w:r>
      <w:r>
        <w:rPr>
          <w:rFonts w:hint="eastAsia" w:ascii="宋体" w:hAnsi="宋体" w:cs="宋体"/>
          <w:color w:val="auto"/>
          <w:sz w:val="24"/>
        </w:rPr>
        <w:t xml:space="preserve">否</w:t>
      </w:r>
      <w:r/>
    </w:p>
    <w:p>
      <w:pPr>
        <w:spacing w:line="360" w:lineRule="auto"/>
        <w:tabs>
          <w:tab w:val="left" w:pos="900" w:leader="none"/>
          <w:tab w:val="left" w:pos="1134" w:leader="none"/>
          <w:tab w:val="left" w:pos="1589" w:leader="none"/>
          <w:tab w:val="left" w:pos="5521" w:leader="none"/>
        </w:tabs>
        <w:rPr>
          <w:rFonts w:ascii="宋体" w:hAnsi="宋体" w:cs="宋体"/>
          <w:color w:val="auto"/>
          <w:sz w:val="24"/>
        </w:rPr>
      </w:pPr>
      <w:r>
        <w:rPr>
          <w:rFonts w:eastAsia="Times New Roman"/>
          <w:color w:val="auto"/>
          <w:sz w:val="24"/>
        </w:rPr>
        <w:t xml:space="preserve">11.</w:t>
      </w:r>
      <w:r>
        <w:rPr>
          <w:rFonts w:ascii="宋体" w:hAnsi="宋体" w:cs="宋体"/>
          <w:color w:val="auto"/>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rPr>
      </w:pPr>
      <w:r>
        <w:rPr>
          <w:rFonts w:hint="eastAsia"/>
          <w:color w:val="auto"/>
          <w:sz w:val="24"/>
        </w:rPr>
        <w:t xml:space="preserve">（1）投标人具有省级及以上建设主管部门核发的建设工程质量检测资质(附表中核准的项目含“桥梁结构”)或交通运输部门核发的公路工程综合检测甲级资质或桥隧工程专项试验检测资质（须在有效期内）；</w:t>
      </w:r>
      <w:r/>
    </w:p>
    <w:p>
      <w:pPr>
        <w:ind w:firstLine="480"/>
        <w:spacing w:line="360" w:lineRule="auto"/>
        <w:tabs>
          <w:tab w:val="left" w:pos="900" w:leader="none"/>
          <w:tab w:val="left" w:pos="1134" w:leader="none"/>
          <w:tab w:val="left" w:pos="1589" w:leader="none"/>
          <w:tab w:val="left" w:pos="5521" w:leader="none"/>
        </w:tabs>
        <w:rPr>
          <w:color w:val="auto"/>
          <w:sz w:val="24"/>
        </w:rPr>
      </w:pPr>
      <w:r>
        <w:rPr>
          <w:rFonts w:hint="eastAsia"/>
          <w:color w:val="auto"/>
          <w:sz w:val="24"/>
        </w:rPr>
        <w:t xml:space="preserve">（2）投标人具有省级及以上技术监督部门颁发的CMA计量认证合格证书（须在有效期内），证书附表中批准的项目必须包含桥梁静载和动载检测项目。</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12.项目类别：</w:t>
      </w:r>
      <w:r>
        <w:rPr>
          <w:rFonts w:hint="eastAsia" w:ascii="宋体" w:hAnsi="宋体" w:cs="宋体"/>
          <w:color w:val="auto"/>
          <w:sz w:val="24"/>
        </w:rPr>
        <w:t xml:space="preserve">服务</w:t>
      </w:r>
      <w:r>
        <w:rPr>
          <w:rFonts w:ascii="宋体" w:hAnsi="宋体" w:cs="宋体"/>
          <w:color w:val="auto"/>
          <w:sz w:val="24"/>
        </w:rPr>
        <w:t xml:space="preserve">类 </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二、商务要求</w:t>
      </w:r>
      <w:r/>
    </w:p>
    <w:p>
      <w:pPr>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1. </w:t>
      </w:r>
      <w:r>
        <w:rPr>
          <w:rFonts w:ascii="宋体" w:hAnsi="宋体" w:cs="宋体"/>
          <w:color w:val="auto"/>
          <w:sz w:val="24"/>
        </w:rPr>
        <w:t xml:space="preserve">交付（实施）的时间（期限）和地点（范围）</w:t>
      </w:r>
      <w:r/>
    </w:p>
    <w:p>
      <w:pPr>
        <w:ind w:firstLine="480"/>
        <w:jc w:val="left"/>
        <w:spacing w:line="360" w:lineRule="auto"/>
        <w:rPr>
          <w:rFonts w:ascii="宋体" w:hAnsi="宋体"/>
          <w:color w:val="auto"/>
          <w:sz w:val="24"/>
        </w:rPr>
      </w:pPr>
      <w:r>
        <w:rPr>
          <w:rFonts w:hint="eastAsia" w:eastAsia="Times New Roman"/>
          <w:color w:val="auto"/>
          <w:sz w:val="24"/>
        </w:rPr>
        <w:t xml:space="preserve">（1）</w:t>
      </w:r>
      <w:r>
        <w:rPr>
          <w:rFonts w:hint="eastAsia" w:eastAsiaTheme="minorEastAsia"/>
          <w:i/>
          <w:color w:val="auto"/>
          <w:sz w:val="24"/>
        </w:rPr>
        <w:t xml:space="preserve">实施</w:t>
      </w:r>
      <w:r>
        <w:rPr>
          <w:rFonts w:eastAsiaTheme="minorEastAsia"/>
          <w:i/>
          <w:color w:val="auto"/>
          <w:sz w:val="24"/>
        </w:rPr>
        <w:t xml:space="preserve">地点：</w:t>
      </w:r>
      <w:r>
        <w:rPr>
          <w:rFonts w:eastAsia="Times New Roman"/>
          <w:i/>
          <w:color w:val="auto"/>
          <w:sz w:val="24"/>
        </w:rPr>
        <w:t xml:space="preserve"> </w:t>
      </w:r>
      <w:r>
        <w:rPr>
          <w:rFonts w:hint="eastAsia" w:ascii="宋体" w:hAnsi="宋体"/>
          <w:color w:val="auto"/>
          <w:sz w:val="24"/>
        </w:rPr>
        <w:t xml:space="preserve">第一标段：龙城大道高架（龙城大道隧道东入口往西部分）、龙江路高架（含钟楼大桥）、长虹路高架（兰陵路往西部分）约34km。</w:t>
      </w:r>
      <w:r/>
    </w:p>
    <w:p>
      <w:pPr>
        <w:ind w:firstLine="480"/>
        <w:jc w:val="left"/>
        <w:spacing w:line="360" w:lineRule="auto"/>
        <w:rPr>
          <w:rFonts w:ascii="宋体" w:hAnsi="宋体"/>
          <w:color w:val="auto"/>
          <w:sz w:val="24"/>
        </w:rPr>
      </w:pPr>
      <w:r>
        <w:rPr>
          <w:rFonts w:hint="eastAsia" w:ascii="宋体" w:hAnsi="宋体"/>
          <w:color w:val="auto"/>
          <w:sz w:val="24"/>
        </w:rPr>
        <w:t xml:space="preserve">第二标段：龙城大道高架（龙城大道隧道东入口往东部分）、长虹路高架（兰陵路往东部分）、青洋路高架约27.8km。</w:t>
      </w:r>
      <w:r/>
    </w:p>
    <w:p>
      <w:pPr>
        <w:ind w:firstLine="480"/>
        <w:jc w:val="left"/>
        <w:spacing w:line="360" w:lineRule="auto"/>
        <w:rPr>
          <w:rFonts w:ascii="宋体" w:hAnsi="宋体"/>
          <w:color w:val="auto"/>
          <w:sz w:val="24"/>
        </w:rPr>
      </w:pPr>
      <w:r>
        <w:rPr>
          <w:rFonts w:hint="eastAsia" w:eastAsia="Times New Roman"/>
          <w:color w:val="auto"/>
          <w:sz w:val="24"/>
        </w:rPr>
        <w:t xml:space="preserve">（2）</w:t>
      </w:r>
      <w:r>
        <w:rPr>
          <w:rFonts w:hint="eastAsia" w:ascii="宋体" w:hAnsi="宋体"/>
          <w:color w:val="auto"/>
          <w:sz w:val="24"/>
        </w:rPr>
        <w:t xml:space="preserve">实施</w:t>
      </w:r>
      <w:r>
        <w:rPr>
          <w:rFonts w:ascii="宋体" w:hAnsi="宋体"/>
          <w:color w:val="auto"/>
          <w:sz w:val="24"/>
        </w:rPr>
        <w:t xml:space="preserve">时间：</w:t>
      </w:r>
      <w:r>
        <w:rPr>
          <w:rFonts w:hint="eastAsia" w:ascii="宋体" w:hAnsi="宋体"/>
          <w:color w:val="auto"/>
          <w:sz w:val="24"/>
        </w:rPr>
        <w:t xml:space="preserve">2026年1月1日~2027年12月31日</w:t>
      </w:r>
      <w:r/>
    </w:p>
    <w:p>
      <w:pPr>
        <w:rPr>
          <w:color w:val="auto"/>
        </w:rPr>
        <w:pBdr>
          <w:top w:val="none" w:color="000000" w:sz="0" w:space="0"/>
          <w:left w:val="none" w:color="000000" w:sz="0" w:space="0"/>
          <w:bottom w:val="none" w:color="000000" w:sz="0" w:space="0"/>
          <w:right w:val="none" w:color="000000" w:sz="0" w:space="0"/>
        </w:pBdr>
      </w:pPr>
      <w:r>
        <w:rPr>
          <w:color w:val="auto"/>
        </w:rPr>
      </w:r>
      <w:r/>
    </w:p>
    <w:p>
      <w:pPr>
        <w:spacing w:before="156" w:after="156"/>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2. </w:t>
      </w:r>
      <w:r>
        <w:rPr>
          <w:rFonts w:ascii="宋体" w:hAnsi="宋体" w:cs="宋体"/>
          <w:color w:val="auto"/>
          <w:sz w:val="24"/>
        </w:rPr>
        <w:t xml:space="preserve">付款条件（进度和方式）</w:t>
      </w:r>
      <w:r>
        <w:rPr>
          <w:rFonts w:hint="eastAsia" w:ascii="宋体" w:hAnsi="宋体" w:cs="宋体"/>
          <w:color w:val="auto"/>
          <w:sz w:val="24"/>
        </w:rPr>
        <w:t xml:space="preserve">合同签订后预付合同总价的10%（在签订合同时，中标人明确表示无需预付款或者主动要求降低预付款比例的，采购人可不适用前述规定）；完成2026年度工作量并提交报告付至合同总价的</w:t>
      </w:r>
      <w:r>
        <w:rPr>
          <w:rFonts w:ascii="宋体" w:hAnsi="宋体" w:cs="宋体"/>
          <w:color w:val="auto"/>
          <w:sz w:val="24"/>
        </w:rPr>
        <w:t xml:space="preserve">5</w:t>
      </w:r>
      <w:r>
        <w:rPr>
          <w:rFonts w:hint="eastAsia" w:ascii="宋体" w:hAnsi="宋体" w:cs="宋体"/>
          <w:color w:val="auto"/>
          <w:sz w:val="24"/>
        </w:rPr>
        <w:t xml:space="preserve">0%；完成2027年度工作量并提交报告付至合同总价的100%（无息，同时需要扣除考核扣款）。乙方收款时应提供符合规定的发票</w:t>
      </w:r>
      <w:r>
        <w:rPr>
          <w:rFonts w:hint="eastAsia" w:ascii="宋体" w:hAnsi="宋体"/>
          <w:color w:val="auto"/>
          <w:sz w:val="24"/>
        </w:rPr>
        <w:t xml:space="preserve">甲方收到服务费发票后10个工作日内向乙方支付相应费用。因乙方未及时提供发票及所需材料导致相应后果的，甲方不承担任何责任</w:t>
      </w:r>
      <w:r/>
    </w:p>
    <w:p>
      <w:pPr>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3. </w:t>
      </w:r>
      <w:r>
        <w:rPr>
          <w:rFonts w:ascii="宋体" w:hAnsi="宋体" w:cs="宋体"/>
          <w:color w:val="auto"/>
          <w:sz w:val="24"/>
        </w:rPr>
        <w:t xml:space="preserve">包装和运输</w:t>
      </w:r>
      <w:r>
        <w:rPr>
          <w:rFonts w:hint="eastAsia" w:ascii="宋体" w:hAnsi="宋体" w:cs="宋体"/>
          <w:color w:val="auto"/>
          <w:sz w:val="24"/>
        </w:rPr>
        <w:t xml:space="preserve">：无</w:t>
      </w:r>
      <w:r/>
    </w:p>
    <w:p>
      <w:pPr>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 </w:t>
      </w:r>
      <w:r/>
    </w:p>
    <w:p>
      <w:pPr>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4. </w:t>
      </w:r>
      <w:r>
        <w:rPr>
          <w:rFonts w:ascii="宋体" w:hAnsi="宋体" w:cs="宋体"/>
          <w:color w:val="auto"/>
          <w:sz w:val="24"/>
        </w:rPr>
        <w:t xml:space="preserve">售后服务（质保期等）</w:t>
      </w:r>
      <w:r>
        <w:rPr>
          <w:rFonts w:hint="eastAsia" w:ascii="宋体" w:hAnsi="宋体" w:cs="宋体"/>
          <w:color w:val="auto"/>
          <w:sz w:val="24"/>
        </w:rPr>
        <w:t xml:space="preserve">：无</w:t>
      </w:r>
      <w:r/>
    </w:p>
    <w:p>
      <w:pPr>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 </w:t>
      </w:r>
      <w:r/>
    </w:p>
    <w:p>
      <w:pPr>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5. </w:t>
      </w:r>
      <w:r>
        <w:rPr>
          <w:rFonts w:ascii="宋体" w:hAnsi="宋体" w:cs="宋体"/>
          <w:color w:val="auto"/>
          <w:sz w:val="24"/>
        </w:rPr>
        <w:t xml:space="preserve">保险</w:t>
      </w:r>
      <w:r>
        <w:rPr>
          <w:rFonts w:hint="eastAsia" w:ascii="宋体" w:hAnsi="宋体" w:cs="宋体"/>
          <w:color w:val="auto"/>
          <w:sz w:val="24"/>
        </w:rPr>
        <w:t xml:space="preserve">：无</w:t>
      </w:r>
      <w:r/>
    </w:p>
    <w:p>
      <w:pPr>
        <w:rPr>
          <w:color w:val="auto"/>
        </w:rPr>
        <w:pBdr>
          <w:top w:val="none" w:color="000000" w:sz="0" w:space="0"/>
          <w:left w:val="none" w:color="000000" w:sz="0" w:space="0"/>
          <w:bottom w:val="none" w:color="000000" w:sz="0" w:space="0"/>
          <w:right w:val="none" w:color="000000" w:sz="0" w:space="0"/>
        </w:pBdr>
      </w:pPr>
      <w:r>
        <w:rPr>
          <w:rFonts w:eastAsia="Times New Roman"/>
          <w:b/>
          <w:i/>
          <w:color w:val="auto"/>
          <w:sz w:val="24"/>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三、技术要求</w:t>
      </w:r>
      <w:r/>
    </w:p>
    <w:p>
      <w:pPr>
        <w:ind w:firstLine="241"/>
        <w:jc w:val="left"/>
        <w:spacing w:line="360" w:lineRule="auto"/>
        <w:rPr>
          <w:rFonts w:ascii="宋体" w:hAnsi="宋体" w:cs="宋体"/>
          <w:b/>
          <w:color w:val="auto"/>
          <w:sz w:val="24"/>
        </w:rPr>
      </w:pPr>
      <w:r>
        <w:rPr>
          <w:rFonts w:hint="eastAsia" w:ascii="宋体" w:hAnsi="宋体" w:cs="宋体"/>
          <w:b/>
          <w:color w:val="auto"/>
          <w:sz w:val="24"/>
        </w:rPr>
        <w:t xml:space="preserve">（一）经常性检查</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1.经常性检查应对结构变异、桥梁及桥梁安全保护区域内施工作业情况和桥面系、限载标志、限高标志、交通标志及其他附属设施等状况进行日常巡查。</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2.经常性检查应由经过培训的专职桥梁管理人员或有一定经验的工程技术人员负责。</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3.经查性检查宜以目测为主，并应按《城市桥梁养护技术标准》CJJ99-2017附录A现场填写城市桥梁日常巡检报表，登记所检查桥梁病害的损坏类型、损坏程度、损坏位置等，提出相应的养护措施。</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4.经常性检查记录定期整理归档，并提出评价意见。当巡检过程中发现设施明显损坏，影响车辆和行人安全时，应立即设置警示标志，及时向我中心报告，并采取相应维护措施。</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5.经常性检查应包括下列内容：</w:t>
      </w:r>
      <w:r/>
    </w:p>
    <w:p>
      <w:pPr>
        <w:pStyle w:val="1025"/>
        <w:ind w:left="360" w:firstLine="240"/>
        <w:spacing w:line="360" w:lineRule="auto"/>
        <w:rPr>
          <w:rFonts w:ascii="宋体" w:hAnsi="宋体" w:cs="宋体"/>
          <w:color w:val="auto"/>
          <w:sz w:val="24"/>
          <w:szCs w:val="24"/>
        </w:rPr>
      </w:pPr>
      <w:r>
        <w:rPr>
          <w:rFonts w:hint="eastAsia" w:ascii="宋体" w:hAnsi="宋体" w:cs="宋体"/>
          <w:color w:val="auto"/>
          <w:sz w:val="24"/>
          <w:szCs w:val="24"/>
        </w:rPr>
        <w:t xml:space="preserve">5.1检查城市桥梁各组成结构的完好状态，主要检查内容见下表</w:t>
      </w:r>
      <w:r/>
    </w:p>
    <w:tbl>
      <w:tblPr>
        <w:tblStyle w:val="738"/>
        <w:tblW w:w="8223" w:type="dxa"/>
        <w:tblInd w:w="7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2077"/>
        <w:gridCol w:w="4600"/>
      </w:tblGrid>
      <w:tr>
        <w:trPr>
          <w:trHeight w:val="559"/>
        </w:trPr>
        <w:tc>
          <w:tcPr>
            <w:tcW w:w="1546" w:type="dxa"/>
            <w:vAlign w:val="center"/>
            <w:textDirection w:val="lrTb"/>
            <w:noWrap w:val="false"/>
          </w:tcPr>
          <w:p>
            <w:pPr>
              <w:pStyle w:val="1025"/>
              <w:ind w:firstLine="200"/>
              <w:jc w:val="center"/>
              <w:spacing w:line="360" w:lineRule="auto"/>
              <w:rPr>
                <w:rFonts w:ascii="宋体" w:hAnsi="宋体" w:cs="宋体"/>
                <w:color w:val="auto"/>
                <w:szCs w:val="21"/>
              </w:rPr>
            </w:pPr>
            <w:r>
              <w:rPr>
                <w:rFonts w:hint="eastAsia" w:ascii="宋体" w:hAnsi="宋体" w:cs="宋体"/>
                <w:color w:val="auto"/>
                <w:szCs w:val="21"/>
              </w:rPr>
              <w:t xml:space="preserve">组成结构</w:t>
            </w:r>
            <w:r/>
          </w:p>
        </w:tc>
        <w:tc>
          <w:tcPr>
            <w:tcW w:w="2077" w:type="dxa"/>
            <w:vAlign w:val="center"/>
            <w:textDirection w:val="lrTb"/>
            <w:noWrap w:val="false"/>
          </w:tcPr>
          <w:p>
            <w:pPr>
              <w:pStyle w:val="1025"/>
              <w:ind w:firstLine="200"/>
              <w:jc w:val="center"/>
              <w:spacing w:line="360" w:lineRule="auto"/>
              <w:rPr>
                <w:rFonts w:ascii="宋体" w:hAnsi="宋体" w:cs="宋体"/>
                <w:color w:val="auto"/>
                <w:szCs w:val="21"/>
              </w:rPr>
            </w:pPr>
            <w:r>
              <w:rPr>
                <w:rFonts w:hint="eastAsia" w:ascii="宋体" w:hAnsi="宋体" w:cs="宋体"/>
                <w:color w:val="auto"/>
                <w:szCs w:val="21"/>
              </w:rPr>
              <w:t xml:space="preserve">部位</w:t>
            </w:r>
            <w:r/>
          </w:p>
        </w:tc>
        <w:tc>
          <w:tcPr>
            <w:tcW w:w="4600" w:type="dxa"/>
            <w:vAlign w:val="center"/>
            <w:textDirection w:val="lrTb"/>
            <w:noWrap w:val="false"/>
          </w:tcPr>
          <w:p>
            <w:pPr>
              <w:pStyle w:val="1025"/>
              <w:ind w:firstLine="200"/>
              <w:jc w:val="center"/>
              <w:spacing w:line="360" w:lineRule="auto"/>
              <w:rPr>
                <w:rFonts w:ascii="宋体" w:hAnsi="宋体" w:cs="宋体"/>
                <w:color w:val="auto"/>
                <w:szCs w:val="21"/>
              </w:rPr>
            </w:pPr>
            <w:r>
              <w:rPr>
                <w:rFonts w:hint="eastAsia" w:ascii="宋体" w:hAnsi="宋体" w:cs="宋体"/>
                <w:color w:val="auto"/>
                <w:szCs w:val="21"/>
              </w:rPr>
              <w:t xml:space="preserve">检查要点</w:t>
            </w:r>
            <w:r/>
          </w:p>
        </w:tc>
      </w:tr>
      <w:tr>
        <w:trPr>
          <w:cantSplit/>
          <w:trHeight w:val="1091"/>
        </w:trPr>
        <w:tc>
          <w:tcPr>
            <w:tcW w:w="1546" w:type="dxa"/>
            <w:vAlign w:val="center"/>
            <w:vMerge w:val="restart"/>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桥面系及附属结构</w:t>
            </w:r>
            <w:r/>
          </w:p>
        </w:tc>
        <w:tc>
          <w:tcPr>
            <w:tcW w:w="2077"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桥面铺装</w:t>
            </w:r>
            <w:r/>
          </w:p>
        </w:tc>
        <w:tc>
          <w:tcPr>
            <w:tcW w:w="4600"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平整性及裂缝、坑槽、拥包、车辙、积水、沉陷、碎边、桥头跳车等</w:t>
            </w:r>
            <w:r/>
          </w:p>
        </w:tc>
      </w:tr>
      <w:tr>
        <w:trPr>
          <w:cantSplit/>
          <w:trHeight w:val="255"/>
        </w:trPr>
        <w:tc>
          <w:tcPr>
            <w:tcW w:w="1546" w:type="dxa"/>
            <w:vAlign w:val="center"/>
            <w:vMerge w:val="continue"/>
            <w:textDirection w:val="lrTb"/>
            <w:noWrap w:val="false"/>
          </w:tcPr>
          <w:p>
            <w:pPr>
              <w:pStyle w:val="1025"/>
              <w:ind w:firstLine="200"/>
              <w:spacing w:line="360" w:lineRule="auto"/>
              <w:rPr>
                <w:rFonts w:ascii="宋体" w:hAnsi="宋体" w:cs="宋体"/>
                <w:color w:val="auto"/>
                <w:szCs w:val="21"/>
              </w:rPr>
            </w:pPr>
            <w:r>
              <w:rPr>
                <w:rFonts w:ascii="宋体" w:hAnsi="宋体" w:cs="宋体"/>
                <w:color w:val="auto"/>
                <w:szCs w:val="21"/>
              </w:rPr>
            </w:r>
            <w:r/>
          </w:p>
        </w:tc>
        <w:tc>
          <w:tcPr>
            <w:tcW w:w="2077"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伸缩装置</w:t>
            </w:r>
            <w:r/>
          </w:p>
        </w:tc>
        <w:tc>
          <w:tcPr>
            <w:tcW w:w="4600"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连接松动、异常变形、破损、脱落、漏水、阻塞等；是否造成明显跳车</w:t>
            </w:r>
            <w:r/>
          </w:p>
        </w:tc>
      </w:tr>
      <w:tr>
        <w:trPr>
          <w:cantSplit/>
          <w:trHeight w:val="255"/>
        </w:trPr>
        <w:tc>
          <w:tcPr>
            <w:tcW w:w="1546" w:type="dxa"/>
            <w:vAlign w:val="center"/>
            <w:vMerge w:val="continue"/>
            <w:textDirection w:val="lrTb"/>
            <w:noWrap w:val="false"/>
          </w:tcPr>
          <w:p>
            <w:pPr>
              <w:pStyle w:val="1025"/>
              <w:ind w:firstLine="200"/>
              <w:spacing w:line="360" w:lineRule="auto"/>
              <w:rPr>
                <w:rFonts w:ascii="宋体" w:hAnsi="宋体" w:cs="宋体"/>
                <w:color w:val="auto"/>
                <w:szCs w:val="21"/>
              </w:rPr>
            </w:pPr>
            <w:r>
              <w:rPr>
                <w:rFonts w:ascii="宋体" w:hAnsi="宋体" w:cs="宋体"/>
                <w:color w:val="auto"/>
                <w:szCs w:val="21"/>
              </w:rPr>
            </w:r>
            <w:r/>
          </w:p>
        </w:tc>
        <w:tc>
          <w:tcPr>
            <w:tcW w:w="2077"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排水设施</w:t>
            </w:r>
            <w:r/>
          </w:p>
        </w:tc>
        <w:tc>
          <w:tcPr>
            <w:tcW w:w="4600"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泄水孔堵塞；排水设施缺损等</w:t>
            </w:r>
            <w:r/>
          </w:p>
        </w:tc>
      </w:tr>
      <w:tr>
        <w:trPr>
          <w:cantSplit/>
          <w:trHeight w:val="255"/>
        </w:trPr>
        <w:tc>
          <w:tcPr>
            <w:tcW w:w="1546" w:type="dxa"/>
            <w:vAlign w:val="center"/>
            <w:vMerge w:val="continue"/>
            <w:textDirection w:val="lrTb"/>
            <w:noWrap w:val="false"/>
          </w:tcPr>
          <w:p>
            <w:pPr>
              <w:pStyle w:val="1025"/>
              <w:ind w:firstLine="200"/>
              <w:spacing w:line="360" w:lineRule="auto"/>
              <w:rPr>
                <w:rFonts w:ascii="宋体" w:hAnsi="宋体" w:cs="宋体"/>
                <w:color w:val="auto"/>
                <w:szCs w:val="21"/>
              </w:rPr>
            </w:pPr>
            <w:r>
              <w:rPr>
                <w:rFonts w:ascii="宋体" w:hAnsi="宋体" w:cs="宋体"/>
                <w:color w:val="auto"/>
                <w:szCs w:val="21"/>
              </w:rPr>
            </w:r>
            <w:r/>
          </w:p>
        </w:tc>
        <w:tc>
          <w:tcPr>
            <w:tcW w:w="2077"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人行道铺装</w:t>
            </w:r>
            <w:r/>
          </w:p>
        </w:tc>
        <w:tc>
          <w:tcPr>
            <w:tcW w:w="4600"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裂缝、松动或变形、残缺等</w:t>
            </w:r>
            <w:r/>
          </w:p>
        </w:tc>
      </w:tr>
      <w:tr>
        <w:trPr>
          <w:cantSplit/>
          <w:trHeight w:val="255"/>
        </w:trPr>
        <w:tc>
          <w:tcPr>
            <w:tcW w:w="1546" w:type="dxa"/>
            <w:vAlign w:val="center"/>
            <w:vMerge w:val="continue"/>
            <w:textDirection w:val="lrTb"/>
            <w:noWrap w:val="false"/>
          </w:tcPr>
          <w:p>
            <w:pPr>
              <w:pStyle w:val="1025"/>
              <w:ind w:firstLine="200"/>
              <w:spacing w:line="360" w:lineRule="auto"/>
              <w:rPr>
                <w:rFonts w:ascii="宋体" w:hAnsi="宋体" w:cs="宋体"/>
                <w:color w:val="auto"/>
                <w:szCs w:val="21"/>
              </w:rPr>
            </w:pPr>
            <w:r>
              <w:rPr>
                <w:rFonts w:ascii="宋体" w:hAnsi="宋体" w:cs="宋体"/>
                <w:color w:val="auto"/>
                <w:szCs w:val="21"/>
              </w:rPr>
            </w:r>
            <w:r/>
          </w:p>
        </w:tc>
        <w:tc>
          <w:tcPr>
            <w:tcW w:w="2077"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栏杆、防撞护栏</w:t>
            </w:r>
            <w:r/>
          </w:p>
        </w:tc>
        <w:tc>
          <w:tcPr>
            <w:tcW w:w="4600"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污秽、破损、缺失、露筋、锈蚀、断裂、松动等</w:t>
            </w:r>
            <w:r/>
          </w:p>
        </w:tc>
      </w:tr>
      <w:tr>
        <w:trPr>
          <w:cantSplit/>
          <w:trHeight w:val="255"/>
        </w:trPr>
        <w:tc>
          <w:tcPr>
            <w:tcW w:w="1546" w:type="dxa"/>
            <w:vAlign w:val="center"/>
            <w:vMerge w:val="continue"/>
            <w:textDirection w:val="lrTb"/>
            <w:noWrap w:val="false"/>
          </w:tcPr>
          <w:p>
            <w:pPr>
              <w:pStyle w:val="1025"/>
              <w:ind w:firstLine="200"/>
              <w:spacing w:line="360" w:lineRule="auto"/>
              <w:rPr>
                <w:rFonts w:ascii="宋体" w:hAnsi="宋体" w:cs="宋体"/>
                <w:color w:val="auto"/>
                <w:szCs w:val="21"/>
              </w:rPr>
            </w:pPr>
            <w:r>
              <w:rPr>
                <w:rFonts w:ascii="宋体" w:hAnsi="宋体" w:cs="宋体"/>
                <w:color w:val="auto"/>
                <w:szCs w:val="21"/>
              </w:rPr>
            </w:r>
            <w:r/>
          </w:p>
        </w:tc>
        <w:tc>
          <w:tcPr>
            <w:tcW w:w="2077"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挡土墙、护坡、调治构造物</w:t>
            </w:r>
            <w:r/>
          </w:p>
        </w:tc>
        <w:tc>
          <w:tcPr>
            <w:tcW w:w="4600"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开裂、破损、塌陷、倾斜等</w:t>
            </w:r>
            <w:r/>
          </w:p>
        </w:tc>
      </w:tr>
      <w:tr>
        <w:trPr>
          <w:trHeight w:val="559"/>
        </w:trPr>
        <w:tc>
          <w:tcPr>
            <w:gridSpan w:val="2"/>
            <w:tcW w:w="3623"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上部结构、下部结构</w:t>
            </w:r>
            <w:r/>
          </w:p>
        </w:tc>
        <w:tc>
          <w:tcPr>
            <w:tcW w:w="4600" w:type="dxa"/>
            <w:vAlign w:val="center"/>
            <w:textDirection w:val="lrTb"/>
            <w:noWrap w:val="false"/>
          </w:tcPr>
          <w:p>
            <w:pPr>
              <w:pStyle w:val="1025"/>
              <w:ind w:firstLine="200"/>
              <w:spacing w:line="360" w:lineRule="auto"/>
              <w:rPr>
                <w:rFonts w:ascii="宋体" w:hAnsi="宋体" w:cs="宋体"/>
                <w:color w:val="auto"/>
                <w:szCs w:val="21"/>
              </w:rPr>
            </w:pPr>
            <w:r>
              <w:rPr>
                <w:rFonts w:hint="eastAsia" w:ascii="宋体" w:hAnsi="宋体" w:cs="宋体"/>
                <w:color w:val="auto"/>
                <w:szCs w:val="21"/>
              </w:rPr>
              <w:t xml:space="preserve">异常变化、缺陷、变形、沉降、位移等</w:t>
            </w:r>
            <w:r/>
          </w:p>
        </w:tc>
      </w:tr>
    </w:tbl>
    <w:p>
      <w:pPr>
        <w:pStyle w:val="1025"/>
        <w:ind w:left="360" w:firstLine="240"/>
        <w:spacing w:line="360" w:lineRule="auto"/>
        <w:rPr>
          <w:rFonts w:ascii="宋体" w:hAnsi="宋体" w:cs="宋体"/>
          <w:color w:val="auto"/>
          <w:sz w:val="24"/>
          <w:szCs w:val="24"/>
        </w:rPr>
      </w:pPr>
      <w:r>
        <w:rPr>
          <w:rFonts w:hint="eastAsia" w:ascii="宋体" w:hAnsi="宋体" w:cs="宋体"/>
          <w:color w:val="auto"/>
          <w:sz w:val="24"/>
          <w:szCs w:val="24"/>
        </w:rPr>
        <w:t xml:space="preserve">5.2检查桥梁安全保护区域内的施工作业情况。</w:t>
      </w:r>
      <w:r/>
    </w:p>
    <w:p>
      <w:pPr>
        <w:pStyle w:val="1025"/>
        <w:ind w:left="360" w:firstLine="240"/>
        <w:spacing w:line="360" w:lineRule="auto"/>
        <w:rPr>
          <w:rFonts w:ascii="宋体" w:hAnsi="宋体" w:cs="宋体"/>
          <w:color w:val="auto"/>
          <w:sz w:val="24"/>
          <w:szCs w:val="24"/>
        </w:rPr>
      </w:pPr>
      <w:r>
        <w:rPr>
          <w:rFonts w:hint="eastAsia" w:ascii="宋体" w:hAnsi="宋体" w:cs="宋体"/>
          <w:color w:val="auto"/>
          <w:sz w:val="24"/>
          <w:szCs w:val="24"/>
        </w:rPr>
        <w:t xml:space="preserve">5.3城市桥梁限载标志及交通标志设施等各类标志完好情况。</w:t>
      </w:r>
      <w:r/>
    </w:p>
    <w:p>
      <w:pPr>
        <w:ind w:firstLine="480"/>
        <w:jc w:val="left"/>
        <w:spacing w:line="360" w:lineRule="auto"/>
        <w:rPr>
          <w:rFonts w:ascii="宋体" w:hAnsi="宋体"/>
          <w:color w:val="auto"/>
          <w:sz w:val="24"/>
        </w:rPr>
      </w:pPr>
      <w:r>
        <w:rPr>
          <w:rFonts w:hint="eastAsia" w:ascii="宋体" w:hAnsi="宋体" w:cs="宋体"/>
          <w:color w:val="auto"/>
          <w:sz w:val="24"/>
        </w:rPr>
        <w:t xml:space="preserve"> 5.4其他较明显的损坏及不正常现象。</w:t>
      </w:r>
      <w:r/>
    </w:p>
    <w:p>
      <w:pPr>
        <w:ind w:firstLine="482"/>
        <w:jc w:val="left"/>
        <w:spacing w:line="360" w:lineRule="auto"/>
        <w:rPr>
          <w:rFonts w:ascii="宋体" w:hAnsi="宋体"/>
          <w:b/>
          <w:color w:val="auto"/>
          <w:sz w:val="24"/>
        </w:rPr>
      </w:pPr>
      <w:r>
        <w:rPr>
          <w:rFonts w:hint="eastAsia" w:ascii="宋体" w:hAnsi="宋体"/>
          <w:b/>
          <w:color w:val="auto"/>
          <w:sz w:val="24"/>
        </w:rPr>
        <w:t xml:space="preserve">（二）常规定期检测</w:t>
      </w:r>
      <w:r/>
    </w:p>
    <w:p>
      <w:pPr>
        <w:ind w:firstLine="480"/>
        <w:jc w:val="left"/>
        <w:spacing w:line="360" w:lineRule="auto"/>
        <w:rPr>
          <w:rFonts w:ascii="宋体" w:hAnsi="宋体"/>
          <w:color w:val="auto"/>
          <w:sz w:val="24"/>
        </w:rPr>
      </w:pPr>
      <w:r>
        <w:rPr>
          <w:rFonts w:hint="eastAsia" w:ascii="宋体" w:hAnsi="宋体"/>
          <w:color w:val="auto"/>
          <w:sz w:val="24"/>
        </w:rPr>
        <w:t xml:space="preserve">1、常规</w:t>
      </w:r>
      <w:bookmarkStart w:id="0" w:name="OLE_LINK11"/>
      <w:r>
        <w:rPr>
          <w:rFonts w:hint="eastAsia" w:ascii="宋体" w:hAnsi="宋体"/>
          <w:color w:val="auto"/>
          <w:sz w:val="24"/>
        </w:rPr>
        <w:t xml:space="preserve">定期检测</w:t>
      </w:r>
      <w:r>
        <w:rPr>
          <w:rFonts w:hint="eastAsia" w:ascii="宋体" w:hAnsi="宋体" w:cs="宋体"/>
          <w:color w:val="auto"/>
          <w:sz w:val="24"/>
        </w:rPr>
        <w:t xml:space="preserve">检测两次，2026年</w:t>
      </w:r>
      <w:bookmarkEnd w:id="0"/>
      <w:r>
        <w:rPr>
          <w:rFonts w:hint="eastAsia" w:ascii="宋体" w:hAnsi="宋体" w:cs="宋体"/>
          <w:color w:val="auto"/>
          <w:sz w:val="24"/>
        </w:rPr>
        <w:t xml:space="preserve">及</w:t>
      </w:r>
      <w:bookmarkStart w:id="1" w:name="OLE_LINK13"/>
      <w:r/>
      <w:bookmarkStart w:id="2" w:name="OLE_LINK12"/>
      <w:r>
        <w:rPr>
          <w:rFonts w:hint="eastAsia" w:ascii="宋体" w:hAnsi="宋体" w:cs="宋体"/>
          <w:color w:val="auto"/>
          <w:sz w:val="24"/>
        </w:rPr>
        <w:t xml:space="preserve">2027年</w:t>
      </w:r>
      <w:bookmarkEnd w:id="1"/>
      <w:r/>
      <w:bookmarkEnd w:id="2"/>
      <w:r>
        <w:rPr>
          <w:rFonts w:hint="eastAsia" w:ascii="宋体" w:hAnsi="宋体" w:cs="宋体"/>
          <w:color w:val="auto"/>
          <w:sz w:val="24"/>
        </w:rPr>
        <w:t xml:space="preserve">各一次</w:t>
      </w:r>
      <w:r>
        <w:rPr>
          <w:rFonts w:hint="eastAsia" w:ascii="宋体" w:hAnsi="宋体"/>
          <w:color w:val="auto"/>
          <w:sz w:val="24"/>
        </w:rPr>
        <w:t xml:space="preserve">；</w:t>
      </w:r>
      <w:r/>
    </w:p>
    <w:p>
      <w:pPr>
        <w:ind w:firstLine="480"/>
        <w:jc w:val="left"/>
        <w:spacing w:line="360" w:lineRule="auto"/>
        <w:rPr>
          <w:rFonts w:ascii="宋体" w:hAnsi="宋体"/>
          <w:color w:val="auto"/>
          <w:sz w:val="24"/>
        </w:rPr>
      </w:pPr>
      <w:r>
        <w:rPr>
          <w:rFonts w:hint="eastAsia" w:ascii="宋体" w:hAnsi="宋体"/>
          <w:color w:val="auto"/>
          <w:sz w:val="24"/>
        </w:rPr>
        <w:t xml:space="preserve">2、常规定期检测应由专职桥梁养护工程技术人员或实践经验丰富的桥梁工程技术人员负责，并应对每座桥梁制定相应的实施方案；</w:t>
      </w:r>
      <w:r/>
    </w:p>
    <w:p>
      <w:pPr>
        <w:ind w:firstLine="480"/>
        <w:jc w:val="left"/>
        <w:spacing w:line="360" w:lineRule="auto"/>
        <w:rPr>
          <w:rFonts w:ascii="宋体" w:hAnsi="宋体"/>
          <w:color w:val="auto"/>
          <w:sz w:val="24"/>
        </w:rPr>
      </w:pPr>
      <w:r>
        <w:rPr>
          <w:rFonts w:hint="eastAsia" w:ascii="宋体" w:hAnsi="宋体"/>
          <w:color w:val="auto"/>
          <w:sz w:val="24"/>
        </w:rPr>
        <w:t xml:space="preserve">3、常规定期检测宜以目测为主，并应配备照相机、裂缝观测仪、探查工具及辅助器材等必要的量测仪器和设备；</w:t>
      </w:r>
      <w:r/>
    </w:p>
    <w:p>
      <w:pPr>
        <w:ind w:firstLine="480"/>
        <w:jc w:val="left"/>
        <w:spacing w:line="360" w:lineRule="auto"/>
        <w:rPr>
          <w:rFonts w:ascii="宋体" w:hAnsi="宋体"/>
          <w:color w:val="auto"/>
          <w:sz w:val="24"/>
        </w:rPr>
      </w:pPr>
      <w:r>
        <w:rPr>
          <w:rFonts w:hint="eastAsia" w:ascii="宋体" w:hAnsi="宋体"/>
          <w:color w:val="auto"/>
          <w:sz w:val="24"/>
        </w:rPr>
        <w:t xml:space="preserve">4、常规定期检测包括下列内容：</w:t>
      </w:r>
      <w:r/>
    </w:p>
    <w:p>
      <w:pPr>
        <w:ind w:firstLine="480"/>
        <w:jc w:val="left"/>
        <w:spacing w:line="360" w:lineRule="auto"/>
        <w:rPr>
          <w:rFonts w:ascii="宋体" w:hAnsi="宋体"/>
          <w:color w:val="auto"/>
          <w:sz w:val="24"/>
        </w:rPr>
      </w:pPr>
      <w:r>
        <w:rPr>
          <w:rFonts w:hint="eastAsia" w:ascii="宋体" w:hAnsi="宋体"/>
          <w:color w:val="auto"/>
          <w:sz w:val="24"/>
        </w:rPr>
        <w:t xml:space="preserve">1）完善城市桥梁资料卡填写；</w:t>
      </w:r>
      <w:r/>
    </w:p>
    <w:p>
      <w:pPr>
        <w:ind w:firstLine="480"/>
        <w:jc w:val="left"/>
        <w:spacing w:line="360" w:lineRule="auto"/>
        <w:rPr>
          <w:rFonts w:ascii="宋体" w:hAnsi="宋体"/>
          <w:color w:val="auto"/>
          <w:sz w:val="24"/>
        </w:rPr>
      </w:pPr>
      <w:r>
        <w:rPr>
          <w:rFonts w:hint="eastAsia" w:ascii="宋体" w:hAnsi="宋体"/>
          <w:color w:val="auto"/>
          <w:sz w:val="24"/>
        </w:rPr>
        <w:t xml:space="preserve">2）实地判断损坏原因，估计维修范围和方案；</w:t>
      </w:r>
      <w:r/>
    </w:p>
    <w:p>
      <w:pPr>
        <w:ind w:firstLine="480"/>
        <w:jc w:val="left"/>
        <w:spacing w:line="360" w:lineRule="auto"/>
        <w:rPr>
          <w:rFonts w:ascii="宋体" w:hAnsi="宋体"/>
          <w:color w:val="auto"/>
          <w:sz w:val="24"/>
        </w:rPr>
      </w:pPr>
      <w:r>
        <w:rPr>
          <w:rFonts w:hint="eastAsia" w:ascii="宋体" w:hAnsi="宋体"/>
          <w:color w:val="auto"/>
          <w:sz w:val="24"/>
        </w:rPr>
        <w:t xml:space="preserve">3）对难以判断其损坏程度和原因的构建，提出作特殊检测的建议；</w:t>
      </w:r>
      <w:r/>
    </w:p>
    <w:p>
      <w:pPr>
        <w:ind w:firstLine="480"/>
        <w:jc w:val="left"/>
        <w:spacing w:line="360" w:lineRule="auto"/>
        <w:rPr>
          <w:rFonts w:ascii="宋体" w:hAnsi="宋体"/>
          <w:color w:val="auto"/>
          <w:sz w:val="24"/>
        </w:rPr>
      </w:pPr>
      <w:r>
        <w:rPr>
          <w:rFonts w:hint="eastAsia" w:ascii="宋体" w:hAnsi="宋体"/>
          <w:color w:val="auto"/>
          <w:sz w:val="24"/>
        </w:rPr>
        <w:t xml:space="preserve">4）对损坏严重、危及安全的城市桥梁，提出限载以至暂时限制交通的建议；</w:t>
      </w:r>
      <w:r/>
    </w:p>
    <w:p>
      <w:pPr>
        <w:ind w:firstLine="480"/>
        <w:jc w:val="left"/>
        <w:spacing w:line="360" w:lineRule="auto"/>
        <w:rPr>
          <w:rFonts w:ascii="宋体" w:hAnsi="宋体"/>
          <w:color w:val="auto"/>
          <w:sz w:val="24"/>
        </w:rPr>
      </w:pPr>
      <w:r>
        <w:rPr>
          <w:rFonts w:hint="eastAsia" w:ascii="宋体" w:hAnsi="宋体"/>
          <w:color w:val="auto"/>
          <w:sz w:val="24"/>
        </w:rPr>
        <w:t xml:space="preserve">5）根据城市桥梁技术状况，确定下次检测的时间。</w:t>
      </w:r>
      <w:r/>
    </w:p>
    <w:p>
      <w:pPr>
        <w:ind w:firstLine="480"/>
        <w:jc w:val="left"/>
        <w:spacing w:line="360" w:lineRule="auto"/>
        <w:rPr>
          <w:rFonts w:ascii="宋体" w:hAnsi="宋体"/>
          <w:color w:val="auto"/>
          <w:sz w:val="24"/>
        </w:rPr>
      </w:pPr>
      <w:r>
        <w:rPr>
          <w:rFonts w:hint="eastAsia" w:ascii="宋体" w:hAnsi="宋体"/>
          <w:color w:val="auto"/>
          <w:sz w:val="24"/>
        </w:rPr>
        <w:t xml:space="preserve">5、常规定期检测包括下列范围：</w:t>
      </w:r>
      <w:r/>
    </w:p>
    <w:p>
      <w:pPr>
        <w:ind w:firstLine="480"/>
        <w:jc w:val="left"/>
        <w:spacing w:line="360" w:lineRule="auto"/>
        <w:rPr>
          <w:rFonts w:ascii="宋体" w:hAnsi="宋体"/>
          <w:color w:val="auto"/>
          <w:sz w:val="24"/>
        </w:rPr>
      </w:pPr>
      <w:r>
        <w:rPr>
          <w:rFonts w:hint="eastAsia" w:ascii="宋体" w:hAnsi="宋体"/>
          <w:color w:val="auto"/>
          <w:sz w:val="24"/>
        </w:rPr>
        <w:t xml:space="preserve">1）桥面系：桥面铺装、桥头搭板、伸缩装置、排水系统、人行道、护栏等；</w:t>
      </w:r>
      <w:r/>
    </w:p>
    <w:p>
      <w:pPr>
        <w:ind w:firstLine="480"/>
        <w:jc w:val="left"/>
        <w:spacing w:line="360" w:lineRule="auto"/>
        <w:rPr>
          <w:rFonts w:ascii="宋体" w:hAnsi="宋体"/>
          <w:color w:val="auto"/>
          <w:sz w:val="24"/>
        </w:rPr>
      </w:pPr>
      <w:r>
        <w:rPr>
          <w:rFonts w:hint="eastAsia" w:ascii="宋体" w:hAnsi="宋体"/>
          <w:color w:val="auto"/>
          <w:sz w:val="24"/>
        </w:rPr>
        <w:t xml:space="preserve">2）上部结构：主梁、主桁架、主拱圈、横梁、横向联系、主节点、挂梁、联结件等；</w:t>
      </w:r>
      <w:r/>
    </w:p>
    <w:p>
      <w:pPr>
        <w:ind w:firstLine="480"/>
        <w:jc w:val="left"/>
        <w:spacing w:line="360" w:lineRule="auto"/>
        <w:rPr>
          <w:rFonts w:ascii="宋体" w:hAnsi="宋体"/>
          <w:color w:val="auto"/>
          <w:sz w:val="24"/>
        </w:rPr>
      </w:pPr>
      <w:r>
        <w:rPr>
          <w:rFonts w:hint="eastAsia" w:ascii="宋体" w:hAnsi="宋体"/>
          <w:color w:val="auto"/>
          <w:sz w:val="24"/>
        </w:rPr>
        <w:t xml:space="preserve">3）下部结构：支座、盖梁、墩身、台帽、台身、翼墙、锥坡及河床冲刷情况。</w:t>
      </w:r>
      <w:r/>
    </w:p>
    <w:p>
      <w:pPr>
        <w:ind w:firstLine="480"/>
        <w:jc w:val="left"/>
        <w:spacing w:line="360" w:lineRule="auto"/>
        <w:rPr>
          <w:rFonts w:ascii="宋体" w:hAnsi="宋体"/>
          <w:color w:val="auto"/>
          <w:sz w:val="24"/>
        </w:rPr>
      </w:pPr>
      <w:r>
        <w:rPr>
          <w:rFonts w:hint="eastAsia" w:ascii="宋体" w:hAnsi="宋体"/>
          <w:color w:val="auto"/>
          <w:sz w:val="24"/>
        </w:rPr>
        <w:t xml:space="preserve">6、常规定期检测的情况记录、评分及对养护维修管理措施的建议，必须及时整理、归档，并录入江苏省桥梁管理系统。</w:t>
      </w:r>
      <w:r/>
    </w:p>
    <w:p>
      <w:pPr>
        <w:ind w:firstLine="480"/>
        <w:jc w:val="left"/>
        <w:spacing w:line="360" w:lineRule="auto"/>
        <w:rPr>
          <w:rFonts w:ascii="宋体" w:hAnsi="宋体"/>
          <w:color w:val="auto"/>
          <w:sz w:val="24"/>
        </w:rPr>
      </w:pPr>
      <w:r>
        <w:rPr>
          <w:rFonts w:hint="eastAsia" w:ascii="宋体" w:hAnsi="宋体"/>
          <w:color w:val="auto"/>
          <w:sz w:val="24"/>
        </w:rPr>
        <w:t xml:space="preserve">7、对桥梁进行技术状况等级评定。</w:t>
      </w:r>
      <w:r/>
    </w:p>
    <w:p>
      <w:pPr>
        <w:ind w:firstLine="482"/>
        <w:jc w:val="left"/>
        <w:spacing w:line="360" w:lineRule="auto"/>
        <w:tabs>
          <w:tab w:val="left" w:pos="0" w:leader="none"/>
          <w:tab w:val="left" w:pos="1134" w:leader="none"/>
        </w:tabs>
        <w:rPr>
          <w:rFonts w:ascii="宋体" w:hAnsi="宋体" w:cs="宋体"/>
          <w:b/>
          <w:color w:val="auto"/>
          <w:sz w:val="24"/>
        </w:rPr>
      </w:pPr>
      <w:r>
        <w:rPr>
          <w:rFonts w:hint="eastAsia" w:ascii="宋体" w:hAnsi="宋体" w:cs="宋体"/>
          <w:b/>
          <w:color w:val="auto"/>
          <w:sz w:val="24"/>
        </w:rPr>
        <w:t xml:space="preserve">（三）结构定期检测</w:t>
      </w:r>
      <w:r/>
    </w:p>
    <w:p>
      <w:pPr>
        <w:ind w:firstLine="482"/>
        <w:jc w:val="left"/>
        <w:spacing w:line="360" w:lineRule="auto"/>
        <w:tabs>
          <w:tab w:val="left" w:pos="0" w:leader="none"/>
          <w:tab w:val="left" w:pos="1134" w:leader="none"/>
        </w:tabs>
        <w:rPr>
          <w:rFonts w:ascii="宋体" w:hAnsi="宋体" w:cs="宋体"/>
          <w:b/>
          <w:color w:val="auto"/>
          <w:sz w:val="24"/>
        </w:rPr>
      </w:pPr>
      <w:r>
        <w:rPr>
          <w:rFonts w:hint="eastAsia" w:ascii="宋体" w:hAnsi="宋体" w:cs="宋体"/>
          <w:color w:val="auto"/>
          <w:sz w:val="24"/>
        </w:rPr>
        <w:t xml:space="preserve">结构</w:t>
      </w:r>
      <w:r>
        <w:rPr>
          <w:rFonts w:hint="eastAsia" w:ascii="宋体" w:hAnsi="宋体"/>
          <w:color w:val="auto"/>
          <w:sz w:val="24"/>
        </w:rPr>
        <w:t xml:space="preserve">定期检测</w:t>
      </w:r>
      <w:r>
        <w:rPr>
          <w:rFonts w:hint="eastAsia" w:ascii="宋体" w:hAnsi="宋体" w:cs="宋体"/>
          <w:color w:val="auto"/>
          <w:sz w:val="24"/>
        </w:rPr>
        <w:t xml:space="preserve">2026年检测一次。</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1.结构定期检测应根据桥龄、交通量、车辆载重、桥梁使用历史、已有技术评定、自然环境以及桥梁临时封闭的社会影响制定详细计划。计划应包括采用的测试技术和组织方案，并提交</w:t>
      </w:r>
      <w:bookmarkStart w:id="3" w:name="OLE_LINK18"/>
      <w:r/>
      <w:bookmarkStart w:id="4" w:name="OLE_LINK17"/>
      <w:r>
        <w:rPr>
          <w:rFonts w:hint="eastAsia" w:ascii="宋体" w:hAnsi="宋体" w:cs="宋体"/>
          <w:color w:val="auto"/>
          <w:sz w:val="24"/>
          <w:szCs w:val="24"/>
        </w:rPr>
        <w:t xml:space="preserve">中心高架管理科</w:t>
      </w:r>
      <w:bookmarkEnd w:id="3"/>
      <w:r/>
      <w:bookmarkEnd w:id="4"/>
      <w:r>
        <w:rPr>
          <w:rFonts w:hint="eastAsia" w:ascii="宋体" w:hAnsi="宋体" w:cs="宋体"/>
          <w:color w:val="auto"/>
          <w:sz w:val="24"/>
          <w:szCs w:val="24"/>
        </w:rPr>
        <w:t xml:space="preserve">。</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2.结构定期检测应包括下列内容：</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2.1查阅历次检测报告和常规定期检测中提出的建议。</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2.2根据常规定期检测中桥梁状况评定结果，进行梁体线形、墩柱沉降及结构构件的检测。</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2.3通过材料取样试验确定材料特性、退化程度和退化特性。</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2.4对桥梁进行结构验算，包括承载力检算、稳定性检算和刚度验算。</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2.5分析确定退化的原因，以及对结构性能和耐久性的影响。</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2.6对可能影响结构正常工作的构件，评价其在下一次检测之前可能退化情况；如构件在下一次检测前可能失效，需立即报告</w:t>
      </w:r>
      <w:r>
        <w:rPr>
          <w:rFonts w:hint="eastAsia" w:ascii="宋体" w:hAnsi="宋体" w:cs="宋体"/>
          <w:color w:val="auto"/>
          <w:sz w:val="24"/>
        </w:rPr>
        <w:t xml:space="preserve">中心高架管理科</w:t>
      </w:r>
      <w:r>
        <w:rPr>
          <w:rFonts w:hint="eastAsia" w:ascii="宋体" w:hAnsi="宋体" w:cs="宋体"/>
          <w:color w:val="auto"/>
          <w:sz w:val="24"/>
          <w:szCs w:val="24"/>
        </w:rPr>
        <w:t xml:space="preserve">。</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2.7检测河道的淤积、冲刷等现象，记录水位。</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2.8必要时对桥梁进行荷载试验和分析评估。城市桥梁的荷载试验评估按有关标准进行。</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2.9通过综合检测评定，确定具有潜在退化可能或已处于退化状况的桥梁结构，提出相应的养护措施。</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3.结构定期检测应有现场记录，应按标准附录F填写结构定期检测现场记录表，并应符合下列规定：</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技术状况评定应符合常规定期检测中的评分标准，I类养护的城市桥梁技术状况应按标准附录F表中的损坏状况进行；II类~V类养护的城市桥梁，按标准附录F表中的损坏状况，依据标准附录D的评分等级，扣分表进行评估，并应符合标准4.5的有关规定。同时填写下列相关内容：</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3.1.1所有桥梁构件的侵蚀环境情况；</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3.1.2构件的实测损坏类型和程度。</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3.2对I类养护的城市桥梁评为不合格级的，或退化速度过快的构件，II类~V类养护的城市桥梁技术状况评定为D级、E级的，应在构件状态记录表中记录下列相关内容：</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3.2.1构件编号；</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3.2.2构件描述；</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3.2.3构件在结构中的位置；</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3.2.4损坏状况描述：包括损坏位置、程度、产生的原因和可能的退化、照片编号、所有材料试验的细节和材料在结构中的部位。</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3.3特殊构件信息表应记录结构状态记录表中没有涵盖的信息，包括下列内容：</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3.3.1没有在评分标准中定义的构件；</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3.3.2无法检测的构件，并说明不能检测的原因；</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3.3.3河道淤积、冲刷、水位记录；</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3.3.4记录材料侧石和取样的位置并编号，以便试验结果的交叉参考。</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3.4照片记录表中的照片应针对构件损坏拍摄，并应按顺序编号。</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4.结构定期检测应对桥梁构件进行侵蚀环境分类，并应符合下列规定：</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4.1桥梁构件的侵蚀环境按标准分类。</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4.2易受盐侵蚀地区、沼泽、腐殖质土壤（填土）或工业废弃区，受人为或自然的侵蚀性物质影响的环境，应检测土壤侵蚀性、水质侵蚀性。</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5.加宽桥梁应根据原桥与加宽部分分开评估。</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6.所有现场记录资料以及结构定期检测报告应以电子文档和书面形式在现场调查完成后及时提供给管理部门。结构定期检测报告应包括下列内容：</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6.1城市桥梁进行结构定期检测的原因；</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6.2结构定期检测的方法和评价结论；</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6.3采用相关技术标准或数据分析，确定桥梁承载能力、抗倾覆能力及耐久性能；</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6.4结构使用限制，其中包括荷载、速度、机动车通行或车道数限制；</w:t>
      </w:r>
      <w:r/>
    </w:p>
    <w:p>
      <w:pPr>
        <w:pStyle w:val="1025"/>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6.5养护维修加固措施；</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6.6进一步检测、试验、结构分析评估及建议。</w:t>
      </w:r>
      <w:r/>
    </w:p>
    <w:p>
      <w:pPr>
        <w:ind w:firstLine="425"/>
        <w:spacing w:before="240" w:after="240"/>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 </w:t>
      </w:r>
      <w:r/>
    </w:p>
    <w:p>
      <w:pPr>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3. </w:t>
      </w:r>
      <w:r>
        <w:rPr>
          <w:rFonts w:ascii="宋体" w:hAnsi="宋体" w:cs="宋体"/>
          <w:color w:val="auto"/>
          <w:sz w:val="24"/>
        </w:rPr>
        <w:t xml:space="preserve">验收标准</w:t>
      </w:r>
      <w:r/>
    </w:p>
    <w:p>
      <w:pPr>
        <w:ind w:firstLine="480"/>
        <w:jc w:val="left"/>
        <w:spacing w:line="360" w:lineRule="auto"/>
        <w:rPr>
          <w:rFonts w:ascii="宋体" w:hAnsi="宋体"/>
          <w:color w:val="auto"/>
          <w:sz w:val="24"/>
        </w:rPr>
      </w:pPr>
      <w:r>
        <w:rPr>
          <w:rFonts w:eastAsia="Times New Roman"/>
          <w:b/>
          <w:color w:val="auto"/>
          <w:sz w:val="24"/>
        </w:rPr>
        <w:t xml:space="preserve"> </w:t>
      </w:r>
      <w:r>
        <w:rPr>
          <w:rFonts w:hint="eastAsia" w:ascii="宋体" w:hAnsi="宋体"/>
          <w:color w:val="auto"/>
          <w:sz w:val="24"/>
        </w:rPr>
        <w:t xml:space="preserve">《城市桥梁  养护技术标准》（CJJ99-2017）。</w:t>
      </w:r>
      <w:r/>
    </w:p>
    <w:p>
      <w:pPr>
        <w:ind w:firstLine="480"/>
        <w:jc w:val="left"/>
        <w:spacing w:line="360" w:lineRule="auto"/>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桥梁检测完成后检测单位应提供的资料：提供桥梁检测报告文本2套，电子文件1套（PDF格式）；</w:t>
      </w:r>
      <w:bookmarkStart w:id="5" w:name="OLE_LINK15"/>
      <w:r/>
      <w:bookmarkStart w:id="6" w:name="OLE_LINK14"/>
      <w:r>
        <w:rPr>
          <w:rFonts w:hint="eastAsia" w:ascii="宋体" w:hAnsi="宋体" w:cs="宋体"/>
          <w:color w:val="auto"/>
          <w:sz w:val="24"/>
        </w:rPr>
        <w:t xml:space="preserve">2027年1月底前提供2026年度检测报告，</w:t>
      </w:r>
      <w:bookmarkEnd w:id="5"/>
      <w:r/>
      <w:bookmarkEnd w:id="6"/>
      <w:r>
        <w:rPr>
          <w:rFonts w:hint="eastAsia" w:ascii="宋体" w:hAnsi="宋体" w:cs="宋体"/>
          <w:color w:val="auto"/>
          <w:sz w:val="24"/>
        </w:rPr>
        <w:t xml:space="preserve">2028年1月底前提供2027年度检测报告。</w:t>
      </w:r>
      <w:r/>
    </w:p>
    <w:p>
      <w:pPr>
        <w:ind w:firstLine="480"/>
        <w:jc w:val="left"/>
        <w:spacing w:line="360" w:lineRule="auto"/>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检测单位应将检测出的病害和报告输入江苏省城市桥梁信息管理系统以及中心数字高架系统。</w:t>
      </w:r>
      <w:r/>
    </w:p>
    <w:p>
      <w:pPr>
        <w:ind w:firstLine="482"/>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4. </w:t>
      </w:r>
      <w:r>
        <w:rPr>
          <w:rFonts w:ascii="宋体" w:hAnsi="宋体" w:cs="宋体"/>
          <w:color w:val="000000"/>
          <w:sz w:val="24"/>
        </w:rPr>
        <w:t xml:space="preserve">其他要求</w:t>
      </w:r>
      <w:r>
        <w:rPr>
          <w:rFonts w:hint="eastAsia" w:ascii="宋体" w:hAnsi="宋体" w:cs="宋体"/>
          <w:color w:val="000000"/>
          <w:sz w:val="24"/>
        </w:rPr>
        <w:t xml:space="preserve">：</w:t>
      </w:r>
      <w:r>
        <w:rPr>
          <w:rFonts w:ascii="宋体" w:hAnsi="宋体" w:cs="宋体"/>
          <w:color w:val="000000"/>
          <w:sz w:val="24"/>
        </w:rPr>
        <w:t xml:space="preserve">无</w:t>
      </w:r>
      <w:r/>
    </w:p>
    <w:p>
      <w:pPr>
        <w:pBdr>
          <w:top w:val="none" w:color="000000" w:sz="0" w:space="0"/>
          <w:left w:val="none" w:color="000000" w:sz="0" w:space="0"/>
          <w:bottom w:val="none" w:color="000000" w:sz="0" w:space="0"/>
          <w:right w:val="none" w:color="000000" w:sz="0" w:space="0"/>
        </w:pBdr>
      </w:pPr>
      <w:r>
        <w:rPr>
          <w:rFonts w:eastAsia="Times New Roman"/>
          <w:i/>
          <w:color w:val="000000"/>
          <w:sz w:val="28"/>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5. </w:t>
      </w:r>
      <w:r>
        <w:rPr>
          <w:rFonts w:ascii="宋体" w:hAnsi="宋体" w:cs="宋体"/>
          <w:b/>
          <w:color w:val="000000"/>
          <w:sz w:val="28"/>
        </w:rPr>
        <w:t xml:space="preserve">实质性要求</w:t>
      </w:r>
      <w:r/>
    </w:p>
    <w:p>
      <w:pPr>
        <w:pBdr>
          <w:top w:val="none" w:color="000000" w:sz="0" w:space="0"/>
          <w:left w:val="none" w:color="000000" w:sz="0" w:space="0"/>
          <w:bottom w:val="none" w:color="000000" w:sz="0" w:space="0"/>
          <w:right w:val="none" w:color="000000" w:sz="0" w:space="0"/>
        </w:pBdr>
      </w:pPr>
      <w:r>
        <w:rPr>
          <w:rFonts w:hint="eastAsia" w:ascii="宋体" w:hAnsi="宋体" w:cs="宋体"/>
          <w:b/>
          <w:i/>
          <w:color w:val="000000"/>
          <w:sz w:val="28"/>
          <w:u w:val="single"/>
        </w:rPr>
        <w:t xml:space="preserve">无</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6. </w:t>
      </w:r>
      <w:r>
        <w:rPr>
          <w:rFonts w:ascii="宋体" w:hAnsi="宋体" w:cs="宋体"/>
          <w:color w:val="000000"/>
          <w:sz w:val="24"/>
        </w:rPr>
        <w:t xml:space="preserve">样品</w:t>
      </w:r>
      <w:r/>
    </w:p>
    <w:p>
      <w:pPr>
        <w:rPr>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无</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7. </w:t>
      </w:r>
      <w:r>
        <w:rPr>
          <w:rFonts w:ascii="宋体" w:hAnsi="宋体" w:cs="宋体"/>
          <w:color w:val="000000"/>
          <w:sz w:val="24"/>
        </w:rPr>
        <w:t xml:space="preserve">演示</w:t>
      </w:r>
      <w:r/>
    </w:p>
    <w:p>
      <w:pPr>
        <w:rPr>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8.采购标的对应的中小企业划分标准所属行业一览表</w:t>
      </w:r>
      <w:r/>
    </w:p>
    <w:tbl>
      <w:tblPr>
        <w:tblStyle w:val="763"/>
        <w:tblW w:w="66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sz w:val="24"/>
              </w:rPr>
              <w:t xml:space="preserve">高架桥桥梁检测服务</w:t>
            </w:r>
            <w:r/>
          </w:p>
          <w:p>
            <w:pPr>
              <w:jc w:val="center"/>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rPr>
                <w:color w:val="ff0000"/>
              </w:r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rPr>
                <w:rFonts w:hint="eastAsia" w:ascii="宋体" w:hAnsi="宋体" w:cs="宋体"/>
                <w:color w:val="ff0000"/>
                <w:sz w:val="24"/>
              </w:rPr>
              <w:t xml:space="preserve">建筑</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28"/>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  </w:t>
      </w:r>
      <w:r>
        <w:rPr>
          <w:rFonts w:ascii="黑体" w:hAnsi="黑体" w:eastAsia="黑体" w:cs="黑体"/>
          <w:b/>
          <w:color w:val="000000"/>
          <w:sz w:val="44"/>
        </w:rPr>
        <w:t xml:space="preserve">评标方法与评标标准</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3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t xml:space="preserve">投标文件满足招标文件全部实质性要求，且按照评审因素的量化指标评审得分最高的投标人为中标候选人。本项目分包选取一名中标候选人。</w:t>
      </w:r>
      <w:r/>
    </w:p>
    <w:p>
      <w:pPr>
        <w:ind w:firstLine="441"/>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（1）本项目对小型和微型企业提供的服务给予</w:t>
      </w:r>
      <w:r>
        <w:rPr>
          <w:rFonts w:ascii="宋体" w:hAnsi="宋体" w:cs="宋体"/>
          <w:color w:val="000000"/>
          <w:sz w:val="24"/>
          <w:u w:val="single"/>
        </w:rPr>
        <w:t xml:space="preserve">20%</w:t>
      </w:r>
      <w:r>
        <w:rPr>
          <w:rFonts w:ascii="宋体" w:hAnsi="宋体" w:cs="宋体"/>
          <w:color w:val="000000"/>
          <w:sz w:val="24"/>
        </w:rPr>
        <w:t xml:space="preserve">的扣除价格，用扣除后的价格参与评审。</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（2）供应商需按照采购文件的要求提供相应的《小微企业声明函》。</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20%</w:t>
      </w:r>
      <w:r>
        <w:rPr>
          <w:rFonts w:ascii="宋体" w:hAnsi="宋体" w:cs="宋体"/>
          <w:color w:val="000000"/>
          <w:sz w:val="24"/>
        </w:rPr>
        <w:t xml:space="preserve">的价格扣除，用扣除后的价格参与评审。</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20%</w:t>
      </w:r>
      <w:r>
        <w:rPr>
          <w:rFonts w:ascii="宋体" w:hAnsi="宋体" w:cs="宋体"/>
          <w:color w:val="000000"/>
          <w:sz w:val="24"/>
        </w:rPr>
        <w:t xml:space="preserve">的价格扣除，用扣除后的价格参与评审。</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6%</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20%</w:t>
      </w:r>
      <w:r>
        <w:rPr>
          <w:rFonts w:ascii="宋体" w:hAnsi="宋体" w:cs="宋体"/>
          <w:color w:val="000000"/>
          <w:sz w:val="24"/>
        </w:rPr>
        <w:t xml:space="preserve">价格扣除，用扣除后的价格参与评审。</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2"/>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rPr>
          <w:rFonts w:hint="eastAsia" w:ascii="宋体" w:hAnsi="宋体" w:cs="宋体"/>
          <w:b/>
          <w:color w:val="000000"/>
          <w:sz w:val="24"/>
        </w:rPr>
        <w:t xml:space="preserve">（标段一和标段二评分办法相同）</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763"/>
        <w:tblW w:w="821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52"/>
        <w:gridCol w:w="3693"/>
        <w:gridCol w:w="709"/>
        <w:gridCol w:w="708"/>
        <w:gridCol w:w="426"/>
        <w:gridCol w:w="426"/>
      </w:tblGrid>
      <w:tr>
        <w:trPr>
          <w:trHeight w:val="4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评分标准和评审材料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最低分值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最高分值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tc>
        <w:tc>
          <w:tcPr>
            <w:tcBorders>
              <w:top w:val="single" w:color="000000" w:sz="8"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rPr>
                <w:sz w:val="24"/>
              </w:rPr>
            </w:pPr>
            <w:r>
              <w:rPr>
                <w:rFonts w:hint="eastAsia"/>
                <w:sz w:val="24"/>
              </w:rPr>
              <w:t xml:space="preserve">满足招标文件要求且投标价格最低的投标报价为评标基准价，其价格分为满分。其他投标人的价格分统一按照下列公式计算：</w:t>
            </w:r>
            <w:r/>
          </w:p>
          <w:p>
            <w:pPr>
              <w:jc w:val="center"/>
              <w:pBdr>
                <w:top w:val="none" w:color="000000" w:sz="0" w:space="0"/>
                <w:left w:val="none" w:color="000000" w:sz="0" w:space="0"/>
                <w:bottom w:val="none" w:color="000000" w:sz="0" w:space="0"/>
                <w:right w:val="none" w:color="000000" w:sz="0" w:space="0"/>
              </w:pBdr>
            </w:pPr>
            <w:r>
              <w:rPr>
                <w:rFonts w:hint="eastAsia"/>
                <w:sz w:val="24"/>
              </w:rPr>
              <w:t xml:space="preserve">投标报价得分＝（评标基准价/投标报价）×分值。</w:t>
            </w: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评分因素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评分标准和评审材料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最低分值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最高分值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是否暗标评审</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是</w:t>
            </w:r>
            <w:r>
              <w:rPr>
                <w:rFonts w:ascii="宋体" w:hAnsi="宋体" w:cs="宋体"/>
                <w:b/>
                <w:color w:val="000000"/>
              </w:rPr>
              <w:t xml:space="preserve">否客观分</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技术分</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sz w:val="24"/>
              </w:rPr>
              <w:t xml:space="preserve">检测工程方案-服务大纲和规划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sz w:val="24"/>
              </w:rPr>
              <w:t xml:space="preserve">根据投标人对本项目所涉及桥梁的踏勘、资料收集等掌握情况、以及根据掌握情况所提供的服务大纲和规划是否详细、完善且科学合理等方面评审。经过踏勘、资料收集详细，服务大纲和规划完善且科学合理得10分；资料收集较详细，服务大纲和规划较完善且科学合理得</w:t>
            </w:r>
            <w:r>
              <w:rPr>
                <w:sz w:val="24"/>
              </w:rPr>
              <w:t xml:space="preserve">7</w:t>
            </w:r>
            <w:r>
              <w:rPr>
                <w:rFonts w:hint="eastAsia"/>
                <w:sz w:val="24"/>
              </w:rPr>
              <w:t xml:space="preserve">分；资料收集一般，服务大纲和规划也</w:t>
            </w:r>
            <w:r>
              <w:rPr>
                <w:sz w:val="24"/>
              </w:rPr>
              <w:t xml:space="preserve">算</w:t>
            </w:r>
            <w:r>
              <w:rPr>
                <w:rFonts w:hint="eastAsia"/>
                <w:sz w:val="24"/>
              </w:rPr>
              <w:t xml:space="preserve">完善和合理得</w:t>
            </w:r>
            <w:r>
              <w:rPr>
                <w:sz w:val="24"/>
              </w:rPr>
              <w:t xml:space="preserve">4</w:t>
            </w:r>
            <w:r>
              <w:rPr>
                <w:rFonts w:hint="eastAsia"/>
                <w:sz w:val="24"/>
              </w:rPr>
              <w:t xml:space="preserve">分；资料收集和服务大纲基本可行得</w:t>
            </w:r>
            <w:r>
              <w:rPr>
                <w:sz w:val="24"/>
              </w:rPr>
              <w:t xml:space="preserve">1</w:t>
            </w:r>
            <w:r>
              <w:rPr>
                <w:rFonts w:hint="eastAsia"/>
                <w:sz w:val="24"/>
              </w:rPr>
              <w:t xml:space="preserve">分；其他不得分。</w:t>
            </w: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0 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2.</w:t>
            </w:r>
            <w:r>
              <w:rPr>
                <w:rFonts w:ascii="宋体" w:hAnsi="宋体" w:cs="宋体"/>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检测工程方案-检测大纲及检测方法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检测大纲及检测方法全面完善、切实可行、科学合理的得</w:t>
            </w:r>
            <w:r>
              <w:rPr>
                <w:sz w:val="24"/>
              </w:rPr>
              <w:t xml:space="preserve">10</w:t>
            </w:r>
            <w:r>
              <w:rPr>
                <w:rFonts w:hint="eastAsia"/>
                <w:sz w:val="24"/>
              </w:rPr>
              <w:t xml:space="preserve">分；检测大纲及检测方法完善、较</w:t>
            </w:r>
            <w:r>
              <w:rPr>
                <w:sz w:val="24"/>
              </w:rPr>
              <w:t xml:space="preserve">为</w:t>
            </w:r>
            <w:r>
              <w:rPr>
                <w:rFonts w:hint="eastAsia"/>
                <w:sz w:val="24"/>
              </w:rPr>
              <w:t xml:space="preserve">可行、合理的得</w:t>
            </w:r>
            <w:r>
              <w:rPr>
                <w:sz w:val="24"/>
              </w:rPr>
              <w:t xml:space="preserve">7</w:t>
            </w:r>
            <w:r>
              <w:rPr>
                <w:rFonts w:hint="eastAsia"/>
                <w:sz w:val="24"/>
              </w:rPr>
              <w:t xml:space="preserve">分</w:t>
            </w:r>
            <w:r>
              <w:rPr>
                <w:sz w:val="24"/>
              </w:rPr>
              <w:t xml:space="preserve">；</w:t>
            </w:r>
            <w:r>
              <w:rPr>
                <w:rFonts w:hint="eastAsia"/>
                <w:sz w:val="24"/>
              </w:rPr>
              <w:t xml:space="preserve">检测大纲及检测方法一般、科学合理也</w:t>
            </w:r>
            <w:r>
              <w:rPr>
                <w:sz w:val="24"/>
              </w:rPr>
              <w:t xml:space="preserve">一般的</w:t>
            </w:r>
            <w:r>
              <w:rPr>
                <w:rFonts w:hint="eastAsia"/>
                <w:sz w:val="24"/>
              </w:rPr>
              <w:t xml:space="preserve">得</w:t>
            </w:r>
            <w:r>
              <w:rPr>
                <w:sz w:val="24"/>
              </w:rPr>
              <w:t xml:space="preserve">4</w:t>
            </w:r>
            <w:r>
              <w:rPr>
                <w:rFonts w:hint="eastAsia"/>
                <w:sz w:val="24"/>
              </w:rPr>
              <w:t xml:space="preserve">分；检测大纲及检测方法基本合理、基本可行性的得</w:t>
            </w:r>
            <w:r>
              <w:rPr>
                <w:sz w:val="24"/>
              </w:rPr>
              <w:t xml:space="preserve">1</w:t>
            </w:r>
            <w:r>
              <w:rPr>
                <w:rFonts w:hint="eastAsia"/>
                <w:sz w:val="24"/>
              </w:rPr>
              <w:t xml:space="preserve">分，其他不得分。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检测工程方案-检测及成果评价方法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检测及成果评价方法全面完善、科学合理、优越性强的得</w:t>
            </w:r>
            <w:r>
              <w:rPr>
                <w:sz w:val="24"/>
              </w:rPr>
              <w:t xml:space="preserve">10</w:t>
            </w:r>
            <w:r>
              <w:rPr>
                <w:rFonts w:hint="eastAsia"/>
                <w:sz w:val="24"/>
              </w:rPr>
              <w:t xml:space="preserve">分；检测及成果评价方法完善、合理、优越性较强的得</w:t>
            </w:r>
            <w:r>
              <w:rPr>
                <w:sz w:val="24"/>
              </w:rPr>
              <w:t xml:space="preserve">7</w:t>
            </w:r>
            <w:r>
              <w:rPr>
                <w:rFonts w:hint="eastAsia"/>
                <w:sz w:val="24"/>
              </w:rPr>
              <w:t xml:space="preserve">分；检测及成果评价方法一般、合理、优越性一般的得4分，检测及成果评价方法基本可行、合理性和优越性很有且</w:t>
            </w:r>
            <w:r>
              <w:rPr>
                <w:sz w:val="24"/>
              </w:rPr>
              <w:t xml:space="preserve">不全面</w:t>
            </w:r>
            <w:r>
              <w:rPr>
                <w:rFonts w:hint="eastAsia"/>
                <w:sz w:val="24"/>
              </w:rPr>
              <w:t xml:space="preserve">的得1分，其他不得分。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检测工程方案-检测工作重点、难点、关键性技术措施及检测安全措施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重点难点把握精准、措施切实可行、科学合理且具有前瞻性、安全措施切实可靠的得10分；重点难点把握较精准、措施可行合理、安全措施可靠的得</w:t>
            </w:r>
            <w:r>
              <w:rPr>
                <w:sz w:val="24"/>
              </w:rPr>
              <w:t xml:space="preserve">7</w:t>
            </w:r>
            <w:r>
              <w:rPr>
                <w:rFonts w:hint="eastAsia"/>
                <w:sz w:val="24"/>
              </w:rPr>
              <w:t xml:space="preserve">分；重点难点把握精准度</w:t>
            </w:r>
            <w:r>
              <w:rPr>
                <w:sz w:val="24"/>
              </w:rPr>
              <w:t xml:space="preserve">一般</w:t>
            </w:r>
            <w:r>
              <w:rPr>
                <w:rFonts w:hint="eastAsia"/>
                <w:sz w:val="24"/>
              </w:rPr>
              <w:t xml:space="preserve">、措施合理一般的得</w:t>
            </w:r>
            <w:r>
              <w:rPr>
                <w:sz w:val="24"/>
              </w:rPr>
              <w:t xml:space="preserve">4</w:t>
            </w:r>
            <w:r>
              <w:rPr>
                <w:rFonts w:hint="eastAsia"/>
                <w:sz w:val="24"/>
              </w:rPr>
              <w:t xml:space="preserve">分；重点难点把握不精准、措施一也般的得1分，其他不得分。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投标人针对本项目制定安全保护工作实施方案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方案切实可行、科学合理且具有前瞻性、安全措施切实可靠的得5分；方案可行较</w:t>
            </w:r>
            <w:r>
              <w:rPr>
                <w:sz w:val="24"/>
              </w:rPr>
              <w:t xml:space="preserve">罚</w:t>
            </w:r>
            <w:r>
              <w:rPr>
                <w:rFonts w:hint="eastAsia"/>
                <w:sz w:val="24"/>
              </w:rPr>
              <w:t xml:space="preserve">合理、安全措施较</w:t>
            </w:r>
            <w:r>
              <w:rPr>
                <w:sz w:val="24"/>
              </w:rPr>
              <w:t xml:space="preserve">为</w:t>
            </w:r>
            <w:r>
              <w:rPr>
                <w:rFonts w:hint="eastAsia"/>
                <w:sz w:val="24"/>
              </w:rPr>
              <w:t xml:space="preserve">可靠的得</w:t>
            </w:r>
            <w:r>
              <w:rPr>
                <w:sz w:val="24"/>
              </w:rPr>
              <w:t xml:space="preserve">3</w:t>
            </w:r>
            <w:r>
              <w:rPr>
                <w:rFonts w:hint="eastAsia"/>
                <w:sz w:val="24"/>
              </w:rPr>
              <w:t xml:space="preserve">分；方案</w:t>
            </w:r>
            <w:r>
              <w:rPr>
                <w:sz w:val="24"/>
              </w:rPr>
              <w:t xml:space="preserve">一般</w:t>
            </w:r>
            <w:r>
              <w:rPr>
                <w:rFonts w:hint="eastAsia"/>
                <w:sz w:val="24"/>
              </w:rPr>
              <w:t xml:space="preserve">、安全措施合理一般的得</w:t>
            </w:r>
            <w:r>
              <w:rPr>
                <w:sz w:val="24"/>
              </w:rPr>
              <w:t xml:space="preserve">1</w:t>
            </w:r>
            <w:r>
              <w:rPr>
                <w:rFonts w:hint="eastAsia"/>
                <w:sz w:val="24"/>
              </w:rPr>
              <w:t xml:space="preserve">分；其他不得分。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rPr>
                <w:rFonts w:hint="eastAsia"/>
                <w:sz w:val="24"/>
              </w:rPr>
              <w:t xml:space="preserve">投标人针对本项目制定质量保证措施方案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sz w:val="24"/>
              </w:rPr>
              <w:t xml:space="preserve">方案切实可行、科学合理且具有前瞻性、措施切实可靠的得5分；方案可行较</w:t>
            </w:r>
            <w:r>
              <w:rPr>
                <w:sz w:val="24"/>
              </w:rPr>
              <w:t xml:space="preserve">罚</w:t>
            </w:r>
            <w:r>
              <w:rPr>
                <w:rFonts w:hint="eastAsia"/>
                <w:sz w:val="24"/>
              </w:rPr>
              <w:t xml:space="preserve">合理、措施较</w:t>
            </w:r>
            <w:r>
              <w:rPr>
                <w:sz w:val="24"/>
              </w:rPr>
              <w:t xml:space="preserve">为</w:t>
            </w:r>
            <w:r>
              <w:rPr>
                <w:rFonts w:hint="eastAsia"/>
                <w:sz w:val="24"/>
              </w:rPr>
              <w:t xml:space="preserve">可靠的得</w:t>
            </w:r>
            <w:r>
              <w:rPr>
                <w:sz w:val="24"/>
              </w:rPr>
              <w:t xml:space="preserve">3</w:t>
            </w:r>
            <w:r>
              <w:rPr>
                <w:rFonts w:hint="eastAsia"/>
                <w:sz w:val="24"/>
              </w:rPr>
              <w:t xml:space="preserve">分；方案</w:t>
            </w:r>
            <w:r>
              <w:rPr>
                <w:sz w:val="24"/>
              </w:rPr>
              <w:t xml:space="preserve">一般</w:t>
            </w:r>
            <w:r>
              <w:rPr>
                <w:rFonts w:hint="eastAsia"/>
                <w:sz w:val="24"/>
              </w:rPr>
              <w:t xml:space="preserve">、措施合理一般的得</w:t>
            </w:r>
            <w:r>
              <w:rPr>
                <w:sz w:val="24"/>
              </w:rPr>
              <w:t xml:space="preserve">1</w:t>
            </w:r>
            <w:r>
              <w:rPr>
                <w:rFonts w:hint="eastAsia"/>
                <w:sz w:val="24"/>
              </w:rPr>
              <w:t xml:space="preserve">分；其他不得分。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0 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人员方案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投标人针对本项目制定的人员分工管理制度、岗位职责、考核制度等管理方案：方案全面、科学可行得3分，方案较为全面、啼可行得</w:t>
            </w:r>
            <w:r>
              <w:rPr>
                <w:rFonts w:ascii="宋体" w:hAnsi="宋体" w:cs="宋体"/>
                <w:bCs/>
                <w:sz w:val="24"/>
              </w:rPr>
              <w:t xml:space="preserve">2</w:t>
            </w:r>
            <w:r>
              <w:rPr>
                <w:rFonts w:hint="eastAsia" w:ascii="宋体" w:hAnsi="宋体" w:cs="宋体"/>
                <w:bCs/>
                <w:sz w:val="24"/>
              </w:rPr>
              <w:t xml:space="preserve">分，方案一般、可行一般</w:t>
            </w:r>
            <w:r>
              <w:rPr>
                <w:rFonts w:ascii="宋体" w:hAnsi="宋体" w:cs="宋体"/>
                <w:bCs/>
                <w:sz w:val="24"/>
              </w:rPr>
              <w:t xml:space="preserve">的</w:t>
            </w:r>
            <w:r>
              <w:rPr>
                <w:rFonts w:hint="eastAsia" w:ascii="宋体" w:hAnsi="宋体" w:cs="宋体"/>
                <w:bCs/>
                <w:sz w:val="24"/>
              </w:rPr>
              <w:t xml:space="preserve">得</w:t>
            </w:r>
            <w:r>
              <w:rPr>
                <w:rFonts w:ascii="宋体" w:hAnsi="宋体" w:cs="宋体"/>
                <w:bCs/>
                <w:sz w:val="24"/>
              </w:rPr>
              <w:t xml:space="preserve">1</w:t>
            </w:r>
            <w:r>
              <w:rPr>
                <w:rFonts w:hint="eastAsia" w:ascii="宋体" w:hAnsi="宋体" w:cs="宋体"/>
                <w:bCs/>
                <w:sz w:val="24"/>
              </w:rPr>
              <w:t xml:space="preserve">分，其他不得分。</w:t>
            </w:r>
            <w:r/>
          </w:p>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商务分</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针对本项目制定的检测设备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钢筋扫描仪、裂缝宽度监测仪、地质雷达、超声波扫描仪、</w:t>
            </w:r>
            <w:r>
              <w:rPr>
                <w:sz w:val="24"/>
              </w:rPr>
              <w:t xml:space="preserve">全站仪、电子水准仪</w:t>
            </w:r>
            <w:r>
              <w:rPr>
                <w:rFonts w:hint="eastAsia"/>
                <w:sz w:val="24"/>
              </w:rPr>
              <w:t xml:space="preserve">等专业设备，有</w:t>
            </w:r>
            <w:r>
              <w:rPr>
                <w:sz w:val="24"/>
              </w:rPr>
              <w:t xml:space="preserve">一个得</w:t>
            </w:r>
            <w:r>
              <w:rPr>
                <w:rFonts w:hint="eastAsia"/>
                <w:sz w:val="24"/>
              </w:rPr>
              <w:t xml:space="preserve">0.5分</w:t>
            </w:r>
            <w:r>
              <w:rPr>
                <w:sz w:val="24"/>
              </w:rPr>
              <w:t xml:space="preserve">，</w:t>
            </w:r>
            <w:r>
              <w:rPr>
                <w:rFonts w:hint="eastAsia"/>
                <w:sz w:val="24"/>
              </w:rPr>
              <w:t xml:space="preserve">自有设备提供发票扫描件加盖公章；租赁设备提供租赁合同加盖公章，否则不得分”</w:t>
            </w: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技术负责人（1人）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具备高级工程师职称的得</w:t>
            </w:r>
            <w:r>
              <w:rPr>
                <w:rFonts w:ascii="宋体" w:hAnsi="宋体" w:cs="宋体"/>
                <w:bCs/>
                <w:sz w:val="24"/>
              </w:rPr>
              <w:t xml:space="preserve">3</w:t>
            </w:r>
            <w:r>
              <w:rPr>
                <w:rFonts w:hint="eastAsia" w:ascii="宋体" w:hAnsi="宋体" w:cs="宋体"/>
                <w:bCs/>
                <w:sz w:val="24"/>
              </w:rPr>
              <w:t xml:space="preserve">分，具有交通运输部工程质量监督机构颁发的公路工程试验检测工程师（桥梁专业或桥梁隧道专业）资格证书的得2分，具有一级注册结构工程师证书的得3分。本项最高得</w:t>
            </w:r>
            <w:r>
              <w:rPr>
                <w:rFonts w:ascii="宋体" w:hAnsi="宋体" w:cs="宋体"/>
                <w:bCs/>
                <w:sz w:val="24"/>
              </w:rPr>
              <w:t xml:space="preserve">8</w:t>
            </w:r>
            <w:r>
              <w:rPr>
                <w:rFonts w:hint="eastAsia" w:ascii="宋体" w:hAnsi="宋体" w:cs="宋体"/>
                <w:bCs/>
                <w:sz w:val="24"/>
              </w:rPr>
              <w:t xml:space="preserve">分。注：明确相关人员的职责或分工，并提供上述人员（退休人员不得分）的相关职称、资格证书及人员近3个月（2</w:t>
            </w:r>
            <w:r>
              <w:rPr>
                <w:rFonts w:ascii="宋体" w:hAnsi="宋体" w:cs="宋体"/>
                <w:bCs/>
                <w:sz w:val="24"/>
              </w:rPr>
              <w:t xml:space="preserve">025</w:t>
            </w:r>
            <w:r>
              <w:rPr>
                <w:rFonts w:hint="eastAsia" w:ascii="宋体" w:hAnsi="宋体" w:cs="宋体"/>
                <w:bCs/>
                <w:sz w:val="24"/>
              </w:rPr>
              <w:t xml:space="preserve">年6-</w:t>
            </w:r>
            <w:r>
              <w:rPr>
                <w:rFonts w:ascii="宋体" w:hAnsi="宋体" w:cs="宋体"/>
                <w:bCs/>
                <w:sz w:val="24"/>
              </w:rPr>
              <w:t xml:space="preserve">9</w:t>
            </w:r>
            <w:r>
              <w:rPr>
                <w:rFonts w:hint="eastAsia" w:ascii="宋体" w:hAnsi="宋体" w:cs="宋体"/>
                <w:bCs/>
                <w:sz w:val="24"/>
              </w:rPr>
              <w:t xml:space="preserve">月中连续三个月）社保证明等证明材料（扫描件加盖公章），否则不得分。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检测技术人员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numPr>
                <w:ilvl w:val="0"/>
                <w:numId w:val="5"/>
              </w:numPr>
              <w:spacing w:before="240" w:after="240"/>
              <w:pBdr>
                <w:top w:val="none" w:color="000000" w:sz="4" w:space="0"/>
                <w:left w:val="none" w:color="000000" w:sz="4" w:space="0"/>
                <w:bottom w:val="none" w:color="000000" w:sz="4" w:space="0"/>
                <w:right w:val="none" w:color="000000" w:sz="4" w:space="0"/>
              </w:pBdr>
            </w:pPr>
            <w:r>
              <w:rPr>
                <w:rFonts w:hint="eastAsia" w:ascii="宋体" w:hAnsi="宋体" w:cs="宋体"/>
                <w:bCs/>
                <w:sz w:val="24"/>
              </w:rPr>
              <w:t xml:space="preserve">具有交通运输部工程质量监督机构颁发的公路工程试验检测工程师（桥梁专业或桥梁隧道专业）资格证书且具备高级工程师职称，每具备一名符合条件人员得1分，最高得3分。注：明确相关人员的职责或分工，并提供上述人员（退休人员不得分）的相关职称、资格证书及人员近3个月（2</w:t>
            </w:r>
            <w:r>
              <w:rPr>
                <w:rFonts w:ascii="宋体" w:hAnsi="宋体" w:cs="宋体"/>
                <w:bCs/>
                <w:sz w:val="24"/>
              </w:rPr>
              <w:t xml:space="preserve">025</w:t>
            </w:r>
            <w:r>
              <w:rPr>
                <w:rFonts w:hint="eastAsia" w:ascii="宋体" w:hAnsi="宋体" w:cs="宋体"/>
                <w:bCs/>
                <w:sz w:val="24"/>
              </w:rPr>
              <w:t xml:space="preserve">年6-</w:t>
            </w:r>
            <w:r>
              <w:rPr>
                <w:rFonts w:ascii="宋体" w:hAnsi="宋体" w:cs="宋体"/>
                <w:bCs/>
                <w:sz w:val="24"/>
              </w:rPr>
              <w:t xml:space="preserve">9</w:t>
            </w:r>
            <w:r>
              <w:rPr>
                <w:rFonts w:hint="eastAsia" w:ascii="宋体" w:hAnsi="宋体" w:cs="宋体"/>
                <w:bCs/>
                <w:sz w:val="24"/>
              </w:rPr>
              <w:t xml:space="preserve">月中连续三个月）社保证明等证明材料（扫描件加盖公章），否则不得分。</w:t>
            </w:r>
            <w:r>
              <w:rPr>
                <w:rFonts w:ascii="FangSong" w:hAnsi="FangSong" w:eastAsia="FangSong" w:cs="FangSong"/>
                <w:color w:val="000000"/>
                <w:sz w:val="28"/>
              </w:rPr>
              <w:t xml:space="preserve">检测技术人员不得为项目负责人或技术负责人。</w:t>
            </w:r>
            <w:r/>
          </w:p>
          <w:p>
            <w:pPr>
              <w:jc w:val="center"/>
              <w:rPr>
                <w:rFonts w:ascii="宋体" w:hAnsi="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sz w:val="24"/>
              </w:rPr>
              <w:t xml:space="preserve">针对本项目提供的桥梁检测车和登高车(20m及以上)情况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rPr>
                <w:rFonts w:hint="eastAsia"/>
                <w:sz w:val="24"/>
              </w:rPr>
              <w:t xml:space="preserve">拟投入本项目的设备均为自有的得5分；部分或全部租赁或者承诺中标后15日内购置或租赁的（提供书面承诺函）的得3分；不满足不得分。注：评委根据投标人提供自有设备的设备购置发票或财务凭证等产权证明文件（扫描件加盖投标人公章），或租赁的合同以及租赁设备所属方的设备购置发票或财务凭证等产权证明文件（扫描件加盖投标人公章），或提供中标后购置或租赁的承诺书（加盖投标人公章）的情况进行综合评定，否则不得分。</w:t>
            </w: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3.</w:t>
            </w:r>
            <w:r>
              <w:rPr>
                <w:rFonts w:ascii="宋体" w:hAnsi="宋体" w:cs="宋体"/>
                <w:b/>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rPr>
                <w:rFonts w:hint="eastAsia"/>
                <w:sz w:val="24"/>
              </w:rPr>
              <w:t xml:space="preserve">投标人业绩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提供2021年1月1日至今（以合同签订日期为准），投标人承担过大型桥梁检测检查项目业绩，每具备一项得2分，本项最高为8分。提供合同扫描件加盖投标人公章。注：本项所指大型桥梁为：100米≤多孔跨径总长≤1000米或40米≤单孔跨径≤150米的桥梁工程。合同中需体现桥梁长度等内容，合同中没注明具体内容，出具由甲方提供的书面证明扫描件。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3.</w:t>
            </w:r>
            <w:r>
              <w:rPr>
                <w:rFonts w:ascii="宋体" w:hAnsi="宋体" w:cs="宋体"/>
                <w:b/>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项目负责人</w:t>
            </w:r>
            <w:r>
              <w:rPr>
                <w:rFonts w:hint="eastAsia"/>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sz w:val="24"/>
              </w:rPr>
              <w:t xml:space="preserve">提供2021年1月1日至今（以合同签订日期为准）,本项目负责人承担过大型桥梁检测检查项目的业绩，每具备一项得2分，本项最高为4分。业绩合同中有注名项目负责人的，提供合同扫描件；合同中没注明具体项目负责人的，出具由甲方提供的书面证明扫描件。注：本项所指大型桥梁为：100米≤多孔跨径总长≤1000米或40米≤单孔跨径≤150米的桥梁工程。合同中需体现桥梁长度等内容，合同中没注明具体内容，出具由甲方提供的书面证明扫描件。否则不得分。（</w:t>
            </w:r>
            <w:r>
              <w:rPr>
                <w:rFonts w:hint="eastAsia"/>
                <w:sz w:val="24"/>
              </w:rPr>
              <w:t xml:space="preserve">技术</w:t>
            </w:r>
            <w:r>
              <w:rPr>
                <w:rFonts w:hint="eastAsia"/>
                <w:sz w:val="24"/>
              </w:rPr>
              <w:t xml:space="preserve">负责</w:t>
            </w:r>
            <w:r>
              <w:rPr>
                <w:rFonts w:hint="eastAsia"/>
                <w:sz w:val="24"/>
              </w:rPr>
              <w:t xml:space="preserve">人</w:t>
            </w:r>
            <w:r>
              <w:rPr>
                <w:rFonts w:hint="eastAsia"/>
                <w:sz w:val="24"/>
              </w:rPr>
              <w:t xml:space="preserve">与</w:t>
            </w:r>
            <w:r>
              <w:rPr>
                <w:rFonts w:hint="eastAsia"/>
                <w:sz w:val="24"/>
              </w:rPr>
              <w:t xml:space="preserve">项目</w:t>
            </w:r>
            <w:r>
              <w:rPr>
                <w:rFonts w:hint="eastAsia"/>
                <w:sz w:val="24"/>
              </w:rPr>
              <w:t xml:space="preserve">负责</w:t>
            </w:r>
            <w:r>
              <w:rPr>
                <w:rFonts w:hint="eastAsia"/>
                <w:sz w:val="24"/>
              </w:rPr>
              <w:t xml:space="preserve">人</w:t>
            </w:r>
            <w:r>
              <w:rPr>
                <w:rFonts w:hint="eastAsia"/>
                <w:sz w:val="24"/>
              </w:rPr>
              <w:t xml:space="preserve">可</w:t>
            </w:r>
            <w:r>
              <w:rPr>
                <w:rFonts w:hint="eastAsia"/>
                <w:sz w:val="24"/>
              </w:rPr>
              <w:t xml:space="preserve">以</w:t>
            </w:r>
            <w:r>
              <w:rPr>
                <w:rFonts w:hint="eastAsia"/>
                <w:sz w:val="24"/>
              </w:rPr>
              <w:t xml:space="preserve">为</w:t>
            </w:r>
            <w:r>
              <w:t xml:space="preserve">同</w:t>
            </w:r>
            <w:r>
              <w:t xml:space="preserve">一</w:t>
            </w:r>
            <w: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否</w:t>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是</w:t>
            </w:r>
            <w:r/>
          </w:p>
        </w:tc>
      </w:tr>
      <w:tr>
        <w:trPr>
          <w:trHeight w:val="42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69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3.7</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rPr>
                <w:rFonts w:hint="eastAsia"/>
                <w:sz w:val="24"/>
              </w:rPr>
              <w:t xml:space="preserve">投标人能力评价</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rPr>
                <w:rFonts w:hint="eastAsia"/>
                <w:sz w:val="24"/>
              </w:rPr>
              <w:t xml:space="preserve">具有专业范围与本次招标相关的质量管理体系认证证书、环境管理体系认证证书、职业健康安全管理体系认证证书的，每提供一种得2分，本项最高得</w:t>
            </w:r>
            <w:r>
              <w:rPr>
                <w:sz w:val="24"/>
              </w:rPr>
              <w:t xml:space="preserve">6</w:t>
            </w:r>
            <w:r>
              <w:rPr>
                <w:rFonts w:hint="eastAsia"/>
                <w:sz w:val="24"/>
              </w:rPr>
              <w:t xml:space="preserve">分，提供相关证书扫描并加盖投标人公章，否则不得分。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0 </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6</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42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rPr>
                <w:rFonts w:hint="eastAsia" w:ascii="宋体" w:hAnsi="宋体" w:cs="宋体"/>
                <w:b/>
                <w:color w:val="000000"/>
                <w:sz w:val="20"/>
              </w:rPr>
              <w:t xml:space="preserve">否</w:t>
            </w:r>
            <w:r/>
          </w:p>
        </w:tc>
        <w:tc>
          <w:tcPr>
            <w:tcBorders>
              <w:top w:val="none" w:color="000000" w:sz="4" w:space="0"/>
              <w:left w:val="none" w:color="000000" w:sz="4" w:space="0"/>
              <w:bottom w:val="none" w:color="000000" w:sz="4"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9"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8"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c>
          <w:tcPr>
            <w:tcBorders>
              <w:top w:val="none" w:color="000000" w:sz="4" w:space="0"/>
              <w:left w:val="none" w:color="000000" w:sz="4" w:space="0"/>
              <w:bottom w:val="single" w:color="000000" w:sz="8" w:space="0"/>
              <w:right w:val="single" w:color="000000" w:sz="8" w:space="0"/>
            </w:tcBorders>
            <w:tcW w:w="426" w:type="dxa"/>
            <w:textDirection w:val="lrTb"/>
            <w:noWrap w:val="false"/>
          </w:tcPr>
          <w:p>
            <w:pPr>
              <w:jc w:val="center"/>
              <w:rPr>
                <w:rFonts w:ascii="宋体" w:hAnsi="宋体" w:cs="宋体"/>
                <w:b/>
                <w:color w:val="000000"/>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0"/>
              </w:rPr>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28"/>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  投标文件格式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      期 ：</w:t>
      </w:r>
      <w:r>
        <w:rPr>
          <w:rFonts w:ascii="宋体" w:hAnsi="宋体" w:cs="宋体"/>
          <w:b/>
          <w:color w:val="000000"/>
          <w:sz w:val="36"/>
          <w:u w:val="single"/>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投标文件主要格式目录</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一、投标人资格声明函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二、特定资格要求的证明文件（如果本项目设置特定资格要求，则需要提供）</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三、法人授权书</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四、投标函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五、小微企业声明函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六、残疾人福利性单位声明函或监狱企业证明</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七、联合体协议</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八、投标分项报价表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九、技术要求响应及偏离表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十、商务要求响应及偏离表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十一、开标一览表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一、投标人资格声明函</w:t>
      </w:r>
      <w:r/>
    </w:p>
    <w:p>
      <w:pPr>
        <w:jc w:val="center"/>
        <w:spacing w:before="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jc w:val="center"/>
        <w:spacing w:before="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投标人资格声明函</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致：常州市政府采购中心</w:t>
      </w:r>
      <w:r/>
    </w:p>
    <w:p>
      <w:pPr>
        <w:ind w:firstLine="84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（采购人名称）</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按照《中华人民共和国政府采购法》第二十二条和招标文件的规定，我单位郑重声明如下：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一、我单位是按照中华人民共和国法律规定登记注册的，注册地点为</w:t>
      </w:r>
      <w:r>
        <w:rPr>
          <w:rFonts w:eastAsia="Times New Roman"/>
          <w:color w:val="000000"/>
          <w:u w:val="single"/>
        </w:rPr>
        <w:t xml:space="preserve">         </w:t>
      </w:r>
      <w:r>
        <w:rPr>
          <w:rFonts w:ascii="宋体" w:hAnsi="宋体" w:cs="宋体"/>
          <w:color w:val="000000"/>
        </w:rPr>
        <w:t xml:space="preserve">，全称为</w:t>
      </w:r>
      <w:r>
        <w:rPr>
          <w:rFonts w:eastAsia="Times New Roman"/>
          <w:color w:val="000000"/>
          <w:u w:val="single"/>
        </w:rPr>
        <w:t xml:space="preserve">        </w:t>
      </w:r>
      <w:r>
        <w:rPr>
          <w:rFonts w:ascii="宋体" w:hAnsi="宋体" w:cs="宋体"/>
          <w:color w:val="000000"/>
        </w:rPr>
        <w:t xml:space="preserve">，统一社会信用代码为</w:t>
      </w:r>
      <w:r>
        <w:rPr>
          <w:rFonts w:eastAsia="Times New Roman"/>
          <w:color w:val="000000"/>
          <w:u w:val="single"/>
        </w:rPr>
        <w:t xml:space="preserve">           </w:t>
      </w:r>
      <w:r>
        <w:rPr>
          <w:rFonts w:eastAsia="Times New Roman"/>
          <w:color w:val="000000"/>
        </w:rPr>
        <w:t xml:space="preserve"> </w:t>
      </w:r>
      <w:r>
        <w:rPr>
          <w:rFonts w:ascii="宋体" w:hAnsi="宋体" w:cs="宋体"/>
          <w:color w:val="000000"/>
        </w:rPr>
        <w:t xml:space="preserve">，法定代表人（单位负责人）为</w:t>
      </w:r>
      <w:r>
        <w:rPr>
          <w:rFonts w:eastAsia="Times New Roman"/>
          <w:color w:val="000000"/>
          <w:u w:val="single"/>
        </w:rPr>
        <w:t xml:space="preserve">         </w:t>
      </w:r>
      <w:r>
        <w:rPr>
          <w:rFonts w:ascii="宋体" w:hAnsi="宋体" w:cs="宋体"/>
          <w:color w:val="000000"/>
        </w:rPr>
        <w:t xml:space="preserve">，具有独立承担民事责任的能力</w:t>
      </w:r>
      <w:r>
        <w:rPr>
          <w:rFonts w:ascii="宋体" w:hAnsi="宋体" w:cs="宋体"/>
          <w:b/>
          <w:i/>
          <w:color w:val="000000"/>
          <w:u w:val="single"/>
        </w:rPr>
        <w:t xml:space="preserve">（如属于分公司经总公司授权参与项目，由总公司承担民事责任的，需提供总公司项目授权书）</w:t>
      </w:r>
      <w:r>
        <w:rPr>
          <w:rFonts w:ascii="宋体" w:hAnsi="宋体" w:cs="宋体"/>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二、我单位具有良好的商业信誉（指投标人经营状况良好，无本资格声明第十条情形）和健全的财务会计制度。</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三、我单位依法进行纳税和社会保险申报并实际履行了义务。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四、我单位具有履行本项目采购合同所必需的设备和专业技术能力，并具有履行合同的良好记录。为履行本项采购合同我单位具备如下主要设备和主要专业技术能力</w:t>
      </w:r>
      <w:r>
        <w:rPr>
          <w:rFonts w:eastAsia="Times New Roman"/>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主要设备有：</w:t>
      </w:r>
      <w:r>
        <w:rPr>
          <w:rFonts w:eastAsia="Times New Roman"/>
          <w:color w:val="00000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主要专业技术能力有</w:t>
      </w:r>
      <w:r>
        <w:rPr>
          <w:rFonts w:eastAsia="Times New Roman"/>
          <w:color w:val="00000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eastAsia="Times New Roman"/>
          <w:color w:val="000000"/>
        </w:rPr>
        <w:t xml:space="preserve">3</w:t>
      </w:r>
      <w:r>
        <w:rPr>
          <w:rFonts w:ascii="宋体" w:hAnsi="宋体" w:cs="宋体"/>
          <w:color w:val="000000"/>
        </w:rPr>
        <w:t xml:space="preserve">年内因违法经营被禁止在一定期限内参加政府采购活动，期限届满的，可以参加政府采购活动。）</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六、我单位具备法律、行政法规规定的其他条件。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七、与我单位存在“单位负责人为同一人或者存在直接控股、管理关系”的其他单位信息如下（如无此情形的，填写“无”）：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、与我单位的法定代表人（单位负责人）为同一人的其他单位如下：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、我单位直接控股的其他单位如下：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、与我单位存在管理关系的其他单位如下：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八、我单位不属于为本项目提供整体设计、规范编制或者项目管理、监理、检测等服务的投标人。</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九、我单位无以下不良信用记录情形：</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、在“信用中国”网站被列入失信被执行人和重大税收违法案件当事人名单；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、在“中国政府采购网”网站被列入政府采购严重违法失信行为记录名单；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、不符合《政府采购法》第二十二条规定的条件。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我单位保证上述声明的事项都是真实的，如有虚假，我单位愿意承担相应的法律责任，并承担因此所造成的一切损失。</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投标人：（加盖公章）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法定代表人（或单位负责人）签字或盖章：</w:t>
      </w:r>
      <w:r/>
    </w:p>
    <w:p>
      <w:pPr>
        <w:ind w:firstLine="4305"/>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eastAsia="Times New Roman"/>
          <w:color w:val="000000"/>
        </w:rPr>
        <w:t xml:space="preserve">   </w:t>
      </w:r>
      <w:r>
        <w:rPr>
          <w:rFonts w:ascii="宋体" w:hAnsi="宋体" w:cs="宋体"/>
          <w:color w:val="000000"/>
        </w:rPr>
        <w:t xml:space="preserve">年月日</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说明：投标人承诺不实的，依据《政府采购法》第七十七条“提供虚假材料谋取中标、成交的”有关规定予以处理。</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二、特定资格要求的证明文件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如果本项目申请人的特定资格要求中要求提供的，必须提供。</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三、法人授权书</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eastAsia="Times New Roman"/>
          <w:color w:val="000000"/>
          <w:sz w:val="24"/>
        </w:rPr>
        <w:t xml:space="preserve">____________</w:t>
      </w:r>
      <w:r>
        <w:rPr>
          <w:rFonts w:ascii="宋体" w:hAnsi="宋体" w:cs="宋体"/>
          <w:color w:val="000000"/>
          <w:sz w:val="24"/>
        </w:rPr>
        <w:t xml:space="preserve">（投标人名称）授权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rPr>
        <w:t xml:space="preserve">JSZC-</w:t>
      </w:r>
      <w:r>
        <w:rPr>
          <w:rFonts w:eastAsia="Times New Roman"/>
          <w:color w:val="000000"/>
          <w:sz w:val="24"/>
          <w:u w:val="single"/>
        </w:rPr>
        <w:t xml:space="preserve">        </w:t>
      </w:r>
      <w:r>
        <w:rPr>
          <w:rFonts w:ascii="宋体" w:hAnsi="宋体" w:cs="宋体"/>
          <w:color w:val="000000"/>
          <w:sz w:val="24"/>
        </w:rPr>
        <w:t xml:space="preserve">号项目采购活动的合法代理人，以本单位名义全权处理一切与该项目采购有关的事务。</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eastAsia="Times New Roman"/>
          <w:color w:val="000000"/>
          <w:sz w:val="24"/>
        </w:rPr>
        <w:t xml:space="preserve">______</w:t>
      </w:r>
      <w:r>
        <w:rPr>
          <w:rFonts w:ascii="宋体" w:hAnsi="宋体" w:cs="宋体"/>
          <w:color w:val="000000"/>
          <w:sz w:val="24"/>
        </w:rPr>
        <w:t xml:space="preserve">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被授权人身份证号码：</w:t>
      </w:r>
      <w:r>
        <w:rPr>
          <w:rFonts w:eastAsia="Times New Roman"/>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被授权人联系电话：（手机）</w:t>
      </w:r>
      <w:r>
        <w:rPr>
          <w:rFonts w:eastAsia="Times New Roman"/>
          <w:color w:val="000000"/>
          <w:sz w:val="24"/>
          <w:u w:val="single"/>
        </w:rPr>
        <w:t xml:space="preserve">                          </w:t>
      </w:r>
      <w:r/>
    </w:p>
    <w:p>
      <w:pPr>
        <w:ind w:firstLine="12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eastAsia="Times New Roman"/>
          <w:color w:val="000000"/>
          <w:sz w:val="24"/>
          <w:u w:val="single"/>
        </w:rPr>
        <w:t xml:space="preserve">CA</w:t>
      </w:r>
      <w:r>
        <w:rPr>
          <w:rFonts w:ascii="宋体" w:hAnsi="宋体" w:cs="宋体"/>
          <w:color w:val="000000"/>
          <w:sz w:val="24"/>
          <w:u w:val="single"/>
        </w:rPr>
        <w:t xml:space="preserve">电子公章）</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单位地址：</w:t>
      </w:r>
      <w:r>
        <w:rPr>
          <w:rFonts w:eastAsia="Times New Roman"/>
          <w:color w:val="000000"/>
          <w:sz w:val="24"/>
          <w:u w:val="single"/>
        </w:rPr>
        <w:t xml:space="preserve">                                         </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日期：</w:t>
      </w:r>
      <w:r>
        <w:rPr>
          <w:rFonts w:eastAsia="Times New Roman"/>
          <w:color w:val="000000"/>
          <w:sz w:val="24"/>
          <w:u w:val="single"/>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i/>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30"/>
        <w:spacing w:before="260" w:after="260" w:line="553"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四、投标函</w:t>
      </w:r>
      <w:r/>
    </w:p>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致：常州市政府采购中心</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根据贵方的JSZC-***号招标文件，正式授权下述</w:t>
      </w:r>
      <w:r>
        <w:rPr>
          <w:rFonts w:hint="eastAsia" w:ascii="宋体" w:hAnsi="宋体" w:cs="宋体"/>
          <w:color w:val="000000"/>
          <w:sz w:val="24"/>
          <w:lang w:val="en-US" w:eastAsia="zh-CN"/>
        </w:rPr>
        <w:t xml:space="preserve">被授权人</w:t>
      </w:r>
      <w:r>
        <w:rPr>
          <w:rFonts w:ascii="宋体" w:hAnsi="宋体" w:cs="宋体"/>
          <w:color w:val="000000"/>
          <w:sz w:val="24"/>
        </w:rPr>
        <w:t xml:space="preserve">______(姓名)代表我方______________（投标人的名称），全权处理本次项目投标的有关事宜。</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w:t>
      </w:r>
      <w:r>
        <w:rPr>
          <w:rFonts w:hint="eastAsia" w:ascii="宋体" w:hAnsi="宋体" w:cs="宋体"/>
          <w:color w:val="000000"/>
          <w:sz w:val="24"/>
          <w:lang w:val="en-US" w:eastAsia="zh-CN"/>
        </w:rPr>
        <w:t xml:space="preserve">被授权人</w:t>
      </w:r>
      <w:r>
        <w:rPr>
          <w:rFonts w:ascii="宋体" w:hAnsi="宋体" w:cs="宋体"/>
          <w:color w:val="000000"/>
          <w:sz w:val="24"/>
        </w:rPr>
        <w:t xml:space="preserve">兹宣布同意如下：</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1.按招标文件规定的各项要求，向买方提供所需服务（包含与服务相关的货物）。</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          编：</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          真：</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          号： </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期：________年____月____日</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五、小微企业声明函（服务）（分包号：**）</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本公司（联合体）郑重声明，根据《政府采购促进中小企业发展管理办法》(财库[2020]46号)的规定，本公司（联合体）参加常州市政府采购中心组织的</w:t>
      </w:r>
      <w:r>
        <w:rPr>
          <w:rFonts w:ascii="宋体" w:hAnsi="宋体" w:cs="宋体"/>
          <w:color w:val="000000"/>
          <w:sz w:val="24"/>
          <w:u w:val="single"/>
        </w:rPr>
        <w:t xml:space="preserve">（采购单位名称）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hint="eastAsia" w:ascii="宋体" w:hAnsi="宋体" w:cs="宋体"/>
          <w:color w:val="000000"/>
          <w:sz w:val="24"/>
          <w:u w:val="single"/>
        </w:rPr>
        <w:t xml:space="preserve">建筑</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（小型企业、微型企业）；</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（小型企业、微型企业）；</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80" w:firstLine="360"/>
        <w:jc w:val="right"/>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备注2：供应商如不提供此声明函，价格将不做相应扣除。中标人为小微企业的，此声明函将随中标结果同时公告，接受社会监督。</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六、残疾人福利性单位声明函（分包号：**）</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项目（分包号：**）采购活动由本单位提供服务。</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（备注：1、供应商如不提供此声明函，价格将不做相应扣除。2、中标人为残疾人福利单位的，此声明函将随中标结果同时公告，接受社会监督）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right="1560" w:firstLine="624"/>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60" w:firstLine="480"/>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firstLine="643"/>
        <w:spacing w:line="587"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监狱企业证明文件。</w:t>
      </w:r>
      <w:r>
        <w:rPr>
          <w:rFonts w:ascii="宋体" w:hAnsi="宋体" w:cs="宋体"/>
          <w:color w:val="000000"/>
          <w:sz w:val="24"/>
        </w:rPr>
        <w:t xml:space="preserve">监狱企业须提供由省级以上监狱管理局、戒毒管理局（含新疆生产建设兵团）出具的属于监狱企业的证明文件。（备注：如是监狱企业的应提供，否则资格审查不予通过，作为无效投标。）</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七、联合体协议（参考格式）（分包号：**）</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自愿组成联合体，参加常州市政府采购中心组织的采购编号为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项目（分包号：**）的政府采购活动，我联合体指定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jc w:val="right"/>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rPr>
          <w:rFonts w:ascii="黑体" w:hAnsi="黑体" w:eastAsia="黑体" w:cs="黑体"/>
          <w:b/>
          <w:bCs/>
          <w:i/>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八、投标分项报价表（分包号：**）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w:t>
      </w:r>
      <w:r/>
    </w:p>
    <w:tbl>
      <w:tblPr>
        <w:tblStyle w:val="763"/>
        <w:tblW w:w="724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083"/>
        <w:gridCol w:w="1682"/>
        <w:gridCol w:w="759"/>
        <w:gridCol w:w="648"/>
        <w:gridCol w:w="811"/>
        <w:gridCol w:w="1424"/>
      </w:tblGrid>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3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服务期限或者交付期：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九、技术要求响应及偏离表（分包号：**）</w:t>
      </w:r>
      <w:r/>
    </w:p>
    <w:tbl>
      <w:tblPr>
        <w:tblStyle w:val="763"/>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3054"/>
        <w:gridCol w:w="2646"/>
        <w:gridCol w:w="1214"/>
        <w:gridCol w:w="1935"/>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对本项目技术要求条款的偏离情况（请进行勾选）：</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十、商务要求响应及偏离表（分包号：**）</w:t>
      </w:r>
      <w:r/>
    </w:p>
    <w:tbl>
      <w:tblPr>
        <w:tblStyle w:val="763"/>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3054"/>
        <w:gridCol w:w="2646"/>
        <w:gridCol w:w="1214"/>
        <w:gridCol w:w="1935"/>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对本项目商务要求条款的偏离情况（请进行勾选）：</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十一、开标一览表</w:t>
      </w:r>
      <w:r>
        <w:rPr>
          <w:rFonts w:ascii="黑体" w:hAnsi="黑体" w:eastAsia="黑体" w:cs="黑体"/>
          <w:i/>
          <w:color w:val="000000"/>
          <w:sz w:val="32"/>
          <w:u w:val="single"/>
        </w:rPr>
        <w:t xml:space="preserve">（实质性格式）</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                                   分包号：</w:t>
      </w:r>
      <w:r/>
    </w:p>
    <w:tbl>
      <w:tblPr>
        <w:tblStyle w:val="763"/>
        <w:tblW w:w="82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十二、投标（响应）文件通用模板编制和评审要求</w:t>
      </w:r>
      <w:r>
        <w:rPr>
          <w:rFonts w:ascii="宋体" w:hAnsi="宋体" w:cs="宋体"/>
          <w:b/>
          <w:color w:val="000000"/>
          <w:sz w:val="24"/>
        </w:rPr>
        <w:t xml:space="preserve">（本表为通用格式，项目采购文件可能会根据实际情况对栏目作出调整，按照制作工具显示的栏目编制）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763"/>
        <w:tblW w:w="86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808"/>
        <w:gridCol w:w="4920"/>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栏目名称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编制和评审要求</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投标（响应）文件封面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按照招标（采购）文件的规定格式。(格式见</w:t>
            </w:r>
            <w:r>
              <w:rPr>
                <w:rFonts w:ascii="宋体" w:hAnsi="宋体" w:cs="宋体"/>
                <w:b/>
                <w:color w:val="000000"/>
              </w:rPr>
              <w:t xml:space="preserve">《投标（响应）文件格式》</w:t>
            </w:r>
            <w:r>
              <w:rPr>
                <w:rFonts w:ascii="宋体" w:hAnsi="宋体" w:cs="宋体"/>
                <w:color w:val="000000"/>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开标一览表（响应一览表）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《开标一览表（响应一览表）》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《技术要求响应及偏离表》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商务要求响应及偏离表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《商务要求响应及偏离表》</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项目完整技术和实施方案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spacing w:line="57" w:lineRule="atLeast"/>
            </w:pPr>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投标人（供应商）资格声明函</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《投标人（供应商）资格声明函》</w:t>
            </w:r>
            <w:r>
              <w:rPr>
                <w:rFonts w:ascii="宋体" w:hAnsi="宋体" w:cs="宋体"/>
                <w:color w:val="000000"/>
              </w:rPr>
              <w:t xml:space="preserve">。(格式见《投标（响应）文件格式》)</w:t>
            </w:r>
            <w:r/>
          </w:p>
        </w:tc>
      </w:tr>
      <w:tr>
        <w:trPr>
          <w:trHeight w:val="216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中小企业声明函等</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《中小企业声明函》或者《残疾人福利性单位声明函》或者监狱企业证明文件</w:t>
            </w:r>
            <w:r>
              <w:rPr>
                <w:rFonts w:ascii="宋体" w:hAnsi="宋体" w:cs="宋体"/>
                <w:color w:val="000000"/>
              </w:rPr>
              <w:t xml:space="preserve">。(格式见《投标（响应）文件格式》)</w:t>
            </w:r>
            <w:r>
              <w:rPr>
                <w:rFonts w:ascii="宋体" w:hAnsi="宋体" w:cs="宋体"/>
                <w:b/>
                <w:color w:val="ff0000"/>
              </w:rPr>
              <w:t xml:space="preserve">（如是属于非专门面向中小企业预留份额的项目，无需提供）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其他落实政府采购政策的资格要求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如有的提供，否则无需提供。详见第一章《投标（竞谈、磋商、询价）邀请》相关要求。</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是否接受联合体投标（响应）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如是接受联合体投标（响应），且投标人（供应商）组成联合体投标（响应）的必须提供</w:t>
            </w:r>
            <w:r>
              <w:rPr>
                <w:rFonts w:ascii="宋体" w:hAnsi="宋体" w:cs="宋体"/>
                <w:b/>
                <w:color w:val="000000"/>
              </w:rPr>
              <w:t xml:space="preserve">《联合体协议》</w:t>
            </w:r>
            <w:r>
              <w:rPr>
                <w:rFonts w:ascii="宋体" w:hAnsi="宋体" w:cs="宋体"/>
                <w:color w:val="000000"/>
              </w:rPr>
              <w:t xml:space="preserve">原件的电子件，格式见《投标（响应）文件格式》)，否则无需提供。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本项目的特定资格要求</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spacing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法人授权书、投标（响应）函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按招标（采购）文件要求提供</w:t>
            </w:r>
            <w:r>
              <w:rPr>
                <w:rFonts w:ascii="宋体" w:hAnsi="宋体" w:cs="宋体"/>
                <w:b/>
                <w:color w:val="000000"/>
              </w:rPr>
              <w:t xml:space="preserve">《法人授权书》</w:t>
            </w:r>
            <w:r>
              <w:rPr>
                <w:rFonts w:ascii="宋体" w:hAnsi="宋体" w:cs="宋体"/>
                <w:color w:val="000000"/>
              </w:rPr>
              <w:t xml:space="preserve">、</w:t>
            </w:r>
            <w:r>
              <w:rPr>
                <w:rFonts w:ascii="宋体" w:hAnsi="宋体" w:cs="宋体"/>
                <w:b/>
                <w:color w:val="000000"/>
              </w:rPr>
              <w:t xml:space="preserve">《投标（响应）函》</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报价唯一性</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投标（响应）文件未出现可选择性或可调整的报价（招标（采购）文件另有规定的除外）；提供</w:t>
            </w:r>
            <w:r>
              <w:rPr>
                <w:rFonts w:ascii="宋体" w:hAnsi="宋体" w:cs="宋体"/>
                <w:b/>
                <w:color w:val="000000"/>
              </w:rPr>
              <w:t xml:space="preserve">《分项报价表》</w:t>
            </w:r>
            <w:r>
              <w:rPr>
                <w:rFonts w:ascii="宋体" w:hAnsi="宋体" w:cs="宋体"/>
                <w:color w:val="000000"/>
              </w:rPr>
              <w:t xml:space="preserve">。(格式见《投标（响应）文件格式》)</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报价合理性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报价的修正（如有）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签署、加盖公章</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由评委审查，无需供应商提供材料。按照招标（采购）文件要求签署、加盖公章的。</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进口产品（如有）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由评委审查，无需供应商提供材料。投标人（供应商）未将一个采购包中的内容拆开投标。</w:t>
            </w:r>
            <w:r/>
          </w:p>
        </w:tc>
      </w:tr>
      <w:tr>
        <w:trPr>
          <w:trHeight w:val="135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公平竞争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国家有关部门对投标产品有强制性规定或要求的</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附加条件</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由评委审查，无需供应商提供材料。投标（响应）文件未含有采购人不能接受的附加条件的。</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其他无效情形</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实质性条款响应2</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spacing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综合评审评分项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价格折扣文件格式</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小微企业声明函</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属于小微企业的提供符合招标（采购）文件要求的</w:t>
            </w:r>
            <w:r>
              <w:rPr>
                <w:rFonts w:ascii="宋体" w:hAnsi="宋体" w:cs="宋体"/>
                <w:b/>
                <w:color w:val="000000"/>
              </w:rPr>
              <w:t xml:space="preserve">《小微企业声明函》</w:t>
            </w:r>
            <w:r>
              <w:rPr>
                <w:rFonts w:ascii="宋体" w:hAnsi="宋体" w:cs="宋体"/>
                <w:color w:val="000000"/>
              </w:rPr>
              <w:t xml:space="preserve">或者</w:t>
            </w:r>
            <w:r>
              <w:rPr>
                <w:rFonts w:ascii="宋体" w:hAnsi="宋体" w:cs="宋体"/>
                <w:b/>
                <w:color w:val="000000"/>
              </w:rPr>
              <w:t xml:space="preserve">《残疾人福利性单位声明函》</w:t>
            </w:r>
            <w:r>
              <w:rPr>
                <w:rFonts w:ascii="宋体" w:hAnsi="宋体" w:cs="宋体"/>
                <w:color w:val="000000"/>
              </w:rPr>
              <w:t xml:space="preserve">或者</w:t>
            </w:r>
            <w:r>
              <w:rPr>
                <w:rFonts w:ascii="宋体" w:hAnsi="宋体" w:cs="宋体"/>
                <w:b/>
                <w:color w:val="000000"/>
              </w:rPr>
              <w:t xml:space="preserve">监狱企业证明文件</w:t>
            </w:r>
            <w:r>
              <w:rPr>
                <w:rFonts w:ascii="宋体" w:hAnsi="宋体" w:cs="宋体"/>
                <w:color w:val="000000"/>
              </w:rPr>
              <w:t xml:space="preserve">。(格式见《投标（响应）文件格式》)</w:t>
            </w:r>
            <w:r>
              <w:rPr>
                <w:rFonts w:ascii="宋体" w:hAnsi="宋体" w:cs="宋体"/>
                <w:b/>
                <w:color w:val="ff0000"/>
              </w:rPr>
              <w:t xml:space="preserve">（如是属于专门面向中小企业预留份额的项目，该项删除）</w:t>
            </w:r>
            <w:r/>
          </w:p>
        </w:tc>
      </w:tr>
    </w:tbl>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3.质疑供应商若对项目的某一分包进行质疑，质疑函中应列明具体分包号。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FangSong">
    <w:panose1 w:val="02010609060101010101"/>
  </w:font>
  <w:font w:name="Segoe UI">
    <w:panose1 w:val="020B0502040204020203"/>
  </w:font>
  <w:font w:name="仿宋">
    <w:panose1 w:val="0201060906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Fonts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21</w:t>
    </w:r>
    <w:r>
      <w:rPr>
        <w:rFonts w:ascii="宋体" w:hAnsi="宋体"/>
      </w:rPr>
      <w:fldChar w:fldCharType="end"/>
    </w:r>
    <w:r/>
  </w:p>
  <w:p>
    <w:pPr>
      <w:pStyle w:val="95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3">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737"/>
    <w:link w:val="728"/>
    <w:uiPriority w:val="9"/>
    <w:rPr>
      <w:rFonts w:ascii="Arial" w:hAnsi="Arial" w:eastAsia="Arial" w:cs="Arial"/>
      <w:sz w:val="40"/>
      <w:szCs w:val="40"/>
    </w:rPr>
  </w:style>
  <w:style w:type="character" w:styleId="691">
    <w:name w:val="Heading 2 Char"/>
    <w:basedOn w:val="737"/>
    <w:link w:val="729"/>
    <w:uiPriority w:val="9"/>
    <w:rPr>
      <w:rFonts w:ascii="Arial" w:hAnsi="Arial" w:eastAsia="Arial" w:cs="Arial"/>
      <w:sz w:val="34"/>
    </w:rPr>
  </w:style>
  <w:style w:type="character" w:styleId="692">
    <w:name w:val="Heading 3 Char"/>
    <w:basedOn w:val="737"/>
    <w:link w:val="730"/>
    <w:uiPriority w:val="9"/>
    <w:rPr>
      <w:rFonts w:ascii="Arial" w:hAnsi="Arial" w:eastAsia="Arial" w:cs="Arial"/>
      <w:sz w:val="30"/>
      <w:szCs w:val="30"/>
    </w:rPr>
  </w:style>
  <w:style w:type="character" w:styleId="693">
    <w:name w:val="Heading 4 Char"/>
    <w:basedOn w:val="737"/>
    <w:link w:val="731"/>
    <w:uiPriority w:val="9"/>
    <w:rPr>
      <w:rFonts w:ascii="Arial" w:hAnsi="Arial" w:eastAsia="Arial" w:cs="Arial"/>
      <w:b/>
      <w:bCs/>
      <w:sz w:val="26"/>
      <w:szCs w:val="26"/>
    </w:rPr>
  </w:style>
  <w:style w:type="character" w:styleId="694">
    <w:name w:val="Heading 5 Char"/>
    <w:basedOn w:val="737"/>
    <w:link w:val="732"/>
    <w:uiPriority w:val="9"/>
    <w:rPr>
      <w:rFonts w:ascii="Arial" w:hAnsi="Arial" w:eastAsia="Arial" w:cs="Arial"/>
      <w:b/>
      <w:bCs/>
      <w:sz w:val="24"/>
      <w:szCs w:val="24"/>
    </w:rPr>
  </w:style>
  <w:style w:type="character" w:styleId="695">
    <w:name w:val="Heading 6 Char"/>
    <w:basedOn w:val="737"/>
    <w:link w:val="733"/>
    <w:uiPriority w:val="9"/>
    <w:rPr>
      <w:rFonts w:ascii="Arial" w:hAnsi="Arial" w:eastAsia="Arial" w:cs="Arial"/>
      <w:b/>
      <w:bCs/>
      <w:sz w:val="22"/>
      <w:szCs w:val="22"/>
    </w:rPr>
  </w:style>
  <w:style w:type="character" w:styleId="696">
    <w:name w:val="Heading 7 Char"/>
    <w:basedOn w:val="737"/>
    <w:link w:val="734"/>
    <w:uiPriority w:val="9"/>
    <w:rPr>
      <w:rFonts w:ascii="Arial" w:hAnsi="Arial" w:eastAsia="Arial" w:cs="Arial"/>
      <w:b/>
      <w:bCs/>
      <w:i/>
      <w:iCs/>
      <w:sz w:val="22"/>
      <w:szCs w:val="22"/>
    </w:rPr>
  </w:style>
  <w:style w:type="character" w:styleId="697">
    <w:name w:val="Heading 8 Char"/>
    <w:basedOn w:val="737"/>
    <w:link w:val="735"/>
    <w:uiPriority w:val="9"/>
    <w:rPr>
      <w:rFonts w:ascii="Arial" w:hAnsi="Arial" w:eastAsia="Arial" w:cs="Arial"/>
      <w:i/>
      <w:iCs/>
      <w:sz w:val="22"/>
      <w:szCs w:val="22"/>
    </w:rPr>
  </w:style>
  <w:style w:type="character" w:styleId="698">
    <w:name w:val="Heading 9 Char"/>
    <w:basedOn w:val="737"/>
    <w:link w:val="736"/>
    <w:uiPriority w:val="9"/>
    <w:rPr>
      <w:rFonts w:ascii="Arial" w:hAnsi="Arial" w:eastAsia="Arial" w:cs="Arial"/>
      <w:i/>
      <w:iCs/>
      <w:sz w:val="21"/>
      <w:szCs w:val="21"/>
    </w:rPr>
  </w:style>
  <w:style w:type="character" w:styleId="699">
    <w:name w:val="Title Char"/>
    <w:basedOn w:val="737"/>
    <w:link w:val="758"/>
    <w:uiPriority w:val="10"/>
    <w:rPr>
      <w:sz w:val="48"/>
      <w:szCs w:val="48"/>
    </w:rPr>
  </w:style>
  <w:style w:type="character" w:styleId="700">
    <w:name w:val="Subtitle Char"/>
    <w:basedOn w:val="737"/>
    <w:link w:val="752"/>
    <w:uiPriority w:val="11"/>
    <w:rPr>
      <w:sz w:val="24"/>
      <w:szCs w:val="24"/>
    </w:rPr>
  </w:style>
  <w:style w:type="character" w:styleId="701">
    <w:name w:val="Quote Char"/>
    <w:link w:val="777"/>
    <w:uiPriority w:val="29"/>
    <w:rPr>
      <w:i/>
    </w:rPr>
  </w:style>
  <w:style w:type="character" w:styleId="702">
    <w:name w:val="Intense Quote Char"/>
    <w:link w:val="779"/>
    <w:uiPriority w:val="30"/>
    <w:rPr>
      <w:i/>
    </w:rPr>
  </w:style>
  <w:style w:type="character" w:styleId="703">
    <w:name w:val="Header Char"/>
    <w:basedOn w:val="737"/>
    <w:link w:val="749"/>
    <w:uiPriority w:val="99"/>
  </w:style>
  <w:style w:type="character" w:styleId="704">
    <w:name w:val="Caption Char"/>
    <w:basedOn w:val="742"/>
    <w:link w:val="748"/>
    <w:uiPriority w:val="99"/>
  </w:style>
  <w:style w:type="table" w:styleId="705">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4">
    <w:name w:val="Footnote Text Char"/>
    <w:link w:val="753"/>
    <w:uiPriority w:val="99"/>
    <w:rPr>
      <w:sz w:val="18"/>
    </w:rPr>
  </w:style>
  <w:style w:type="character" w:styleId="725">
    <w:name w:val="Endnote Text Char"/>
    <w:link w:val="746"/>
    <w:uiPriority w:val="99"/>
    <w:rPr>
      <w:sz w:val="20"/>
    </w:rPr>
  </w:style>
  <w:style w:type="paragraph" w:styleId="726">
    <w:name w:val="TOC Heading"/>
    <w:uiPriority w:val="39"/>
    <w:unhideWhenUsed/>
  </w:style>
  <w:style w:type="paragraph" w:styleId="72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28">
    <w:name w:val="Heading 1"/>
    <w:basedOn w:val="727"/>
    <w:next w:val="727"/>
    <w:link w:val="764"/>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5"/>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6"/>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8"/>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9"/>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1"/>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2"/>
    <w:uiPriority w:val="9"/>
    <w:unhideWhenUsed/>
    <w:qFormat/>
    <w:pPr>
      <w:keepLines/>
      <w:keepNext/>
      <w:spacing w:before="320" w:after="200"/>
      <w:outlineLvl w:val="8"/>
    </w:pPr>
    <w:rPr>
      <w:rFonts w:ascii="Arial" w:hAnsi="Arial" w:eastAsia="Arial" w:cs="Arial"/>
      <w:i/>
      <w:iCs/>
    </w:rPr>
  </w:style>
  <w:style w:type="character" w:styleId="737" w:default="1">
    <w:name w:val="Default Paragraph Font"/>
    <w:uiPriority w:val="1"/>
    <w:semiHidden/>
    <w:unhideWhenUsed/>
  </w:style>
  <w:style w:type="table" w:styleId="738" w:default="1">
    <w:name w:val="Normal Table"/>
    <w:uiPriority w:val="99"/>
    <w:semiHidden/>
    <w:unhideWhenUsed/>
    <w:qFormat/>
    <w:tblPr>
      <w:tblLayout w:type="fixed"/>
      <w:tblCellMar>
        <w:left w:w="108" w:type="dxa"/>
        <w:top w:w="0" w:type="dxa"/>
        <w:right w:w="108" w:type="dxa"/>
        <w:bottom w:w="0" w:type="dxa"/>
      </w:tblCellMar>
    </w:tblPr>
  </w:style>
  <w:style w:type="paragraph" w:styleId="739">
    <w:name w:val="annotation subject"/>
    <w:basedOn w:val="740"/>
    <w:next w:val="740"/>
    <w:link w:val="1027"/>
    <w:uiPriority w:val="99"/>
    <w:semiHidden/>
    <w:unhideWhenUsed/>
    <w:qFormat/>
    <w:rPr>
      <w:b/>
      <w:bCs/>
    </w:rPr>
  </w:style>
  <w:style w:type="paragraph" w:styleId="740">
    <w:name w:val="annotation text"/>
    <w:basedOn w:val="727"/>
    <w:link w:val="1026"/>
    <w:uiPriority w:val="99"/>
    <w:semiHidden/>
    <w:unhideWhenUsed/>
    <w:qFormat/>
    <w:pPr>
      <w:jc w:val="left"/>
    </w:pPr>
  </w:style>
  <w:style w:type="paragraph" w:styleId="741">
    <w:name w:val="toc 7"/>
    <w:basedOn w:val="727"/>
    <w:next w:val="727"/>
    <w:uiPriority w:val="39"/>
    <w:unhideWhenUsed/>
    <w:qFormat/>
    <w:pPr>
      <w:ind w:left="1701"/>
      <w:spacing w:after="57"/>
    </w:pPr>
  </w:style>
  <w:style w:type="paragraph" w:styleId="742">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toc 5"/>
    <w:basedOn w:val="727"/>
    <w:next w:val="727"/>
    <w:uiPriority w:val="39"/>
    <w:unhideWhenUsed/>
    <w:qFormat/>
    <w:pPr>
      <w:ind w:left="1134"/>
      <w:spacing w:after="57"/>
    </w:pPr>
  </w:style>
  <w:style w:type="paragraph" w:styleId="744">
    <w:name w:val="toc 3"/>
    <w:basedOn w:val="727"/>
    <w:next w:val="727"/>
    <w:uiPriority w:val="39"/>
    <w:unhideWhenUsed/>
    <w:qFormat/>
    <w:pPr>
      <w:ind w:left="567"/>
      <w:spacing w:after="57"/>
    </w:pPr>
  </w:style>
  <w:style w:type="paragraph" w:styleId="745">
    <w:name w:val="toc 8"/>
    <w:basedOn w:val="727"/>
    <w:next w:val="727"/>
    <w:uiPriority w:val="39"/>
    <w:unhideWhenUsed/>
    <w:qFormat/>
    <w:pPr>
      <w:ind w:left="1984"/>
      <w:spacing w:after="57"/>
    </w:pPr>
  </w:style>
  <w:style w:type="paragraph" w:styleId="746">
    <w:name w:val="endnote text"/>
    <w:basedOn w:val="727"/>
    <w:link w:val="910"/>
    <w:uiPriority w:val="99"/>
    <w:semiHidden/>
    <w:unhideWhenUsed/>
    <w:qFormat/>
    <w:rPr>
      <w:sz w:val="20"/>
    </w:rPr>
  </w:style>
  <w:style w:type="paragraph" w:styleId="747">
    <w:name w:val="Balloon Text"/>
    <w:basedOn w:val="727"/>
    <w:link w:val="1023"/>
    <w:uiPriority w:val="99"/>
    <w:semiHidden/>
    <w:unhideWhenUsed/>
    <w:qFormat/>
    <w:rPr>
      <w:sz w:val="18"/>
      <w:szCs w:val="18"/>
    </w:rPr>
  </w:style>
  <w:style w:type="paragraph" w:styleId="748">
    <w:name w:val="Footer"/>
    <w:basedOn w:val="727"/>
    <w:link w:val="783"/>
    <w:uiPriority w:val="99"/>
    <w:unhideWhenUsed/>
    <w:qFormat/>
    <w:pPr>
      <w:tabs>
        <w:tab w:val="center" w:pos="7143" w:leader="none"/>
        <w:tab w:val="right" w:pos="14287" w:leader="none"/>
      </w:tabs>
    </w:pPr>
  </w:style>
  <w:style w:type="paragraph" w:styleId="749">
    <w:name w:val="Header"/>
    <w:basedOn w:val="727"/>
    <w:link w:val="781"/>
    <w:uiPriority w:val="99"/>
    <w:unhideWhenUsed/>
    <w:qFormat/>
    <w:pPr>
      <w:tabs>
        <w:tab w:val="center" w:pos="7143" w:leader="none"/>
        <w:tab w:val="right" w:pos="14287" w:leader="none"/>
      </w:tabs>
    </w:pPr>
  </w:style>
  <w:style w:type="paragraph" w:styleId="750">
    <w:name w:val="toc 1"/>
    <w:basedOn w:val="727"/>
    <w:next w:val="727"/>
    <w:uiPriority w:val="39"/>
    <w:unhideWhenUsed/>
    <w:qFormat/>
    <w:pPr>
      <w:spacing w:after="57"/>
    </w:pPr>
  </w:style>
  <w:style w:type="paragraph" w:styleId="751">
    <w:name w:val="toc 4"/>
    <w:basedOn w:val="727"/>
    <w:next w:val="727"/>
    <w:uiPriority w:val="39"/>
    <w:unhideWhenUsed/>
    <w:qFormat/>
    <w:pPr>
      <w:ind w:left="850"/>
      <w:spacing w:after="57"/>
    </w:pPr>
  </w:style>
  <w:style w:type="paragraph" w:styleId="752">
    <w:name w:val="Subtitle"/>
    <w:basedOn w:val="727"/>
    <w:next w:val="727"/>
    <w:link w:val="776"/>
    <w:uiPriority w:val="11"/>
    <w:qFormat/>
    <w:pPr>
      <w:spacing w:before="200" w:after="200"/>
    </w:pPr>
    <w:rPr>
      <w:sz w:val="24"/>
      <w:szCs w:val="24"/>
    </w:rPr>
  </w:style>
  <w:style w:type="paragraph" w:styleId="753">
    <w:name w:val="footnote text"/>
    <w:basedOn w:val="727"/>
    <w:link w:val="909"/>
    <w:uiPriority w:val="99"/>
    <w:semiHidden/>
    <w:unhideWhenUsed/>
    <w:qFormat/>
    <w:pPr>
      <w:spacing w:after="40"/>
    </w:pPr>
    <w:rPr>
      <w:sz w:val="18"/>
    </w:rPr>
  </w:style>
  <w:style w:type="paragraph" w:styleId="754">
    <w:name w:val="toc 6"/>
    <w:basedOn w:val="727"/>
    <w:next w:val="727"/>
    <w:uiPriority w:val="39"/>
    <w:unhideWhenUsed/>
    <w:qFormat/>
    <w:pPr>
      <w:ind w:left="1417"/>
      <w:spacing w:after="57"/>
    </w:pPr>
  </w:style>
  <w:style w:type="paragraph" w:styleId="755">
    <w:name w:val="table of figures"/>
    <w:basedOn w:val="727"/>
    <w:next w:val="727"/>
    <w:uiPriority w:val="99"/>
    <w:unhideWhenUsed/>
    <w:qFormat/>
  </w:style>
  <w:style w:type="paragraph" w:styleId="756">
    <w:name w:val="toc 2"/>
    <w:basedOn w:val="727"/>
    <w:next w:val="727"/>
    <w:uiPriority w:val="39"/>
    <w:unhideWhenUsed/>
    <w:qFormat/>
    <w:pPr>
      <w:ind w:left="283"/>
      <w:spacing w:after="57"/>
    </w:pPr>
  </w:style>
  <w:style w:type="paragraph" w:styleId="757">
    <w:name w:val="toc 9"/>
    <w:basedOn w:val="727"/>
    <w:next w:val="727"/>
    <w:uiPriority w:val="39"/>
    <w:unhideWhenUsed/>
    <w:qFormat/>
    <w:pPr>
      <w:ind w:left="2268"/>
      <w:spacing w:after="57"/>
    </w:pPr>
  </w:style>
  <w:style w:type="paragraph" w:styleId="758">
    <w:name w:val="Title"/>
    <w:basedOn w:val="727"/>
    <w:next w:val="727"/>
    <w:link w:val="775"/>
    <w:uiPriority w:val="10"/>
    <w:qFormat/>
    <w:pPr>
      <w:contextualSpacing/>
      <w:spacing w:before="300" w:after="200"/>
    </w:pPr>
    <w:rPr>
      <w:sz w:val="48"/>
      <w:szCs w:val="48"/>
    </w:r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annotation reference"/>
    <w:basedOn w:val="737"/>
    <w:uiPriority w:val="99"/>
    <w:semiHidden/>
    <w:unhideWhenUsed/>
    <w:qFormat/>
    <w:rPr>
      <w:sz w:val="21"/>
      <w:szCs w:val="21"/>
    </w:rPr>
  </w:style>
  <w:style w:type="character" w:styleId="762">
    <w:name w:val="footnote reference"/>
    <w:uiPriority w:val="99"/>
    <w:unhideWhenUsed/>
    <w:qFormat/>
    <w:rPr>
      <w:vertAlign w:val="superscript"/>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64" w:customStyle="1">
    <w:name w:val="标题 1 字符"/>
    <w:link w:val="728"/>
    <w:uiPriority w:val="9"/>
    <w:qFormat/>
    <w:rPr>
      <w:rFonts w:ascii="Arial" w:hAnsi="Arial" w:eastAsia="Arial" w:cs="Arial"/>
      <w:sz w:val="40"/>
      <w:szCs w:val="40"/>
    </w:rPr>
  </w:style>
  <w:style w:type="character" w:styleId="765" w:customStyle="1">
    <w:name w:val="标题 2 字符"/>
    <w:link w:val="729"/>
    <w:uiPriority w:val="9"/>
    <w:qFormat/>
    <w:rPr>
      <w:rFonts w:ascii="Arial" w:hAnsi="Arial" w:eastAsia="Arial" w:cs="Arial"/>
      <w:sz w:val="34"/>
    </w:rPr>
  </w:style>
  <w:style w:type="character" w:styleId="766" w:customStyle="1">
    <w:name w:val="标题 3 字符"/>
    <w:link w:val="730"/>
    <w:uiPriority w:val="9"/>
    <w:qFormat/>
    <w:rPr>
      <w:rFonts w:ascii="Arial" w:hAnsi="Arial" w:eastAsia="Arial" w:cs="Arial"/>
      <w:sz w:val="30"/>
      <w:szCs w:val="30"/>
    </w:rPr>
  </w:style>
  <w:style w:type="character" w:styleId="767" w:customStyle="1">
    <w:name w:val="标题 4 字符"/>
    <w:link w:val="731"/>
    <w:uiPriority w:val="9"/>
    <w:qFormat/>
    <w:rPr>
      <w:rFonts w:ascii="Arial" w:hAnsi="Arial" w:eastAsia="Arial" w:cs="Arial"/>
      <w:b/>
      <w:bCs/>
      <w:sz w:val="26"/>
      <w:szCs w:val="26"/>
    </w:rPr>
  </w:style>
  <w:style w:type="character" w:styleId="768" w:customStyle="1">
    <w:name w:val="标题 5 字符"/>
    <w:link w:val="732"/>
    <w:uiPriority w:val="9"/>
    <w:qFormat/>
    <w:rPr>
      <w:rFonts w:ascii="Arial" w:hAnsi="Arial" w:eastAsia="Arial" w:cs="Arial"/>
      <w:b/>
      <w:bCs/>
      <w:sz w:val="24"/>
      <w:szCs w:val="24"/>
    </w:rPr>
  </w:style>
  <w:style w:type="character" w:styleId="769" w:customStyle="1">
    <w:name w:val="标题 6 字符"/>
    <w:link w:val="733"/>
    <w:uiPriority w:val="9"/>
    <w:qFormat/>
    <w:rPr>
      <w:rFonts w:ascii="Arial" w:hAnsi="Arial" w:eastAsia="Arial" w:cs="Arial"/>
      <w:b/>
      <w:bCs/>
      <w:sz w:val="22"/>
      <w:szCs w:val="22"/>
    </w:rPr>
  </w:style>
  <w:style w:type="character" w:styleId="770" w:customStyle="1">
    <w:name w:val="标题 7 字符"/>
    <w:link w:val="734"/>
    <w:uiPriority w:val="9"/>
    <w:qFormat/>
    <w:rPr>
      <w:rFonts w:ascii="Arial" w:hAnsi="Arial" w:eastAsia="Arial" w:cs="Arial"/>
      <w:b/>
      <w:bCs/>
      <w:i/>
      <w:iCs/>
      <w:sz w:val="22"/>
      <w:szCs w:val="22"/>
    </w:rPr>
  </w:style>
  <w:style w:type="character" w:styleId="771" w:customStyle="1">
    <w:name w:val="标题 8 字符"/>
    <w:link w:val="735"/>
    <w:uiPriority w:val="9"/>
    <w:qFormat/>
    <w:rPr>
      <w:rFonts w:ascii="Arial" w:hAnsi="Arial" w:eastAsia="Arial" w:cs="Arial"/>
      <w:i/>
      <w:iCs/>
      <w:sz w:val="22"/>
      <w:szCs w:val="22"/>
    </w:rPr>
  </w:style>
  <w:style w:type="character" w:styleId="772" w:customStyle="1">
    <w:name w:val="标题 9 字符"/>
    <w:link w:val="736"/>
    <w:uiPriority w:val="9"/>
    <w:qFormat/>
    <w:rPr>
      <w:rFonts w:ascii="Arial" w:hAnsi="Arial" w:eastAsia="Arial" w:cs="Arial"/>
      <w:i/>
      <w:iCs/>
      <w:sz w:val="21"/>
      <w:szCs w:val="21"/>
    </w:rPr>
  </w:style>
  <w:style w:type="paragraph" w:styleId="773">
    <w:name w:val="List Paragraph"/>
    <w:basedOn w:val="727"/>
    <w:uiPriority w:val="34"/>
    <w:qFormat/>
    <w:pPr>
      <w:contextualSpacing/>
      <w:ind w:left="720"/>
    </w:pPr>
  </w:style>
  <w:style w:type="paragraph" w:styleId="774">
    <w:name w:val="No Spacing"/>
    <w:uiPriority w:val="1"/>
    <w:qFormat/>
    <w:rPr>
      <w:rFonts w:ascii="Calibri" w:hAnsi="Calibri" w:eastAsia="宋体" w:cs="Times New Roman"/>
      <w:lang w:val="en-US" w:eastAsia="zh-CN" w:bidi="ar-SA"/>
    </w:rPr>
  </w:style>
  <w:style w:type="character" w:styleId="775" w:customStyle="1">
    <w:name w:val="标题 字符"/>
    <w:link w:val="758"/>
    <w:uiPriority w:val="10"/>
    <w:qFormat/>
    <w:rPr>
      <w:sz w:val="48"/>
      <w:szCs w:val="48"/>
    </w:rPr>
  </w:style>
  <w:style w:type="character" w:styleId="776" w:customStyle="1">
    <w:name w:val="副标题 字符"/>
    <w:link w:val="752"/>
    <w:uiPriority w:val="11"/>
    <w:qFormat/>
    <w:rPr>
      <w:sz w:val="24"/>
      <w:szCs w:val="24"/>
    </w:rPr>
  </w:style>
  <w:style w:type="paragraph" w:styleId="777">
    <w:name w:val="Quote"/>
    <w:basedOn w:val="727"/>
    <w:next w:val="727"/>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727"/>
    <w:next w:val="727"/>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页眉 字符"/>
    <w:link w:val="749"/>
    <w:uiPriority w:val="99"/>
    <w:qFormat/>
  </w:style>
  <w:style w:type="character" w:styleId="782" w:customStyle="1">
    <w:name w:val="Footer Char"/>
    <w:uiPriority w:val="99"/>
    <w:qFormat/>
  </w:style>
  <w:style w:type="character" w:styleId="783" w:customStyle="1">
    <w:name w:val="页脚 字符"/>
    <w:link w:val="748"/>
    <w:uiPriority w:val="99"/>
    <w:qFormat/>
  </w:style>
  <w:style w:type="table" w:styleId="7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9"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uiPriority w:val="99"/>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清单表 5 深色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uiPriority w:val="99"/>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清单表 7 彩色1"/>
    <w:uiPriority w:val="99"/>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53"/>
    <w:uiPriority w:val="99"/>
    <w:rPr>
      <w:sz w:val="18"/>
    </w:rPr>
  </w:style>
  <w:style w:type="character" w:styleId="910" w:customStyle="1">
    <w:name w:val="尾注文本 字符"/>
    <w:link w:val="746"/>
    <w:uiPriority w:val="99"/>
    <w:rPr>
      <w:sz w:val="20"/>
    </w:rPr>
  </w:style>
  <w:style w:type="paragraph" w:styleId="911" w:customStyle="1">
    <w:name w:val="TOC 标题1"/>
    <w:uiPriority w:val="39"/>
    <w:unhideWhenUsed/>
    <w:rPr>
      <w:rFonts w:ascii="Calibri" w:hAnsi="Calibri" w:eastAsia="宋体" w:cs="Times New Roman"/>
      <w:lang w:val="en-US" w:eastAsia="zh-CN" w:bidi="ar-SA"/>
    </w:rPr>
  </w:style>
  <w:style w:type="paragraph" w:styleId="912" w:customStyle="1">
    <w:name w:val="标题 11"/>
    <w:basedOn w:val="727"/>
    <w:next w:val="727"/>
    <w:link w:val="924"/>
    <w:uiPriority w:val="0"/>
    <w:qFormat/>
    <w:pPr>
      <w:jc w:val="center"/>
      <w:keepNext/>
      <w:outlineLvl w:val="0"/>
    </w:pPr>
    <w:rPr>
      <w:rFonts w:ascii="楷体_GB2312" w:eastAsia="楷体_GB2312"/>
      <w:sz w:val="28"/>
      <w:szCs w:val="28"/>
    </w:rPr>
  </w:style>
  <w:style w:type="paragraph" w:styleId="913" w:customStyle="1">
    <w:name w:val="标题 21"/>
    <w:basedOn w:val="727"/>
    <w:next w:val="914"/>
    <w:link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4" w:customStyle="1">
    <w:name w:val="正文缩进1"/>
    <w:basedOn w:val="727"/>
    <w:link w:val="933"/>
    <w:uiPriority w:val="99"/>
    <w:pPr>
      <w:ind w:firstLine="420"/>
    </w:pPr>
  </w:style>
  <w:style w:type="paragraph" w:styleId="915" w:customStyle="1">
    <w:name w:val="标题 31"/>
    <w:basedOn w:val="727"/>
    <w:next w:val="914"/>
    <w:link w:val="926"/>
    <w:uiPriority w:val="0"/>
    <w:qFormat/>
    <w:pPr>
      <w:keepLines/>
      <w:keepNext/>
      <w:spacing w:before="260" w:after="260" w:line="416" w:lineRule="auto"/>
      <w:outlineLvl w:val="2"/>
    </w:pPr>
    <w:rPr>
      <w:b/>
      <w:bCs/>
      <w:sz w:val="32"/>
      <w:szCs w:val="32"/>
    </w:rPr>
  </w:style>
  <w:style w:type="paragraph" w:styleId="916" w:customStyle="1">
    <w:name w:val="标题 41"/>
    <w:basedOn w:val="727"/>
    <w:next w:val="914"/>
    <w:link w:val="927"/>
    <w:uiPriority w:val="0"/>
    <w:qFormat/>
    <w:pPr>
      <w:keepLines/>
      <w:keepNext/>
      <w:spacing w:before="280" w:after="290" w:line="376" w:lineRule="auto"/>
      <w:outlineLvl w:val="3"/>
    </w:pPr>
    <w:rPr>
      <w:rFonts w:ascii="Arial" w:hAnsi="Arial" w:eastAsia="黑体" w:cs="Arial"/>
      <w:b/>
      <w:bCs/>
      <w:sz w:val="28"/>
      <w:szCs w:val="28"/>
    </w:rPr>
  </w:style>
  <w:style w:type="paragraph" w:styleId="917" w:customStyle="1">
    <w:name w:val="标题 51"/>
    <w:basedOn w:val="727"/>
    <w:next w:val="914"/>
    <w:link w:val="928"/>
    <w:uiPriority w:val="0"/>
    <w:qFormat/>
    <w:pPr>
      <w:keepNext/>
      <w:outlineLvl w:val="4"/>
    </w:pPr>
    <w:rPr>
      <w:rFonts w:ascii="宋体"/>
      <w:color w:val="000000"/>
      <w:sz w:val="28"/>
      <w:szCs w:val="28"/>
    </w:rPr>
  </w:style>
  <w:style w:type="paragraph" w:styleId="918" w:customStyle="1">
    <w:name w:val="标题 61"/>
    <w:basedOn w:val="727"/>
    <w:next w:val="727"/>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9" w:customStyle="1">
    <w:name w:val="标题 71"/>
    <w:basedOn w:val="727"/>
    <w:next w:val="727"/>
    <w:link w:val="930"/>
    <w:uiPriority w:val="0"/>
    <w:qFormat/>
    <w:pPr>
      <w:numPr>
        <w:ilvl w:val="6"/>
        <w:numId w:val="1"/>
      </w:numPr>
      <w:keepLines/>
      <w:keepNext/>
      <w:spacing w:before="240" w:after="64" w:line="320" w:lineRule="auto"/>
      <w:outlineLvl w:val="6"/>
    </w:pPr>
    <w:rPr>
      <w:b/>
      <w:bCs/>
      <w:sz w:val="24"/>
      <w:szCs w:val="24"/>
    </w:rPr>
  </w:style>
  <w:style w:type="paragraph" w:styleId="920" w:customStyle="1">
    <w:name w:val="标题 81"/>
    <w:basedOn w:val="727"/>
    <w:next w:val="727"/>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1" w:customStyle="1">
    <w:name w:val="标题 91"/>
    <w:basedOn w:val="727"/>
    <w:next w:val="727"/>
    <w:link w:val="932"/>
    <w:uiPriority w:val="0"/>
    <w:qFormat/>
    <w:pPr>
      <w:numPr>
        <w:ilvl w:val="8"/>
        <w:numId w:val="1"/>
      </w:numPr>
      <w:keepLines/>
      <w:keepNext/>
      <w:spacing w:before="240" w:after="64" w:line="320" w:lineRule="auto"/>
      <w:outlineLvl w:val="8"/>
    </w:pPr>
    <w:rPr>
      <w:rFonts w:ascii="Arial" w:hAnsi="Arial" w:eastAsia="黑体"/>
    </w:rPr>
  </w:style>
  <w:style w:type="character" w:styleId="922" w:customStyle="1">
    <w:name w:val="默认段落字体1"/>
    <w:uiPriority w:val="1"/>
    <w:semiHidden/>
    <w:unhideWhenUsed/>
  </w:style>
  <w:style w:type="table" w:styleId="923" w:customStyle="1">
    <w:name w:val="普通表格1"/>
    <w:uiPriority w:val="99"/>
    <w:semiHidden/>
    <w:unhideWhenUsed/>
    <w:tblPr>
      <w:tblLayout w:type="fixed"/>
      <w:tblCellMar>
        <w:left w:w="0" w:type="dxa"/>
        <w:top w:w="0" w:type="dxa"/>
        <w:right w:w="0" w:type="dxa"/>
        <w:bottom w:w="0" w:type="dxa"/>
      </w:tblCellMar>
    </w:tblPr>
  </w:style>
  <w:style w:type="character" w:styleId="924" w:customStyle="1">
    <w:name w:val="标题 1 Char"/>
    <w:link w:val="912"/>
    <w:uiPriority w:val="0"/>
    <w:rPr>
      <w:rFonts w:ascii="楷体_GB2312" w:hAnsi="Times New Roman" w:eastAsia="楷体_GB2312" w:cs="Times New Roman"/>
      <w:sz w:val="28"/>
      <w:szCs w:val="28"/>
    </w:rPr>
  </w:style>
  <w:style w:type="character" w:styleId="925" w:customStyle="1">
    <w:name w:val="标题 2 Char"/>
    <w:link w:val="913"/>
    <w:uiPriority w:val="0"/>
    <w:rPr>
      <w:rFonts w:ascii="Arial" w:hAnsi="Arial" w:eastAsia="幼圆" w:cs="Arial"/>
      <w:b/>
      <w:bCs/>
      <w:sz w:val="44"/>
      <w:szCs w:val="44"/>
    </w:rPr>
  </w:style>
  <w:style w:type="character" w:styleId="926" w:customStyle="1">
    <w:name w:val="标题 3 Char"/>
    <w:link w:val="915"/>
    <w:uiPriority w:val="0"/>
    <w:rPr>
      <w:rFonts w:ascii="Times New Roman" w:hAnsi="Times New Roman" w:eastAsia="宋体" w:cs="Times New Roman"/>
      <w:b/>
      <w:bCs/>
      <w:sz w:val="32"/>
      <w:szCs w:val="32"/>
    </w:rPr>
  </w:style>
  <w:style w:type="character" w:styleId="927" w:customStyle="1">
    <w:name w:val="标题 4 Char"/>
    <w:link w:val="916"/>
    <w:uiPriority w:val="0"/>
    <w:rPr>
      <w:rFonts w:ascii="Arial" w:hAnsi="Arial" w:eastAsia="黑体" w:cs="Arial"/>
      <w:b/>
      <w:bCs/>
      <w:sz w:val="28"/>
      <w:szCs w:val="28"/>
    </w:rPr>
  </w:style>
  <w:style w:type="character" w:styleId="928" w:customStyle="1">
    <w:name w:val="标题 5 Char"/>
    <w:link w:val="917"/>
    <w:uiPriority w:val="0"/>
    <w:rPr>
      <w:rFonts w:ascii="宋体" w:hAnsi="Times New Roman" w:eastAsia="宋体" w:cs="Times New Roman"/>
      <w:color w:val="000000"/>
      <w:sz w:val="28"/>
      <w:szCs w:val="28"/>
    </w:rPr>
  </w:style>
  <w:style w:type="character" w:styleId="929" w:customStyle="1">
    <w:name w:val="标题 6 Char"/>
    <w:link w:val="918"/>
    <w:uiPriority w:val="0"/>
    <w:rPr>
      <w:rFonts w:ascii="Arial" w:hAnsi="Arial" w:eastAsia="黑体" w:cs="Times New Roman"/>
      <w:b/>
      <w:bCs/>
      <w:sz w:val="24"/>
      <w:szCs w:val="24"/>
    </w:rPr>
  </w:style>
  <w:style w:type="character" w:styleId="930" w:customStyle="1">
    <w:name w:val="标题 7 Char"/>
    <w:link w:val="919"/>
    <w:uiPriority w:val="0"/>
    <w:rPr>
      <w:rFonts w:ascii="Times New Roman" w:hAnsi="Times New Roman" w:eastAsia="宋体" w:cs="Times New Roman"/>
      <w:b/>
      <w:bCs/>
      <w:sz w:val="24"/>
      <w:szCs w:val="24"/>
    </w:rPr>
  </w:style>
  <w:style w:type="character" w:styleId="931" w:customStyle="1">
    <w:name w:val="标题 8 Char"/>
    <w:link w:val="920"/>
    <w:uiPriority w:val="0"/>
    <w:rPr>
      <w:rFonts w:ascii="Arial" w:hAnsi="Arial" w:eastAsia="黑体" w:cs="Times New Roman"/>
      <w:sz w:val="24"/>
      <w:szCs w:val="24"/>
    </w:rPr>
  </w:style>
  <w:style w:type="character" w:styleId="932" w:customStyle="1">
    <w:name w:val="标题 9 Char"/>
    <w:link w:val="921"/>
    <w:uiPriority w:val="0"/>
    <w:rPr>
      <w:rFonts w:ascii="Arial" w:hAnsi="Arial" w:eastAsia="黑体" w:cs="Times New Roman"/>
      <w:szCs w:val="21"/>
    </w:rPr>
  </w:style>
  <w:style w:type="character" w:styleId="933" w:customStyle="1">
    <w:name w:val="正文缩进 Char"/>
    <w:link w:val="914"/>
    <w:uiPriority w:val="0"/>
    <w:qFormat/>
    <w:rPr>
      <w:rFonts w:ascii="Times New Roman" w:hAnsi="Times New Roman" w:eastAsia="宋体" w:cs="Times New Roman"/>
      <w:szCs w:val="21"/>
    </w:rPr>
  </w:style>
  <w:style w:type="paragraph" w:styleId="934" w:customStyle="1">
    <w:name w:val="列表 31"/>
    <w:basedOn w:val="727"/>
    <w:uiPriority w:val="0"/>
    <w:pPr>
      <w:ind w:left="100" w:hanging="200"/>
    </w:pPr>
  </w:style>
  <w:style w:type="paragraph" w:styleId="935" w:customStyle="1">
    <w:name w:val="目录 71"/>
    <w:basedOn w:val="727"/>
    <w:next w:val="727"/>
    <w:uiPriority w:val="0"/>
    <w:semiHidden/>
    <w:pPr>
      <w:ind w:left="1260"/>
      <w:jc w:val="left"/>
    </w:pPr>
  </w:style>
  <w:style w:type="paragraph" w:styleId="936" w:customStyle="1">
    <w:name w:val="文档结构图1"/>
    <w:basedOn w:val="727"/>
    <w:link w:val="937"/>
    <w:uiPriority w:val="0"/>
    <w:semiHidden/>
    <w:pPr>
      <w:shd w:val="clear" w:color="auto" w:fill="000080"/>
    </w:pPr>
  </w:style>
  <w:style w:type="character" w:styleId="937" w:customStyle="1">
    <w:name w:val="文档结构图 Char"/>
    <w:link w:val="936"/>
    <w:uiPriority w:val="0"/>
    <w:semiHidden/>
    <w:rPr>
      <w:rFonts w:ascii="Times New Roman" w:hAnsi="Times New Roman" w:eastAsia="宋体" w:cs="Times New Roman"/>
      <w:szCs w:val="21"/>
      <w:shd w:val="clear" w:color="auto" w:fill="000080"/>
    </w:rPr>
  </w:style>
  <w:style w:type="paragraph" w:styleId="938" w:customStyle="1">
    <w:name w:val="批注文字1"/>
    <w:basedOn w:val="727"/>
    <w:link w:val="939"/>
    <w:uiPriority w:val="0"/>
    <w:semiHidden/>
    <w:pPr>
      <w:jc w:val="left"/>
    </w:pPr>
  </w:style>
  <w:style w:type="character" w:styleId="939" w:customStyle="1">
    <w:name w:val="批注文字 Char"/>
    <w:link w:val="938"/>
    <w:uiPriority w:val="0"/>
    <w:semiHidden/>
    <w:rPr>
      <w:rFonts w:ascii="Times New Roman" w:hAnsi="Times New Roman" w:eastAsia="宋体" w:cs="Times New Roman"/>
      <w:szCs w:val="21"/>
    </w:rPr>
  </w:style>
  <w:style w:type="paragraph" w:styleId="940" w:customStyle="1">
    <w:name w:val="正文文本 31"/>
    <w:basedOn w:val="727"/>
    <w:link w:val="941"/>
    <w:uiPriority w:val="0"/>
    <w:rPr>
      <w:rFonts w:ascii="仿宋_GB2312" w:hAnsi="Arial" w:eastAsia="仿宋_GB2312"/>
      <w:sz w:val="32"/>
      <w:szCs w:val="32"/>
    </w:rPr>
  </w:style>
  <w:style w:type="character" w:styleId="941" w:customStyle="1">
    <w:name w:val="正文文本 3 Char"/>
    <w:link w:val="940"/>
    <w:uiPriority w:val="0"/>
    <w:rPr>
      <w:rFonts w:ascii="仿宋_GB2312" w:hAnsi="Arial" w:eastAsia="仿宋_GB2312" w:cs="Times New Roman"/>
      <w:sz w:val="32"/>
      <w:szCs w:val="32"/>
    </w:rPr>
  </w:style>
  <w:style w:type="paragraph" w:styleId="942" w:customStyle="1">
    <w:name w:val="正文文本1"/>
    <w:basedOn w:val="727"/>
    <w:link w:val="943"/>
    <w:uiPriority w:val="0"/>
    <w:rPr>
      <w:rFonts w:ascii="楷体_GB2312" w:hAnsi="Arial" w:eastAsia="楷体_GB2312"/>
      <w:sz w:val="28"/>
      <w:szCs w:val="28"/>
    </w:rPr>
  </w:style>
  <w:style w:type="character" w:styleId="943" w:customStyle="1">
    <w:name w:val="正文文本 Char"/>
    <w:link w:val="942"/>
    <w:uiPriority w:val="0"/>
    <w:rPr>
      <w:rFonts w:ascii="楷体_GB2312" w:hAnsi="Arial" w:eastAsia="楷体_GB2312" w:cs="Times New Roman"/>
      <w:sz w:val="28"/>
      <w:szCs w:val="28"/>
    </w:rPr>
  </w:style>
  <w:style w:type="paragraph" w:styleId="944" w:customStyle="1">
    <w:name w:val="正文文本缩进1"/>
    <w:basedOn w:val="727"/>
    <w:link w:val="945"/>
    <w:uiPriority w:val="0"/>
    <w:pPr>
      <w:ind w:firstLine="645"/>
    </w:pPr>
    <w:rPr>
      <w:rFonts w:ascii="楷体_GB2312" w:eastAsia="楷体_GB2312"/>
      <w:sz w:val="32"/>
      <w:szCs w:val="32"/>
    </w:rPr>
  </w:style>
  <w:style w:type="character" w:styleId="945" w:customStyle="1">
    <w:name w:val="正文文本缩进 Char"/>
    <w:link w:val="944"/>
    <w:uiPriority w:val="0"/>
    <w:rPr>
      <w:rFonts w:ascii="楷体_GB2312" w:hAnsi="Times New Roman" w:eastAsia="楷体_GB2312" w:cs="Times New Roman"/>
      <w:sz w:val="32"/>
      <w:szCs w:val="32"/>
    </w:rPr>
  </w:style>
  <w:style w:type="paragraph" w:styleId="946" w:customStyle="1">
    <w:name w:val="列表 21"/>
    <w:basedOn w:val="727"/>
    <w:uiPriority w:val="0"/>
    <w:pPr>
      <w:ind w:left="100" w:hanging="200"/>
    </w:pPr>
  </w:style>
  <w:style w:type="paragraph" w:styleId="947" w:customStyle="1">
    <w:name w:val="目录 51"/>
    <w:basedOn w:val="727"/>
    <w:next w:val="727"/>
    <w:uiPriority w:val="0"/>
    <w:semiHidden/>
    <w:pPr>
      <w:ind w:left="840"/>
      <w:jc w:val="left"/>
    </w:pPr>
  </w:style>
  <w:style w:type="paragraph" w:styleId="948" w:customStyle="1">
    <w:name w:val="目录 31"/>
    <w:basedOn w:val="727"/>
    <w:next w:val="727"/>
    <w:uiPriority w:val="0"/>
    <w:semiHidden/>
    <w:pPr>
      <w:ind w:left="420"/>
      <w:jc w:val="left"/>
    </w:pPr>
    <w:rPr>
      <w:i/>
      <w:iCs/>
      <w:szCs w:val="24"/>
    </w:rPr>
  </w:style>
  <w:style w:type="paragraph" w:styleId="949" w:customStyle="1">
    <w:name w:val="纯文本1"/>
    <w:basedOn w:val="727"/>
    <w:link w:val="950"/>
    <w:uiPriority w:val="0"/>
    <w:rPr>
      <w:rFonts w:ascii="宋体" w:hAnsi="Courier New" w:cs="Courier New"/>
    </w:rPr>
  </w:style>
  <w:style w:type="character" w:styleId="950" w:customStyle="1">
    <w:name w:val="纯文本 Char"/>
    <w:link w:val="949"/>
    <w:uiPriority w:val="0"/>
    <w:rPr>
      <w:rFonts w:ascii="宋体" w:hAnsi="Courier New" w:eastAsia="宋体" w:cs="Courier New"/>
      <w:szCs w:val="21"/>
    </w:rPr>
  </w:style>
  <w:style w:type="paragraph" w:styleId="951" w:customStyle="1">
    <w:name w:val="目录 81"/>
    <w:basedOn w:val="727"/>
    <w:next w:val="727"/>
    <w:uiPriority w:val="0"/>
    <w:semiHidden/>
    <w:pPr>
      <w:ind w:left="1470"/>
      <w:jc w:val="left"/>
    </w:pPr>
  </w:style>
  <w:style w:type="paragraph" w:styleId="952" w:customStyle="1">
    <w:name w:val="日期1"/>
    <w:basedOn w:val="727"/>
    <w:next w:val="727"/>
    <w:link w:val="953"/>
    <w:uiPriority w:val="0"/>
    <w:rPr>
      <w:sz w:val="24"/>
      <w:szCs w:val="24"/>
    </w:rPr>
  </w:style>
  <w:style w:type="character" w:styleId="953" w:customStyle="1">
    <w:name w:val="日期 Char"/>
    <w:link w:val="952"/>
    <w:uiPriority w:val="0"/>
    <w:rPr>
      <w:rFonts w:ascii="Times New Roman" w:hAnsi="Times New Roman" w:eastAsia="宋体" w:cs="Times New Roman"/>
      <w:sz w:val="24"/>
      <w:szCs w:val="24"/>
    </w:rPr>
  </w:style>
  <w:style w:type="paragraph" w:styleId="954" w:customStyle="1">
    <w:name w:val="正文文本缩进 21"/>
    <w:basedOn w:val="727"/>
    <w:link w:val="955"/>
    <w:uiPriority w:val="0"/>
    <w:pPr>
      <w:ind w:left="630" w:firstLine="645"/>
    </w:pPr>
    <w:rPr>
      <w:rFonts w:ascii="Arial" w:hAnsi="Arial" w:eastAsia="仿宋_GB2312" w:cs="Arial"/>
      <w:sz w:val="32"/>
      <w:szCs w:val="32"/>
    </w:rPr>
  </w:style>
  <w:style w:type="character" w:styleId="955" w:customStyle="1">
    <w:name w:val="正文文本缩进 2 Char"/>
    <w:link w:val="954"/>
    <w:uiPriority w:val="0"/>
    <w:rPr>
      <w:rFonts w:ascii="Arial" w:hAnsi="Arial" w:eastAsia="仿宋_GB2312" w:cs="Arial"/>
      <w:sz w:val="32"/>
      <w:szCs w:val="32"/>
    </w:rPr>
  </w:style>
  <w:style w:type="paragraph" w:styleId="956" w:customStyle="1">
    <w:name w:val="批注框文本1"/>
    <w:basedOn w:val="727"/>
    <w:link w:val="957"/>
    <w:uiPriority w:val="0"/>
    <w:semiHidden/>
    <w:rPr>
      <w:sz w:val="18"/>
      <w:szCs w:val="18"/>
    </w:rPr>
  </w:style>
  <w:style w:type="character" w:styleId="957" w:customStyle="1">
    <w:name w:val="批注框文本 Char"/>
    <w:link w:val="956"/>
    <w:uiPriority w:val="0"/>
    <w:semiHidden/>
    <w:rPr>
      <w:rFonts w:ascii="Times New Roman" w:hAnsi="Times New Roman" w:eastAsia="宋体" w:cs="Times New Roman"/>
      <w:sz w:val="18"/>
      <w:szCs w:val="18"/>
    </w:rPr>
  </w:style>
  <w:style w:type="paragraph" w:styleId="958" w:customStyle="1">
    <w:name w:val="页脚1"/>
    <w:basedOn w:val="727"/>
    <w:link w:val="959"/>
    <w:uiPriority w:val="0"/>
    <w:pPr>
      <w:jc w:val="left"/>
      <w:tabs>
        <w:tab w:val="center" w:pos="4153" w:leader="none"/>
        <w:tab w:val="right" w:pos="8306" w:leader="none"/>
      </w:tabs>
    </w:pPr>
    <w:rPr>
      <w:sz w:val="18"/>
      <w:szCs w:val="18"/>
    </w:rPr>
  </w:style>
  <w:style w:type="character" w:styleId="959" w:customStyle="1">
    <w:name w:val="页脚 Char"/>
    <w:link w:val="958"/>
    <w:uiPriority w:val="0"/>
    <w:rPr>
      <w:rFonts w:ascii="Times New Roman" w:hAnsi="Times New Roman" w:eastAsia="宋体" w:cs="Times New Roman"/>
      <w:sz w:val="18"/>
      <w:szCs w:val="18"/>
    </w:rPr>
  </w:style>
  <w:style w:type="paragraph" w:styleId="960" w:customStyle="1">
    <w:name w:val="页眉1"/>
    <w:basedOn w:val="727"/>
    <w:link w:val="961"/>
    <w:uiPriority w:val="0"/>
    <w:pPr>
      <w:jc w:val="center"/>
      <w:tabs>
        <w:tab w:val="center" w:pos="4153" w:leader="none"/>
        <w:tab w:val="right" w:pos="8306" w:leader="none"/>
      </w:tabs>
      <w:pBdr>
        <w:bottom w:val="single" w:color="000000" w:sz="6" w:space="1"/>
      </w:pBdr>
    </w:pPr>
    <w:rPr>
      <w:sz w:val="18"/>
      <w:szCs w:val="18"/>
    </w:rPr>
  </w:style>
  <w:style w:type="character" w:styleId="961" w:customStyle="1">
    <w:name w:val="页眉 Char"/>
    <w:link w:val="960"/>
    <w:uiPriority w:val="0"/>
    <w:rPr>
      <w:rFonts w:ascii="Times New Roman" w:hAnsi="Times New Roman" w:eastAsia="宋体" w:cs="Times New Roman"/>
      <w:sz w:val="18"/>
      <w:szCs w:val="18"/>
    </w:rPr>
  </w:style>
  <w:style w:type="paragraph" w:styleId="962" w:customStyle="1">
    <w:name w:val="目录 11"/>
    <w:basedOn w:val="727"/>
    <w:next w:val="727"/>
    <w:uiPriority w:val="0"/>
    <w:semiHidden/>
    <w:pPr>
      <w:jc w:val="left"/>
      <w:spacing w:before="120" w:after="120" w:line="400" w:lineRule="exact"/>
      <w:tabs>
        <w:tab w:val="right" w:pos="8720" w:leader="dot"/>
      </w:tabs>
    </w:pPr>
    <w:rPr>
      <w:rFonts w:ascii="宋体" w:hAnsi="宋体"/>
      <w:caps/>
      <w:sz w:val="24"/>
      <w:szCs w:val="24"/>
    </w:rPr>
  </w:style>
  <w:style w:type="paragraph" w:styleId="963" w:customStyle="1">
    <w:name w:val="目录 41"/>
    <w:basedOn w:val="727"/>
    <w:next w:val="727"/>
    <w:uiPriority w:val="0"/>
    <w:semiHidden/>
    <w:pPr>
      <w:ind w:left="630"/>
      <w:jc w:val="left"/>
    </w:pPr>
  </w:style>
  <w:style w:type="paragraph" w:styleId="964" w:customStyle="1">
    <w:name w:val="列表1"/>
    <w:basedOn w:val="727"/>
    <w:uiPriority w:val="0"/>
    <w:pPr>
      <w:ind w:left="200" w:hanging="200"/>
    </w:pPr>
  </w:style>
  <w:style w:type="paragraph" w:styleId="965" w:customStyle="1">
    <w:name w:val="目录 61"/>
    <w:basedOn w:val="727"/>
    <w:next w:val="727"/>
    <w:uiPriority w:val="0"/>
    <w:semiHidden/>
    <w:pPr>
      <w:ind w:left="1050"/>
      <w:jc w:val="left"/>
    </w:pPr>
  </w:style>
  <w:style w:type="paragraph" w:styleId="966" w:customStyle="1">
    <w:name w:val="正文文本缩进 31"/>
    <w:basedOn w:val="727"/>
    <w:link w:val="967"/>
    <w:uiPriority w:val="0"/>
    <w:pPr>
      <w:ind w:left="645" w:firstLine="645"/>
    </w:pPr>
    <w:rPr>
      <w:rFonts w:ascii="Arial" w:hAnsi="Arial" w:eastAsia="仿宋_GB2312" w:cs="Arial"/>
      <w:color w:val="ffff00"/>
      <w:sz w:val="32"/>
      <w:szCs w:val="32"/>
    </w:rPr>
  </w:style>
  <w:style w:type="character" w:styleId="967" w:customStyle="1">
    <w:name w:val="正文文本缩进 3 Char"/>
    <w:link w:val="966"/>
    <w:uiPriority w:val="0"/>
    <w:rPr>
      <w:rFonts w:ascii="Arial" w:hAnsi="Arial" w:eastAsia="仿宋_GB2312" w:cs="Arial"/>
      <w:color w:val="ffff00"/>
      <w:sz w:val="32"/>
      <w:szCs w:val="32"/>
    </w:rPr>
  </w:style>
  <w:style w:type="paragraph" w:styleId="968" w:customStyle="1">
    <w:name w:val="图表目录1"/>
    <w:basedOn w:val="727"/>
    <w:next w:val="727"/>
    <w:uiPriority w:val="0"/>
    <w:semiHidden/>
    <w:pPr>
      <w:ind w:left="840" w:hanging="420"/>
    </w:pPr>
  </w:style>
  <w:style w:type="paragraph" w:styleId="969" w:customStyle="1">
    <w:name w:val="目录 21"/>
    <w:basedOn w:val="727"/>
    <w:next w:val="727"/>
    <w:uiPriority w:val="0"/>
    <w:semiHidden/>
    <w:pPr>
      <w:ind w:left="210"/>
      <w:jc w:val="left"/>
    </w:pPr>
    <w:rPr>
      <w:smallCaps/>
      <w:szCs w:val="24"/>
    </w:rPr>
  </w:style>
  <w:style w:type="paragraph" w:styleId="970" w:customStyle="1">
    <w:name w:val="目录 91"/>
    <w:basedOn w:val="727"/>
    <w:next w:val="727"/>
    <w:uiPriority w:val="0"/>
    <w:semiHidden/>
    <w:pPr>
      <w:ind w:left="1680"/>
      <w:jc w:val="left"/>
    </w:pPr>
  </w:style>
  <w:style w:type="paragraph" w:styleId="971" w:customStyle="1">
    <w:name w:val="正文文本 21"/>
    <w:basedOn w:val="727"/>
    <w:link w:val="972"/>
    <w:uiPriority w:val="0"/>
    <w:qFormat/>
    <w:pPr>
      <w:jc w:val="center"/>
      <w:widowControl/>
    </w:pPr>
    <w:rPr>
      <w:rFonts w:ascii="楷体_GB2312" w:eastAsia="楷体_GB2312"/>
      <w:sz w:val="28"/>
      <w:szCs w:val="28"/>
    </w:rPr>
  </w:style>
  <w:style w:type="character" w:styleId="972" w:customStyle="1">
    <w:name w:val="正文文本 2 Char"/>
    <w:link w:val="971"/>
    <w:uiPriority w:val="0"/>
    <w:rPr>
      <w:rFonts w:ascii="楷体_GB2312" w:hAnsi="Times New Roman" w:eastAsia="楷体_GB2312" w:cs="Times New Roman"/>
      <w:sz w:val="28"/>
      <w:szCs w:val="28"/>
    </w:rPr>
  </w:style>
  <w:style w:type="paragraph" w:styleId="973" w:customStyle="1">
    <w:name w:val="普通(网站)1"/>
    <w:basedOn w:val="727"/>
    <w:uiPriority w:val="99"/>
    <w:pPr>
      <w:jc w:val="left"/>
      <w:spacing w:before="100" w:beforeAutospacing="1" w:after="100" w:afterAutospacing="1"/>
      <w:widowControl/>
    </w:pPr>
    <w:rPr>
      <w:rFonts w:ascii="宋体" w:hAnsi="宋体" w:cs="宋体"/>
      <w:sz w:val="24"/>
      <w:szCs w:val="24"/>
    </w:rPr>
  </w:style>
  <w:style w:type="paragraph" w:styleId="974" w:customStyle="1">
    <w:name w:val="索引 11"/>
    <w:basedOn w:val="727"/>
    <w:next w:val="727"/>
    <w:uiPriority w:val="0"/>
    <w:semiHidden/>
    <w:pPr>
      <w:spacing w:line="240" w:lineRule="atLeast"/>
    </w:pPr>
    <w:rPr>
      <w:b/>
      <w:bCs/>
    </w:rPr>
  </w:style>
  <w:style w:type="paragraph" w:styleId="975" w:customStyle="1">
    <w:name w:val="批注主题1"/>
    <w:basedOn w:val="938"/>
    <w:next w:val="938"/>
    <w:link w:val="976"/>
    <w:uiPriority w:val="0"/>
    <w:semiHidden/>
    <w:rPr>
      <w:b/>
      <w:bCs/>
    </w:rPr>
  </w:style>
  <w:style w:type="character" w:styleId="976" w:customStyle="1">
    <w:name w:val="批注主题 Char"/>
    <w:link w:val="975"/>
    <w:uiPriority w:val="0"/>
    <w:semiHidden/>
    <w:rPr>
      <w:rFonts w:ascii="Times New Roman" w:hAnsi="Times New Roman" w:eastAsia="宋体" w:cs="Times New Roman"/>
      <w:b/>
      <w:bCs/>
      <w:szCs w:val="21"/>
    </w:rPr>
  </w:style>
  <w:style w:type="paragraph" w:styleId="977" w:customStyle="1">
    <w:name w:val="正文首行缩进1"/>
    <w:basedOn w:val="727"/>
    <w:link w:val="978"/>
    <w:uiPriority w:val="0"/>
    <w:pPr>
      <w:ind w:firstLine="200"/>
      <w:spacing w:line="360" w:lineRule="auto"/>
    </w:pPr>
    <w:rPr>
      <w:rFonts w:ascii="仿宋_GB2312" w:eastAsia="仿宋_GB2312"/>
      <w:sz w:val="30"/>
      <w:szCs w:val="30"/>
    </w:rPr>
  </w:style>
  <w:style w:type="character" w:styleId="978" w:customStyle="1">
    <w:name w:val="正文首行缩进 Char"/>
    <w:link w:val="977"/>
    <w:uiPriority w:val="0"/>
    <w:rPr>
      <w:rFonts w:ascii="仿宋_GB2312" w:hAnsi="Times New Roman" w:eastAsia="仿宋_GB2312" w:cs="Times New Roman"/>
      <w:sz w:val="30"/>
      <w:szCs w:val="30"/>
    </w:rPr>
  </w:style>
  <w:style w:type="paragraph" w:styleId="979" w:customStyle="1">
    <w:name w:val="正文首行缩进 21"/>
    <w:basedOn w:val="944"/>
    <w:link w:val="980"/>
    <w:uiPriority w:val="0"/>
    <w:pPr>
      <w:ind w:firstLine="420"/>
      <w:spacing w:line="360" w:lineRule="auto"/>
    </w:pPr>
    <w:rPr>
      <w:rFonts w:ascii="宋体" w:hAnsi="宋体" w:eastAsia="宋体"/>
      <w:sz w:val="21"/>
      <w:szCs w:val="20"/>
    </w:rPr>
  </w:style>
  <w:style w:type="character" w:styleId="980" w:customStyle="1">
    <w:name w:val="正文首行缩进 2 Char"/>
    <w:link w:val="979"/>
    <w:uiPriority w:val="0"/>
    <w:rPr>
      <w:rFonts w:ascii="宋体" w:hAnsi="宋体" w:eastAsia="宋体" w:cs="Times New Roman"/>
      <w:sz w:val="32"/>
      <w:szCs w:val="20"/>
    </w:rPr>
  </w:style>
  <w:style w:type="table" w:styleId="981" w:customStyle="1">
    <w:name w:val="网格型1"/>
    <w:basedOn w:val="923"/>
    <w:uiPriority w:val="0"/>
    <w:pPr>
      <w:jc w:val="both"/>
      <w:widowControl w:val="off"/>
    </w:pPr>
    <w:rPr>
      <w:rFonts w:ascii="Times New Roman" w:hAnsi="Times New Roman"/>
    </w:rPr>
    <w:tblPr/>
  </w:style>
  <w:style w:type="character" w:styleId="982" w:customStyle="1">
    <w:name w:val="要点1"/>
    <w:uiPriority w:val="0"/>
    <w:qFormat/>
    <w:rPr>
      <w:b/>
      <w:bCs/>
    </w:rPr>
  </w:style>
  <w:style w:type="character" w:styleId="983" w:customStyle="1">
    <w:name w:val="页码1"/>
    <w:uiPriority w:val="0"/>
  </w:style>
  <w:style w:type="character" w:styleId="984" w:customStyle="1">
    <w:name w:val="访问过的超链接1"/>
    <w:uiPriority w:val="0"/>
    <w:rPr>
      <w:color w:val="800080"/>
      <w:u w:val="single"/>
    </w:rPr>
  </w:style>
  <w:style w:type="character" w:styleId="985" w:customStyle="1">
    <w:name w:val="超链接1"/>
    <w:uiPriority w:val="0"/>
    <w:rPr>
      <w:color w:val="0000ff"/>
      <w:u w:val="single"/>
    </w:rPr>
  </w:style>
  <w:style w:type="character" w:styleId="986" w:customStyle="1">
    <w:name w:val="批注引用1"/>
    <w:uiPriority w:val="0"/>
    <w:semiHidden/>
    <w:rPr>
      <w:sz w:val="21"/>
      <w:szCs w:val="21"/>
    </w:rPr>
  </w:style>
  <w:style w:type="character" w:styleId="987" w:customStyle="1">
    <w:name w:val="font5 Char"/>
    <w:uiPriority w:val="0"/>
    <w:rPr>
      <w:rFonts w:ascii="宋体" w:hAnsi="宋体" w:eastAsia="宋体"/>
      <w:sz w:val="28"/>
      <w:szCs w:val="28"/>
      <w:lang w:val="en-US" w:eastAsia="zh-CN" w:bidi="ar-SA"/>
    </w:rPr>
  </w:style>
  <w:style w:type="character" w:styleId="988" w:customStyle="1">
    <w:name w:val="二级目录 Char"/>
    <w:link w:val="989"/>
    <w:uiPriority w:val="0"/>
    <w:rPr>
      <w:b/>
      <w:sz w:val="30"/>
      <w:szCs w:val="28"/>
    </w:rPr>
  </w:style>
  <w:style w:type="paragraph" w:styleId="989" w:customStyle="1">
    <w:name w:val="二级目录"/>
    <w:next w:val="727"/>
    <w:link w:val="988"/>
    <w:uiPriority w:val="0"/>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90" w:customStyle="1">
    <w:name w:val="列出段落 Char"/>
    <w:link w:val="991"/>
    <w:uiPriority w:val="0"/>
    <w:rPr>
      <w:rFonts w:ascii="Calibri" w:hAnsi="Calibri"/>
      <w:sz w:val="24"/>
      <w:szCs w:val="24"/>
      <w:lang w:eastAsia="en-US" w:bidi="en-US"/>
    </w:rPr>
  </w:style>
  <w:style w:type="paragraph" w:styleId="991" w:customStyle="1">
    <w:name w:val="列出段落1"/>
    <w:basedOn w:val="727"/>
    <w:link w:val="990"/>
    <w:uiPriority w:val="0"/>
    <w:qFormat/>
    <w:pPr>
      <w:contextualSpacing/>
      <w:ind w:left="720"/>
      <w:jc w:val="left"/>
      <w:widowControl/>
    </w:pPr>
    <w:rPr>
      <w:rFonts w:ascii="Calibri" w:hAnsi="Calibri"/>
      <w:sz w:val="24"/>
      <w:szCs w:val="24"/>
      <w:lang w:eastAsia="en-US" w:bidi="en-US"/>
    </w:rPr>
  </w:style>
  <w:style w:type="paragraph" w:styleId="992" w:customStyle="1">
    <w:name w:val="Body Text(ch)"/>
    <w:basedOn w:val="727"/>
    <w:next w:val="942"/>
    <w:uiPriority w:val="0"/>
    <w:pPr>
      <w:spacing w:after="120"/>
    </w:pPr>
    <w:rPr>
      <w:rFonts w:ascii="宋体" w:hAnsi="Arial"/>
      <w:bCs/>
      <w:iCs/>
      <w:szCs w:val="24"/>
    </w:rPr>
  </w:style>
  <w:style w:type="paragraph" w:styleId="993" w:customStyle="1">
    <w:name w:val="xl27"/>
    <w:basedOn w:val="727"/>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6"/>
    <w:basedOn w:val="727"/>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Char"/>
    <w:basedOn w:val="727"/>
    <w:uiPriority w:val="0"/>
    <w:pPr>
      <w:ind w:firstLine="200"/>
      <w:tabs>
        <w:tab w:val="left" w:pos="360" w:leader="none"/>
      </w:tabs>
    </w:pPr>
    <w:rPr>
      <w:sz w:val="28"/>
      <w:szCs w:val="30"/>
    </w:rPr>
  </w:style>
  <w:style w:type="paragraph" w:styleId="996" w:customStyle="1">
    <w:name w:val="Char1"/>
    <w:basedOn w:val="936"/>
    <w:uiPriority w:val="0"/>
    <w:rPr>
      <w:rFonts w:ascii="Tahoma" w:hAnsi="Tahoma"/>
      <w:sz w:val="24"/>
      <w:szCs w:val="24"/>
    </w:rPr>
  </w:style>
  <w:style w:type="paragraph" w:styleId="997" w:customStyle="1">
    <w:name w:val="普通正文"/>
    <w:basedOn w:val="727"/>
    <w:uiPriority w:val="0"/>
    <w:pPr>
      <w:ind w:firstLine="480"/>
      <w:jc w:val="left"/>
      <w:spacing w:before="120" w:after="120" w:line="360" w:lineRule="auto"/>
    </w:pPr>
    <w:rPr>
      <w:rFonts w:ascii="Arial" w:hAnsi="Arial"/>
      <w:sz w:val="24"/>
      <w:szCs w:val="24"/>
    </w:rPr>
  </w:style>
  <w:style w:type="paragraph" w:styleId="998" w:customStyle="1">
    <w:name w:val="table_lines"/>
    <w:basedOn w:val="727"/>
    <w:uiPriority w:val="0"/>
    <w:pPr>
      <w:jc w:val="left"/>
      <w:widowControl/>
    </w:pPr>
    <w:rPr>
      <w:sz w:val="20"/>
      <w:szCs w:val="20"/>
      <w:lang w:val="de-DE" w:eastAsia="de-DE"/>
    </w:rPr>
  </w:style>
  <w:style w:type="paragraph" w:styleId="999"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0" w:customStyle="1">
    <w:name w:val="font7"/>
    <w:basedOn w:val="727"/>
    <w:uiPriority w:val="0"/>
    <w:pPr>
      <w:jc w:val="left"/>
      <w:spacing w:before="100" w:beforeAutospacing="1" w:after="100" w:afterAutospacing="1"/>
      <w:widowControl/>
    </w:pPr>
    <w:rPr>
      <w:rFonts w:hint="eastAsia" w:ascii="宋体" w:hAnsi="宋体"/>
      <w:sz w:val="18"/>
      <w:szCs w:val="18"/>
    </w:rPr>
  </w:style>
  <w:style w:type="paragraph" w:styleId="1001" w:customStyle="1">
    <w:name w:val="Char Char Char Char"/>
    <w:basedOn w:val="936"/>
    <w:uiPriority w:val="0"/>
    <w:pPr>
      <w:spacing w:line="360" w:lineRule="auto"/>
    </w:pPr>
    <w:rPr>
      <w:rFonts w:ascii="Tahoma" w:hAnsi="Tahoma"/>
      <w:sz w:val="24"/>
      <w:szCs w:val="24"/>
    </w:rPr>
  </w:style>
  <w:style w:type="paragraph" w:styleId="1002" w:customStyle="1">
    <w:name w:val="列出段落2"/>
    <w:basedOn w:val="727"/>
    <w:uiPriority w:val="0"/>
    <w:qFormat/>
    <w:pPr>
      <w:contextualSpacing/>
      <w:ind w:left="720"/>
      <w:jc w:val="left"/>
      <w:widowControl/>
    </w:pPr>
    <w:rPr>
      <w:rFonts w:ascii="Calibri" w:hAnsi="Calibri"/>
      <w:sz w:val="24"/>
      <w:szCs w:val="24"/>
      <w:lang w:eastAsia="en-US" w:bidi="en-US"/>
    </w:rPr>
  </w:style>
  <w:style w:type="paragraph" w:styleId="1003" w:customStyle="1">
    <w:name w:val="4"/>
    <w:basedOn w:val="727"/>
    <w:next w:val="966"/>
    <w:uiPriority w:val="0"/>
    <w:pPr>
      <w:ind w:firstLine="420"/>
      <w:spacing w:line="360" w:lineRule="auto"/>
    </w:pPr>
    <w:rPr>
      <w:color w:val="ff0000"/>
      <w:sz w:val="24"/>
      <w:szCs w:val="24"/>
    </w:rPr>
  </w:style>
  <w:style w:type="paragraph" w:styleId="1004" w:customStyle="1">
    <w:name w:val="普通 (Web)"/>
    <w:basedOn w:val="727"/>
    <w:uiPriority w:val="0"/>
    <w:pPr>
      <w:jc w:val="left"/>
      <w:spacing w:before="100" w:beforeAutospacing="1" w:after="100" w:afterAutospacing="1"/>
      <w:widowControl/>
    </w:pPr>
    <w:rPr>
      <w:rFonts w:ascii="宋体" w:hAnsi="宋体"/>
      <w:sz w:val="24"/>
      <w:szCs w:val="24"/>
    </w:rPr>
  </w:style>
  <w:style w:type="paragraph" w:styleId="1005" w:customStyle="1">
    <w:name w:val="Char Char Char Char Char Char Char Char Char Char"/>
    <w:basedOn w:val="727"/>
    <w:uiPriority w:val="0"/>
    <w:pPr>
      <w:spacing w:line="360" w:lineRule="auto"/>
    </w:pPr>
    <w:rPr>
      <w:sz w:val="24"/>
      <w:szCs w:val="20"/>
    </w:rPr>
  </w:style>
  <w:style w:type="paragraph" w:styleId="1006" w:customStyle="1">
    <w:name w:val="样式1"/>
    <w:basedOn w:val="727"/>
    <w:uiPriority w:val="0"/>
    <w:pPr>
      <w:numPr>
        <w:ilvl w:val="0"/>
        <w:numId w:val="3"/>
      </w:numPr>
    </w:pPr>
    <w:rPr>
      <w:rFonts w:ascii="宋体" w:hAnsi="宋体"/>
    </w:rPr>
  </w:style>
  <w:style w:type="paragraph" w:styleId="1007" w:customStyle="1">
    <w:name w:val="font6"/>
    <w:basedOn w:val="727"/>
    <w:uiPriority w:val="0"/>
    <w:pPr>
      <w:jc w:val="left"/>
      <w:spacing w:before="100" w:beforeAutospacing="1" w:after="100" w:afterAutospacing="1"/>
      <w:widowControl/>
    </w:pPr>
    <w:rPr>
      <w:rFonts w:hint="eastAsia" w:ascii="宋体" w:hAnsi="宋体"/>
      <w:sz w:val="28"/>
      <w:szCs w:val="28"/>
      <w:u w:val="single"/>
    </w:rPr>
  </w:style>
  <w:style w:type="paragraph" w:styleId="1008" w:customStyle="1">
    <w:name w:val="xl25"/>
    <w:basedOn w:val="727"/>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727"/>
    <w:next w:val="727"/>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727"/>
    <w:next w:val="727"/>
    <w:uiPriority w:val="0"/>
    <w:qFormat/>
    <w:pPr>
      <w:ind w:firstLine="624"/>
      <w:spacing w:line="590" w:lineRule="atLeast"/>
    </w:pPr>
    <w:rPr>
      <w:rFonts w:ascii="方正黑体_GBK" w:eastAsia="方正黑体_GBK"/>
      <w:sz w:val="32"/>
      <w:szCs w:val="32"/>
    </w:rPr>
  </w:style>
  <w:style w:type="paragraph" w:styleId="1011" w:customStyle="1">
    <w:name w:val="xl24"/>
    <w:basedOn w:val="727"/>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9"/>
    <w:basedOn w:val="727"/>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customStyle="1">
    <w:name w:val="Char Char Char Char Char Char Char Char"/>
    <w:basedOn w:val="727"/>
    <w:uiPriority w:val="0"/>
    <w:pPr>
      <w:jc w:val="left"/>
      <w:spacing w:after="160" w:line="240" w:lineRule="exact"/>
      <w:widowControl/>
    </w:pPr>
    <w:rPr>
      <w:rFonts w:ascii="Verdana" w:hAnsi="Verdana"/>
      <w:sz w:val="20"/>
      <w:szCs w:val="20"/>
      <w:lang w:eastAsia="en-US"/>
    </w:rPr>
  </w:style>
  <w:style w:type="paragraph" w:styleId="1014" w:customStyle="1">
    <w:name w:val="xl28"/>
    <w:basedOn w:val="727"/>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Char Char Char Char Char Char Char Char1"/>
    <w:basedOn w:val="727"/>
    <w:uiPriority w:val="0"/>
    <w:pPr>
      <w:jc w:val="left"/>
      <w:spacing w:after="160" w:line="240" w:lineRule="exact"/>
      <w:widowControl/>
    </w:pPr>
    <w:rPr>
      <w:rFonts w:ascii="Verdana" w:hAnsi="Verdana"/>
      <w:sz w:val="20"/>
      <w:szCs w:val="20"/>
      <w:lang w:eastAsia="en-US"/>
    </w:rPr>
  </w:style>
  <w:style w:type="paragraph" w:styleId="1016" w:customStyle="1">
    <w:name w:val="xl30"/>
    <w:basedOn w:val="727"/>
    <w:uiPriority w:val="0"/>
    <w:pPr>
      <w:jc w:val="center"/>
      <w:spacing w:before="100" w:beforeAutospacing="1" w:after="100" w:afterAutospacing="1"/>
      <w:widowControl/>
    </w:pPr>
    <w:rPr>
      <w:rFonts w:ascii="宋体" w:hAnsi="宋体"/>
      <w:b/>
      <w:bCs/>
      <w:sz w:val="36"/>
      <w:szCs w:val="36"/>
    </w:rPr>
  </w:style>
  <w:style w:type="paragraph" w:styleId="1017" w:customStyle="1">
    <w:name w:val="Char Char Char Char1"/>
    <w:basedOn w:val="936"/>
    <w:uiPriority w:val="0"/>
    <w:pPr>
      <w:spacing w:line="360" w:lineRule="auto"/>
    </w:pPr>
    <w:rPr>
      <w:rFonts w:ascii="Tahoma" w:hAnsi="Tahoma"/>
      <w:sz w:val="24"/>
      <w:szCs w:val="24"/>
    </w:rPr>
  </w:style>
  <w:style w:type="paragraph" w:styleId="1018" w:customStyle="1">
    <w:name w:val="table_1stline"/>
    <w:basedOn w:val="727"/>
    <w:uiPriority w:val="0"/>
    <w:pPr>
      <w:jc w:val="left"/>
      <w:spacing w:before="120"/>
      <w:widowControl/>
    </w:pPr>
    <w:rPr>
      <w:bCs/>
      <w:sz w:val="20"/>
      <w:szCs w:val="20"/>
      <w:lang w:val="de-DE" w:eastAsia="de-DE"/>
    </w:rPr>
  </w:style>
  <w:style w:type="paragraph" w:styleId="1019" w:customStyle="1">
    <w:name w:val="font5"/>
    <w:basedOn w:val="727"/>
    <w:uiPriority w:val="0"/>
    <w:pPr>
      <w:jc w:val="left"/>
      <w:spacing w:before="100" w:beforeAutospacing="1" w:after="100" w:afterAutospacing="1"/>
      <w:widowControl/>
    </w:pPr>
    <w:rPr>
      <w:rFonts w:hint="eastAsia" w:ascii="宋体" w:hAnsi="宋体"/>
      <w:sz w:val="28"/>
      <w:szCs w:val="28"/>
    </w:rPr>
  </w:style>
  <w:style w:type="paragraph" w:styleId="1020" w:customStyle="1">
    <w:name w:val="标题1"/>
    <w:basedOn w:val="727"/>
    <w:next w:val="727"/>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修订1"/>
    <w:uiPriority w:val="99"/>
    <w:semiHidden/>
    <w:rPr>
      <w:rFonts w:ascii="Times New Roman" w:hAnsi="Times New Roman" w:eastAsia="宋体" w:cs="Times New Roman"/>
      <w:sz w:val="21"/>
      <w:szCs w:val="21"/>
      <w:lang w:val="en-US" w:eastAsia="zh-CN" w:bidi="ar-SA"/>
    </w:rPr>
  </w:style>
  <w:style w:type="paragraph" w:styleId="102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023" w:customStyle="1">
    <w:name w:val="批注框文本 字符"/>
    <w:basedOn w:val="737"/>
    <w:link w:val="747"/>
    <w:uiPriority w:val="99"/>
    <w:semiHidden/>
    <w:rPr>
      <w:rFonts w:ascii="Times New Roman" w:hAnsi="Times New Roman"/>
      <w:sz w:val="18"/>
      <w:szCs w:val="18"/>
    </w:rPr>
  </w:style>
  <w:style w:type="character" w:styleId="1024" w:customStyle="1">
    <w:name w:val="列表段落 字符"/>
    <w:link w:val="1025"/>
    <w:uiPriority w:val="34"/>
    <w:qFormat/>
  </w:style>
  <w:style w:type="paragraph" w:styleId="1025" w:customStyle="1">
    <w:name w:val="列表段落1"/>
    <w:basedOn w:val="727"/>
    <w:link w:val="1024"/>
    <w:uiPriority w:val="34"/>
    <w:qFormat/>
    <w:pPr>
      <w:ind w:firstLine="420"/>
    </w:pPr>
    <w:rPr>
      <w:rFonts w:ascii="Calibri" w:hAnsi="Calibri"/>
      <w:sz w:val="20"/>
      <w:szCs w:val="20"/>
    </w:rPr>
  </w:style>
  <w:style w:type="character" w:styleId="1026" w:customStyle="1">
    <w:name w:val="批注文字 字符"/>
    <w:basedOn w:val="737"/>
    <w:link w:val="740"/>
    <w:uiPriority w:val="99"/>
    <w:semiHidden/>
    <w:rPr>
      <w:rFonts w:ascii="Times New Roman" w:hAnsi="Times New Roman"/>
      <w:sz w:val="21"/>
      <w:szCs w:val="21"/>
    </w:rPr>
  </w:style>
  <w:style w:type="character" w:styleId="1027" w:customStyle="1">
    <w:name w:val="批注主题 字符"/>
    <w:basedOn w:val="1026"/>
    <w:link w:val="739"/>
    <w:uiPriority w:val="99"/>
    <w:semiHidden/>
    <w:rPr>
      <w:rFonts w:ascii="Times New Roman" w:hAnsi="Times New Roman"/>
      <w:b/>
      <w:bCs/>
      <w:sz w:val="21"/>
      <w:szCs w:val="21"/>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马樱</cp:lastModifiedBy>
  <cp:revision>6</cp:revision>
  <dcterms:created xsi:type="dcterms:W3CDTF">2025-10-30T08:02:00Z</dcterms:created>
  <dcterms:modified xsi:type="dcterms:W3CDTF">2025-11-07T08:42:27Z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2052-10.8.2.6543</vt:lpwstr>
  </property>
</Properties>
</file>