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A7EB6C">
      <w:pPr>
        <w:pStyle w:val="44"/>
        <w:spacing w:before="120" w:beforeAutospacing="0" w:after="120" w:afterAutospacing="0" w:line="360" w:lineRule="auto"/>
        <w:rPr>
          <w:rFonts w:hint="eastAsia" w:ascii="宋体" w:hAnsi="宋体" w:eastAsia="宋体" w:cs="宋体"/>
        </w:rPr>
      </w:pPr>
      <w:r>
        <w:rPr>
          <w:rFonts w:hint="eastAsia" w:ascii="宋体" w:hAnsi="宋体" w:eastAsia="宋体" w:cs="宋体"/>
        </w:rPr>
        <w:t> </w:t>
      </w:r>
    </w:p>
    <w:p w14:paraId="63BB15A5">
      <w:pPr>
        <w:pStyle w:val="44"/>
        <w:spacing w:before="120" w:beforeAutospacing="0" w:after="120" w:afterAutospacing="0" w:line="360" w:lineRule="auto"/>
        <w:jc w:val="center"/>
        <w:rPr>
          <w:rFonts w:hint="eastAsia" w:ascii="宋体" w:hAnsi="宋体" w:eastAsia="宋体" w:cs="宋体"/>
        </w:rPr>
      </w:pPr>
      <w:r>
        <w:rPr>
          <w:rFonts w:hint="eastAsia" w:ascii="宋体" w:hAnsi="宋体" w:eastAsia="宋体" w:cs="宋体"/>
          <w:b/>
          <w:color w:val="000000"/>
          <w:sz w:val="84"/>
          <w:szCs w:val="84"/>
        </w:rPr>
        <w:t>招 标 文 件</w:t>
      </w:r>
    </w:p>
    <w:p w14:paraId="2A603863">
      <w:pPr>
        <w:pStyle w:val="44"/>
        <w:spacing w:before="120" w:beforeAutospacing="0" w:after="120" w:afterAutospacing="0" w:line="360" w:lineRule="auto"/>
        <w:rPr>
          <w:rFonts w:hint="eastAsia" w:ascii="宋体" w:hAnsi="宋体" w:eastAsia="宋体" w:cs="宋体"/>
          <w:b/>
          <w:color w:val="000000"/>
          <w:sz w:val="32"/>
          <w:szCs w:val="32"/>
        </w:rPr>
      </w:pPr>
    </w:p>
    <w:p w14:paraId="7713D308">
      <w:pPr>
        <w:pStyle w:val="44"/>
        <w:spacing w:before="120" w:beforeAutospacing="0" w:after="120" w:afterAutospacing="0" w:line="360" w:lineRule="auto"/>
        <w:rPr>
          <w:rFonts w:hint="eastAsia" w:ascii="宋体" w:hAnsi="宋体" w:eastAsia="宋体" w:cs="宋体"/>
          <w:b/>
          <w:color w:val="000000"/>
          <w:sz w:val="32"/>
          <w:szCs w:val="32"/>
        </w:rPr>
      </w:pPr>
    </w:p>
    <w:p w14:paraId="7C56FB94">
      <w:pPr>
        <w:pStyle w:val="44"/>
        <w:spacing w:before="120" w:beforeAutospacing="0" w:after="120" w:afterAutospacing="0" w:line="360" w:lineRule="auto"/>
        <w:rPr>
          <w:rFonts w:hint="eastAsia" w:ascii="宋体" w:hAnsi="宋体" w:eastAsia="宋体" w:cs="宋体"/>
          <w:b/>
          <w:color w:val="000000"/>
          <w:sz w:val="32"/>
          <w:szCs w:val="32"/>
        </w:rPr>
      </w:pPr>
    </w:p>
    <w:p w14:paraId="050D1BB3">
      <w:pPr>
        <w:pStyle w:val="44"/>
        <w:spacing w:before="120" w:beforeAutospacing="0" w:after="120" w:afterAutospacing="0" w:line="360" w:lineRule="auto"/>
        <w:rPr>
          <w:rFonts w:hint="eastAsia" w:ascii="宋体" w:hAnsi="宋体" w:eastAsia="宋体" w:cs="宋体"/>
          <w:b/>
          <w:color w:val="000000"/>
          <w:sz w:val="32"/>
          <w:szCs w:val="32"/>
        </w:rPr>
      </w:pPr>
    </w:p>
    <w:p w14:paraId="06CB4CF8">
      <w:pPr>
        <w:pStyle w:val="44"/>
        <w:spacing w:before="120" w:beforeAutospacing="0" w:after="120" w:afterAutospacing="0" w:line="360" w:lineRule="auto"/>
        <w:jc w:val="cente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项目名称：</w:t>
      </w:r>
      <w:r>
        <w:rPr>
          <w:rFonts w:hint="eastAsia" w:ascii="宋体" w:hAnsi="宋体" w:eastAsia="宋体" w:cs="宋体"/>
          <w:b/>
          <w:color w:val="000000"/>
          <w:sz w:val="32"/>
          <w:szCs w:val="32"/>
          <w:lang w:eastAsia="zh-CN"/>
        </w:rPr>
        <w:t>滨海县东坎街道蔬菜社区党群服务中心采购项目</w:t>
      </w:r>
    </w:p>
    <w:p w14:paraId="6357E291">
      <w:pPr>
        <w:pStyle w:val="44"/>
        <w:spacing w:before="120" w:beforeAutospacing="0" w:after="120" w:afterAutospacing="0" w:line="360" w:lineRule="auto"/>
        <w:jc w:val="both"/>
        <w:rPr>
          <w:rFonts w:hint="eastAsia" w:ascii="宋体" w:hAnsi="宋体" w:eastAsia="宋体" w:cs="宋体"/>
          <w:b/>
          <w:color w:val="000000"/>
          <w:sz w:val="36"/>
          <w:szCs w:val="36"/>
        </w:rPr>
      </w:pPr>
    </w:p>
    <w:p w14:paraId="349CAA38">
      <w:pPr>
        <w:pStyle w:val="44"/>
        <w:spacing w:before="120" w:beforeAutospacing="0" w:after="120" w:afterAutospacing="0" w:line="360" w:lineRule="auto"/>
        <w:ind w:firstLine="321" w:firstLineChars="100"/>
        <w:jc w:val="both"/>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eastAsia="zh-CN"/>
        </w:rPr>
        <w:t>项目编号：</w:t>
      </w:r>
      <w:r>
        <w:rPr>
          <w:rFonts w:hint="eastAsia" w:ascii="宋体" w:hAnsi="宋体" w:eastAsia="宋体" w:cs="宋体"/>
          <w:b/>
          <w:color w:val="000000"/>
          <w:sz w:val="32"/>
          <w:szCs w:val="32"/>
        </w:rPr>
        <w:t>JSZC-320922-HHXX-G2024-0004</w:t>
      </w:r>
    </w:p>
    <w:p w14:paraId="2B6790E6">
      <w:pPr>
        <w:pStyle w:val="44"/>
        <w:spacing w:beforeAutospacing="0" w:afterAutospacing="0" w:line="360" w:lineRule="auto"/>
        <w:rPr>
          <w:rFonts w:hint="eastAsia" w:ascii="宋体" w:hAnsi="宋体" w:eastAsia="宋体" w:cs="宋体"/>
        </w:rPr>
      </w:pPr>
      <w:r>
        <w:rPr>
          <w:rFonts w:hint="eastAsia" w:ascii="宋体" w:hAnsi="宋体" w:eastAsia="宋体" w:cs="宋体"/>
        </w:rPr>
        <w:t> </w:t>
      </w:r>
    </w:p>
    <w:p w14:paraId="7A2EB465">
      <w:pPr>
        <w:pStyle w:val="44"/>
        <w:spacing w:beforeAutospacing="0" w:afterAutospacing="0" w:line="360" w:lineRule="auto"/>
        <w:rPr>
          <w:rFonts w:hint="eastAsia" w:ascii="宋体" w:hAnsi="宋体" w:eastAsia="宋体" w:cs="宋体"/>
        </w:rPr>
      </w:pPr>
      <w:r>
        <w:rPr>
          <w:rFonts w:hint="eastAsia" w:ascii="宋体" w:hAnsi="宋体" w:eastAsia="宋体" w:cs="宋体"/>
        </w:rPr>
        <w:t> </w:t>
      </w:r>
      <w:bookmarkStart w:id="199" w:name="_GoBack"/>
      <w:bookmarkEnd w:id="199"/>
    </w:p>
    <w:p w14:paraId="1131F10D">
      <w:pPr>
        <w:pStyle w:val="44"/>
        <w:spacing w:beforeAutospacing="0" w:afterAutospacing="0" w:line="360" w:lineRule="auto"/>
        <w:rPr>
          <w:rFonts w:hint="eastAsia" w:ascii="宋体" w:hAnsi="宋体" w:eastAsia="宋体" w:cs="宋体"/>
        </w:rPr>
      </w:pPr>
      <w:r>
        <w:rPr>
          <w:rFonts w:hint="eastAsia" w:ascii="宋体" w:hAnsi="宋体" w:eastAsia="宋体" w:cs="宋体"/>
        </w:rPr>
        <w:t> </w:t>
      </w:r>
    </w:p>
    <w:p w14:paraId="566CC29F">
      <w:pPr>
        <w:pStyle w:val="44"/>
        <w:spacing w:beforeAutospacing="0" w:afterAutospacing="0" w:line="360" w:lineRule="auto"/>
        <w:rPr>
          <w:rFonts w:hint="eastAsia" w:ascii="宋体" w:hAnsi="宋体" w:eastAsia="宋体" w:cs="宋体"/>
        </w:rPr>
      </w:pPr>
      <w:r>
        <w:rPr>
          <w:rFonts w:hint="eastAsia" w:ascii="宋体" w:hAnsi="宋体" w:eastAsia="宋体" w:cs="宋体"/>
        </w:rPr>
        <w:t> </w:t>
      </w:r>
    </w:p>
    <w:p w14:paraId="3E3DF120">
      <w:pPr>
        <w:pStyle w:val="44"/>
        <w:spacing w:beforeAutospacing="0" w:afterAutospacing="0" w:line="360" w:lineRule="auto"/>
        <w:rPr>
          <w:rFonts w:hint="eastAsia" w:ascii="宋体" w:hAnsi="宋体" w:eastAsia="宋体" w:cs="宋体"/>
        </w:rPr>
      </w:pPr>
      <w:r>
        <w:rPr>
          <w:rFonts w:hint="eastAsia" w:ascii="宋体" w:hAnsi="宋体" w:eastAsia="宋体" w:cs="宋体"/>
        </w:rPr>
        <w:t> </w:t>
      </w:r>
    </w:p>
    <w:p w14:paraId="182D6917">
      <w:pPr>
        <w:pStyle w:val="44"/>
        <w:spacing w:before="120" w:beforeAutospacing="0" w:after="120" w:afterAutospacing="0" w:line="360" w:lineRule="auto"/>
        <w:ind w:firstLine="2249"/>
        <w:rPr>
          <w:rFonts w:hint="eastAsia" w:ascii="宋体" w:hAnsi="宋体" w:eastAsia="宋体" w:cs="宋体"/>
          <w:b/>
          <w:color w:val="000000"/>
          <w:sz w:val="32"/>
          <w:szCs w:val="32"/>
        </w:rPr>
      </w:pPr>
      <w:bookmarkStart w:id="0" w:name="_Hlk178098976"/>
    </w:p>
    <w:bookmarkEnd w:id="0"/>
    <w:p w14:paraId="6F214E25">
      <w:pPr>
        <w:pStyle w:val="44"/>
        <w:spacing w:before="120" w:beforeAutospacing="0" w:after="120" w:afterAutospacing="0" w:line="360" w:lineRule="auto"/>
        <w:jc w:val="center"/>
        <w:rPr>
          <w:rFonts w:hint="eastAsia" w:ascii="宋体" w:hAnsi="宋体" w:eastAsia="宋体" w:cs="宋体"/>
          <w:b/>
          <w:color w:val="000000"/>
          <w:sz w:val="36"/>
          <w:szCs w:val="36"/>
          <w:lang w:eastAsia="zh-CN"/>
        </w:rPr>
      </w:pPr>
      <w:r>
        <w:rPr>
          <w:rFonts w:hint="eastAsia" w:ascii="宋体" w:hAnsi="宋体" w:eastAsia="宋体" w:cs="宋体"/>
          <w:b/>
          <w:color w:val="000000"/>
          <w:sz w:val="36"/>
          <w:szCs w:val="36"/>
          <w:lang w:eastAsia="zh-CN"/>
        </w:rPr>
        <w:t>滨海县人民政府东坎街道办事处</w:t>
      </w:r>
    </w:p>
    <w:p w14:paraId="4812E51A">
      <w:pPr>
        <w:pStyle w:val="44"/>
        <w:spacing w:before="120" w:beforeAutospacing="0" w:after="120" w:afterAutospacing="0" w:line="360" w:lineRule="auto"/>
        <w:jc w:val="center"/>
        <w:rPr>
          <w:rFonts w:hint="eastAsia" w:ascii="宋体" w:hAnsi="宋体" w:eastAsia="宋体" w:cs="宋体"/>
        </w:rPr>
      </w:pPr>
      <w:r>
        <w:rPr>
          <w:rFonts w:hint="eastAsia" w:ascii="宋体" w:hAnsi="宋体" w:eastAsia="宋体" w:cs="宋体"/>
          <w:b/>
          <w:color w:val="000000"/>
          <w:sz w:val="32"/>
          <w:szCs w:val="32"/>
        </w:rPr>
        <w:t>2024年</w:t>
      </w:r>
      <w:r>
        <w:rPr>
          <w:rFonts w:hint="eastAsia" w:ascii="宋体" w:hAnsi="宋体" w:eastAsia="宋体" w:cs="宋体"/>
          <w:b/>
          <w:color w:val="000000"/>
          <w:sz w:val="32"/>
          <w:szCs w:val="32"/>
          <w:lang w:val="en-US" w:eastAsia="zh-CN"/>
        </w:rPr>
        <w:t>12</w:t>
      </w:r>
      <w:r>
        <w:rPr>
          <w:rFonts w:hint="eastAsia" w:ascii="宋体" w:hAnsi="宋体" w:eastAsia="宋体" w:cs="宋体"/>
          <w:b/>
          <w:color w:val="000000"/>
          <w:sz w:val="32"/>
          <w:szCs w:val="32"/>
        </w:rPr>
        <w:t>月</w:t>
      </w:r>
      <w:r>
        <w:rPr>
          <w:rFonts w:hint="eastAsia" w:ascii="宋体" w:hAnsi="宋体" w:eastAsia="宋体" w:cs="宋体"/>
          <w:b/>
          <w:color w:val="000000"/>
          <w:sz w:val="32"/>
          <w:szCs w:val="32"/>
          <w:lang w:val="en-US" w:eastAsia="zh-CN"/>
        </w:rPr>
        <w:t>2</w:t>
      </w:r>
      <w:r>
        <w:rPr>
          <w:rFonts w:hint="eastAsia" w:ascii="宋体" w:hAnsi="宋体" w:eastAsia="宋体" w:cs="宋体"/>
          <w:b/>
          <w:color w:val="000000"/>
          <w:sz w:val="32"/>
          <w:szCs w:val="32"/>
        </w:rPr>
        <w:t>日</w:t>
      </w:r>
    </w:p>
    <w:p w14:paraId="42333A87">
      <w:pPr>
        <w:pStyle w:val="44"/>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                        </w:t>
      </w:r>
    </w:p>
    <w:p w14:paraId="3F997E37">
      <w:pPr>
        <w:pStyle w:val="44"/>
        <w:spacing w:before="120" w:beforeAutospacing="0" w:after="120" w:afterAutospacing="0" w:line="360" w:lineRule="auto"/>
        <w:jc w:val="center"/>
        <w:rPr>
          <w:rFonts w:hint="eastAsia" w:ascii="宋体" w:hAnsi="宋体" w:eastAsia="宋体" w:cs="宋体"/>
        </w:rPr>
      </w:pPr>
      <w:r>
        <w:rPr>
          <w:rFonts w:hint="eastAsia" w:ascii="宋体" w:hAnsi="宋体" w:eastAsia="宋体" w:cs="宋体"/>
        </w:rPr>
        <w:t> </w:t>
      </w:r>
    </w:p>
    <w:p w14:paraId="072D6628">
      <w:pPr>
        <w:pStyle w:val="44"/>
        <w:spacing w:beforeAutospacing="0" w:afterAutospacing="0" w:line="480" w:lineRule="auto"/>
        <w:jc w:val="center"/>
        <w:rPr>
          <w:rFonts w:hint="eastAsia" w:ascii="宋体" w:hAnsi="宋体" w:eastAsia="宋体" w:cs="宋体"/>
        </w:rPr>
      </w:pPr>
      <w:bookmarkStart w:id="1" w:name="_Toc120614210"/>
      <w:bookmarkStart w:id="2" w:name="_Toc523127445"/>
      <w:bookmarkStart w:id="3" w:name="_Toc20823272"/>
      <w:bookmarkStart w:id="4" w:name="_Toc16938516"/>
      <w:bookmarkStart w:id="5" w:name="_Toc479757206"/>
      <w:bookmarkStart w:id="6" w:name="_Toc513029200"/>
      <w:r>
        <w:rPr>
          <w:rFonts w:hint="eastAsia" w:ascii="宋体" w:hAnsi="宋体" w:eastAsia="宋体" w:cs="宋体"/>
          <w:b/>
          <w:color w:val="000000"/>
          <w:sz w:val="44"/>
          <w:szCs w:val="44"/>
        </w:rPr>
        <w:t>总  目  录</w:t>
      </w:r>
      <w:bookmarkEnd w:id="1"/>
      <w:bookmarkEnd w:id="2"/>
      <w:bookmarkEnd w:id="3"/>
      <w:bookmarkEnd w:id="4"/>
      <w:bookmarkEnd w:id="5"/>
      <w:bookmarkEnd w:id="6"/>
    </w:p>
    <w:p w14:paraId="42B4F464">
      <w:pPr>
        <w:pStyle w:val="44"/>
        <w:spacing w:beforeAutospacing="0" w:afterAutospacing="0" w:line="480" w:lineRule="auto"/>
        <w:jc w:val="both"/>
        <w:rPr>
          <w:rFonts w:hint="eastAsia" w:ascii="宋体" w:hAnsi="宋体" w:eastAsia="宋体" w:cs="宋体"/>
        </w:rPr>
      </w:pPr>
      <w:r>
        <w:rPr>
          <w:rFonts w:hint="eastAsia" w:ascii="宋体" w:hAnsi="宋体" w:eastAsia="宋体" w:cs="宋体"/>
        </w:rPr>
        <w:t> </w:t>
      </w:r>
    </w:p>
    <w:p w14:paraId="109A738A">
      <w:pPr>
        <w:pStyle w:val="44"/>
        <w:tabs>
          <w:tab w:val="left" w:pos="1441"/>
        </w:tabs>
        <w:spacing w:beforeAutospacing="0" w:afterAutospacing="0" w:line="480" w:lineRule="auto"/>
        <w:ind w:left="2160" w:hanging="1440"/>
        <w:jc w:val="both"/>
        <w:rPr>
          <w:rFonts w:hint="eastAsia" w:ascii="宋体" w:hAnsi="宋体" w:eastAsia="宋体" w:cs="宋体"/>
        </w:rPr>
      </w:pPr>
      <w:r>
        <w:rPr>
          <w:rFonts w:hint="eastAsia" w:ascii="宋体" w:hAnsi="宋体" w:eastAsia="宋体" w:cs="宋体"/>
          <w:color w:val="000000"/>
          <w:sz w:val="36"/>
          <w:szCs w:val="36"/>
        </w:rPr>
        <w:t xml:space="preserve">第一章    招标公告 </w:t>
      </w:r>
    </w:p>
    <w:p w14:paraId="368DA1A3">
      <w:pPr>
        <w:pStyle w:val="44"/>
        <w:tabs>
          <w:tab w:val="left" w:pos="1441"/>
        </w:tabs>
        <w:spacing w:beforeAutospacing="0" w:afterAutospacing="0" w:line="480" w:lineRule="auto"/>
        <w:ind w:left="2160" w:hanging="1440"/>
        <w:jc w:val="both"/>
        <w:rPr>
          <w:rFonts w:hint="eastAsia" w:ascii="宋体" w:hAnsi="宋体" w:eastAsia="宋体" w:cs="宋体"/>
        </w:rPr>
      </w:pPr>
      <w:r>
        <w:rPr>
          <w:rFonts w:hint="eastAsia" w:ascii="宋体" w:hAnsi="宋体" w:eastAsia="宋体" w:cs="宋体"/>
          <w:color w:val="000000"/>
          <w:sz w:val="36"/>
          <w:szCs w:val="36"/>
        </w:rPr>
        <w:t xml:space="preserve">第二章    投标人须知  </w:t>
      </w:r>
    </w:p>
    <w:p w14:paraId="54AFB9AA">
      <w:pPr>
        <w:pStyle w:val="44"/>
        <w:tabs>
          <w:tab w:val="left" w:pos="1441"/>
        </w:tabs>
        <w:spacing w:beforeAutospacing="0" w:afterAutospacing="0" w:line="480" w:lineRule="auto"/>
        <w:ind w:left="2160" w:hanging="1440"/>
        <w:jc w:val="both"/>
        <w:rPr>
          <w:rFonts w:hint="eastAsia" w:ascii="宋体" w:hAnsi="宋体" w:eastAsia="宋体" w:cs="宋体"/>
        </w:rPr>
      </w:pPr>
      <w:r>
        <w:rPr>
          <w:rFonts w:hint="eastAsia" w:ascii="宋体" w:hAnsi="宋体" w:eastAsia="宋体" w:cs="宋体"/>
          <w:color w:val="000000"/>
          <w:sz w:val="36"/>
          <w:szCs w:val="36"/>
        </w:rPr>
        <w:t>第三章    合同文本</w:t>
      </w:r>
    </w:p>
    <w:p w14:paraId="6F3E2C77">
      <w:pPr>
        <w:pStyle w:val="44"/>
        <w:tabs>
          <w:tab w:val="left" w:pos="1441"/>
        </w:tabs>
        <w:spacing w:beforeAutospacing="0" w:afterAutospacing="0" w:line="480" w:lineRule="auto"/>
        <w:ind w:left="2160" w:hanging="1440"/>
        <w:jc w:val="both"/>
        <w:rPr>
          <w:rFonts w:hint="eastAsia" w:ascii="宋体" w:hAnsi="宋体" w:eastAsia="宋体" w:cs="宋体"/>
        </w:rPr>
      </w:pPr>
      <w:r>
        <w:rPr>
          <w:rFonts w:hint="eastAsia" w:ascii="宋体" w:hAnsi="宋体" w:eastAsia="宋体" w:cs="宋体"/>
          <w:color w:val="000000"/>
          <w:sz w:val="36"/>
          <w:szCs w:val="36"/>
        </w:rPr>
        <w:t>第四章    采购需求</w:t>
      </w:r>
    </w:p>
    <w:p w14:paraId="0D3D58A6">
      <w:pPr>
        <w:pStyle w:val="44"/>
        <w:tabs>
          <w:tab w:val="left" w:pos="1441"/>
        </w:tabs>
        <w:spacing w:beforeAutospacing="0" w:afterAutospacing="0" w:line="480" w:lineRule="auto"/>
        <w:ind w:left="2160" w:hanging="1440"/>
        <w:jc w:val="both"/>
        <w:rPr>
          <w:rFonts w:hint="eastAsia" w:ascii="宋体" w:hAnsi="宋体" w:eastAsia="宋体" w:cs="宋体"/>
        </w:rPr>
      </w:pPr>
      <w:r>
        <w:rPr>
          <w:rFonts w:hint="eastAsia" w:ascii="宋体" w:hAnsi="宋体" w:eastAsia="宋体" w:cs="宋体"/>
          <w:color w:val="000000"/>
          <w:sz w:val="36"/>
          <w:szCs w:val="36"/>
        </w:rPr>
        <w:t>第五章    评标方法与评标标准</w:t>
      </w:r>
    </w:p>
    <w:p w14:paraId="53300AF0">
      <w:pPr>
        <w:pStyle w:val="44"/>
        <w:tabs>
          <w:tab w:val="left" w:pos="1441"/>
        </w:tabs>
        <w:spacing w:beforeAutospacing="0" w:afterAutospacing="0" w:line="480" w:lineRule="auto"/>
        <w:ind w:left="2160" w:hanging="1440"/>
        <w:jc w:val="both"/>
        <w:rPr>
          <w:rFonts w:hint="eastAsia" w:ascii="宋体" w:hAnsi="宋体" w:eastAsia="宋体" w:cs="宋体"/>
        </w:rPr>
      </w:pPr>
      <w:r>
        <w:rPr>
          <w:rFonts w:hint="eastAsia" w:ascii="宋体" w:hAnsi="宋体" w:eastAsia="宋体" w:cs="宋体"/>
          <w:color w:val="000000"/>
          <w:sz w:val="36"/>
          <w:szCs w:val="36"/>
        </w:rPr>
        <w:t>第六章    投标文件格式</w:t>
      </w:r>
    </w:p>
    <w:p w14:paraId="52865412">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39F8E18D">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51006FFA">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336423C9">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5BF5BA54">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4933F4C8">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52DC25F2">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71F590EC">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47AD7003">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1AF4C613">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64B5713C">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576245F6">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6C8FCE68">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499191ED">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0B684E2D">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33760B91">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13999985">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358C790E">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75DEB7F8">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40890633">
      <w:pPr>
        <w:rPr>
          <w:rFonts w:hint="eastAsia" w:ascii="宋体" w:hAnsi="宋体" w:eastAsia="宋体" w:cs="宋体"/>
          <w:color w:val="000000"/>
          <w:sz w:val="44"/>
          <w:szCs w:val="44"/>
        </w:rPr>
      </w:pPr>
      <w:bookmarkStart w:id="7" w:name="_Toc28359086"/>
      <w:r>
        <w:rPr>
          <w:rFonts w:hint="eastAsia" w:ascii="宋体" w:hAnsi="宋体" w:eastAsia="宋体" w:cs="宋体"/>
          <w:color w:val="000000"/>
          <w:sz w:val="44"/>
          <w:szCs w:val="44"/>
        </w:rPr>
        <w:br w:type="page"/>
      </w:r>
    </w:p>
    <w:p w14:paraId="28968054">
      <w:pPr>
        <w:pStyle w:val="44"/>
        <w:keepNext w:val="0"/>
        <w:keepLines w:val="0"/>
        <w:pageBreakBefore w:val="0"/>
        <w:widowControl w:val="0"/>
        <w:kinsoku/>
        <w:wordWrap/>
        <w:overflowPunct/>
        <w:topLinePunct w:val="0"/>
        <w:autoSpaceDE/>
        <w:autoSpaceDN/>
        <w:bidi w:val="0"/>
        <w:adjustRightInd/>
        <w:snapToGrid/>
        <w:spacing w:beforeAutospacing="0" w:after="181" w:afterLines="50" w:afterAutospacing="0"/>
        <w:jc w:val="center"/>
        <w:textAlignment w:val="auto"/>
        <w:rPr>
          <w:rFonts w:hint="eastAsia" w:ascii="宋体" w:hAnsi="宋体" w:eastAsia="宋体" w:cs="宋体"/>
        </w:rPr>
      </w:pPr>
      <w:r>
        <w:rPr>
          <w:rFonts w:hint="eastAsia" w:ascii="宋体" w:hAnsi="宋体" w:eastAsia="宋体" w:cs="宋体"/>
          <w:color w:val="000000"/>
          <w:sz w:val="44"/>
          <w:szCs w:val="44"/>
        </w:rPr>
        <w:t>第一章 招标公告</w:t>
      </w:r>
    </w:p>
    <w:p w14:paraId="649FC3A5">
      <w:pPr>
        <w:pStyle w:val="44"/>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项目概况</w:t>
      </w:r>
    </w:p>
    <w:p w14:paraId="7576599F">
      <w:pPr>
        <w:pStyle w:val="44"/>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color w:val="000000"/>
          <w:sz w:val="24"/>
          <w:szCs w:val="24"/>
          <w:u w:val="single"/>
          <w:lang w:eastAsia="zh-CN"/>
        </w:rPr>
        <w:t>滨海县东坎街道蔬菜社区党群服务中心采购项目</w:t>
      </w:r>
      <w:r>
        <w:rPr>
          <w:rFonts w:hint="eastAsia" w:ascii="宋体" w:hAnsi="宋体" w:eastAsia="宋体" w:cs="宋体"/>
          <w:color w:val="000000"/>
          <w:sz w:val="24"/>
          <w:szCs w:val="24"/>
        </w:rPr>
        <w:t>招标项目的潜在投标人可在</w:t>
      </w:r>
      <w:r>
        <w:rPr>
          <w:rFonts w:hint="eastAsia" w:ascii="宋体" w:hAnsi="宋体" w:eastAsia="宋体" w:cs="宋体"/>
          <w:color w:val="000000"/>
          <w:sz w:val="24"/>
          <w:szCs w:val="24"/>
          <w:u w:val="single"/>
        </w:rPr>
        <w:t>“中国政府采购网”、“江苏政府采购网”、“盐城市政府采购网”</w:t>
      </w:r>
      <w:r>
        <w:rPr>
          <w:rFonts w:hint="eastAsia" w:ascii="宋体" w:hAnsi="宋体" w:eastAsia="宋体" w:cs="宋体"/>
          <w:color w:val="000000"/>
          <w:sz w:val="24"/>
          <w:szCs w:val="24"/>
        </w:rPr>
        <w:t>获取招标文件，并于</w:t>
      </w:r>
      <w:r>
        <w:rPr>
          <w:rFonts w:hint="eastAsia" w:ascii="宋体" w:hAnsi="宋体" w:eastAsia="宋体" w:cs="宋体"/>
          <w:color w:val="000000"/>
          <w:sz w:val="24"/>
          <w:szCs w:val="24"/>
          <w:u w:val="single"/>
        </w:rPr>
        <w:t>2024年</w:t>
      </w:r>
      <w:r>
        <w:rPr>
          <w:rFonts w:hint="eastAsia" w:ascii="宋体" w:hAnsi="宋体" w:eastAsia="宋体" w:cs="宋体"/>
          <w:color w:val="000000"/>
          <w:sz w:val="24"/>
          <w:szCs w:val="24"/>
          <w:u w:val="single"/>
          <w:lang w:val="en-US" w:eastAsia="zh-CN"/>
        </w:rPr>
        <w:t>12</w:t>
      </w:r>
      <w:r>
        <w:rPr>
          <w:rFonts w:hint="eastAsia" w:ascii="宋体" w:hAnsi="宋体" w:eastAsia="宋体" w:cs="宋体"/>
          <w:color w:val="000000"/>
          <w:sz w:val="24"/>
          <w:szCs w:val="24"/>
          <w:u w:val="single"/>
        </w:rPr>
        <w:t>月</w:t>
      </w:r>
      <w:r>
        <w:rPr>
          <w:rFonts w:hint="eastAsia" w:ascii="宋体" w:hAnsi="宋体" w:eastAsia="宋体" w:cs="宋体"/>
          <w:color w:val="000000"/>
          <w:sz w:val="24"/>
          <w:szCs w:val="24"/>
          <w:u w:val="single"/>
          <w:lang w:val="en-US" w:eastAsia="zh-CN"/>
        </w:rPr>
        <w:t>23</w:t>
      </w:r>
      <w:r>
        <w:rPr>
          <w:rFonts w:hint="eastAsia" w:ascii="宋体" w:hAnsi="宋体" w:eastAsia="宋体" w:cs="宋体"/>
          <w:color w:val="000000"/>
          <w:sz w:val="24"/>
          <w:szCs w:val="24"/>
          <w:u w:val="single"/>
        </w:rPr>
        <w:t>日</w:t>
      </w:r>
      <w:r>
        <w:rPr>
          <w:rFonts w:hint="eastAsia" w:ascii="宋体" w:hAnsi="宋体" w:eastAsia="宋体" w:cs="宋体"/>
          <w:color w:val="000000"/>
          <w:sz w:val="24"/>
          <w:szCs w:val="24"/>
          <w:u w:val="single"/>
          <w:lang w:val="en-US" w:eastAsia="zh-CN"/>
        </w:rPr>
        <w:t>09</w:t>
      </w:r>
      <w:r>
        <w:rPr>
          <w:rFonts w:hint="eastAsia" w:ascii="宋体" w:hAnsi="宋体" w:eastAsia="宋体" w:cs="宋体"/>
          <w:color w:val="000000"/>
          <w:sz w:val="24"/>
          <w:szCs w:val="24"/>
          <w:u w:val="single"/>
        </w:rPr>
        <w:t>点00分00秒（</w:t>
      </w:r>
      <w:r>
        <w:rPr>
          <w:rFonts w:hint="eastAsia" w:ascii="宋体" w:hAnsi="宋体" w:eastAsia="宋体" w:cs="宋体"/>
          <w:color w:val="000000"/>
          <w:sz w:val="24"/>
          <w:szCs w:val="24"/>
        </w:rPr>
        <w:t>北京时间）前递交投标文件。</w:t>
      </w:r>
    </w:p>
    <w:p w14:paraId="4B834AAF">
      <w:pPr>
        <w:pStyle w:val="44"/>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sz w:val="24"/>
          <w:szCs w:val="24"/>
        </w:rPr>
      </w:pPr>
      <w:bookmarkStart w:id="8" w:name="_Toc28359002"/>
      <w:bookmarkStart w:id="9" w:name="_Toc28359079"/>
      <w:bookmarkStart w:id="10" w:name="_Toc38985263"/>
      <w:bookmarkStart w:id="11" w:name="_Toc35393790"/>
      <w:bookmarkStart w:id="12" w:name="_Toc35393621"/>
      <w:bookmarkStart w:id="13" w:name="_Hlk24379207"/>
      <w:r>
        <w:rPr>
          <w:rFonts w:hint="eastAsia" w:ascii="宋体" w:hAnsi="宋体" w:eastAsia="宋体" w:cs="宋体"/>
          <w:b/>
          <w:color w:val="000000"/>
          <w:sz w:val="24"/>
          <w:szCs w:val="24"/>
        </w:rPr>
        <w:t>一、项目基本情况</w:t>
      </w:r>
      <w:bookmarkEnd w:id="8"/>
      <w:bookmarkEnd w:id="9"/>
      <w:bookmarkEnd w:id="10"/>
      <w:bookmarkEnd w:id="11"/>
      <w:bookmarkEnd w:id="12"/>
      <w:bookmarkEnd w:id="13"/>
    </w:p>
    <w:p w14:paraId="1E8A6EFF">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Segoe UI" w:hAnsi="Segoe UI" w:eastAsia="Segoe UI" w:cs="Segoe UI"/>
          <w:i w:val="0"/>
          <w:iCs w:val="0"/>
          <w:caps w:val="0"/>
          <w:spacing w:val="0"/>
          <w:sz w:val="21"/>
          <w:szCs w:val="21"/>
          <w:shd w:val="clear" w:fill="FFFFFF"/>
        </w:rPr>
      </w:pPr>
      <w:r>
        <w:rPr>
          <w:rFonts w:hint="eastAsia" w:ascii="宋体" w:hAnsi="宋体" w:eastAsia="宋体" w:cs="宋体"/>
          <w:color w:val="000000"/>
          <w:sz w:val="24"/>
          <w:szCs w:val="24"/>
        </w:rPr>
        <w:t>1.项目编号：</w:t>
      </w:r>
      <w:r>
        <w:rPr>
          <w:rFonts w:ascii="Segoe UI" w:hAnsi="Segoe UI" w:eastAsia="Segoe UI" w:cs="Segoe UI"/>
          <w:i w:val="0"/>
          <w:iCs w:val="0"/>
          <w:caps w:val="0"/>
          <w:spacing w:val="0"/>
          <w:sz w:val="21"/>
          <w:szCs w:val="21"/>
          <w:shd w:val="clear" w:fill="FFFFFF"/>
        </w:rPr>
        <w:t>JSZC-320922-HHXX-G2024-0004</w:t>
      </w:r>
    </w:p>
    <w:p w14:paraId="7E667401">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2.项目名称：</w:t>
      </w:r>
      <w:r>
        <w:rPr>
          <w:rFonts w:hint="eastAsia" w:ascii="宋体" w:hAnsi="宋体" w:eastAsia="宋体" w:cs="宋体"/>
          <w:color w:val="000000"/>
          <w:sz w:val="24"/>
          <w:szCs w:val="24"/>
          <w:lang w:eastAsia="zh-CN"/>
        </w:rPr>
        <w:t>滨海县东坎街道蔬菜社区党群服务中心采购项目</w:t>
      </w:r>
    </w:p>
    <w:p w14:paraId="6992243F">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333333"/>
          <w:sz w:val="24"/>
          <w:szCs w:val="24"/>
          <w:shd w:val="clear" w:color="auto" w:fill="FFFFFF"/>
        </w:rPr>
        <w:t>3.采购方式：公开招标</w:t>
      </w:r>
    </w:p>
    <w:p w14:paraId="4B91B004">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4.预算金额：</w:t>
      </w:r>
      <w:r>
        <w:rPr>
          <w:rFonts w:hint="eastAsia" w:ascii="宋体" w:hAnsi="宋体" w:eastAsia="宋体" w:cs="宋体"/>
          <w:color w:val="000000"/>
          <w:sz w:val="24"/>
          <w:szCs w:val="24"/>
          <w:lang w:val="en-US" w:eastAsia="zh-CN"/>
        </w:rPr>
        <w:t>79</w:t>
      </w:r>
      <w:r>
        <w:rPr>
          <w:rFonts w:hint="eastAsia" w:ascii="宋体" w:hAnsi="宋体" w:eastAsia="宋体" w:cs="宋体"/>
          <w:color w:val="000000"/>
          <w:sz w:val="24"/>
          <w:szCs w:val="24"/>
        </w:rPr>
        <w:t>万元</w:t>
      </w:r>
    </w:p>
    <w:p w14:paraId="1B08B82C">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shd w:val="clear" w:color="auto" w:fill="FFFF00"/>
        </w:rPr>
      </w:pPr>
      <w:r>
        <w:rPr>
          <w:rFonts w:hint="eastAsia" w:ascii="宋体" w:hAnsi="宋体" w:eastAsia="宋体" w:cs="宋体"/>
          <w:color w:val="333333"/>
          <w:sz w:val="24"/>
          <w:szCs w:val="24"/>
          <w:shd w:val="clear" w:color="auto" w:fill="FFFFFF"/>
        </w:rPr>
        <w:t>5.最高限价：</w:t>
      </w:r>
      <w:r>
        <w:rPr>
          <w:rFonts w:hint="eastAsia" w:ascii="宋体" w:hAnsi="宋体" w:eastAsia="宋体" w:cs="宋体"/>
          <w:color w:val="000000"/>
          <w:sz w:val="24"/>
          <w:szCs w:val="24"/>
          <w:lang w:val="en-US" w:eastAsia="zh-CN"/>
        </w:rPr>
        <w:t>79</w:t>
      </w:r>
      <w:r>
        <w:rPr>
          <w:rFonts w:hint="eastAsia" w:ascii="宋体" w:hAnsi="宋体" w:eastAsia="宋体" w:cs="宋体"/>
          <w:color w:val="000000"/>
          <w:sz w:val="24"/>
          <w:szCs w:val="24"/>
        </w:rPr>
        <w:t>万元</w:t>
      </w:r>
    </w:p>
    <w:p w14:paraId="2B2270E8">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6.采购需求（简介）：</w:t>
      </w:r>
      <w:r>
        <w:rPr>
          <w:rFonts w:hint="eastAsia" w:ascii="宋体" w:hAnsi="宋体" w:eastAsia="宋体" w:cs="宋体"/>
          <w:color w:val="000000"/>
          <w:sz w:val="24"/>
          <w:szCs w:val="24"/>
          <w:u w:val="single"/>
          <w:lang w:eastAsia="zh-CN"/>
        </w:rPr>
        <w:t>蔬菜社区党群服务中心</w:t>
      </w:r>
      <w:r>
        <w:rPr>
          <w:rFonts w:hint="eastAsia" w:ascii="宋体" w:hAnsi="宋体" w:eastAsia="宋体" w:cs="宋体"/>
          <w:sz w:val="24"/>
          <w:szCs w:val="24"/>
          <w:u w:val="single"/>
        </w:rPr>
        <w:t>设备</w:t>
      </w:r>
      <w:r>
        <w:rPr>
          <w:rFonts w:hint="eastAsia" w:ascii="宋体" w:hAnsi="宋体" w:eastAsia="宋体" w:cs="宋体"/>
          <w:iCs/>
          <w:sz w:val="24"/>
          <w:szCs w:val="24"/>
          <w:u w:val="single"/>
        </w:rPr>
        <w:t>的</w:t>
      </w:r>
      <w:r>
        <w:rPr>
          <w:rFonts w:hint="eastAsia" w:ascii="宋体" w:hAnsi="宋体" w:eastAsia="宋体" w:cs="宋体"/>
          <w:iCs/>
          <w:sz w:val="24"/>
          <w:szCs w:val="24"/>
          <w:u w:val="single"/>
          <w:lang w:val="en-US" w:eastAsia="zh-CN"/>
        </w:rPr>
        <w:t>家具、电脑、智能化设备</w:t>
      </w:r>
      <w:r>
        <w:rPr>
          <w:rFonts w:hint="eastAsia" w:ascii="宋体" w:hAnsi="宋体" w:eastAsia="宋体" w:cs="宋体"/>
          <w:iCs/>
          <w:sz w:val="24"/>
          <w:szCs w:val="24"/>
          <w:u w:val="single"/>
        </w:rPr>
        <w:t>采购、包装、运输、安装、调试、培训、验收、免费质量保修期内维保、售后服务等。具体货物名称、数量及技术参数需求等</w:t>
      </w:r>
      <w:r>
        <w:rPr>
          <w:rFonts w:hint="eastAsia" w:ascii="宋体" w:hAnsi="宋体" w:eastAsia="宋体" w:cs="宋体"/>
          <w:color w:val="000000"/>
          <w:sz w:val="24"/>
          <w:szCs w:val="24"/>
        </w:rPr>
        <w:t>（详细内容见本招标文件第四章）</w:t>
      </w:r>
    </w:p>
    <w:p w14:paraId="59AE782C">
      <w:pPr>
        <w:pageBreakBefore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7.合同履行期限：供货期限（含安装调试验收工期）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10</w:t>
      </w:r>
      <w:r>
        <w:rPr>
          <w:rFonts w:hint="eastAsia" w:ascii="宋体" w:hAnsi="宋体" w:eastAsia="宋体" w:cs="宋体"/>
          <w:sz w:val="24"/>
          <w:szCs w:val="24"/>
        </w:rPr>
        <w:t>日历天。</w:t>
      </w:r>
    </w:p>
    <w:p w14:paraId="4F03C89B">
      <w:pPr>
        <w:pageBreakBefore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sz w:val="24"/>
          <w:szCs w:val="24"/>
          <w:u w:val="single"/>
        </w:rPr>
      </w:pPr>
      <w:r>
        <w:rPr>
          <w:rFonts w:hint="eastAsia" w:ascii="宋体" w:hAnsi="宋体" w:eastAsia="宋体" w:cs="宋体"/>
          <w:sz w:val="24"/>
          <w:szCs w:val="24"/>
        </w:rPr>
        <w:t>8.免费质量保修期（所有产品）均为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2</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p>
    <w:p w14:paraId="2E1527DA">
      <w:pPr>
        <w:pageBreakBefore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9.质量标准：</w:t>
      </w:r>
      <w:r>
        <w:rPr>
          <w:rFonts w:hint="eastAsia" w:ascii="宋体" w:hAnsi="宋体" w:eastAsia="宋体" w:cs="宋体"/>
          <w:sz w:val="24"/>
          <w:szCs w:val="24"/>
          <w:u w:val="single"/>
        </w:rPr>
        <w:t xml:space="preserve"> 合格 </w:t>
      </w:r>
      <w:r>
        <w:rPr>
          <w:rFonts w:hint="eastAsia" w:ascii="宋体" w:hAnsi="宋体" w:eastAsia="宋体" w:cs="宋体"/>
          <w:sz w:val="24"/>
          <w:szCs w:val="24"/>
        </w:rPr>
        <w:t>。</w:t>
      </w:r>
    </w:p>
    <w:p w14:paraId="10182C09">
      <w:pPr>
        <w:pageBreakBefore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10.项目地点(交货地点)：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按甲方要求指定地点</w:t>
      </w:r>
      <w:r>
        <w:rPr>
          <w:rFonts w:hint="eastAsia" w:ascii="宋体" w:hAnsi="宋体" w:eastAsia="宋体" w:cs="宋体"/>
          <w:sz w:val="24"/>
          <w:szCs w:val="24"/>
        </w:rPr>
        <w:t>。</w:t>
      </w:r>
    </w:p>
    <w:p w14:paraId="21159F69">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11.非单一产品采购项目的核心产品：</w:t>
      </w:r>
      <w:r>
        <w:rPr>
          <w:rFonts w:hint="eastAsia" w:ascii="宋体" w:hAnsi="宋体" w:eastAsia="宋体" w:cs="宋体"/>
          <w:b/>
          <w:bCs/>
          <w:color w:val="auto"/>
          <w:sz w:val="24"/>
          <w:szCs w:val="24"/>
          <w:highlight w:val="none"/>
          <w:u w:val="single"/>
          <w:lang w:val="en-US" w:eastAsia="zh-CN"/>
        </w:rPr>
        <w:t xml:space="preserve"> 扩声系统设备 </w:t>
      </w:r>
      <w:r>
        <w:rPr>
          <w:rFonts w:hint="eastAsia" w:ascii="宋体" w:hAnsi="宋体" w:eastAsia="宋体" w:cs="宋体"/>
          <w:color w:val="auto"/>
          <w:sz w:val="24"/>
          <w:szCs w:val="24"/>
          <w:highlight w:val="none"/>
        </w:rPr>
        <w:t>。</w:t>
      </w:r>
    </w:p>
    <w:p w14:paraId="0743CFED">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shd w:val="clear" w:color="auto" w:fill="FFFF00"/>
        </w:rPr>
      </w:pPr>
      <w:r>
        <w:rPr>
          <w:rFonts w:hint="eastAsia" w:ascii="宋体" w:hAnsi="宋体" w:eastAsia="宋体" w:cs="宋体"/>
          <w:color w:val="333333"/>
          <w:sz w:val="24"/>
          <w:szCs w:val="24"/>
          <w:shd w:val="clear" w:color="auto" w:fill="FFFFFF"/>
        </w:rPr>
        <w:t>12.本项目（</w:t>
      </w:r>
      <w:r>
        <w:rPr>
          <w:rFonts w:hint="eastAsia" w:ascii="宋体" w:hAnsi="宋体" w:eastAsia="宋体" w:cs="宋体"/>
          <w:iCs/>
          <w:color w:val="333333"/>
          <w:sz w:val="24"/>
          <w:szCs w:val="24"/>
          <w:shd w:val="clear" w:color="auto" w:fill="FFFFFF"/>
        </w:rPr>
        <w:t>是/否</w:t>
      </w:r>
      <w:r>
        <w:rPr>
          <w:rFonts w:hint="eastAsia" w:ascii="宋体" w:hAnsi="宋体" w:eastAsia="宋体" w:cs="宋体"/>
          <w:color w:val="333333"/>
          <w:sz w:val="24"/>
          <w:szCs w:val="24"/>
          <w:shd w:val="clear" w:color="auto" w:fill="FFFFFF"/>
        </w:rPr>
        <w:t>）接受联合体</w:t>
      </w:r>
      <w:r>
        <w:rPr>
          <w:rFonts w:hint="eastAsia" w:ascii="宋体" w:hAnsi="宋体" w:eastAsia="宋体" w:cs="宋体"/>
          <w:color w:val="000000"/>
          <w:sz w:val="24"/>
          <w:szCs w:val="24"/>
        </w:rPr>
        <w:t>参与招标：</w:t>
      </w:r>
      <w:r>
        <w:rPr>
          <w:rFonts w:hint="eastAsia" w:ascii="宋体" w:hAnsi="宋体" w:eastAsia="宋体" w:cs="宋体"/>
          <w:color w:val="000000"/>
          <w:sz w:val="24"/>
          <w:szCs w:val="24"/>
          <w:u w:val="single"/>
        </w:rPr>
        <w:t>否</w:t>
      </w:r>
      <w:r>
        <w:rPr>
          <w:rFonts w:hint="eastAsia" w:ascii="宋体" w:hAnsi="宋体" w:eastAsia="宋体" w:cs="宋体"/>
          <w:color w:val="000000"/>
          <w:sz w:val="24"/>
          <w:szCs w:val="24"/>
        </w:rPr>
        <w:t>。</w:t>
      </w:r>
    </w:p>
    <w:p w14:paraId="13F213B9">
      <w:pPr>
        <w:pStyle w:val="44"/>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sz w:val="24"/>
          <w:szCs w:val="24"/>
        </w:rPr>
      </w:pPr>
      <w:bookmarkStart w:id="14" w:name="_Toc35393622"/>
      <w:bookmarkStart w:id="15" w:name="_Toc28359003"/>
      <w:bookmarkStart w:id="16" w:name="_Toc35393791"/>
      <w:bookmarkStart w:id="17" w:name="_Toc28359080"/>
      <w:bookmarkStart w:id="18" w:name="_Toc38985264"/>
      <w:r>
        <w:rPr>
          <w:rFonts w:hint="eastAsia" w:ascii="宋体" w:hAnsi="宋体" w:eastAsia="宋体" w:cs="宋体"/>
          <w:b/>
          <w:color w:val="000000"/>
          <w:sz w:val="24"/>
          <w:szCs w:val="24"/>
        </w:rPr>
        <w:t>二、申请人的资格要求：</w:t>
      </w:r>
      <w:bookmarkEnd w:id="14"/>
      <w:bookmarkEnd w:id="15"/>
      <w:bookmarkEnd w:id="16"/>
      <w:bookmarkEnd w:id="17"/>
      <w:bookmarkEnd w:id="18"/>
    </w:p>
    <w:p w14:paraId="23B259AE">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1.满足《中华人民共和国政府采购法》第二十二条规定，并提供下列材料：</w:t>
      </w:r>
    </w:p>
    <w:p w14:paraId="1A04D39A">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1.1 法人或者其他组织的营业执照等证明文件，自然人的身份证明；</w:t>
      </w:r>
    </w:p>
    <w:p w14:paraId="2B9EB65F">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1.2上一年度的财务状况报表（成立不满一年无需提供）；</w:t>
      </w:r>
    </w:p>
    <w:p w14:paraId="50FFF8A6">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1.3具备履行合同所必需的设备和专业技术能力的书面声明；</w:t>
      </w:r>
    </w:p>
    <w:p w14:paraId="54D59F01">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6DD7FE98">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1.5参加政府采购活动前3年内在经营活动中没有重大违法记录的书面声明。</w:t>
      </w:r>
    </w:p>
    <w:p w14:paraId="00529981">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1.6法律、行政法规规定的其他条件。</w:t>
      </w:r>
    </w:p>
    <w:p w14:paraId="65469072">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1.7在“信用中国”网站查询，无被列入失信被执行人、重大税收违法案件当事人名单、政府采购严重失信行为记录名单及其他不符合《中华人民共和国政府采购法》第二十二条规定条件的信用记录。</w:t>
      </w:r>
    </w:p>
    <w:p w14:paraId="38292C90">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1.8单位负责人为同一人或者存在直接控股、服务关系的不同供应商，不得参加同一合同项下的政府采购活动。</w:t>
      </w:r>
    </w:p>
    <w:p w14:paraId="30D3A382">
      <w:pPr>
        <w:pStyle w:val="44"/>
        <w:pageBreakBefore w:val="0"/>
        <w:numPr>
          <w:ilvl w:val="0"/>
          <w:numId w:val="4"/>
        </w:numPr>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333333"/>
          <w:sz w:val="24"/>
          <w:szCs w:val="24"/>
        </w:rPr>
      </w:pPr>
      <w:r>
        <w:rPr>
          <w:rFonts w:hint="eastAsia" w:ascii="宋体" w:hAnsi="宋体" w:eastAsia="宋体" w:cs="宋体"/>
          <w:color w:val="000000"/>
          <w:sz w:val="24"/>
          <w:szCs w:val="24"/>
        </w:rPr>
        <w:t>落实政府采购政策需满足的资格要求：</w:t>
      </w:r>
      <w:r>
        <w:rPr>
          <w:rFonts w:hint="eastAsia" w:ascii="宋体" w:hAnsi="宋体" w:eastAsia="宋体" w:cs="宋体"/>
          <w:color w:val="000000"/>
          <w:sz w:val="24"/>
          <w:szCs w:val="24"/>
          <w:u w:val="single"/>
          <w:lang w:val="en-US" w:eastAsia="zh-CN"/>
        </w:rPr>
        <w:t xml:space="preserve">   无  </w:t>
      </w:r>
      <w:r>
        <w:rPr>
          <w:rFonts w:hint="eastAsia" w:ascii="宋体" w:hAnsi="宋体" w:eastAsia="宋体" w:cs="宋体"/>
          <w:color w:val="000000"/>
          <w:sz w:val="24"/>
          <w:szCs w:val="24"/>
        </w:rPr>
        <w:t>。</w:t>
      </w:r>
    </w:p>
    <w:p w14:paraId="6B73BD90">
      <w:pPr>
        <w:pStyle w:val="44"/>
        <w:pageBreakBefore w:val="0"/>
        <w:numPr>
          <w:ilvl w:val="0"/>
          <w:numId w:val="4"/>
        </w:numPr>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333333"/>
          <w:sz w:val="24"/>
          <w:szCs w:val="24"/>
        </w:rPr>
      </w:pPr>
      <w:r>
        <w:rPr>
          <w:rFonts w:hint="eastAsia" w:ascii="宋体" w:hAnsi="宋体" w:eastAsia="宋体" w:cs="宋体"/>
          <w:color w:val="000000"/>
          <w:sz w:val="24"/>
          <w:szCs w:val="24"/>
        </w:rPr>
        <w:t>本项目的特定资格要求：</w:t>
      </w:r>
      <w:r>
        <w:rPr>
          <w:rFonts w:hint="eastAsia" w:ascii="宋体" w:hAnsi="宋体" w:eastAsia="宋体" w:cs="宋体"/>
          <w:color w:val="333333"/>
          <w:sz w:val="24"/>
          <w:szCs w:val="24"/>
          <w:u w:val="single"/>
          <w:shd w:val="clear" w:color="auto" w:fill="FFFFFF"/>
        </w:rPr>
        <w:t>无。</w:t>
      </w:r>
    </w:p>
    <w:p w14:paraId="4FDD4E46">
      <w:pPr>
        <w:pStyle w:val="44"/>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三、获取招标文件</w:t>
      </w:r>
    </w:p>
    <w:p w14:paraId="2C965507">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40"/>
        <w:jc w:val="both"/>
        <w:textAlignment w:val="auto"/>
        <w:rPr>
          <w:rFonts w:hint="eastAsia" w:ascii="宋体" w:hAnsi="宋体" w:eastAsia="宋体" w:cs="宋体"/>
          <w:color w:val="000000"/>
          <w:sz w:val="24"/>
          <w:szCs w:val="24"/>
        </w:rPr>
      </w:pPr>
      <w:bookmarkStart w:id="19" w:name="_Toc28359005"/>
      <w:bookmarkStart w:id="20" w:name="_Toc35393624"/>
      <w:bookmarkStart w:id="21" w:name="_Toc28359082"/>
      <w:bookmarkStart w:id="22" w:name="_Toc35393793"/>
      <w:bookmarkStart w:id="23" w:name="_Toc38985266"/>
      <w:r>
        <w:rPr>
          <w:rFonts w:hint="eastAsia" w:ascii="宋体" w:hAnsi="宋体" w:eastAsia="宋体" w:cs="宋体"/>
          <w:color w:val="000000"/>
          <w:sz w:val="24"/>
          <w:szCs w:val="24"/>
        </w:rPr>
        <w:t>1.时间：</w:t>
      </w:r>
      <w:bookmarkEnd w:id="19"/>
      <w:bookmarkEnd w:id="20"/>
      <w:bookmarkEnd w:id="21"/>
      <w:bookmarkEnd w:id="22"/>
      <w:bookmarkEnd w:id="23"/>
      <w:r>
        <w:rPr>
          <w:rFonts w:hint="eastAsia" w:ascii="宋体" w:hAnsi="宋体" w:eastAsia="宋体" w:cs="宋体"/>
          <w:color w:val="333333"/>
          <w:sz w:val="24"/>
          <w:szCs w:val="24"/>
          <w:u w:val="single"/>
          <w:shd w:val="clear" w:color="auto" w:fill="FFFFFF"/>
        </w:rPr>
        <w:t>2024年</w:t>
      </w:r>
      <w:r>
        <w:rPr>
          <w:rFonts w:hint="eastAsia" w:ascii="宋体" w:hAnsi="宋体" w:eastAsia="宋体" w:cs="宋体"/>
          <w:color w:val="333333"/>
          <w:sz w:val="24"/>
          <w:szCs w:val="24"/>
          <w:u w:val="single"/>
          <w:shd w:val="clear" w:color="auto" w:fill="FFFFFF"/>
          <w:lang w:val="en-US" w:eastAsia="zh-CN"/>
        </w:rPr>
        <w:t>12</w:t>
      </w:r>
      <w:r>
        <w:rPr>
          <w:rFonts w:hint="eastAsia" w:ascii="宋体" w:hAnsi="宋体" w:eastAsia="宋体" w:cs="宋体"/>
          <w:color w:val="333333"/>
          <w:sz w:val="24"/>
          <w:szCs w:val="24"/>
          <w:u w:val="single"/>
          <w:shd w:val="clear" w:color="auto" w:fill="FFFFFF"/>
        </w:rPr>
        <w:t>月</w:t>
      </w:r>
      <w:r>
        <w:rPr>
          <w:rFonts w:hint="eastAsia" w:ascii="宋体" w:hAnsi="宋体" w:eastAsia="宋体" w:cs="宋体"/>
          <w:color w:val="333333"/>
          <w:sz w:val="24"/>
          <w:szCs w:val="24"/>
          <w:u w:val="single"/>
          <w:shd w:val="clear" w:color="auto" w:fill="FFFFFF"/>
          <w:lang w:val="en-US" w:eastAsia="zh-CN"/>
        </w:rPr>
        <w:t>2</w:t>
      </w:r>
      <w:r>
        <w:rPr>
          <w:rFonts w:hint="eastAsia" w:ascii="宋体" w:hAnsi="宋体" w:eastAsia="宋体" w:cs="宋体"/>
          <w:color w:val="333333"/>
          <w:sz w:val="24"/>
          <w:szCs w:val="24"/>
          <w:u w:val="single"/>
          <w:shd w:val="clear" w:color="auto" w:fill="FFFFFF"/>
        </w:rPr>
        <w:t>日</w:t>
      </w:r>
      <w:r>
        <w:rPr>
          <w:rFonts w:hint="eastAsia" w:ascii="宋体" w:hAnsi="宋体" w:eastAsia="宋体" w:cs="宋体"/>
          <w:color w:val="333333"/>
          <w:sz w:val="24"/>
          <w:szCs w:val="24"/>
          <w:shd w:val="clear" w:color="auto" w:fill="FFFFFF"/>
        </w:rPr>
        <w:t>至</w:t>
      </w:r>
      <w:r>
        <w:rPr>
          <w:rFonts w:hint="eastAsia" w:ascii="宋体" w:hAnsi="宋体" w:eastAsia="宋体" w:cs="宋体"/>
          <w:color w:val="333333"/>
          <w:sz w:val="24"/>
          <w:szCs w:val="24"/>
          <w:u w:val="single"/>
          <w:shd w:val="clear" w:color="auto" w:fill="FFFFFF"/>
        </w:rPr>
        <w:t>2024年</w:t>
      </w:r>
      <w:r>
        <w:rPr>
          <w:rFonts w:hint="eastAsia" w:ascii="宋体" w:hAnsi="宋体" w:eastAsia="宋体" w:cs="宋体"/>
          <w:color w:val="333333"/>
          <w:sz w:val="24"/>
          <w:szCs w:val="24"/>
          <w:u w:val="single"/>
          <w:shd w:val="clear" w:color="auto" w:fill="FFFFFF"/>
          <w:lang w:val="en-US" w:eastAsia="zh-CN"/>
        </w:rPr>
        <w:t>12</w:t>
      </w:r>
      <w:r>
        <w:rPr>
          <w:rFonts w:hint="eastAsia" w:ascii="宋体" w:hAnsi="宋体" w:eastAsia="宋体" w:cs="宋体"/>
          <w:color w:val="333333"/>
          <w:sz w:val="24"/>
          <w:szCs w:val="24"/>
          <w:u w:val="single"/>
          <w:shd w:val="clear" w:color="auto" w:fill="FFFFFF"/>
        </w:rPr>
        <w:t>月</w:t>
      </w:r>
      <w:r>
        <w:rPr>
          <w:rFonts w:hint="eastAsia" w:ascii="宋体" w:hAnsi="宋体" w:eastAsia="宋体" w:cs="宋体"/>
          <w:color w:val="333333"/>
          <w:sz w:val="24"/>
          <w:szCs w:val="24"/>
          <w:u w:val="single"/>
          <w:shd w:val="clear" w:color="auto" w:fill="FFFFFF"/>
          <w:lang w:val="en-US" w:eastAsia="zh-CN"/>
        </w:rPr>
        <w:t>11</w:t>
      </w:r>
      <w:r>
        <w:rPr>
          <w:rFonts w:hint="eastAsia" w:ascii="宋体" w:hAnsi="宋体" w:eastAsia="宋体" w:cs="宋体"/>
          <w:color w:val="333333"/>
          <w:sz w:val="24"/>
          <w:szCs w:val="24"/>
          <w:u w:val="single"/>
          <w:shd w:val="clear" w:color="auto" w:fill="FFFFFF"/>
        </w:rPr>
        <w:t>日（含）</w:t>
      </w:r>
      <w:r>
        <w:rPr>
          <w:rFonts w:hint="eastAsia" w:ascii="宋体" w:hAnsi="宋体" w:eastAsia="宋体" w:cs="宋体"/>
          <w:color w:val="333333"/>
          <w:sz w:val="24"/>
          <w:szCs w:val="24"/>
          <w:shd w:val="clear" w:color="auto" w:fill="FFFFFF"/>
        </w:rPr>
        <w:t>，（北京时间，法定节假日除外 ）</w:t>
      </w:r>
      <w:r>
        <w:rPr>
          <w:rFonts w:hint="eastAsia" w:ascii="宋体" w:hAnsi="宋体" w:eastAsia="宋体" w:cs="宋体"/>
          <w:color w:val="000000"/>
          <w:sz w:val="24"/>
          <w:szCs w:val="24"/>
        </w:rPr>
        <w:t>。</w:t>
      </w:r>
    </w:p>
    <w:p w14:paraId="548E0F09">
      <w:pPr>
        <w:pageBreakBefore w:val="0"/>
        <w:widowControl/>
        <w:kinsoku/>
        <w:wordWrap/>
        <w:overflowPunct/>
        <w:topLinePunct w:val="0"/>
        <w:autoSpaceDE/>
        <w:autoSpaceDN/>
        <w:bidi w:val="0"/>
        <w:adjustRightInd/>
        <w:snapToGrid/>
        <w:spacing w:beforeAutospacing="0" w:afterAutospacing="0" w:line="360" w:lineRule="auto"/>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2.地点：供应商完成注册并办理CA证书后登录“苏采云”系统，自行免费下载本项目招标文件。</w:t>
      </w:r>
    </w:p>
    <w:p w14:paraId="726C2095">
      <w:pPr>
        <w:pageBreakBefore w:val="0"/>
        <w:widowControl/>
        <w:kinsoku/>
        <w:wordWrap/>
        <w:overflowPunct/>
        <w:topLinePunct w:val="0"/>
        <w:autoSpaceDE/>
        <w:autoSpaceDN/>
        <w:bidi w:val="0"/>
        <w:adjustRightInd/>
        <w:snapToGrid/>
        <w:spacing w:beforeAutospacing="0" w:afterAutospacing="0" w:line="360" w:lineRule="auto"/>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3.方式：登录“苏采云”系统。</w:t>
      </w:r>
    </w:p>
    <w:p w14:paraId="0D879E71">
      <w:pPr>
        <w:pageBreakBefore w:val="0"/>
        <w:widowControl/>
        <w:kinsoku/>
        <w:wordWrap/>
        <w:overflowPunct/>
        <w:topLinePunct w:val="0"/>
        <w:autoSpaceDE/>
        <w:autoSpaceDN/>
        <w:bidi w:val="0"/>
        <w:adjustRightInd/>
        <w:snapToGrid/>
        <w:spacing w:beforeAutospacing="0" w:afterAutospacing="0" w:line="360" w:lineRule="auto"/>
        <w:ind w:firstLine="480"/>
        <w:jc w:val="left"/>
        <w:textAlignment w:val="auto"/>
        <w:rPr>
          <w:rFonts w:hint="eastAsia" w:ascii="宋体" w:hAnsi="宋体" w:eastAsia="宋体" w:cs="宋体"/>
          <w:sz w:val="24"/>
          <w:szCs w:val="24"/>
        </w:rPr>
      </w:pPr>
      <w:r>
        <w:rPr>
          <w:rFonts w:hint="eastAsia" w:ascii="宋体" w:hAnsi="宋体" w:eastAsia="宋体" w:cs="宋体"/>
          <w:color w:val="000000"/>
          <w:sz w:val="24"/>
          <w:szCs w:val="24"/>
        </w:rPr>
        <w:t>4.售价：0元</w:t>
      </w:r>
    </w:p>
    <w:p w14:paraId="23E5DDCD">
      <w:pPr>
        <w:pStyle w:val="44"/>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四、提交投标文件截止时间、开标时间和地点</w:t>
      </w:r>
    </w:p>
    <w:p w14:paraId="6E2F00C3">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4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1.时间：</w:t>
      </w:r>
      <w:r>
        <w:rPr>
          <w:rFonts w:hint="eastAsia" w:ascii="宋体" w:hAnsi="宋体" w:eastAsia="宋体" w:cs="宋体"/>
          <w:color w:val="333333"/>
          <w:sz w:val="24"/>
          <w:szCs w:val="24"/>
          <w:u w:val="single"/>
          <w:shd w:val="clear" w:color="auto" w:fill="FFFFFF"/>
        </w:rPr>
        <w:t xml:space="preserve"> 2024年</w:t>
      </w:r>
      <w:r>
        <w:rPr>
          <w:rFonts w:hint="eastAsia" w:ascii="宋体" w:hAnsi="宋体" w:eastAsia="宋体" w:cs="宋体"/>
          <w:color w:val="333333"/>
          <w:sz w:val="24"/>
          <w:szCs w:val="24"/>
          <w:u w:val="single"/>
          <w:shd w:val="clear" w:color="auto" w:fill="FFFFFF"/>
          <w:lang w:val="en-US" w:eastAsia="zh-CN"/>
        </w:rPr>
        <w:t>12</w:t>
      </w:r>
      <w:r>
        <w:rPr>
          <w:rFonts w:hint="eastAsia" w:ascii="宋体" w:hAnsi="宋体" w:eastAsia="宋体" w:cs="宋体"/>
          <w:color w:val="333333"/>
          <w:sz w:val="24"/>
          <w:szCs w:val="24"/>
          <w:u w:val="single"/>
          <w:shd w:val="clear" w:color="auto" w:fill="FFFFFF"/>
        </w:rPr>
        <w:t>月</w:t>
      </w:r>
      <w:r>
        <w:rPr>
          <w:rFonts w:hint="eastAsia" w:ascii="宋体" w:hAnsi="宋体" w:eastAsia="宋体" w:cs="宋体"/>
          <w:color w:val="333333"/>
          <w:sz w:val="24"/>
          <w:szCs w:val="24"/>
          <w:u w:val="single"/>
          <w:shd w:val="clear" w:color="auto" w:fill="FFFFFF"/>
          <w:lang w:val="en-US" w:eastAsia="zh-CN"/>
        </w:rPr>
        <w:t>23</w:t>
      </w:r>
      <w:r>
        <w:rPr>
          <w:rFonts w:hint="eastAsia" w:ascii="宋体" w:hAnsi="宋体" w:eastAsia="宋体" w:cs="宋体"/>
          <w:color w:val="333333"/>
          <w:sz w:val="24"/>
          <w:szCs w:val="24"/>
          <w:u w:val="single"/>
          <w:shd w:val="clear" w:color="auto" w:fill="FFFFFF"/>
        </w:rPr>
        <w:t>日</w:t>
      </w:r>
      <w:r>
        <w:rPr>
          <w:rFonts w:hint="eastAsia" w:ascii="宋体" w:hAnsi="宋体" w:eastAsia="宋体" w:cs="宋体"/>
          <w:color w:val="333333"/>
          <w:sz w:val="24"/>
          <w:szCs w:val="24"/>
          <w:u w:val="single"/>
          <w:shd w:val="clear" w:color="auto" w:fill="FFFFFF"/>
          <w:lang w:val="en-US" w:eastAsia="zh-CN"/>
        </w:rPr>
        <w:t>09</w:t>
      </w:r>
      <w:r>
        <w:rPr>
          <w:rFonts w:hint="eastAsia" w:ascii="宋体" w:hAnsi="宋体" w:eastAsia="宋体" w:cs="宋体"/>
          <w:color w:val="333333"/>
          <w:sz w:val="24"/>
          <w:szCs w:val="24"/>
          <w:u w:val="single"/>
          <w:shd w:val="clear" w:color="auto" w:fill="FFFFFF"/>
        </w:rPr>
        <w:t>时00分00秒</w:t>
      </w:r>
      <w:r>
        <w:rPr>
          <w:rFonts w:hint="eastAsia" w:ascii="宋体" w:hAnsi="宋体" w:eastAsia="宋体" w:cs="宋体"/>
          <w:color w:val="000000"/>
          <w:sz w:val="24"/>
          <w:szCs w:val="24"/>
        </w:rPr>
        <w:t>（北京时间）</w:t>
      </w:r>
    </w:p>
    <w:p w14:paraId="4F1FC439">
      <w:pPr>
        <w:pStyle w:val="44"/>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2.地点：</w:t>
      </w:r>
      <w:r>
        <w:rPr>
          <w:rFonts w:hint="eastAsia" w:ascii="宋体" w:hAnsi="宋体" w:eastAsia="宋体" w:cs="宋体"/>
          <w:color w:val="FF0000"/>
          <w:sz w:val="24"/>
          <w:szCs w:val="24"/>
        </w:rPr>
        <w:t>“苏采云”政府采购交易系统网上开标大厅。</w:t>
      </w:r>
    </w:p>
    <w:p w14:paraId="154127ED">
      <w:pPr>
        <w:pStyle w:val="44"/>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sz w:val="24"/>
          <w:szCs w:val="24"/>
        </w:rPr>
      </w:pPr>
      <w:bookmarkStart w:id="24" w:name="_Toc28359084"/>
      <w:bookmarkStart w:id="25" w:name="_Toc35393794"/>
      <w:bookmarkStart w:id="26" w:name="_Toc38985267"/>
      <w:bookmarkStart w:id="27" w:name="_Toc28359007"/>
      <w:bookmarkStart w:id="28" w:name="_Toc35393625"/>
      <w:r>
        <w:rPr>
          <w:rFonts w:hint="eastAsia" w:ascii="宋体" w:hAnsi="宋体" w:eastAsia="宋体" w:cs="宋体"/>
          <w:b/>
          <w:color w:val="000000"/>
          <w:sz w:val="24"/>
          <w:szCs w:val="24"/>
        </w:rPr>
        <w:t>五、公告期限</w:t>
      </w:r>
      <w:bookmarkEnd w:id="24"/>
      <w:bookmarkEnd w:id="25"/>
      <w:bookmarkEnd w:id="26"/>
      <w:bookmarkEnd w:id="27"/>
      <w:bookmarkEnd w:id="28"/>
    </w:p>
    <w:p w14:paraId="7D7D82F7">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333333"/>
          <w:sz w:val="24"/>
          <w:szCs w:val="24"/>
          <w:shd w:val="clear" w:color="auto" w:fill="FFFFFF"/>
        </w:rPr>
      </w:pPr>
      <w:bookmarkStart w:id="29" w:name="_Toc35393795"/>
      <w:bookmarkStart w:id="30" w:name="_Toc35393626"/>
      <w:bookmarkStart w:id="31" w:name="_Toc38985268"/>
      <w:r>
        <w:rPr>
          <w:rFonts w:hint="eastAsia" w:ascii="宋体" w:hAnsi="宋体" w:eastAsia="宋体" w:cs="宋体"/>
          <w:color w:val="333333"/>
          <w:sz w:val="24"/>
          <w:szCs w:val="24"/>
          <w:shd w:val="clear" w:color="auto" w:fill="FFFFFF"/>
        </w:rPr>
        <w:t>自本公告发布之日起5个工作日。</w:t>
      </w:r>
      <w:bookmarkEnd w:id="29"/>
      <w:bookmarkEnd w:id="30"/>
      <w:bookmarkEnd w:id="31"/>
    </w:p>
    <w:p w14:paraId="0D99AF92">
      <w:pPr>
        <w:pStyle w:val="44"/>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六、其他补充事宜</w:t>
      </w:r>
    </w:p>
    <w:p w14:paraId="17933AAE">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333333"/>
          <w:sz w:val="24"/>
          <w:szCs w:val="24"/>
          <w:shd w:val="clear" w:color="auto" w:fill="FFFFFF"/>
        </w:rPr>
      </w:pPr>
      <w:bookmarkStart w:id="32" w:name="_Toc28359018"/>
      <w:r>
        <w:rPr>
          <w:rFonts w:hint="eastAsia" w:ascii="宋体" w:hAnsi="宋体" w:eastAsia="宋体" w:cs="宋体"/>
          <w:color w:val="333333"/>
          <w:sz w:val="24"/>
          <w:szCs w:val="24"/>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4A17CCC4">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 \o "http://www" </w:instrText>
      </w:r>
      <w:r>
        <w:rPr>
          <w:rFonts w:hint="eastAsia" w:ascii="宋体" w:hAnsi="宋体" w:eastAsia="宋体" w:cs="宋体"/>
          <w:sz w:val="24"/>
          <w:szCs w:val="24"/>
        </w:rPr>
        <w:fldChar w:fldCharType="separate"/>
      </w:r>
      <w:r>
        <w:rPr>
          <w:rStyle w:val="57"/>
          <w:rFonts w:hint="eastAsia" w:ascii="宋体" w:hAnsi="宋体" w:eastAsia="宋体" w:cs="宋体"/>
          <w:color w:val="auto"/>
          <w:sz w:val="24"/>
          <w:szCs w:val="24"/>
          <w:shd w:val="clear" w:color="auto" w:fill="FFFFFF"/>
        </w:rPr>
        <w:t>http://www</w:t>
      </w:r>
      <w:r>
        <w:rPr>
          <w:rStyle w:val="57"/>
          <w:rFonts w:hint="eastAsia" w:ascii="宋体" w:hAnsi="宋体" w:eastAsia="宋体" w:cs="宋体"/>
          <w:color w:val="auto"/>
          <w:sz w:val="24"/>
          <w:szCs w:val="24"/>
          <w:shd w:val="clear" w:color="auto" w:fill="FFFFFF"/>
        </w:rPr>
        <w:fldChar w:fldCharType="end"/>
      </w:r>
      <w:r>
        <w:rPr>
          <w:rFonts w:hint="eastAsia" w:ascii="宋体" w:hAnsi="宋体" w:eastAsia="宋体" w:cs="宋体"/>
          <w:sz w:val="24"/>
          <w:szCs w:val="24"/>
          <w:u w:val="single"/>
          <w:shd w:val="clear" w:color="auto" w:fill="FFFFFF"/>
        </w:rPr>
        <w:t>.ccgpjiangsu.gov.cn/</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u w:val="single"/>
          <w:shd w:val="clear" w:color="auto" w:fill="FFFFFF"/>
        </w:rPr>
        <w:t>4</w:t>
      </w:r>
      <w:r>
        <w:rPr>
          <w:rFonts w:hint="eastAsia" w:ascii="宋体" w:hAnsi="宋体" w:eastAsia="宋体" w:cs="宋体"/>
          <w:sz w:val="24"/>
          <w:szCs w:val="24"/>
          <w:u w:val="single"/>
          <w:shd w:val="clear" w:color="auto" w:fill="FFFFFF"/>
        </w:rPr>
        <w:fldChar w:fldCharType="end"/>
      </w:r>
      <w:r>
        <w:rPr>
          <w:rFonts w:hint="eastAsia" w:ascii="宋体" w:hAnsi="宋体" w:eastAsia="宋体" w:cs="宋体"/>
          <w:sz w:val="24"/>
          <w:szCs w:val="24"/>
          <w:u w:val="single"/>
          <w:shd w:val="clear" w:color="auto" w:fill="FFFFFF"/>
        </w:rPr>
        <w:t>anchen/zlxz/ee/ee3a4bc5a3454aa2b0d9312230633ce9.html</w:t>
      </w:r>
      <w:r>
        <w:rPr>
          <w:rFonts w:hint="eastAsia" w:ascii="宋体" w:hAnsi="宋体" w:eastAsia="宋体" w:cs="宋体"/>
          <w:sz w:val="24"/>
          <w:szCs w:val="24"/>
          <w:shd w:val="clear" w:color="auto" w:fill="FFFFFF"/>
        </w:rPr>
        <w:t>。</w:t>
      </w:r>
    </w:p>
    <w:p w14:paraId="40C0245D">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"http://czj"</w:instrText>
      </w:r>
      <w:r>
        <w:rPr>
          <w:rFonts w:hint="eastAsia" w:ascii="宋体" w:hAnsi="宋体" w:eastAsia="宋体" w:cs="宋体"/>
          <w:sz w:val="24"/>
          <w:szCs w:val="24"/>
        </w:rPr>
        <w:fldChar w:fldCharType="separate"/>
      </w:r>
      <w:r>
        <w:rPr>
          <w:rStyle w:val="57"/>
          <w:rFonts w:hint="eastAsia" w:ascii="宋体" w:hAnsi="宋体" w:eastAsia="宋体" w:cs="宋体"/>
          <w:color w:val="auto"/>
          <w:sz w:val="24"/>
          <w:szCs w:val="24"/>
          <w:shd w:val="clear" w:color="auto" w:fill="FFFFFF"/>
        </w:rPr>
        <w:t>http://czj</w:t>
      </w:r>
      <w:r>
        <w:rPr>
          <w:rStyle w:val="57"/>
          <w:rFonts w:hint="eastAsia" w:ascii="宋体" w:hAnsi="宋体" w:eastAsia="宋体" w:cs="宋体"/>
          <w:color w:val="auto"/>
          <w:sz w:val="24"/>
          <w:szCs w:val="24"/>
          <w:shd w:val="clear" w:color="auto" w:fill="FFFFFF"/>
        </w:rPr>
        <w:fldChar w:fldCharType="end"/>
      </w:r>
      <w:r>
        <w:rPr>
          <w:rFonts w:hint="eastAsia" w:ascii="宋体" w:hAnsi="宋体" w:eastAsia="宋体" w:cs="宋体"/>
          <w:sz w:val="24"/>
          <w:szCs w:val="24"/>
          <w:u w:val="single"/>
          <w:shd w:val="clear" w:color="auto" w:fill="FFFFFF"/>
        </w:rPr>
        <w:t>.yancheng.gov.cn/art/2023/9/14/art_2407_4057499.html</w:t>
      </w:r>
      <w:r>
        <w:rPr>
          <w:rFonts w:hint="eastAsia" w:ascii="宋体" w:hAnsi="宋体" w:eastAsia="宋体" w:cs="宋体"/>
          <w:sz w:val="24"/>
          <w:szCs w:val="24"/>
          <w:shd w:val="clear" w:color="auto" w:fill="FFFFFF"/>
        </w:rPr>
        <w:t>。</w:t>
      </w:r>
    </w:p>
    <w:p w14:paraId="0F074FB6">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2.有关本次招标的事项若存在变动或修改，敬请及时关注滨海县政府采购中心在“</w:t>
      </w:r>
      <w:r>
        <w:rPr>
          <w:rFonts w:hint="eastAsia" w:ascii="宋体" w:hAnsi="宋体" w:eastAsia="宋体" w:cs="宋体"/>
          <w:color w:val="000000"/>
          <w:sz w:val="24"/>
          <w:szCs w:val="24"/>
        </w:rPr>
        <w:t>中国政府采购网</w:t>
      </w:r>
      <w:r>
        <w:rPr>
          <w:rFonts w:hint="eastAsia" w:ascii="宋体" w:hAnsi="宋体" w:eastAsia="宋体" w:cs="宋体"/>
          <w:color w:val="333333"/>
          <w:sz w:val="24"/>
          <w:szCs w:val="24"/>
          <w:shd w:val="clear" w:color="auto" w:fill="FFFFFF"/>
        </w:rPr>
        <w:t>”、“江苏政府采购网”、“盐城市政府采购网”发布的更正公告。</w:t>
      </w:r>
    </w:p>
    <w:p w14:paraId="5B1F3A3C">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3.本次招标不收取投标保证金，不收取质量保证金。</w:t>
      </w:r>
    </w:p>
    <w:p w14:paraId="23ADB18C">
      <w:pPr>
        <w:pStyle w:val="3"/>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b w:val="0"/>
          <w:bCs w:val="0"/>
          <w:color w:val="333333"/>
          <w:sz w:val="24"/>
          <w:szCs w:val="24"/>
        </w:rPr>
      </w:pPr>
      <w:r>
        <w:rPr>
          <w:rFonts w:hint="eastAsia" w:ascii="宋体" w:hAnsi="宋体" w:eastAsia="宋体" w:cs="宋体"/>
          <w:b w:val="0"/>
          <w:bCs w:val="0"/>
          <w:color w:val="333333"/>
          <w:sz w:val="24"/>
          <w:szCs w:val="24"/>
          <w:shd w:val="clear" w:color="auto" w:fill="FFFFFF"/>
        </w:rPr>
        <w:t>七、对本次招标提出询问，请按以下方式联系。</w:t>
      </w:r>
      <w:bookmarkEnd w:id="32"/>
    </w:p>
    <w:p w14:paraId="5FEAA279">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textAlignment w:val="auto"/>
        <w:rPr>
          <w:rFonts w:hint="eastAsia" w:ascii="宋体" w:hAnsi="宋体" w:eastAsia="宋体" w:cs="宋体"/>
          <w:color w:val="000000"/>
          <w:sz w:val="24"/>
          <w:szCs w:val="24"/>
        </w:rPr>
      </w:pPr>
      <w:bookmarkStart w:id="33" w:name="_Toc28359010"/>
      <w:bookmarkStart w:id="34" w:name="_Toc28359087"/>
      <w:r>
        <w:rPr>
          <w:rFonts w:hint="eastAsia" w:ascii="宋体" w:hAnsi="宋体" w:eastAsia="宋体" w:cs="宋体"/>
          <w:color w:val="000000"/>
          <w:sz w:val="24"/>
          <w:szCs w:val="24"/>
        </w:rPr>
        <w:t>1.采购人信息</w:t>
      </w:r>
    </w:p>
    <w:p w14:paraId="608EA5C3">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名称：</w:t>
      </w:r>
      <w:r>
        <w:rPr>
          <w:rFonts w:hint="eastAsia" w:ascii="宋体" w:hAnsi="宋体" w:eastAsia="宋体" w:cs="宋体"/>
          <w:color w:val="000000"/>
          <w:sz w:val="24"/>
          <w:szCs w:val="24"/>
          <w:lang w:eastAsia="zh-CN"/>
        </w:rPr>
        <w:t>滨海县人民政府东坎街道办事处</w:t>
      </w:r>
      <w:r>
        <w:rPr>
          <w:rFonts w:hint="eastAsia" w:ascii="宋体" w:hAnsi="宋体" w:eastAsia="宋体" w:cs="宋体"/>
          <w:color w:val="000000"/>
          <w:sz w:val="24"/>
          <w:szCs w:val="24"/>
        </w:rPr>
        <w:t xml:space="preserve"> </w:t>
      </w:r>
    </w:p>
    <w:p w14:paraId="3C86B342">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地址：</w:t>
      </w:r>
      <w:r>
        <w:rPr>
          <w:rFonts w:hint="eastAsia" w:ascii="宋体" w:hAnsi="宋体" w:eastAsia="宋体" w:cs="宋体"/>
          <w:color w:val="000000"/>
          <w:sz w:val="24"/>
          <w:szCs w:val="24"/>
          <w:lang w:val="en-US" w:eastAsia="zh-CN"/>
        </w:rPr>
        <w:t>幸福路1号</w:t>
      </w:r>
    </w:p>
    <w:p w14:paraId="3C945799">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联系人：</w:t>
      </w:r>
      <w:r>
        <w:rPr>
          <w:rFonts w:hint="eastAsia" w:ascii="宋体" w:hAnsi="宋体" w:eastAsia="宋体" w:cs="宋体"/>
          <w:color w:val="000000"/>
          <w:sz w:val="24"/>
          <w:szCs w:val="24"/>
          <w:lang w:val="en-US" w:eastAsia="zh-CN"/>
        </w:rPr>
        <w:t>杨女士</w:t>
      </w:r>
    </w:p>
    <w:p w14:paraId="7AAB3E4C">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联系手机号码：</w:t>
      </w:r>
      <w:r>
        <w:rPr>
          <w:rFonts w:hint="eastAsia" w:ascii="宋体" w:hAnsi="宋体" w:eastAsia="宋体" w:cs="宋体"/>
          <w:color w:val="000000"/>
          <w:sz w:val="24"/>
          <w:szCs w:val="24"/>
          <w:lang w:val="en-US" w:eastAsia="zh-CN"/>
        </w:rPr>
        <w:t>15861919528</w:t>
      </w:r>
    </w:p>
    <w:bookmarkEnd w:id="33"/>
    <w:bookmarkEnd w:id="34"/>
    <w:p w14:paraId="397A2444">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2.代理机构：</w:t>
      </w:r>
      <w:r>
        <w:rPr>
          <w:rFonts w:hint="eastAsia" w:ascii="宋体" w:hAnsi="宋体" w:eastAsia="宋体" w:cs="宋体"/>
          <w:color w:val="000000"/>
          <w:sz w:val="24"/>
          <w:szCs w:val="24"/>
          <w:lang w:val="en-US" w:eastAsia="zh-CN"/>
        </w:rPr>
        <w:t>江苏宏厚项目管理有限公司</w:t>
      </w:r>
    </w:p>
    <w:p w14:paraId="2E74C74E">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地址：滨海县坎北街道响坎路7号10楼07室</w:t>
      </w:r>
    </w:p>
    <w:p w14:paraId="35A2BA83">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联系人：</w:t>
      </w:r>
      <w:r>
        <w:rPr>
          <w:rFonts w:hint="eastAsia" w:ascii="宋体" w:hAnsi="宋体" w:eastAsia="宋体" w:cs="宋体"/>
          <w:color w:val="000000"/>
          <w:sz w:val="24"/>
          <w:szCs w:val="24"/>
          <w:lang w:val="en-US" w:eastAsia="zh-CN"/>
        </w:rPr>
        <w:t>薛先生</w:t>
      </w:r>
    </w:p>
    <w:p w14:paraId="5EFA3A00">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000000"/>
          <w:sz w:val="24"/>
          <w:szCs w:val="24"/>
        </w:rPr>
        <w:t>联系方式：</w:t>
      </w:r>
      <w:r>
        <w:rPr>
          <w:rFonts w:hint="eastAsia" w:ascii="宋体" w:hAnsi="宋体" w:eastAsia="宋体" w:cs="宋体"/>
          <w:color w:val="000000"/>
          <w:sz w:val="24"/>
          <w:szCs w:val="24"/>
          <w:lang w:val="en-US" w:eastAsia="zh-CN"/>
        </w:rPr>
        <w:t>19851498848</w:t>
      </w:r>
      <w:r>
        <w:rPr>
          <w:rFonts w:hint="eastAsia" w:ascii="宋体" w:hAnsi="宋体" w:eastAsia="宋体" w:cs="宋体"/>
          <w:color w:val="333333"/>
          <w:sz w:val="24"/>
          <w:szCs w:val="24"/>
          <w:shd w:val="clear" w:color="auto" w:fill="FFFFFF"/>
        </w:rPr>
        <w:t xml:space="preserve">                </w:t>
      </w:r>
    </w:p>
    <w:p w14:paraId="0E5D2FBA">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333333"/>
          <w:sz w:val="24"/>
          <w:szCs w:val="24"/>
          <w:shd w:val="clear" w:color="auto" w:fill="FFFFFF"/>
        </w:rPr>
      </w:pPr>
      <w:bookmarkStart w:id="35" w:name="_Toc28359021"/>
      <w:r>
        <w:rPr>
          <w:rFonts w:hint="eastAsia" w:ascii="宋体" w:hAnsi="宋体" w:eastAsia="宋体" w:cs="宋体"/>
          <w:color w:val="333333"/>
          <w:sz w:val="24"/>
          <w:szCs w:val="24"/>
          <w:shd w:val="clear" w:color="auto" w:fill="FFFFFF"/>
        </w:rPr>
        <w:t>3.</w:t>
      </w:r>
      <w:bookmarkEnd w:id="35"/>
      <w:r>
        <w:rPr>
          <w:rFonts w:hint="eastAsia" w:ascii="宋体" w:hAnsi="宋体" w:eastAsia="宋体" w:cs="宋体"/>
          <w:color w:val="333333"/>
          <w:sz w:val="24"/>
          <w:szCs w:val="24"/>
          <w:shd w:val="clear" w:color="auto" w:fill="FFFFFF"/>
        </w:rPr>
        <w:t>项目联系方式</w:t>
      </w:r>
    </w:p>
    <w:p w14:paraId="15D6BCB5">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default" w:ascii="宋体" w:hAnsi="宋体" w:eastAsia="宋体" w:cs="宋体"/>
          <w:color w:val="333333"/>
          <w:sz w:val="24"/>
          <w:szCs w:val="24"/>
          <w:shd w:val="clear" w:color="auto" w:fill="FFFFFF"/>
          <w:lang w:val="en-US" w:eastAsia="zh-CN"/>
        </w:rPr>
      </w:pPr>
      <w:r>
        <w:rPr>
          <w:rFonts w:hint="eastAsia" w:ascii="宋体" w:hAnsi="宋体" w:eastAsia="宋体" w:cs="宋体"/>
          <w:color w:val="333333"/>
          <w:sz w:val="24"/>
          <w:szCs w:val="24"/>
          <w:shd w:val="clear" w:color="auto" w:fill="FFFFFF"/>
        </w:rPr>
        <w:t>项目联系人：</w:t>
      </w:r>
      <w:r>
        <w:rPr>
          <w:rFonts w:hint="eastAsia" w:ascii="宋体" w:hAnsi="宋体" w:eastAsia="宋体" w:cs="宋体"/>
          <w:color w:val="333333"/>
          <w:sz w:val="24"/>
          <w:szCs w:val="24"/>
          <w:shd w:val="clear" w:color="auto" w:fill="FFFFFF"/>
          <w:lang w:val="en-US" w:eastAsia="zh-CN"/>
        </w:rPr>
        <w:t>薛先生</w:t>
      </w:r>
    </w:p>
    <w:p w14:paraId="0DC63585">
      <w:pPr>
        <w:pStyle w:val="4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333333"/>
          <w:sz w:val="28"/>
          <w:szCs w:val="28"/>
          <w:shd w:val="clear" w:color="auto" w:fill="FFFFFF"/>
        </w:rPr>
      </w:pPr>
      <w:r>
        <w:rPr>
          <w:rFonts w:hint="eastAsia" w:ascii="宋体" w:hAnsi="宋体" w:eastAsia="宋体" w:cs="宋体"/>
          <w:color w:val="333333"/>
          <w:sz w:val="24"/>
          <w:szCs w:val="24"/>
          <w:shd w:val="clear" w:color="auto" w:fill="FFFFFF"/>
        </w:rPr>
        <w:t>电　　 话：</w:t>
      </w:r>
      <w:r>
        <w:rPr>
          <w:rFonts w:hint="eastAsia" w:ascii="宋体" w:hAnsi="宋体" w:eastAsia="宋体" w:cs="宋体"/>
          <w:color w:val="000000"/>
          <w:sz w:val="24"/>
          <w:szCs w:val="24"/>
          <w:lang w:val="en-US" w:eastAsia="zh-CN"/>
        </w:rPr>
        <w:t>19851498848</w:t>
      </w:r>
      <w:r>
        <w:rPr>
          <w:rFonts w:hint="eastAsia" w:ascii="宋体" w:hAnsi="宋体" w:eastAsia="宋体" w:cs="宋体"/>
          <w:color w:val="333333"/>
          <w:sz w:val="24"/>
          <w:szCs w:val="24"/>
          <w:shd w:val="clear" w:color="auto" w:fill="FFFFFF"/>
        </w:rPr>
        <w:t>　</w:t>
      </w:r>
      <w:r>
        <w:rPr>
          <w:rFonts w:hint="eastAsia" w:ascii="宋体" w:hAnsi="宋体" w:eastAsia="宋体" w:cs="宋体"/>
          <w:color w:val="333333"/>
          <w:sz w:val="28"/>
          <w:szCs w:val="28"/>
          <w:shd w:val="clear" w:color="auto" w:fill="FFFFFF"/>
        </w:rPr>
        <w:t>　　　　　　　　　　</w:t>
      </w:r>
    </w:p>
    <w:p w14:paraId="4144CF75">
      <w:pPr>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8"/>
          <w:szCs w:val="28"/>
        </w:rPr>
      </w:pPr>
      <w:r>
        <w:rPr>
          <w:rFonts w:hint="eastAsia" w:ascii="宋体" w:hAnsi="宋体" w:eastAsia="宋体" w:cs="宋体"/>
          <w:sz w:val="28"/>
          <w:szCs w:val="28"/>
        </w:rPr>
        <w:t> </w:t>
      </w:r>
    </w:p>
    <w:p w14:paraId="66A40C12">
      <w:pPr>
        <w:rPr>
          <w:rFonts w:hint="eastAsia" w:ascii="宋体" w:hAnsi="宋体" w:eastAsia="宋体" w:cs="宋体"/>
          <w:b/>
          <w:color w:val="000000"/>
          <w:sz w:val="44"/>
          <w:szCs w:val="44"/>
        </w:rPr>
      </w:pPr>
      <w:r>
        <w:rPr>
          <w:rFonts w:hint="eastAsia" w:ascii="宋体" w:hAnsi="宋体" w:eastAsia="宋体" w:cs="宋体"/>
          <w:color w:val="000000"/>
        </w:rPr>
        <w:br w:type="page" w:clear="all"/>
      </w:r>
      <w:bookmarkStart w:id="36" w:name="_Toc120614211"/>
    </w:p>
    <w:p w14:paraId="05D9A407">
      <w:pPr>
        <w:pStyle w:val="44"/>
        <w:keepNext/>
        <w:keepLines/>
        <w:pageBreakBefore w:val="0"/>
        <w:widowControl w:val="0"/>
        <w:kinsoku/>
        <w:wordWrap/>
        <w:overflowPunct/>
        <w:topLinePunct w:val="0"/>
        <w:autoSpaceDE/>
        <w:autoSpaceDN/>
        <w:bidi w:val="0"/>
        <w:adjustRightInd/>
        <w:snapToGrid/>
        <w:spacing w:before="20" w:beforeAutospacing="0" w:after="20" w:afterAutospacing="0" w:line="416" w:lineRule="auto"/>
        <w:ind w:firstLine="2426"/>
        <w:jc w:val="both"/>
        <w:textAlignment w:val="auto"/>
        <w:rPr>
          <w:rFonts w:hint="eastAsia" w:ascii="宋体" w:hAnsi="宋体" w:eastAsia="宋体" w:cs="宋体"/>
        </w:rPr>
      </w:pPr>
      <w:r>
        <w:rPr>
          <w:rFonts w:hint="eastAsia" w:ascii="宋体" w:hAnsi="宋体" w:eastAsia="宋体" w:cs="宋体"/>
          <w:b/>
          <w:color w:val="000000"/>
          <w:sz w:val="44"/>
          <w:szCs w:val="44"/>
        </w:rPr>
        <w:t xml:space="preserve">第二章  </w:t>
      </w:r>
      <w:bookmarkEnd w:id="36"/>
      <w:bookmarkStart w:id="37" w:name="_Toc20823274"/>
      <w:bookmarkStart w:id="38" w:name="_Toc16938518"/>
      <w:bookmarkStart w:id="39" w:name="_Toc513029202"/>
      <w:bookmarkStart w:id="40" w:name="_Toc120614213"/>
      <w:r>
        <w:rPr>
          <w:rFonts w:hint="eastAsia" w:ascii="宋体" w:hAnsi="宋体" w:eastAsia="宋体" w:cs="宋体"/>
          <w:b/>
          <w:color w:val="000000"/>
          <w:sz w:val="44"/>
          <w:szCs w:val="44"/>
        </w:rPr>
        <w:t>投标人须知</w:t>
      </w:r>
      <w:bookmarkEnd w:id="37"/>
      <w:bookmarkEnd w:id="38"/>
      <w:bookmarkEnd w:id="39"/>
      <w:bookmarkEnd w:id="40"/>
    </w:p>
    <w:p w14:paraId="20615715">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sz w:val="24"/>
          <w:szCs w:val="24"/>
        </w:rPr>
      </w:pPr>
      <w:bookmarkStart w:id="41" w:name="_Toc120614214"/>
      <w:bookmarkStart w:id="42" w:name="_Toc513029203"/>
      <w:bookmarkStart w:id="43" w:name="_Toc20823275"/>
      <w:bookmarkStart w:id="44" w:name="_Toc16938519"/>
      <w:r>
        <w:rPr>
          <w:rFonts w:hint="eastAsia" w:ascii="宋体" w:hAnsi="宋体" w:eastAsia="宋体" w:cs="宋体"/>
          <w:b/>
          <w:color w:val="000000"/>
          <w:sz w:val="24"/>
          <w:szCs w:val="24"/>
        </w:rPr>
        <w:t>一、总则</w:t>
      </w:r>
      <w:bookmarkEnd w:id="41"/>
      <w:bookmarkEnd w:id="42"/>
      <w:bookmarkEnd w:id="43"/>
      <w:bookmarkEnd w:id="44"/>
    </w:p>
    <w:p w14:paraId="02C7B531">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bookmarkStart w:id="45" w:name="_Toc16938520"/>
      <w:bookmarkStart w:id="46" w:name="_Toc458694821"/>
      <w:bookmarkStart w:id="47" w:name="_Toc513029204"/>
      <w:bookmarkStart w:id="48" w:name="_Hlt16619475"/>
      <w:r>
        <w:rPr>
          <w:rFonts w:hint="eastAsia" w:ascii="宋体" w:hAnsi="宋体" w:eastAsia="宋体" w:cs="宋体"/>
          <w:color w:val="000000"/>
          <w:sz w:val="24"/>
          <w:szCs w:val="24"/>
        </w:rPr>
        <w:t>1.招标方式</w:t>
      </w:r>
      <w:bookmarkEnd w:id="45"/>
      <w:bookmarkEnd w:id="46"/>
      <w:bookmarkEnd w:id="47"/>
    </w:p>
    <w:p w14:paraId="06728B00">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1.1 本次招标采取公开招标方式，本招标文件仅适用于招标公告中所述项目。</w:t>
      </w:r>
    </w:p>
    <w:p w14:paraId="52A33E0E">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bookmarkStart w:id="49" w:name="_Toc16938521"/>
      <w:bookmarkStart w:id="50" w:name="_Toc20823277"/>
      <w:bookmarkStart w:id="51" w:name="_Toc513029205"/>
      <w:r>
        <w:rPr>
          <w:rFonts w:hint="eastAsia" w:ascii="宋体" w:hAnsi="宋体" w:eastAsia="宋体" w:cs="宋体"/>
          <w:color w:val="000000"/>
          <w:sz w:val="24"/>
          <w:szCs w:val="24"/>
        </w:rPr>
        <w:t>2.合格的投标人</w:t>
      </w:r>
      <w:bookmarkEnd w:id="49"/>
      <w:bookmarkEnd w:id="50"/>
      <w:bookmarkEnd w:id="51"/>
    </w:p>
    <w:p w14:paraId="4F3D5715">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2.1满足招标公告中供应商的资格要求的规定。</w:t>
      </w:r>
    </w:p>
    <w:p w14:paraId="23B7A4DA">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2.2 满足本文件实质性要求和条件的规定。</w:t>
      </w:r>
    </w:p>
    <w:p w14:paraId="545E0B6A">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bookmarkStart w:id="52" w:name="_Toc513029206"/>
      <w:bookmarkStart w:id="53" w:name="_Toc20823278"/>
      <w:bookmarkStart w:id="54" w:name="_Toc16938522"/>
      <w:r>
        <w:rPr>
          <w:rFonts w:hint="eastAsia" w:ascii="宋体" w:hAnsi="宋体" w:eastAsia="宋体" w:cs="宋体"/>
          <w:color w:val="000000"/>
          <w:sz w:val="24"/>
          <w:szCs w:val="24"/>
        </w:rPr>
        <w:t>3.适用法律</w:t>
      </w:r>
      <w:bookmarkEnd w:id="52"/>
      <w:bookmarkEnd w:id="53"/>
      <w:bookmarkEnd w:id="54"/>
    </w:p>
    <w:p w14:paraId="4758A347">
      <w:pPr>
        <w:pStyle w:val="44"/>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3.1 本次招标及由此产生的合同受中华人民共和国有关的法律法规制约和保护。</w:t>
      </w:r>
    </w:p>
    <w:p w14:paraId="0AB4E5CD">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bookmarkStart w:id="55" w:name="_Toc16938523"/>
      <w:bookmarkStart w:id="56" w:name="_Toc462564067"/>
      <w:bookmarkStart w:id="57" w:name="_Toc20823279"/>
      <w:bookmarkStart w:id="58" w:name="_Toc513029207"/>
      <w:r>
        <w:rPr>
          <w:rFonts w:hint="eastAsia" w:ascii="宋体" w:hAnsi="宋体" w:eastAsia="宋体" w:cs="宋体"/>
          <w:color w:val="000000"/>
          <w:sz w:val="24"/>
          <w:szCs w:val="24"/>
        </w:rPr>
        <w:t>4.投标费用</w:t>
      </w:r>
      <w:bookmarkEnd w:id="55"/>
      <w:bookmarkEnd w:id="56"/>
      <w:bookmarkEnd w:id="57"/>
      <w:bookmarkEnd w:id="58"/>
    </w:p>
    <w:p w14:paraId="01A20A64">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4.1 投标人应自行承担所有与参加投标有关的费用，无论投标过程中的做法和结果如何，采购人在任何情况下均无义务和责任承担这些费用。</w:t>
      </w:r>
    </w:p>
    <w:p w14:paraId="58EBCEA3">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4.2本次招标采购人不收取标书工本费。</w:t>
      </w:r>
    </w:p>
    <w:p w14:paraId="32AD914B">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b w:val="0"/>
          <w:bCs/>
          <w:color w:val="000000"/>
          <w:sz w:val="24"/>
          <w:szCs w:val="24"/>
        </w:rPr>
        <w:t>5.招标</w:t>
      </w:r>
      <w:r>
        <w:rPr>
          <w:rFonts w:hint="eastAsia" w:ascii="宋体" w:hAnsi="宋体" w:eastAsia="宋体" w:cs="宋体"/>
          <w:color w:val="000000"/>
          <w:sz w:val="24"/>
          <w:szCs w:val="24"/>
        </w:rPr>
        <w:t>文件的约束力</w:t>
      </w:r>
    </w:p>
    <w:p w14:paraId="18228995">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5.1 投标人一旦参加本项目采购活动，即被认为接受了本招标文件的规定和约束。</w:t>
      </w:r>
    </w:p>
    <w:p w14:paraId="47E7BA7D">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321"/>
        <w:jc w:val="both"/>
        <w:textAlignment w:val="auto"/>
        <w:rPr>
          <w:rFonts w:hint="eastAsia" w:ascii="宋体" w:hAnsi="宋体" w:eastAsia="宋体" w:cs="宋体"/>
          <w:sz w:val="24"/>
          <w:szCs w:val="24"/>
        </w:rPr>
      </w:pPr>
      <w:bookmarkStart w:id="59" w:name="_Toc120614215"/>
      <w:bookmarkStart w:id="60" w:name="_Toc20823281"/>
      <w:bookmarkStart w:id="61" w:name="_Toc16938525"/>
      <w:bookmarkStart w:id="62" w:name="_Toc513029209"/>
      <w:r>
        <w:rPr>
          <w:rFonts w:hint="eastAsia" w:ascii="宋体" w:hAnsi="宋体" w:eastAsia="宋体" w:cs="宋体"/>
          <w:b/>
          <w:color w:val="000000"/>
          <w:sz w:val="24"/>
          <w:szCs w:val="24"/>
        </w:rPr>
        <w:t>二、招标文件</w:t>
      </w:r>
      <w:bookmarkEnd w:id="59"/>
      <w:bookmarkEnd w:id="60"/>
      <w:bookmarkEnd w:id="61"/>
      <w:bookmarkEnd w:id="62"/>
    </w:p>
    <w:p w14:paraId="2229DC62">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bookmarkStart w:id="63" w:name="_Toc16938526"/>
      <w:bookmarkStart w:id="64" w:name="_Toc20823282"/>
      <w:bookmarkStart w:id="65" w:name="_Toc513029210"/>
      <w:r>
        <w:rPr>
          <w:rFonts w:hint="eastAsia" w:ascii="宋体" w:hAnsi="宋体" w:eastAsia="宋体" w:cs="宋体"/>
          <w:color w:val="000000"/>
          <w:sz w:val="24"/>
          <w:szCs w:val="24"/>
        </w:rPr>
        <w:t>6.招标文件构成</w:t>
      </w:r>
      <w:bookmarkEnd w:id="63"/>
      <w:bookmarkEnd w:id="64"/>
      <w:bookmarkEnd w:id="65"/>
    </w:p>
    <w:p w14:paraId="1E89D72D">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6.1 招标文件由以下部分组成：</w:t>
      </w:r>
    </w:p>
    <w:p w14:paraId="43574F09">
      <w:pPr>
        <w:pStyle w:val="44"/>
        <w:pageBreakBefore w:val="0"/>
        <w:widowControl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（1）招标公告</w:t>
      </w:r>
    </w:p>
    <w:p w14:paraId="0BA6D585">
      <w:pPr>
        <w:pStyle w:val="44"/>
        <w:pageBreakBefore w:val="0"/>
        <w:widowControl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（2）投标人须知</w:t>
      </w:r>
    </w:p>
    <w:p w14:paraId="09281A86">
      <w:pPr>
        <w:pStyle w:val="44"/>
        <w:pageBreakBefore w:val="0"/>
        <w:widowControl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（3）合同文本</w:t>
      </w:r>
    </w:p>
    <w:p w14:paraId="3B91BEC9">
      <w:pPr>
        <w:pStyle w:val="44"/>
        <w:pageBreakBefore w:val="0"/>
        <w:widowControl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（4）采购需求</w:t>
      </w:r>
    </w:p>
    <w:p w14:paraId="544B1F22">
      <w:pPr>
        <w:pStyle w:val="44"/>
        <w:pageBreakBefore w:val="0"/>
        <w:widowControl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（5）评标方法与评标标准</w:t>
      </w:r>
    </w:p>
    <w:p w14:paraId="7F0559C6">
      <w:pPr>
        <w:pStyle w:val="44"/>
        <w:pageBreakBefore w:val="0"/>
        <w:widowControl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（6）投标文件格式</w:t>
      </w:r>
    </w:p>
    <w:p w14:paraId="701FB1CF">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请仔细检查招标文件是否齐全，如有缺漏请立即与采购人联系解决。</w:t>
      </w:r>
    </w:p>
    <w:p w14:paraId="37F0DE16">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7EBA8F4">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rPr>
      </w:pPr>
      <w:bookmarkStart w:id="66" w:name="_Toc513029211"/>
      <w:bookmarkStart w:id="67" w:name="_Toc20823283"/>
      <w:bookmarkStart w:id="68" w:name="_Toc462564070"/>
      <w:bookmarkStart w:id="69" w:name="_Toc16938527"/>
      <w:r>
        <w:rPr>
          <w:rFonts w:hint="eastAsia" w:ascii="宋体" w:hAnsi="宋体" w:eastAsia="宋体" w:cs="宋体"/>
          <w:color w:val="000000"/>
          <w:sz w:val="24"/>
          <w:szCs w:val="24"/>
        </w:rPr>
        <w:t>7.招标文件的澄清</w:t>
      </w:r>
      <w:bookmarkEnd w:id="66"/>
      <w:bookmarkEnd w:id="67"/>
      <w:bookmarkEnd w:id="68"/>
      <w:bookmarkEnd w:id="69"/>
    </w:p>
    <w:p w14:paraId="18E395F7">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7.1 任何要求对招标文件进行澄清的投标人，应在投标截止期</w:t>
      </w:r>
      <w:r>
        <w:rPr>
          <w:rFonts w:hint="eastAsia" w:ascii="宋体" w:hAnsi="宋体" w:eastAsia="宋体" w:cs="宋体"/>
          <w:b/>
          <w:color w:val="000000"/>
          <w:sz w:val="24"/>
          <w:szCs w:val="24"/>
        </w:rPr>
        <w:t>十日</w:t>
      </w:r>
      <w:r>
        <w:rPr>
          <w:rFonts w:hint="eastAsia" w:ascii="宋体" w:hAnsi="宋体" w:eastAsia="宋体" w:cs="宋体"/>
          <w:color w:val="000000"/>
          <w:sz w:val="24"/>
          <w:szCs w:val="24"/>
        </w:rPr>
        <w:t>前按招标公告中的通讯地址，以书面形式通知采购人。</w:t>
      </w:r>
    </w:p>
    <w:p w14:paraId="528F1F97">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rPr>
      </w:pPr>
      <w:bookmarkStart w:id="70" w:name="_Toc513029212"/>
      <w:bookmarkStart w:id="71" w:name="_Toc462564071"/>
      <w:bookmarkStart w:id="72" w:name="_Toc20823284"/>
      <w:bookmarkStart w:id="73" w:name="_Toc16938528"/>
      <w:r>
        <w:rPr>
          <w:rFonts w:hint="eastAsia" w:ascii="宋体" w:hAnsi="宋体" w:eastAsia="宋体" w:cs="宋体"/>
          <w:color w:val="000000"/>
          <w:sz w:val="24"/>
          <w:szCs w:val="24"/>
        </w:rPr>
        <w:t>8.招标文件的修改</w:t>
      </w:r>
      <w:bookmarkEnd w:id="70"/>
      <w:bookmarkEnd w:id="71"/>
      <w:bookmarkEnd w:id="72"/>
      <w:bookmarkEnd w:id="73"/>
    </w:p>
    <w:p w14:paraId="1CD16B7B">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8.1 在投标截止时间前，采购人可以对招标文件进行修改。</w:t>
      </w:r>
    </w:p>
    <w:p w14:paraId="502DF25A">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8.2 采购人有权按照法定的要求推迟投标截止日期和开标日期。</w:t>
      </w:r>
    </w:p>
    <w:p w14:paraId="51A5CE1B">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8.3 招标文件的修改将在中国政府采购网、江苏政府采购网、盐城市政府采购网公布，补充文件将作为招标文件的组成部分，并对投标人具有约束力。</w:t>
      </w:r>
    </w:p>
    <w:p w14:paraId="469BC2CD">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sz w:val="24"/>
          <w:szCs w:val="24"/>
        </w:rPr>
      </w:pPr>
      <w:bookmarkStart w:id="74" w:name="_Toc16938529"/>
      <w:bookmarkStart w:id="75" w:name="_Toc513029213"/>
      <w:bookmarkStart w:id="76" w:name="_Toc462564072"/>
      <w:bookmarkStart w:id="77" w:name="_Toc20823285"/>
      <w:bookmarkStart w:id="78" w:name="_Toc120614216"/>
      <w:r>
        <w:rPr>
          <w:rFonts w:hint="eastAsia" w:ascii="宋体" w:hAnsi="宋体" w:eastAsia="宋体" w:cs="宋体"/>
          <w:b/>
          <w:color w:val="000000"/>
          <w:sz w:val="24"/>
          <w:szCs w:val="24"/>
        </w:rPr>
        <w:t>三、投标文件的编制</w:t>
      </w:r>
      <w:bookmarkEnd w:id="74"/>
      <w:bookmarkEnd w:id="75"/>
      <w:bookmarkEnd w:id="76"/>
      <w:bookmarkEnd w:id="77"/>
      <w:bookmarkEnd w:id="78"/>
    </w:p>
    <w:p w14:paraId="3A150E40">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sz w:val="24"/>
          <w:szCs w:val="24"/>
        </w:rPr>
      </w:pPr>
      <w:bookmarkStart w:id="79" w:name="_Toc16938530"/>
      <w:bookmarkStart w:id="80" w:name="_Toc462564073"/>
      <w:bookmarkStart w:id="81" w:name="_Toc20823286"/>
      <w:bookmarkStart w:id="82" w:name="_Toc513029214"/>
      <w:r>
        <w:rPr>
          <w:rFonts w:hint="eastAsia" w:ascii="宋体" w:hAnsi="宋体" w:eastAsia="宋体" w:cs="宋体"/>
          <w:color w:val="000000"/>
          <w:sz w:val="24"/>
          <w:szCs w:val="24"/>
        </w:rPr>
        <w:t>9.投标文件的语言及度量衡单位</w:t>
      </w:r>
      <w:bookmarkEnd w:id="79"/>
      <w:bookmarkEnd w:id="80"/>
      <w:bookmarkEnd w:id="81"/>
      <w:bookmarkEnd w:id="82"/>
    </w:p>
    <w:p w14:paraId="7D1A062C">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9.1 投标人提交的投标文件以及投标人与采购人就有关投标的所有来往通知、函件和文件均应使用</w:t>
      </w:r>
      <w:r>
        <w:rPr>
          <w:rFonts w:hint="eastAsia" w:ascii="宋体" w:hAnsi="宋体" w:eastAsia="宋体" w:cs="宋体"/>
          <w:b/>
          <w:color w:val="000000"/>
          <w:sz w:val="24"/>
          <w:szCs w:val="24"/>
        </w:rPr>
        <w:t>简体中文</w:t>
      </w:r>
      <w:r>
        <w:rPr>
          <w:rFonts w:hint="eastAsia" w:ascii="宋体" w:hAnsi="宋体" w:eastAsia="宋体" w:cs="宋体"/>
          <w:color w:val="000000"/>
          <w:sz w:val="24"/>
          <w:szCs w:val="24"/>
        </w:rPr>
        <w:t>。</w:t>
      </w:r>
    </w:p>
    <w:p w14:paraId="1FFB38C0">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9.2 除技术性能另有规定外，投标文件所使用的度量衡单位，均须采用国家法定计量单位。</w:t>
      </w:r>
    </w:p>
    <w:p w14:paraId="13C5F311">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bookmarkStart w:id="83" w:name="_Toc462564074"/>
      <w:bookmarkStart w:id="84" w:name="_Toc16938531"/>
      <w:bookmarkStart w:id="85" w:name="_Toc20823287"/>
      <w:bookmarkStart w:id="86" w:name="_Toc513029215"/>
      <w:r>
        <w:rPr>
          <w:rFonts w:hint="eastAsia" w:ascii="宋体" w:hAnsi="宋体" w:eastAsia="宋体" w:cs="宋体"/>
          <w:color w:val="000000"/>
          <w:sz w:val="24"/>
          <w:szCs w:val="24"/>
        </w:rPr>
        <w:t>10.投标文件构成</w:t>
      </w:r>
      <w:bookmarkEnd w:id="83"/>
      <w:bookmarkEnd w:id="84"/>
      <w:bookmarkEnd w:id="85"/>
      <w:bookmarkEnd w:id="86"/>
    </w:p>
    <w:p w14:paraId="44C7A19E">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10.1 投标人编写的投标文件应包括资格证明文件、符合性证明文件、投标分项报价表、技术要求响应及偏离表、商务要求响应及偏离表、其他证明文件、投标函、开标一览表等部分。</w:t>
      </w:r>
    </w:p>
    <w:p w14:paraId="219E638F">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10.2 如标书制作工具中格式和内容与“中国政府采购网”、“江苏政府采购网”、“盐城市政府采购网”发布的招标文件不一致，请以中国政府采购网“、“江苏政府采购网”、“盐城市政府采购网”发布的招标文件为准。</w:t>
      </w:r>
    </w:p>
    <w:p w14:paraId="7D10013F">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bookmarkStart w:id="87" w:name="_Toc14577355"/>
      <w:bookmarkStart w:id="88" w:name="_Toc14577354"/>
      <w:bookmarkStart w:id="89" w:name="_Toc14577357"/>
      <w:bookmarkStart w:id="90" w:name="_Toc513029216"/>
      <w:bookmarkStart w:id="91" w:name="_Toc49090508"/>
      <w:bookmarkStart w:id="92" w:name="_Toc49090507"/>
      <w:bookmarkStart w:id="93" w:name="_Toc49090509"/>
      <w:bookmarkStart w:id="94" w:name="_Toc513029219"/>
      <w:bookmarkStart w:id="95" w:name="_Hlt26668975"/>
      <w:bookmarkStart w:id="96" w:name="_Hlt26954838"/>
      <w:bookmarkStart w:id="97" w:name="_Hlt26670360"/>
      <w:r>
        <w:rPr>
          <w:rFonts w:hint="eastAsia" w:ascii="宋体" w:hAnsi="宋体" w:eastAsia="宋体" w:cs="宋体"/>
          <w:color w:val="000000"/>
          <w:sz w:val="24"/>
          <w:szCs w:val="24"/>
        </w:rPr>
        <w:t>11.证明投标人及投标标的符合招标文件规定的文件</w:t>
      </w:r>
      <w:bookmarkEnd w:id="87"/>
      <w:bookmarkEnd w:id="88"/>
      <w:bookmarkEnd w:id="89"/>
      <w:bookmarkEnd w:id="90"/>
      <w:bookmarkEnd w:id="91"/>
      <w:bookmarkEnd w:id="92"/>
      <w:bookmarkEnd w:id="93"/>
      <w:bookmarkEnd w:id="94"/>
    </w:p>
    <w:p w14:paraId="00513F45">
      <w:pPr>
        <w:pStyle w:val="44"/>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11.1 投标人应按照招标文件要求提交证明文件，证明其及投标标的符合招标文件规定。</w:t>
      </w:r>
    </w:p>
    <w:p w14:paraId="50287326">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11.2招标文件对证明文件无明确形式要求的，证明文件可以以文字资料、图纸和数据等形式提交。</w:t>
      </w:r>
    </w:p>
    <w:p w14:paraId="0F575A82">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12.投标分项报价表</w:t>
      </w:r>
    </w:p>
    <w:p w14:paraId="1720951E">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12.1 投标人应按照招标文件规定格式填报投标分项报价表。</w:t>
      </w:r>
    </w:p>
    <w:p w14:paraId="36246CB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在表中标明本项目所提供的各类服务内容名称、数量、单价、总价。每项服务只允许有一个报价，任何有选择的报价将不予接受。</w:t>
      </w:r>
    </w:p>
    <w:p w14:paraId="49067EC8">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12.2 标的物</w:t>
      </w:r>
    </w:p>
    <w:p w14:paraId="6D8E1687">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采购人需求采购的</w:t>
      </w:r>
      <w:r>
        <w:rPr>
          <w:rFonts w:hint="eastAsia" w:ascii="宋体" w:hAnsi="宋体" w:eastAsia="宋体" w:cs="宋体"/>
          <w:color w:val="000000"/>
          <w:sz w:val="24"/>
          <w:szCs w:val="24"/>
          <w:lang w:val="en-US" w:eastAsia="zh-CN"/>
        </w:rPr>
        <w:t>物品及服务</w:t>
      </w:r>
      <w:r>
        <w:rPr>
          <w:rFonts w:hint="eastAsia" w:ascii="宋体" w:hAnsi="宋体" w:eastAsia="宋体" w:cs="宋体"/>
          <w:color w:val="000000"/>
          <w:sz w:val="24"/>
          <w:szCs w:val="24"/>
        </w:rPr>
        <w:t>。</w:t>
      </w:r>
    </w:p>
    <w:p w14:paraId="70BD00C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12.3有关费用处理</w:t>
      </w:r>
    </w:p>
    <w:p w14:paraId="0943AA6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招标报价采用总承包方式，投标报价是指投标人在正确地完全履行合同义务后采购人应支付的服务价格，应包括人工费包括（人员工资、社会保险费用、福利费、加班费、差旅费、人身意外伤害险等）、评审费、验收费、会务费、投标费用、招标代理服务费、税金、各类风险费、管理费、利润、国际国内运输等保险费、报关清关、开证、办理全套免税手续费用及其他有关的为完成本项目发生的所有费用，招标文件中另有规定的除外。</w:t>
      </w:r>
    </w:p>
    <w:p w14:paraId="00B58091">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招标人约定由中标人向招标代理机构一次性支付招标代理服务费【依据江苏省招标代理服务收费的指导意见-苏招协[2022]002号文件折后</w:t>
      </w:r>
      <w:r>
        <w:rPr>
          <w:rFonts w:hint="eastAsia" w:ascii="宋体" w:hAnsi="宋体" w:eastAsia="宋体" w:cs="宋体"/>
          <w:color w:val="000000"/>
          <w:sz w:val="24"/>
          <w:szCs w:val="24"/>
          <w:lang w:val="en-US" w:eastAsia="zh-CN"/>
        </w:rPr>
        <w:t>按13000</w:t>
      </w:r>
      <w:r>
        <w:rPr>
          <w:rFonts w:hint="eastAsia" w:ascii="宋体" w:hAnsi="宋体" w:eastAsia="宋体" w:cs="宋体"/>
          <w:color w:val="000000"/>
          <w:sz w:val="24"/>
          <w:szCs w:val="24"/>
        </w:rPr>
        <w:t>收取】，投标人须将此费用纳入投标报价中，招标人不另行支付。</w:t>
      </w:r>
    </w:p>
    <w:p w14:paraId="15FA0E45">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12.4其它费用处理</w:t>
      </w:r>
    </w:p>
    <w:p w14:paraId="0303DDA4">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招标文件未列明，而投标人认为必需的费用也需列入报价。</w:t>
      </w:r>
    </w:p>
    <w:p w14:paraId="14669A89">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12.5投标货币</w:t>
      </w:r>
    </w:p>
    <w:p w14:paraId="7D9872B7">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投标文件中的单价和总价无特殊规定的采用人民币报价，以元为单位标注。招标文件中另有规定的按规定执行。</w:t>
      </w:r>
    </w:p>
    <w:p w14:paraId="13FBE9AB">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bookmarkStart w:id="98" w:name="_Hlt26954731"/>
      <w:bookmarkStart w:id="99" w:name="_Hlt26954848"/>
      <w:bookmarkStart w:id="100" w:name="_Hlt26954846"/>
      <w:bookmarkStart w:id="101" w:name="_Hlt26670486"/>
      <w:bookmarkStart w:id="102" w:name="_Hlt26670482"/>
      <w:r>
        <w:rPr>
          <w:rFonts w:hint="eastAsia" w:ascii="宋体" w:hAnsi="宋体" w:eastAsia="宋体" w:cs="宋体"/>
          <w:color w:val="000000"/>
          <w:sz w:val="24"/>
          <w:szCs w:val="24"/>
        </w:rPr>
        <w:t>13.技术要求响应及偏离表、商务要求响应及偏离表</w:t>
      </w:r>
    </w:p>
    <w:p w14:paraId="24290510">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13.1 投标人需对招标文件中的技术要求与商务要求逐项作出响应或偏离，并说明原因。</w:t>
      </w:r>
    </w:p>
    <w:p w14:paraId="41E75E43">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13.2 投标人可在投标文件中提供认为需要的其他技术文件或说明。</w:t>
      </w:r>
    </w:p>
    <w:p w14:paraId="32B19EF6">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14.服务承诺、培训计划、人员安排及其他</w:t>
      </w:r>
    </w:p>
    <w:p w14:paraId="06F7EA75">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14.1 投标人需根据招标文件要求提供有关售后服务的管理制度，售后服务机构的分布情况，售后服务人员的数量、素质、技术水平及售后服务的反应能力等。</w:t>
      </w:r>
    </w:p>
    <w:p w14:paraId="4EBBB4A3">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14.2 投标人需根据招标文件要求提供培训计划。</w:t>
      </w:r>
    </w:p>
    <w:p w14:paraId="5236EBE7">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14.3  投标人需根据招标文件要求提供所投标的的主要组成部分、功能设计、实现思路及关键技术等。</w:t>
      </w:r>
    </w:p>
    <w:p w14:paraId="221BFC54">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bookmarkStart w:id="103" w:name="_Toc49090510"/>
      <w:bookmarkStart w:id="104" w:name="_Toc14577359"/>
      <w:r>
        <w:rPr>
          <w:rFonts w:hint="eastAsia" w:ascii="宋体" w:hAnsi="宋体" w:eastAsia="宋体" w:cs="宋体"/>
          <w:color w:val="000000"/>
          <w:sz w:val="24"/>
          <w:szCs w:val="24"/>
        </w:rPr>
        <w:t>15.投标函和开标一览表</w:t>
      </w:r>
      <w:bookmarkEnd w:id="103"/>
      <w:bookmarkEnd w:id="104"/>
    </w:p>
    <w:p w14:paraId="0C8B70A7">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15.1 投标人应按照招标文件中提供的格式完整、正确填写投标函、开标一览表。</w:t>
      </w:r>
    </w:p>
    <w:p w14:paraId="05075D3E">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15.2 对于采用货币报价的项目，开标一览表中的投标总报价应与投标分项报价表中的投标总报价一致，如不一致，不作为无效投标处理，但评标时按开标一览表中价格为准。</w:t>
      </w:r>
    </w:p>
    <w:p w14:paraId="5F34A7DF">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bookmarkStart w:id="105" w:name="_Toc49090511"/>
      <w:bookmarkStart w:id="106" w:name="_Toc14577360"/>
      <w:r>
        <w:rPr>
          <w:rFonts w:hint="eastAsia" w:ascii="宋体" w:hAnsi="宋体" w:eastAsia="宋体" w:cs="宋体"/>
          <w:color w:val="000000"/>
          <w:sz w:val="24"/>
          <w:szCs w:val="24"/>
        </w:rPr>
        <w:t>16.投标有效期</w:t>
      </w:r>
      <w:bookmarkEnd w:id="105"/>
      <w:bookmarkEnd w:id="106"/>
    </w:p>
    <w:p w14:paraId="6718097E">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16.1投标有效期为采购人规定的开标之日后</w:t>
      </w:r>
      <w:r>
        <w:rPr>
          <w:rFonts w:hint="eastAsia" w:ascii="宋体" w:hAnsi="宋体" w:eastAsia="宋体" w:cs="宋体"/>
          <w:b/>
          <w:color w:val="000000"/>
          <w:sz w:val="24"/>
          <w:szCs w:val="24"/>
          <w:u w:val="single"/>
        </w:rPr>
        <w:t>六十（60）天</w:t>
      </w:r>
      <w:r>
        <w:rPr>
          <w:rFonts w:hint="eastAsia" w:ascii="宋体" w:hAnsi="宋体" w:eastAsia="宋体" w:cs="宋体"/>
          <w:color w:val="000000"/>
          <w:sz w:val="24"/>
          <w:szCs w:val="24"/>
        </w:rPr>
        <w:t>。投标有效期比规定短的将被视为未实质性响应招标文件而予以拒绝。</w:t>
      </w:r>
    </w:p>
    <w:p w14:paraId="6944736A">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17.投标有效期的延长</w:t>
      </w:r>
    </w:p>
    <w:p w14:paraId="011D4979">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43D313C3">
      <w:pPr>
        <w:pStyle w:val="44"/>
        <w:keepNext/>
        <w:keepLines/>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bookmarkStart w:id="107" w:name="_Toc513029224"/>
      <w:bookmarkStart w:id="108" w:name="_Toc120614217"/>
      <w:bookmarkStart w:id="109" w:name="_Toc16938540"/>
      <w:bookmarkStart w:id="110" w:name="_Toc20823296"/>
      <w:bookmarkStart w:id="111" w:name="_Hlt26954852"/>
      <w:bookmarkStart w:id="112" w:name="_Hlt26954739"/>
      <w:r>
        <w:rPr>
          <w:rFonts w:hint="eastAsia" w:ascii="宋体" w:hAnsi="宋体" w:eastAsia="宋体" w:cs="宋体"/>
          <w:b/>
          <w:color w:val="000000"/>
          <w:sz w:val="24"/>
          <w:szCs w:val="24"/>
        </w:rPr>
        <w:t>四、投标文件的递交</w:t>
      </w:r>
      <w:bookmarkEnd w:id="107"/>
      <w:bookmarkEnd w:id="108"/>
      <w:bookmarkEnd w:id="109"/>
      <w:bookmarkEnd w:id="110"/>
    </w:p>
    <w:p w14:paraId="360F6CC4">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bookmarkStart w:id="113" w:name="_Toc513029225"/>
      <w:bookmarkStart w:id="114" w:name="_Toc20823297"/>
      <w:bookmarkStart w:id="115" w:name="_Toc462564084"/>
      <w:bookmarkStart w:id="116" w:name="_Toc16938541"/>
      <w:r>
        <w:rPr>
          <w:rFonts w:hint="eastAsia" w:ascii="宋体" w:hAnsi="宋体" w:eastAsia="宋体" w:cs="宋体"/>
          <w:color w:val="000000"/>
          <w:sz w:val="24"/>
          <w:szCs w:val="24"/>
        </w:rPr>
        <w:t>18.电子投标文件</w:t>
      </w:r>
      <w:bookmarkEnd w:id="113"/>
      <w:bookmarkEnd w:id="114"/>
      <w:bookmarkEnd w:id="115"/>
      <w:bookmarkEnd w:id="116"/>
      <w:r>
        <w:rPr>
          <w:rFonts w:hint="eastAsia" w:ascii="宋体" w:hAnsi="宋体" w:eastAsia="宋体" w:cs="宋体"/>
          <w:color w:val="000000"/>
          <w:sz w:val="24"/>
          <w:szCs w:val="24"/>
        </w:rPr>
        <w:t>的递交</w:t>
      </w:r>
    </w:p>
    <w:p w14:paraId="0171142F">
      <w:pPr>
        <w:pStyle w:val="44"/>
        <w:pageBreakBefore w:val="0"/>
        <w:widowControl w:val="0"/>
        <w:kinsoku/>
        <w:wordWrap/>
        <w:overflowPunct/>
        <w:topLinePunct w:val="0"/>
        <w:autoSpaceDE/>
        <w:autoSpaceDN/>
        <w:bidi w:val="0"/>
        <w:adjustRightInd/>
        <w:snapToGrid/>
        <w:spacing w:beforeAutospacing="0" w:afterAutospacing="0" w:line="360" w:lineRule="auto"/>
        <w:ind w:left="525"/>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18.1投标人应当按照《操作手册》规定，在投标截止时间前制作并上传电子投标</w:t>
      </w:r>
    </w:p>
    <w:p w14:paraId="004078FD">
      <w:pPr>
        <w:pStyle w:val="44"/>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文件。</w:t>
      </w:r>
      <w:bookmarkStart w:id="117" w:name="_Toc20823298"/>
      <w:bookmarkEnd w:id="117"/>
      <w:bookmarkStart w:id="118" w:name="_Toc16938542"/>
      <w:bookmarkEnd w:id="118"/>
      <w:bookmarkStart w:id="119" w:name="_Toc513029226"/>
    </w:p>
    <w:p w14:paraId="05621C70">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19.投标截止日期</w:t>
      </w:r>
    </w:p>
    <w:p w14:paraId="57EFBD31">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u w:val="single"/>
        </w:rPr>
        <w:t>19.1 投标人上传电子投标文件的时间不得迟于招标公告中规定的投标截止时间。</w:t>
      </w:r>
    </w:p>
    <w:p w14:paraId="40426C22">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投标人应充分考虑到网络环境、网络带宽等风险因素，如因投标人自身原因造成的电子投标文件上传不成功的按照本招标文件第二章第27.1.2条规定做无效投标处理。</w:t>
      </w:r>
    </w:p>
    <w:p w14:paraId="5C31DFD9">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19.2 采购人可以按照规定，通过修改招标文件酌情延长投标截止日期，在此情况下，投标人的所有权利和义务以及投标人受制的截止日期均应以延长后新的截止日期为准。</w:t>
      </w:r>
    </w:p>
    <w:p w14:paraId="3252E131">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bookmarkStart w:id="120" w:name="_Toc16938543"/>
      <w:bookmarkStart w:id="121" w:name="_Toc20823299"/>
      <w:bookmarkStart w:id="122" w:name="_Toc513029227"/>
      <w:r>
        <w:rPr>
          <w:rFonts w:hint="eastAsia" w:ascii="宋体" w:hAnsi="宋体" w:eastAsia="宋体" w:cs="宋体"/>
          <w:color w:val="000000"/>
          <w:sz w:val="24"/>
          <w:szCs w:val="24"/>
        </w:rPr>
        <w:t>20、投标文件</w:t>
      </w:r>
      <w:bookmarkEnd w:id="120"/>
      <w:bookmarkEnd w:id="121"/>
      <w:bookmarkEnd w:id="122"/>
      <w:r>
        <w:rPr>
          <w:rFonts w:hint="eastAsia" w:ascii="宋体" w:hAnsi="宋体" w:eastAsia="宋体" w:cs="宋体"/>
          <w:color w:val="000000"/>
          <w:sz w:val="24"/>
          <w:szCs w:val="24"/>
        </w:rPr>
        <w:t>的拒收</w:t>
      </w:r>
    </w:p>
    <w:p w14:paraId="34E7B745">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20.1 采购人拒绝接收在其规定的投标截止时间后上传的任何投标文件。</w:t>
      </w:r>
    </w:p>
    <w:p w14:paraId="3762EA33">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bookmarkStart w:id="123" w:name="_Toc513029228"/>
      <w:bookmarkStart w:id="124" w:name="_Toc20823300"/>
      <w:bookmarkStart w:id="125" w:name="_Toc16938544"/>
      <w:r>
        <w:rPr>
          <w:rFonts w:hint="eastAsia" w:ascii="宋体" w:hAnsi="宋体" w:eastAsia="宋体" w:cs="宋体"/>
          <w:color w:val="000000"/>
          <w:sz w:val="24"/>
          <w:szCs w:val="24"/>
        </w:rPr>
        <w:t>21.投标文件的撤回和修改</w:t>
      </w:r>
      <w:bookmarkEnd w:id="123"/>
      <w:bookmarkEnd w:id="124"/>
      <w:bookmarkEnd w:id="125"/>
    </w:p>
    <w:p w14:paraId="715578CE">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21.1 投标文件的撤回</w:t>
      </w:r>
    </w:p>
    <w:p w14:paraId="2024E8E1">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21.1.1 电子投标文件的撤回</w:t>
      </w:r>
    </w:p>
    <w:p w14:paraId="250EAB36">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投标人可在投标截止时间前，撤回其电子投标文件，具体操作方法见《操作手册》。</w:t>
      </w:r>
    </w:p>
    <w:p w14:paraId="5BB847FE">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21.1.2 投标人撤回电子投标文件，则认为其不再参与本项目投标活动。</w:t>
      </w:r>
    </w:p>
    <w:p w14:paraId="6D5EBFF4">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21.2 投标文件的修改</w:t>
      </w:r>
    </w:p>
    <w:p w14:paraId="08A84067">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21.2.1投标人可在投标截止时间前，对其电子投标文件进行修改，具体操作方法见《操作手册》。</w:t>
      </w:r>
    </w:p>
    <w:p w14:paraId="1F046235">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21.2.2 在投标截止时间之后，投标人不得对其电子投标文件作任何修改。</w:t>
      </w:r>
    </w:p>
    <w:p w14:paraId="525E23B2">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21.3 在投标截止时间至招标文件中规定的投标有效期满之间的这段时间内，投标人不得撤回其投标。</w:t>
      </w:r>
    </w:p>
    <w:p w14:paraId="03358105">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sz w:val="24"/>
          <w:szCs w:val="24"/>
        </w:rPr>
      </w:pPr>
      <w:bookmarkStart w:id="126" w:name="_Toc513029229"/>
      <w:bookmarkStart w:id="127" w:name="_Toc120614218"/>
      <w:bookmarkStart w:id="128" w:name="_Toc20823301"/>
      <w:bookmarkStart w:id="129" w:name="_Toc16938545"/>
      <w:r>
        <w:rPr>
          <w:rFonts w:hint="eastAsia" w:ascii="宋体" w:hAnsi="宋体" w:eastAsia="宋体" w:cs="宋体"/>
          <w:b/>
          <w:color w:val="000000"/>
          <w:sz w:val="24"/>
          <w:szCs w:val="24"/>
        </w:rPr>
        <w:t>五、开标与评标</w:t>
      </w:r>
      <w:bookmarkEnd w:id="126"/>
      <w:bookmarkEnd w:id="127"/>
      <w:bookmarkEnd w:id="128"/>
      <w:bookmarkEnd w:id="129"/>
    </w:p>
    <w:p w14:paraId="720982B5">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bookmarkStart w:id="130" w:name="_Toc20823302"/>
      <w:bookmarkStart w:id="131" w:name="_Toc16938546"/>
      <w:bookmarkStart w:id="132" w:name="_Toc513029230"/>
      <w:r>
        <w:rPr>
          <w:rFonts w:hint="eastAsia" w:ascii="宋体" w:hAnsi="宋体" w:eastAsia="宋体" w:cs="宋体"/>
          <w:color w:val="000000"/>
          <w:sz w:val="24"/>
          <w:szCs w:val="24"/>
        </w:rPr>
        <w:t>22.开标</w:t>
      </w:r>
      <w:bookmarkEnd w:id="130"/>
      <w:bookmarkEnd w:id="131"/>
      <w:bookmarkEnd w:id="132"/>
    </w:p>
    <w:p w14:paraId="4445B98D">
      <w:pPr>
        <w:pStyle w:val="44"/>
        <w:pageBreakBefore w:val="0"/>
        <w:widowControl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22.1 采购人将在招标公告中规定的时间和地点组织公开开标。投标人应当按照《操作手册》规定，参加开标活动和在</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规定的时间内对投标文件进行解密。</w:t>
      </w:r>
    </w:p>
    <w:p w14:paraId="331012C3">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22.2开标仪式由采购人组织。</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将自动对项目进行开标，并宣布各投标人名称和投标价格。</w:t>
      </w:r>
    </w:p>
    <w:p w14:paraId="59416AF1">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22.3投标人在开标过程中涉及到的投标文件解密、开标结果确认等工作，应按照《操作手册》规定执行。</w:t>
      </w:r>
    </w:p>
    <w:p w14:paraId="71FC77CD">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xml:space="preserve">22.4投标人如果对开标过程和开标记录有疑义，应当根据《操作手册》规定提出，如 </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中《开标记录表》宣布后5分钟内未提出的，视同认可开标结果。</w:t>
      </w:r>
    </w:p>
    <w:p w14:paraId="672C49F5">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bookmarkStart w:id="133" w:name="_Toc16938547"/>
      <w:bookmarkStart w:id="134" w:name="_Toc513029231"/>
      <w:bookmarkStart w:id="135" w:name="_Toc20823303"/>
      <w:r>
        <w:rPr>
          <w:rFonts w:hint="eastAsia" w:ascii="宋体" w:hAnsi="宋体" w:eastAsia="宋体" w:cs="宋体"/>
          <w:color w:val="000000"/>
          <w:sz w:val="24"/>
          <w:szCs w:val="24"/>
        </w:rPr>
        <w:t>23.评标委员会</w:t>
      </w:r>
      <w:bookmarkEnd w:id="133"/>
      <w:bookmarkEnd w:id="134"/>
      <w:bookmarkEnd w:id="135"/>
    </w:p>
    <w:p w14:paraId="73F301BE">
      <w:pPr>
        <w:pStyle w:val="44"/>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23.1</w:t>
      </w:r>
      <w:r>
        <w:rPr>
          <w:rFonts w:hint="eastAsia" w:ascii="宋体" w:hAnsi="宋体" w:eastAsia="宋体" w:cs="宋体"/>
          <w:b/>
          <w:color w:val="000000"/>
          <w:sz w:val="24"/>
          <w:szCs w:val="24"/>
        </w:rPr>
        <w:t> </w:t>
      </w:r>
      <w:r>
        <w:rPr>
          <w:rFonts w:hint="eastAsia" w:ascii="宋体" w:hAnsi="宋体" w:eastAsia="宋体" w:cs="宋体"/>
          <w:color w:val="000000"/>
          <w:sz w:val="24"/>
          <w:szCs w:val="24"/>
        </w:rPr>
        <w:t>开标后，采购人将立即组织评标委员会（以下简称评委会）进行评标。</w:t>
      </w:r>
    </w:p>
    <w:p w14:paraId="67E43D8B">
      <w:pPr>
        <w:pStyle w:val="44"/>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23.2 评委会由采购人代表和有关技术、经济等方面的专家组成，且人员构成符合政府采购有关规定。</w:t>
      </w:r>
    </w:p>
    <w:p w14:paraId="1F3A9306">
      <w:pPr>
        <w:pStyle w:val="44"/>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23.3评委会独立工作，负责评审所有投标文件并确定中标侯选人。</w:t>
      </w:r>
    </w:p>
    <w:p w14:paraId="680129C8">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24．评标过程的保密与公正</w:t>
      </w:r>
    </w:p>
    <w:p w14:paraId="720D5F55">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24.1凡是与审查、澄清、评价和比较投标的有关资料以及授标建议等，采购人、评委、采购人均不得向投标人或与评标无关的其他人员透露。</w:t>
      </w:r>
    </w:p>
    <w:p w14:paraId="11996410">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24.2在评标过程中，投标人不得以任何行为影响评标过程，否则其投标文件将被作为无效投标文件。</w:t>
      </w:r>
    </w:p>
    <w:p w14:paraId="13420828">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24.3 采购人和评标委员会不向未中标的投标人解释未中标原因，也不公布评标过程中的相关细节。</w:t>
      </w:r>
    </w:p>
    <w:p w14:paraId="73968223">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24.4 采用综合评分法的项目，未中标的投标人可于中标结果公告期限届满之日起通过</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查看自己的评审得分及排序情况。</w:t>
      </w:r>
    </w:p>
    <w:p w14:paraId="173A5A0D">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bookmarkStart w:id="136" w:name="_Toc16938548"/>
      <w:bookmarkStart w:id="137" w:name="_Toc513029232"/>
      <w:bookmarkStart w:id="138" w:name="_Toc20823304"/>
      <w:r>
        <w:rPr>
          <w:rFonts w:hint="eastAsia" w:ascii="宋体" w:hAnsi="宋体" w:eastAsia="宋体" w:cs="宋体"/>
          <w:color w:val="000000"/>
          <w:sz w:val="24"/>
          <w:szCs w:val="24"/>
        </w:rPr>
        <w:t>25．投标文件的澄清</w:t>
      </w:r>
      <w:bookmarkEnd w:id="136"/>
      <w:bookmarkEnd w:id="137"/>
      <w:bookmarkEnd w:id="138"/>
    </w:p>
    <w:p w14:paraId="52CC7133">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bookmarkStart w:id="139" w:name="_Toc20823305"/>
      <w:bookmarkStart w:id="140" w:name="_Toc16938549"/>
      <w:bookmarkStart w:id="141" w:name="_Toc513029233"/>
      <w:r>
        <w:rPr>
          <w:rFonts w:hint="eastAsia" w:ascii="宋体" w:hAnsi="宋体" w:eastAsia="宋体" w:cs="宋体"/>
          <w:color w:val="000000"/>
          <w:sz w:val="24"/>
          <w:szCs w:val="24"/>
        </w:rPr>
        <w:t>25.1评标期间，评委会对投标文件中含义不明确、同类问题表述不一致或者有明显文字和计算错误的内容 ，有权要求投标人作出必要的澄清、说明或者补正。</w:t>
      </w:r>
      <w:bookmarkEnd w:id="139"/>
      <w:bookmarkEnd w:id="140"/>
      <w:bookmarkEnd w:id="141"/>
    </w:p>
    <w:p w14:paraId="55F1341D">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投标人的澄清、说明或者补正不得超出投标文件的范围或者改变投标文件的实质性内容。</w:t>
      </w:r>
    </w:p>
    <w:p w14:paraId="2D9A4F65">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评标委员会并非对每个投标人都做澄清要求。</w:t>
      </w:r>
    </w:p>
    <w:p w14:paraId="0F4FC34B">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25.2需要供应商进行澄清、说明和补正的，评委会将通过</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向供应商发出“澄清要求函”，接到“澄清要求函”的投标人应当按照要求在</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中提交“澄清响应函”并加盖CA电子公章。澄清、说明和补正的内容作为投标文件的补充部分，具体操作方式见《操作手册》。</w:t>
      </w:r>
    </w:p>
    <w:p w14:paraId="5F844E4A">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25.3 接到评委会澄清、说明和补正要求的投标人如未按规定做出澄清、说明和补正，其风险由投标人自行承担。</w:t>
      </w:r>
    </w:p>
    <w:p w14:paraId="039D84EB">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26.对投标文件的初审</w:t>
      </w:r>
    </w:p>
    <w:p w14:paraId="659AE6E2">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26.1投标文件初审分为资格审查和符合性审查。</w:t>
      </w:r>
    </w:p>
    <w:p w14:paraId="2FCA265B">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26.1.1 资格审查：依据法律法规和招标文件的规定，由采购人对投标文件中的资格证明文件进行审查。资格审查的结论，采购人以书面形式向评委会进行反馈。</w:t>
      </w:r>
    </w:p>
    <w:p w14:paraId="0B93C9BD">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采购人在进行资格性审查的同时，将在“信用中国”网站查询投标人的信用记录，以确定投标人是否具备投标资格,查询结果留存并归档。</w:t>
      </w:r>
    </w:p>
    <w:p w14:paraId="7A18FF29">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57BB5B90">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26.1.2 符合性审查：依据招标文件的规定，由评委会从投标文件的有效性、完整性和对招标文件的响应程度进行审查，以确定是否对招标文件的实质性要求作出响应。</w:t>
      </w:r>
    </w:p>
    <w:p w14:paraId="0AF766F4">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26.1.3 未通过资格审查或符合性审查的投标人，采购人将在</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中告知未通过资格审查或符合性审查的原因，评审结束后，采购人将不再告知未通过资格审查或符合性审查的原因。</w:t>
      </w:r>
    </w:p>
    <w:p w14:paraId="63D2D01F">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26.2在详细评标之前，评委会将首先审查每份投标文件是否实质性响应了招标文件的要求。实质性响应的投标应该是与招标文件要求的全部条款、条件和规格相符，没有重大偏离或保留的投标。</w:t>
      </w:r>
    </w:p>
    <w:p w14:paraId="267BE601">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4EB010F">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26.3如果投标文件实质上没有响应招标文件的要求，评委会将予以拒绝，投标人不得通过修改或撤销不合要求的偏离或保留而使其投标成为实质性响应的投标。</w:t>
      </w:r>
    </w:p>
    <w:p w14:paraId="1DECD515">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26.4评委会将对确定为实质性响应的投标进行进一步审核，看其是否有计算上或累加上的算术错误，修正错误的原则如下：</w:t>
      </w:r>
    </w:p>
    <w:p w14:paraId="623E6436">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（1）投标文件中开标一览表内容与投标文件中相应内容不一致的，以开标一览表为准。</w:t>
      </w:r>
    </w:p>
    <w:p w14:paraId="63289F58">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（2）大写金额和小写金额不一致的，以大写金额为准。</w:t>
      </w:r>
    </w:p>
    <w:p w14:paraId="76F5C292">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（3）单价金额小数点或者百分比有明显错位的，以开标一览表的总价为准，并修改单价。</w:t>
      </w:r>
    </w:p>
    <w:p w14:paraId="7DC08A0B">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（4）总价金额与按单价汇总金额不一致的，以单价金额计算结果为准。</w:t>
      </w:r>
    </w:p>
    <w:p w14:paraId="70715A8E">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同时出现两种以上错误的，按照前款规定的顺序修正。</w:t>
      </w:r>
    </w:p>
    <w:p w14:paraId="48104DC0">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26.5评委会将按上述修正错误的方法调整投标文件中的投标报价，并通过</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告知投标人，调整后的价格应对投标人具有约束力。如果投标人不接受修正后的价格，则其投标将被拒绝。</w:t>
      </w:r>
    </w:p>
    <w:p w14:paraId="5586E824">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bookmarkStart w:id="142" w:name="_Toc513029234"/>
      <w:bookmarkStart w:id="143" w:name="_Toc20823306"/>
      <w:bookmarkStart w:id="144" w:name="_Toc16938550"/>
      <w:r>
        <w:rPr>
          <w:rFonts w:hint="eastAsia" w:ascii="宋体" w:hAnsi="宋体" w:eastAsia="宋体" w:cs="宋体"/>
          <w:color w:val="000000"/>
          <w:sz w:val="24"/>
          <w:szCs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bookmarkEnd w:id="143"/>
      <w:bookmarkEnd w:id="144"/>
    </w:p>
    <w:p w14:paraId="4FFDD7A0">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7D30B81">
      <w:pPr>
        <w:pStyle w:val="44"/>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非单一产品采购项目，招标文件中将载明其中的核心产品。多家投标人提供的核心产品品牌相同的，按前两款规定处理。</w:t>
      </w:r>
    </w:p>
    <w:p w14:paraId="07A3D721">
      <w:pPr>
        <w:pStyle w:val="44"/>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26.7投标人在开、评标全过程中应保持通讯畅通，及时登录</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查阅、答复相关信息，并安排专人与采购人及评标委员会联系。</w:t>
      </w:r>
    </w:p>
    <w:p w14:paraId="3CE1040B">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27.无效投标条款和废标条款</w:t>
      </w:r>
    </w:p>
    <w:p w14:paraId="696929F0">
      <w:pPr>
        <w:pStyle w:val="44"/>
        <w:pageBreakBefore w:val="0"/>
        <w:widowControl w:val="0"/>
        <w:kinsoku/>
        <w:wordWrap/>
        <w:overflowPunct/>
        <w:topLinePunct w:val="0"/>
        <w:autoSpaceDE/>
        <w:autoSpaceDN/>
        <w:bidi w:val="0"/>
        <w:adjustRightInd/>
        <w:snapToGrid/>
        <w:spacing w:beforeAutospacing="0" w:afterAutospacing="0" w:line="360" w:lineRule="auto"/>
        <w:ind w:left="479"/>
        <w:jc w:val="both"/>
        <w:textAlignment w:val="auto"/>
        <w:rPr>
          <w:rFonts w:hint="eastAsia" w:ascii="宋体" w:hAnsi="宋体" w:eastAsia="宋体" w:cs="宋体"/>
          <w:sz w:val="24"/>
          <w:szCs w:val="24"/>
        </w:rPr>
      </w:pPr>
      <w:bookmarkStart w:id="145" w:name="_Toc16938551"/>
      <w:bookmarkStart w:id="146" w:name="_Toc20823307"/>
      <w:bookmarkStart w:id="147" w:name="_Toc513029235"/>
      <w:r>
        <w:rPr>
          <w:rFonts w:hint="eastAsia" w:ascii="宋体" w:hAnsi="宋体" w:eastAsia="宋体" w:cs="宋体"/>
          <w:color w:val="000000"/>
          <w:sz w:val="24"/>
          <w:szCs w:val="24"/>
        </w:rPr>
        <w:t>27.1无效投标条款</w:t>
      </w:r>
      <w:bookmarkEnd w:id="145"/>
      <w:bookmarkEnd w:id="146"/>
      <w:bookmarkEnd w:id="147"/>
    </w:p>
    <w:p w14:paraId="7559FE3B">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27.1.1 投标人在</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规定的时间内未成功解密电子投标文件的。</w:t>
      </w:r>
    </w:p>
    <w:p w14:paraId="59BE8C07">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27.1.2 投标人未按照招标文件要求上传电子投标文件的。</w:t>
      </w:r>
    </w:p>
    <w:p w14:paraId="4559B35E">
      <w:pPr>
        <w:pStyle w:val="44"/>
        <w:pageBreakBefore w:val="0"/>
        <w:widowControl w:val="0"/>
        <w:kinsoku/>
        <w:wordWrap/>
        <w:overflowPunct/>
        <w:topLinePunct w:val="0"/>
        <w:autoSpaceDE/>
        <w:autoSpaceDN/>
        <w:bidi w:val="0"/>
        <w:adjustRightInd/>
        <w:snapToGrid/>
        <w:spacing w:beforeAutospacing="0" w:afterAutospacing="0" w:line="360" w:lineRule="auto"/>
        <w:ind w:left="479"/>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27.1.3同一投标人提交两个（含两个）以上不同的投标报价的。</w:t>
      </w:r>
    </w:p>
    <w:p w14:paraId="6DE6E556">
      <w:pPr>
        <w:pStyle w:val="44"/>
        <w:pageBreakBefore w:val="0"/>
        <w:widowControl w:val="0"/>
        <w:kinsoku/>
        <w:wordWrap/>
        <w:overflowPunct/>
        <w:topLinePunct w:val="0"/>
        <w:autoSpaceDE/>
        <w:autoSpaceDN/>
        <w:bidi w:val="0"/>
        <w:adjustRightInd/>
        <w:snapToGrid/>
        <w:spacing w:beforeAutospacing="0" w:afterAutospacing="0" w:line="360" w:lineRule="auto"/>
        <w:ind w:left="479"/>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27.1.4投标人不具备招标文件中规定资格要求的。</w:t>
      </w:r>
    </w:p>
    <w:p w14:paraId="1503BF46">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27.1.5投标人的报价超过了采购预算或最高限价的。</w:t>
      </w:r>
    </w:p>
    <w:p w14:paraId="45F6D1B8">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27.1.6未通过符合性审查的。</w:t>
      </w:r>
    </w:p>
    <w:p w14:paraId="7FE392EC">
      <w:pPr>
        <w:pStyle w:val="44"/>
        <w:pageBreakBefore w:val="0"/>
        <w:widowControl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27.1.7不符合招标文件中规定的实质性要求和条件的（</w:t>
      </w:r>
      <w:r>
        <w:rPr>
          <w:rFonts w:hint="eastAsia" w:ascii="宋体" w:hAnsi="宋体" w:eastAsia="宋体" w:cs="宋体"/>
          <w:i/>
          <w:color w:val="000000"/>
          <w:sz w:val="24"/>
          <w:szCs w:val="24"/>
          <w:u w:val="single"/>
        </w:rPr>
        <w:t>本招标文件中斜体且有下划线部分为实质性要求和条件）。</w:t>
      </w:r>
    </w:p>
    <w:p w14:paraId="2674F3FF">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07891859">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27.1.9  投标文件含有采购人不能接受的附加条件的。</w:t>
      </w:r>
    </w:p>
    <w:p w14:paraId="370346ED">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27.1.10评标委员会认为投标人的报价明显低于其他通过符合性审查投标人的报价，有可能影响产品质量或者不能诚信履约的，将通过</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要求其在合理的时间内提供说明，必要时提交相关证明材料；投标人不能证明其报价合理性的，评标委员会应当将其作为无效投标处理。</w:t>
      </w:r>
    </w:p>
    <w:p w14:paraId="0C971C3E">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5A6F1AF6">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27.1.12 投标文件未按照招标文件要求加盖CA电子公章的。</w:t>
      </w:r>
    </w:p>
    <w:p w14:paraId="64163EDF">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27.1.13其他法律、法规及本招标文件规定的属无效投标的情形。</w:t>
      </w:r>
    </w:p>
    <w:p w14:paraId="0F5C7563">
      <w:pPr>
        <w:pStyle w:val="44"/>
        <w:pageBreakBefore w:val="0"/>
        <w:widowControl w:val="0"/>
        <w:kinsoku/>
        <w:wordWrap/>
        <w:overflowPunct/>
        <w:topLinePunct w:val="0"/>
        <w:autoSpaceDE/>
        <w:autoSpaceDN/>
        <w:bidi w:val="0"/>
        <w:adjustRightInd/>
        <w:snapToGrid/>
        <w:spacing w:beforeAutospacing="0" w:afterAutospacing="0" w:line="360" w:lineRule="auto"/>
        <w:ind w:left="479"/>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27.2废标条款</w:t>
      </w:r>
    </w:p>
    <w:p w14:paraId="6782A202">
      <w:pPr>
        <w:pStyle w:val="44"/>
        <w:pageBreakBefore w:val="0"/>
        <w:widowControl w:val="0"/>
        <w:kinsoku/>
        <w:wordWrap/>
        <w:overflowPunct/>
        <w:topLinePunct w:val="0"/>
        <w:autoSpaceDE/>
        <w:autoSpaceDN/>
        <w:bidi w:val="0"/>
        <w:adjustRightInd/>
        <w:snapToGrid/>
        <w:spacing w:beforeAutospacing="0" w:afterAutospacing="0" w:line="360" w:lineRule="auto"/>
        <w:ind w:left="479"/>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27.2.1符合专业条件的供应商或者对招标文件作实质响应的供应商不足三家的。27.2.2出现影响采购公正的违法、违规行为的。</w:t>
      </w:r>
    </w:p>
    <w:p w14:paraId="6BE7E820">
      <w:pPr>
        <w:pStyle w:val="44"/>
        <w:pageBreakBefore w:val="0"/>
        <w:widowControl w:val="0"/>
        <w:kinsoku/>
        <w:wordWrap/>
        <w:overflowPunct/>
        <w:topLinePunct w:val="0"/>
        <w:autoSpaceDE/>
        <w:autoSpaceDN/>
        <w:bidi w:val="0"/>
        <w:adjustRightInd/>
        <w:snapToGrid/>
        <w:spacing w:beforeAutospacing="0" w:afterAutospacing="0" w:line="360" w:lineRule="auto"/>
        <w:ind w:left="479"/>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27.2.3因重大变故，采购任务取消的。</w:t>
      </w:r>
    </w:p>
    <w:p w14:paraId="44D746E2">
      <w:pPr>
        <w:pStyle w:val="44"/>
        <w:pageBreakBefore w:val="0"/>
        <w:widowControl w:val="0"/>
        <w:kinsoku/>
        <w:wordWrap/>
        <w:overflowPunct/>
        <w:topLinePunct w:val="0"/>
        <w:autoSpaceDE/>
        <w:autoSpaceDN/>
        <w:bidi w:val="0"/>
        <w:adjustRightInd/>
        <w:snapToGrid/>
        <w:spacing w:beforeAutospacing="0" w:afterAutospacing="0" w:line="360" w:lineRule="auto"/>
        <w:ind w:left="479"/>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27.2.4评标委员会认定招标文件存在歧义、重大缺陷导致评审工作无法进行。</w:t>
      </w:r>
    </w:p>
    <w:p w14:paraId="773065C5">
      <w:pPr>
        <w:pStyle w:val="44"/>
        <w:pageBreakBefore w:val="0"/>
        <w:widowControl w:val="0"/>
        <w:kinsoku/>
        <w:wordWrap/>
        <w:overflowPunct/>
        <w:topLinePunct w:val="0"/>
        <w:autoSpaceDE/>
        <w:autoSpaceDN/>
        <w:bidi w:val="0"/>
        <w:adjustRightInd/>
        <w:snapToGrid/>
        <w:spacing w:beforeAutospacing="0" w:afterAutospacing="0" w:line="360" w:lineRule="auto"/>
        <w:ind w:left="479"/>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27.2.5 因</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系统故障原因造成开标不成功的。</w:t>
      </w:r>
    </w:p>
    <w:p w14:paraId="3AB659A5">
      <w:pPr>
        <w:pStyle w:val="44"/>
        <w:pageBreakBefore w:val="0"/>
        <w:widowControl w:val="0"/>
        <w:kinsoku/>
        <w:wordWrap/>
        <w:overflowPunct/>
        <w:topLinePunct w:val="0"/>
        <w:autoSpaceDE/>
        <w:autoSpaceDN/>
        <w:bidi w:val="0"/>
        <w:adjustRightInd/>
        <w:snapToGrid/>
        <w:spacing w:beforeAutospacing="0" w:afterAutospacing="0" w:line="360" w:lineRule="auto"/>
        <w:ind w:left="479"/>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27.3 投标截止时间结束后参加投标的供应商不足三家的处理：</w:t>
      </w:r>
    </w:p>
    <w:p w14:paraId="13230EF5">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27.3.1如出现投标截止时间结束后参加投标的供应商或者在评标期间对招标文件做出实质响应的供应商不足三家情况，按政府采购相关规定执行。</w:t>
      </w:r>
    </w:p>
    <w:p w14:paraId="26286ABF">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sz w:val="24"/>
          <w:szCs w:val="24"/>
        </w:rPr>
      </w:pPr>
      <w:bookmarkStart w:id="148" w:name="_Toc120614219"/>
      <w:r>
        <w:rPr>
          <w:rFonts w:hint="eastAsia" w:ascii="宋体" w:hAnsi="宋体" w:eastAsia="宋体" w:cs="宋体"/>
          <w:b/>
          <w:color w:val="000000"/>
          <w:sz w:val="24"/>
          <w:szCs w:val="24"/>
        </w:rPr>
        <w:t>六、定标</w:t>
      </w:r>
      <w:bookmarkEnd w:id="148"/>
    </w:p>
    <w:p w14:paraId="21EECDFC">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600"/>
        <w:jc w:val="both"/>
        <w:textAlignment w:val="auto"/>
        <w:rPr>
          <w:rFonts w:hint="eastAsia" w:ascii="宋体" w:hAnsi="宋体" w:eastAsia="宋体" w:cs="宋体"/>
          <w:sz w:val="24"/>
          <w:szCs w:val="24"/>
        </w:rPr>
      </w:pPr>
      <w:bookmarkStart w:id="149" w:name="_Toc20823310"/>
      <w:bookmarkStart w:id="150" w:name="_Toc16938554"/>
      <w:bookmarkStart w:id="151" w:name="_Toc513029238"/>
      <w:r>
        <w:rPr>
          <w:rFonts w:hint="eastAsia" w:ascii="宋体" w:hAnsi="宋体" w:eastAsia="宋体" w:cs="宋体"/>
          <w:color w:val="000000"/>
          <w:sz w:val="24"/>
          <w:szCs w:val="24"/>
        </w:rPr>
        <w:t>28.</w:t>
      </w:r>
      <w:bookmarkEnd w:id="149"/>
      <w:r>
        <w:rPr>
          <w:rFonts w:hint="eastAsia" w:ascii="宋体" w:hAnsi="宋体" w:eastAsia="宋体" w:cs="宋体"/>
          <w:color w:val="000000"/>
          <w:sz w:val="24"/>
          <w:szCs w:val="24"/>
        </w:rPr>
        <w:t>确定</w:t>
      </w:r>
      <w:bookmarkEnd w:id="150"/>
      <w:bookmarkEnd w:id="151"/>
      <w:r>
        <w:rPr>
          <w:rFonts w:hint="eastAsia" w:ascii="宋体" w:hAnsi="宋体" w:eastAsia="宋体" w:cs="宋体"/>
          <w:color w:val="000000"/>
          <w:sz w:val="24"/>
          <w:szCs w:val="24"/>
        </w:rPr>
        <w:t>中标单位</w:t>
      </w:r>
    </w:p>
    <w:p w14:paraId="06DAFCEB">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xml:space="preserve">28.1中标候选人的选取原则和数量见招标文件第五章规定。 </w:t>
      </w:r>
    </w:p>
    <w:p w14:paraId="24628B1B">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28.2 采购人应根据评委会推荐的中标候选人确定中标人。</w:t>
      </w:r>
    </w:p>
    <w:p w14:paraId="76BC3071">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28.3 采购人将在中国政府采购网“、“江苏政府采购网”、“盐城市政府采购网</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发布中标公告，公告期限为1个工作日。</w:t>
      </w:r>
    </w:p>
    <w:p w14:paraId="64424964">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28.4  若有充分证据证明，中标人出现下列情况之一的，一经查实，将被取消中标资格：</w:t>
      </w:r>
    </w:p>
    <w:p w14:paraId="2F0CCEC6">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28.4.1提供虚假材料谋取中标的。</w:t>
      </w:r>
    </w:p>
    <w:p w14:paraId="487A51F0">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28.4.2向采购人行贿或者提供其他不正当利益的。</w:t>
      </w:r>
    </w:p>
    <w:p w14:paraId="5BAAD3D2">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28.4.3属于本文件规定的无效条件，但在评标过程中又未被评委会发现的。</w:t>
      </w:r>
    </w:p>
    <w:p w14:paraId="5B3C5B42">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28.4.4与采购人或者其他供应商恶意串通的。</w:t>
      </w:r>
    </w:p>
    <w:p w14:paraId="4EA0C7C8">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28.4.5采取不正当手段诋毁、排挤其他供应商的。</w:t>
      </w:r>
    </w:p>
    <w:p w14:paraId="5C7444A2">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bookmarkStart w:id="152" w:name="_Toc200451960"/>
      <w:r>
        <w:rPr>
          <w:rFonts w:hint="eastAsia" w:ascii="宋体" w:hAnsi="宋体" w:eastAsia="宋体" w:cs="宋体"/>
          <w:color w:val="000000"/>
          <w:sz w:val="24"/>
          <w:szCs w:val="24"/>
        </w:rPr>
        <w:t>28.5. 有下列情形之一的，视为投标人串通投标，投标无效：</w:t>
      </w:r>
      <w:bookmarkEnd w:id="152"/>
    </w:p>
    <w:p w14:paraId="68C6600C">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28.5.1不同投标人的投标文件由同一单位或者个人编制；</w:t>
      </w:r>
    </w:p>
    <w:p w14:paraId="52FF708E">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28.5.2不同投标人委托同一单位或者个人办理投标事宜；</w:t>
      </w:r>
    </w:p>
    <w:p w14:paraId="34DA288C">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28.5.3 不同投标人的投标文件载明的项目管理成员或者联系人员为同一人；</w:t>
      </w:r>
    </w:p>
    <w:p w14:paraId="02F7DE5D">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28.5.4不同投标人的投标文件异常一致或者投标报价呈规律性差异；</w:t>
      </w:r>
    </w:p>
    <w:p w14:paraId="05D2F275">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6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29.质疑处理</w:t>
      </w:r>
    </w:p>
    <w:p w14:paraId="73287326">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29.1 提出质疑的供应商应当是参与所质疑项目采购活动的供应商。潜在供应商依法获取其可质疑的采购文件的，可以对采购文件提出质疑。</w:t>
      </w:r>
    </w:p>
    <w:p w14:paraId="5269C24D">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29.2供应商认为采购文件、采购过程和采购结果使自己的权益受到损害的，可以在知道或应知其权益受到损害之日起七个工作日内，以书面形式根据下述29.4条款的规定向采购人一次性提出质疑。质疑人必须提供投标人为期缴纳的在职社保证明，质疑超出采购机构代理范围的，供应商应当向采购人提出。上述应知其权益受到损害之日，是指：</w:t>
      </w:r>
    </w:p>
    <w:p w14:paraId="59952ADB">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29.2.1对可以质疑的采购文件提出质疑的，为收到采购文件之日或者采购文件公告期限届满之日；</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  29.2.2对采购过程提出质疑的，为各采购程序环节结束之日；</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  29.2.3对中标或者成交结果提出质疑的，为中标或者成交结果公告期限届满之日。</w:t>
      </w:r>
    </w:p>
    <w:p w14:paraId="3731EDD6">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供应商应当在法定质疑期内一次性提出针对同一采购程序环节的质疑。供应商如在法定期限内对同一采购程序环节提出多次质疑的，采购人将只对供应商第一次质疑作出答复。</w:t>
      </w:r>
    </w:p>
    <w:p w14:paraId="55A24F1B">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29.3质疑函必须按照本招标文件中《质疑函范本》要求的格式和内容进行填写。供应商如组成联合体参加投标，则《质疑函范本》中要求签字、盖章、加盖公章之处，联合体各方均须按要求签字、盖章、加盖公章。</w:t>
      </w:r>
    </w:p>
    <w:p w14:paraId="39A1277A">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29.4 供应商</w:t>
      </w:r>
      <w:r>
        <w:rPr>
          <w:rFonts w:hint="eastAsia" w:ascii="宋体" w:hAnsi="宋体" w:eastAsia="宋体" w:cs="宋体"/>
          <w:color w:val="FF0000"/>
          <w:sz w:val="24"/>
          <w:szCs w:val="24"/>
        </w:rPr>
        <w:t>（含潜在供应商）</w:t>
      </w:r>
      <w:r>
        <w:rPr>
          <w:rFonts w:hint="eastAsia" w:ascii="宋体" w:hAnsi="宋体" w:eastAsia="宋体" w:cs="宋体"/>
          <w:color w:val="000000"/>
          <w:sz w:val="24"/>
          <w:szCs w:val="24"/>
        </w:rPr>
        <w:t>对采购方式、招标文件中采购需求、供应商资格条件、评标方法和评标标准、合同文本及资格审查结果的询问、质疑请向采购人提出，由采购人负责答复。供应商对其他事项的询问、质疑请向采购人提出，由采购人负责答复。</w:t>
      </w:r>
    </w:p>
    <w:p w14:paraId="25AFA337">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采购人只接收以纸质原件形式送达的质疑,</w:t>
      </w:r>
      <w:r>
        <w:rPr>
          <w:rFonts w:hint="eastAsia" w:ascii="宋体" w:hAnsi="宋体" w:eastAsia="宋体" w:cs="宋体"/>
          <w:color w:val="FF0000"/>
          <w:sz w:val="24"/>
          <w:szCs w:val="24"/>
        </w:rPr>
        <w:t>采购人不接受未填写快递运单的快件。</w:t>
      </w:r>
    </w:p>
    <w:p w14:paraId="32236B24">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29.5 以下情形的质疑不予受理</w:t>
      </w:r>
    </w:p>
    <w:p w14:paraId="43DC4237">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29.5.1 内容不符合《政府采购质疑和投诉办法》第十二条规定的质疑。</w:t>
      </w:r>
    </w:p>
    <w:p w14:paraId="7804FA98">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29.5.2 超出政府采购法定期限的质疑。</w:t>
      </w:r>
    </w:p>
    <w:p w14:paraId="211B82F3">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29.5.3 以传真、电子邮件等方式递交的非原件形式的质疑。</w:t>
      </w:r>
    </w:p>
    <w:p w14:paraId="1EA25EBF">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29.5.4 未参加投标活动的供应商或在投标活动中自身权益未受到损害的供应商所提出的质疑。</w:t>
      </w:r>
    </w:p>
    <w:p w14:paraId="3854644D">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29.5.5供应商组成联合体参加投标，联合体中任何一方或多方未按要求签字、盖章、加盖公章的质疑。</w:t>
      </w:r>
    </w:p>
    <w:p w14:paraId="5A0AF75D">
      <w:pPr>
        <w:pStyle w:val="44"/>
        <w:pageBreakBefore w:val="0"/>
        <w:widowControl w:val="0"/>
        <w:kinsoku/>
        <w:wordWrap/>
        <w:overflowPunct/>
        <w:topLinePunct w:val="0"/>
        <w:autoSpaceDE/>
        <w:autoSpaceDN/>
        <w:bidi w:val="0"/>
        <w:adjustRightInd/>
        <w:snapToGrid/>
        <w:spacing w:beforeAutospacing="0" w:afterAutospacing="0" w:line="360" w:lineRule="auto"/>
        <w:ind w:firstLine="468"/>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76755194">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6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30、中标通知书</w:t>
      </w:r>
    </w:p>
    <w:p w14:paraId="4F06946F">
      <w:pPr>
        <w:pStyle w:val="44"/>
        <w:pageBreakBefore w:val="0"/>
        <w:widowControl w:val="0"/>
        <w:kinsoku/>
        <w:wordWrap/>
        <w:overflowPunct/>
        <w:topLinePunct w:val="0"/>
        <w:autoSpaceDE/>
        <w:autoSpaceDN/>
        <w:bidi w:val="0"/>
        <w:adjustRightInd/>
        <w:snapToGrid/>
        <w:spacing w:beforeAutospacing="0" w:afterAutospacing="0" w:line="360" w:lineRule="auto"/>
        <w:ind w:firstLine="6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30.l</w:t>
      </w:r>
      <w:r>
        <w:rPr>
          <w:rFonts w:hint="eastAsia" w:ascii="宋体" w:hAnsi="宋体" w:eastAsia="宋体" w:cs="宋体"/>
          <w:b/>
          <w:color w:val="000000"/>
          <w:sz w:val="24"/>
          <w:szCs w:val="24"/>
        </w:rPr>
        <w:t> </w:t>
      </w:r>
      <w:r>
        <w:rPr>
          <w:rFonts w:hint="eastAsia" w:ascii="宋体" w:hAnsi="宋体" w:eastAsia="宋体" w:cs="宋体"/>
          <w:color w:val="000000"/>
          <w:sz w:val="24"/>
          <w:szCs w:val="24"/>
        </w:rPr>
        <w:t>中标结果确定后，采购人将向中标人发出中标通知书。</w:t>
      </w:r>
    </w:p>
    <w:p w14:paraId="4128E131">
      <w:pPr>
        <w:pStyle w:val="44"/>
        <w:keepNext/>
        <w:keepLines/>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bookmarkStart w:id="153" w:name="_Toc120614220"/>
      <w:bookmarkStart w:id="154" w:name="_Toc20823308"/>
      <w:bookmarkStart w:id="155" w:name="_Toc513029236"/>
      <w:bookmarkStart w:id="156" w:name="_Toc16938552"/>
      <w:r>
        <w:rPr>
          <w:rFonts w:hint="eastAsia" w:ascii="宋体" w:hAnsi="宋体" w:eastAsia="宋体" w:cs="宋体"/>
          <w:b/>
          <w:color w:val="000000"/>
          <w:sz w:val="24"/>
          <w:szCs w:val="24"/>
        </w:rPr>
        <w:t>七、授予合同</w:t>
      </w:r>
      <w:bookmarkEnd w:id="153"/>
      <w:bookmarkEnd w:id="154"/>
      <w:bookmarkEnd w:id="155"/>
      <w:bookmarkEnd w:id="156"/>
    </w:p>
    <w:p w14:paraId="472C0B59">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600"/>
        <w:jc w:val="both"/>
        <w:textAlignment w:val="auto"/>
        <w:rPr>
          <w:rFonts w:hint="eastAsia" w:ascii="宋体" w:hAnsi="宋体" w:eastAsia="宋体" w:cs="宋体"/>
          <w:sz w:val="24"/>
          <w:szCs w:val="24"/>
        </w:rPr>
      </w:pPr>
      <w:bookmarkStart w:id="157" w:name="_Toc16938553"/>
      <w:bookmarkStart w:id="158" w:name="_Toc513029237"/>
      <w:bookmarkStart w:id="159" w:name="_Toc20823309"/>
      <w:r>
        <w:rPr>
          <w:rFonts w:hint="eastAsia" w:ascii="宋体" w:hAnsi="宋体" w:eastAsia="宋体" w:cs="宋体"/>
          <w:color w:val="000000"/>
          <w:sz w:val="24"/>
          <w:szCs w:val="24"/>
        </w:rPr>
        <w:t>31. 签订合同</w:t>
      </w:r>
      <w:bookmarkEnd w:id="157"/>
      <w:bookmarkEnd w:id="158"/>
      <w:bookmarkEnd w:id="159"/>
    </w:p>
    <w:p w14:paraId="3FD49A56">
      <w:pPr>
        <w:pStyle w:val="44"/>
        <w:pageBreakBefore w:val="0"/>
        <w:widowControl w:val="0"/>
        <w:kinsoku/>
        <w:wordWrap/>
        <w:overflowPunct/>
        <w:topLinePunct w:val="0"/>
        <w:autoSpaceDE/>
        <w:autoSpaceDN/>
        <w:bidi w:val="0"/>
        <w:adjustRightInd/>
        <w:snapToGrid/>
        <w:spacing w:beforeAutospacing="0" w:afterAutospacing="0" w:line="360" w:lineRule="auto"/>
        <w:ind w:firstLine="6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31.l中标人应当在中标通知书发出之日起三十日内，按照招标文件确定的事项与采购人签订政府采购合同。</w:t>
      </w:r>
    </w:p>
    <w:p w14:paraId="33E25529">
      <w:pPr>
        <w:pStyle w:val="44"/>
        <w:pageBreakBefore w:val="0"/>
        <w:widowControl w:val="0"/>
        <w:kinsoku/>
        <w:wordWrap/>
        <w:overflowPunct/>
        <w:topLinePunct w:val="0"/>
        <w:autoSpaceDE/>
        <w:autoSpaceDN/>
        <w:bidi w:val="0"/>
        <w:adjustRightInd/>
        <w:snapToGrid/>
        <w:spacing w:beforeAutospacing="0" w:afterAutospacing="0" w:line="360" w:lineRule="auto"/>
        <w:ind w:firstLine="6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31.2</w:t>
      </w:r>
      <w:r>
        <w:rPr>
          <w:rFonts w:hint="eastAsia" w:ascii="宋体" w:hAnsi="宋体" w:eastAsia="宋体" w:cs="宋体"/>
          <w:b/>
          <w:color w:val="000000"/>
          <w:sz w:val="24"/>
          <w:szCs w:val="24"/>
        </w:rPr>
        <w:t> </w:t>
      </w:r>
      <w:r>
        <w:rPr>
          <w:rFonts w:hint="eastAsia" w:ascii="宋体" w:hAnsi="宋体" w:eastAsia="宋体" w:cs="宋体"/>
          <w:color w:val="000000"/>
          <w:sz w:val="24"/>
          <w:szCs w:val="24"/>
        </w:rPr>
        <w:t>招标文件、中标人的投标文件及招标过程中有关澄清、承诺文件均应作为合同附件。</w:t>
      </w:r>
    </w:p>
    <w:p w14:paraId="07D83B7B">
      <w:pPr>
        <w:pStyle w:val="44"/>
        <w:pageBreakBefore w:val="0"/>
        <w:widowControl w:val="0"/>
        <w:kinsoku/>
        <w:wordWrap/>
        <w:overflowPunct/>
        <w:topLinePunct w:val="0"/>
        <w:autoSpaceDE/>
        <w:autoSpaceDN/>
        <w:bidi w:val="0"/>
        <w:adjustRightInd/>
        <w:snapToGrid/>
        <w:spacing w:beforeAutospacing="0" w:afterAutospacing="0" w:line="360" w:lineRule="auto"/>
        <w:ind w:firstLine="6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31.3 签订合同后，</w:t>
      </w:r>
      <w:r>
        <w:rPr>
          <w:rFonts w:hint="eastAsia" w:ascii="宋体" w:hAnsi="宋体" w:eastAsia="宋体" w:cs="宋体"/>
          <w:color w:val="000000"/>
          <w:sz w:val="24"/>
          <w:szCs w:val="24"/>
          <w:u w:val="single"/>
        </w:rPr>
        <w:t>中标人不得将合同标的进行转包</w:t>
      </w:r>
      <w:r>
        <w:rPr>
          <w:rFonts w:hint="eastAsia" w:ascii="宋体" w:hAnsi="宋体" w:eastAsia="宋体" w:cs="宋体"/>
          <w:color w:val="000000"/>
          <w:sz w:val="24"/>
          <w:szCs w:val="24"/>
        </w:rPr>
        <w:t>。未经采购人同意，中标人也不得采用分包的形式履行合同，否则采购人有权终止合同。转包或分包造成采购人损失的，中标人应承担相应赔偿责任。</w:t>
      </w:r>
    </w:p>
    <w:p w14:paraId="31CE080F">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6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32.货物（包含与货物相关的服务）的追加</w:t>
      </w:r>
    </w:p>
    <w:p w14:paraId="3A6767FC">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2BC36612">
      <w:pPr>
        <w:pStyle w:val="44"/>
        <w:keepNext/>
        <w:keepLines/>
        <w:pageBreakBefore w:val="0"/>
        <w:widowControl w:val="0"/>
        <w:kinsoku/>
        <w:wordWrap/>
        <w:overflowPunct/>
        <w:topLinePunct w:val="0"/>
        <w:autoSpaceDE/>
        <w:autoSpaceDN/>
        <w:bidi w:val="0"/>
        <w:adjustRightInd/>
        <w:snapToGrid/>
        <w:spacing w:beforeAutospacing="0" w:afterAutospacing="0" w:line="360" w:lineRule="auto"/>
        <w:ind w:firstLine="600"/>
        <w:jc w:val="both"/>
        <w:textAlignment w:val="auto"/>
        <w:rPr>
          <w:rFonts w:hint="eastAsia" w:ascii="宋体" w:hAnsi="宋体" w:eastAsia="宋体" w:cs="宋体"/>
          <w:sz w:val="24"/>
          <w:szCs w:val="24"/>
        </w:rPr>
      </w:pPr>
      <w:bookmarkStart w:id="160" w:name="_Toc513029242"/>
      <w:bookmarkStart w:id="161" w:name="_Toc16938558"/>
      <w:bookmarkStart w:id="162" w:name="_Toc20823314"/>
      <w:bookmarkStart w:id="163" w:name="_Toc479757207"/>
      <w:bookmarkStart w:id="164" w:name="_Toc120614221"/>
      <w:r>
        <w:rPr>
          <w:rFonts w:hint="eastAsia" w:ascii="宋体" w:hAnsi="宋体" w:eastAsia="宋体" w:cs="宋体"/>
          <w:color w:val="000000"/>
          <w:sz w:val="24"/>
          <w:szCs w:val="24"/>
        </w:rPr>
        <w:t>33.政府采购履约资金扶持政策</w:t>
      </w:r>
      <w:bookmarkEnd w:id="160"/>
      <w:bookmarkEnd w:id="161"/>
      <w:bookmarkEnd w:id="162"/>
      <w:bookmarkEnd w:id="163"/>
      <w:bookmarkEnd w:id="164"/>
    </w:p>
    <w:p w14:paraId="51C2F4BE">
      <w:pPr>
        <w:pStyle w:val="44"/>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33.1政府采购促进中小企业发展，参加投标企业提供《中小企业声明函》（“中小企业划型标准”详见《关于印发中小企业划型标准规定的通知》(工信部联企业〔2011〕300号)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p>
    <w:p w14:paraId="03F375AB">
      <w:pPr>
        <w:pStyle w:val="44"/>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33.2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100D877F">
      <w:pPr>
        <w:pStyle w:val="44"/>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33.3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4A147418">
      <w:pPr>
        <w:pStyle w:val="44"/>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33.4强制采购节能产品、信息安全产品，优先采购环境标志产品。依据《财政部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p>
    <w:p w14:paraId="6E94B928">
      <w:pPr>
        <w:pStyle w:val="44"/>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0892B6D5">
      <w:pPr>
        <w:pStyle w:val="44"/>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33.6政府采购落实“政采贷”政策，依据《关于深入推进政府采购线上合同信用融资工作的通知》（苏财购﹝2021）82号）。</w:t>
      </w:r>
    </w:p>
    <w:p w14:paraId="0F65D375">
      <w:pPr>
        <w:pStyle w:val="44"/>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33.7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0EF8248F">
      <w:pPr>
        <w:pStyle w:val="44"/>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33.8政府采购落实（苏财购﹝2022）51号）。</w:t>
      </w:r>
    </w:p>
    <w:p w14:paraId="2DFCB9A3">
      <w:pPr>
        <w:pStyle w:val="44"/>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33.9政府采购落实《关于进一步优化政府采购营商环境的通知》。</w:t>
      </w:r>
    </w:p>
    <w:p w14:paraId="13991B7B">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33.10根据《转发江苏省财政厅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13A3C739">
      <w:pPr>
        <w:pStyle w:val="44"/>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red"/>
        </w:rPr>
      </w:pPr>
    </w:p>
    <w:p w14:paraId="2CD72C7E">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2E09762B">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4F82BB8E">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28809E6D">
      <w:pPr>
        <w:pStyle w:val="44"/>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3741729B">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r>
    </w:p>
    <w:p w14:paraId="3130E2CE">
      <w:pPr>
        <w:jc w:val="center"/>
        <w:rPr>
          <w:rFonts w:hint="eastAsia" w:ascii="宋体" w:hAnsi="宋体" w:eastAsia="宋体" w:cs="宋体"/>
        </w:rPr>
      </w:pPr>
      <w:r>
        <w:rPr>
          <w:rFonts w:hint="eastAsia" w:ascii="宋体" w:hAnsi="宋体" w:eastAsia="宋体" w:cs="宋体"/>
          <w:color w:val="000000"/>
          <w:sz w:val="44"/>
          <w:szCs w:val="44"/>
        </w:rPr>
        <w:t>第三章  合同文本</w:t>
      </w:r>
    </w:p>
    <w:p w14:paraId="2D757E7E">
      <w:pPr>
        <w:pStyle w:val="44"/>
        <w:keepNext w:val="0"/>
        <w:keepLines w:val="0"/>
        <w:pageBreakBefore w:val="0"/>
        <w:widowControl w:val="0"/>
        <w:kinsoku/>
        <w:wordWrap/>
        <w:overflowPunct/>
        <w:topLinePunct w:val="0"/>
        <w:autoSpaceDE/>
        <w:autoSpaceDN/>
        <w:bidi w:val="0"/>
        <w:adjustRightInd/>
        <w:snapToGrid/>
        <w:spacing w:before="181" w:beforeLines="50" w:beforeAutospacing="0" w:afterAutospacing="0" w:line="360" w:lineRule="auto"/>
        <w:ind w:firstLine="482"/>
        <w:jc w:val="both"/>
        <w:textAlignment w:val="auto"/>
        <w:rPr>
          <w:rFonts w:hint="eastAsia" w:ascii="宋体" w:hAnsi="宋体" w:eastAsia="宋体" w:cs="宋体"/>
          <w:sz w:val="24"/>
          <w:szCs w:val="24"/>
        </w:rPr>
      </w:pPr>
      <w:bookmarkStart w:id="165" w:name="_Toc513029243"/>
      <w:bookmarkStart w:id="166" w:name="_Toc16938559"/>
      <w:bookmarkStart w:id="167" w:name="_Toc20823315"/>
      <w:r>
        <w:rPr>
          <w:rFonts w:hint="eastAsia" w:ascii="宋体" w:hAnsi="宋体" w:eastAsia="宋体" w:cs="宋体"/>
          <w:color w:val="000000"/>
          <w:sz w:val="24"/>
          <w:szCs w:val="24"/>
        </w:rPr>
        <w:t>以下为中标后签定本项目合同的通用条款，中标人不得提出实质性的修改。</w:t>
      </w:r>
      <w:bookmarkEnd w:id="165"/>
      <w:bookmarkEnd w:id="166"/>
      <w:bookmarkEnd w:id="167"/>
    </w:p>
    <w:p w14:paraId="78FECCB5">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rPr>
      </w:pPr>
      <w:r>
        <w:rPr>
          <w:rFonts w:hint="eastAsia" w:ascii="宋体" w:hAnsi="宋体" w:eastAsia="宋体" w:cs="宋体"/>
          <w:b/>
          <w:color w:val="000000"/>
          <w:sz w:val="30"/>
          <w:szCs w:val="30"/>
        </w:rPr>
        <w:t>盐城市政府采购合同（货物）（合同编号）</w:t>
      </w:r>
    </w:p>
    <w:p w14:paraId="7E0C22FF">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rPr>
      </w:pPr>
      <w:r>
        <w:rPr>
          <w:rFonts w:hint="eastAsia" w:ascii="宋体" w:hAnsi="宋体" w:eastAsia="宋体" w:cs="宋体"/>
          <w:color w:val="000000"/>
        </w:rPr>
        <w:t>项目名称：                        </w:t>
      </w:r>
    </w:p>
    <w:p w14:paraId="7E982522">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rPr>
      </w:pPr>
      <w:r>
        <w:rPr>
          <w:rFonts w:hint="eastAsia" w:ascii="宋体" w:hAnsi="宋体" w:eastAsia="宋体" w:cs="宋体"/>
          <w:color w:val="000000"/>
        </w:rPr>
        <w:t>项目编号：</w:t>
      </w:r>
    </w:p>
    <w:p w14:paraId="1F4E95AE">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u w:val="single"/>
          <w:lang w:val="en-US" w:eastAsia="zh-CN"/>
        </w:rPr>
      </w:pPr>
      <w:r>
        <w:rPr>
          <w:rFonts w:hint="eastAsia" w:ascii="宋体" w:hAnsi="宋体" w:eastAsia="宋体" w:cs="宋体"/>
          <w:color w:val="000000"/>
        </w:rPr>
        <w:t>甲方：（买方）</w:t>
      </w:r>
      <w:r>
        <w:rPr>
          <w:rFonts w:hint="eastAsia" w:ascii="宋体" w:hAnsi="宋体" w:eastAsia="宋体" w:cs="宋体"/>
          <w:color w:val="000000"/>
          <w:u w:val="single"/>
          <w:lang w:val="en-US" w:eastAsia="zh-CN"/>
        </w:rPr>
        <w:t xml:space="preserve">                       </w:t>
      </w:r>
    </w:p>
    <w:p w14:paraId="5590C8FA">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lang w:val="en-US" w:eastAsia="zh-CN"/>
        </w:rPr>
      </w:pPr>
      <w:r>
        <w:rPr>
          <w:rFonts w:hint="eastAsia" w:ascii="宋体" w:hAnsi="宋体" w:eastAsia="宋体" w:cs="宋体"/>
          <w:color w:val="000000"/>
        </w:rPr>
        <w:t>乙方：（卖方）</w:t>
      </w:r>
      <w:r>
        <w:rPr>
          <w:rFonts w:hint="eastAsia" w:ascii="宋体" w:hAnsi="宋体" w:eastAsia="宋体" w:cs="宋体"/>
          <w:color w:val="000000"/>
          <w:u w:val="single"/>
          <w:lang w:val="en-US" w:eastAsia="zh-CN"/>
        </w:rPr>
        <w:t xml:space="preserve">                       </w:t>
      </w:r>
    </w:p>
    <w:p w14:paraId="138C3078">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甲、乙双方根据</w:t>
      </w:r>
      <w:r>
        <w:rPr>
          <w:rFonts w:hint="eastAsia" w:ascii="宋体" w:hAnsi="宋体" w:eastAsia="宋体" w:cs="宋体"/>
          <w:color w:val="000000"/>
          <w:u w:val="single"/>
          <w:lang w:eastAsia="zh-CN"/>
        </w:rPr>
        <w:t>滨海县东坎街道蔬菜社区党群服务中心采购项目</w:t>
      </w:r>
      <w:r>
        <w:rPr>
          <w:rFonts w:hint="eastAsia" w:ascii="宋体" w:hAnsi="宋体" w:eastAsia="宋体" w:cs="宋体"/>
          <w:color w:val="000000"/>
        </w:rPr>
        <w:t>公开招标的结果，签署本合同。</w:t>
      </w:r>
    </w:p>
    <w:p w14:paraId="3902647E">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rPr>
      </w:pPr>
      <w:r>
        <w:rPr>
          <w:rFonts w:hint="eastAsia" w:ascii="宋体" w:hAnsi="宋体" w:eastAsia="宋体" w:cs="宋体"/>
          <w:b/>
          <w:color w:val="000000"/>
        </w:rPr>
        <w:t>一、合同内容</w:t>
      </w:r>
    </w:p>
    <w:p w14:paraId="3D4D1A42">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1.1 标的名称：</w:t>
      </w:r>
    </w:p>
    <w:p w14:paraId="1A020D21">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1.2 标的质量：</w:t>
      </w:r>
    </w:p>
    <w:p w14:paraId="26BEDDB8">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1.3 标的数量（规模）：</w:t>
      </w:r>
    </w:p>
    <w:p w14:paraId="421A1E1B">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1.4 履行时间（期限）：</w:t>
      </w:r>
    </w:p>
    <w:p w14:paraId="04E642A3">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1.5 履行地点：</w:t>
      </w:r>
    </w:p>
    <w:p w14:paraId="27C96D7D">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1.6 履行方式：</w:t>
      </w:r>
    </w:p>
    <w:p w14:paraId="7D0535A3">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1.7 包装方式：</w:t>
      </w:r>
    </w:p>
    <w:p w14:paraId="3B5F3FB2">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rPr>
      </w:pPr>
      <w:r>
        <w:rPr>
          <w:rFonts w:hint="eastAsia" w:ascii="宋体" w:hAnsi="宋体" w:eastAsia="宋体" w:cs="宋体"/>
          <w:b/>
          <w:color w:val="000000"/>
        </w:rPr>
        <w:t>二、合同金额</w:t>
      </w:r>
    </w:p>
    <w:p w14:paraId="0F15823D">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2.1 本合同金额为（大写）：</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lang w:val="en-US" w:eastAsia="zh-CN"/>
        </w:rPr>
        <w:t>元</w:t>
      </w:r>
      <w:r>
        <w:rPr>
          <w:rFonts w:hint="eastAsia" w:ascii="宋体" w:hAnsi="宋体" w:eastAsia="宋体" w:cs="宋体"/>
          <w:color w:val="000000"/>
        </w:rPr>
        <w:t>（_</w:t>
      </w:r>
      <w:r>
        <w:rPr>
          <w:rFonts w:hint="eastAsia" w:ascii="宋体" w:hAnsi="宋体" w:eastAsia="宋体" w:cs="宋体"/>
          <w:color w:val="000000"/>
          <w:u w:val="single"/>
        </w:rPr>
        <w:t>__</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元）人民币或其他币种。</w:t>
      </w:r>
    </w:p>
    <w:p w14:paraId="62E03DA8">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color w:val="000000"/>
        </w:rPr>
      </w:pPr>
      <w:r>
        <w:rPr>
          <w:rFonts w:hint="eastAsia" w:ascii="宋体" w:hAnsi="宋体" w:eastAsia="宋体" w:cs="宋体"/>
          <w:b/>
          <w:color w:val="000000"/>
        </w:rPr>
        <w:t>三、技术资料</w:t>
      </w:r>
    </w:p>
    <w:p w14:paraId="7CC8BF5F">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3.1乙方应按招标文件规定的时间向甲方提供使用货物(包含与货物相关的服务)的有关技术资料。</w:t>
      </w:r>
    </w:p>
    <w:p w14:paraId="5651BECE">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DAD3906">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rPr>
      </w:pPr>
      <w:r>
        <w:rPr>
          <w:rFonts w:hint="eastAsia" w:ascii="宋体" w:hAnsi="宋体" w:eastAsia="宋体" w:cs="宋体"/>
          <w:b/>
          <w:color w:val="000000"/>
        </w:rPr>
        <w:t>四、知识产权</w:t>
      </w:r>
    </w:p>
    <w:p w14:paraId="5D24353C">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4.1乙方应保证甲方在使用、接受本合同货物（包含与货物相关的服务）或其任何一部分时不受第三方提出侵犯其专利权、版权、商标权和工业设计权等知识产权的起诉。一旦出现侵权，由乙方负全部责任。</w:t>
      </w:r>
    </w:p>
    <w:p w14:paraId="58F8E21A">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rPr>
      </w:pPr>
      <w:r>
        <w:rPr>
          <w:rFonts w:hint="eastAsia" w:ascii="宋体" w:hAnsi="宋体" w:eastAsia="宋体" w:cs="宋体"/>
          <w:b/>
          <w:color w:val="000000"/>
        </w:rPr>
        <w:t>五、产权担保</w:t>
      </w:r>
    </w:p>
    <w:p w14:paraId="4DA69C62">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5.1 乙方保证所交付的货物（包含与货物相关的服务）的所有权完全属于乙方且无任何抵押、查封等产权瑕疵。</w:t>
      </w:r>
    </w:p>
    <w:p w14:paraId="0B7227BC">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rPr>
      </w:pPr>
      <w:r>
        <w:rPr>
          <w:rFonts w:hint="eastAsia" w:ascii="宋体" w:hAnsi="宋体" w:eastAsia="宋体" w:cs="宋体"/>
          <w:b/>
          <w:color w:val="000000"/>
        </w:rPr>
        <w:t>六、履约保证金</w:t>
      </w:r>
    </w:p>
    <w:p w14:paraId="2D4E5828">
      <w:pPr>
        <w:pStyle w:val="44"/>
        <w:spacing w:before="120" w:beforeAutospacing="0" w:after="120" w:afterAutospacing="0"/>
        <w:ind w:left="408" w:hanging="408"/>
        <w:jc w:val="both"/>
        <w:rPr>
          <w:rFonts w:hint="eastAsia" w:ascii="宋体" w:hAnsi="宋体" w:eastAsia="宋体" w:cs="宋体"/>
          <w:color w:val="000000"/>
        </w:rPr>
      </w:pPr>
      <w:r>
        <w:rPr>
          <w:rFonts w:hint="eastAsia" w:ascii="宋体" w:hAnsi="宋体" w:eastAsia="宋体" w:cs="宋体"/>
          <w:color w:val="000000"/>
        </w:rPr>
        <w:t>6.1 乙方交纳合同金额的10%人民币_________元作为本合同的履约保证金。</w:t>
      </w:r>
    </w:p>
    <w:p w14:paraId="521FACE3">
      <w:pPr>
        <w:pStyle w:val="44"/>
        <w:spacing w:before="120" w:beforeAutospacing="0" w:after="120" w:afterAutospacing="0"/>
        <w:ind w:left="210" w:firstLine="240"/>
        <w:jc w:val="both"/>
        <w:rPr>
          <w:rFonts w:hint="eastAsia" w:ascii="宋体" w:hAnsi="宋体" w:eastAsia="宋体" w:cs="宋体"/>
          <w:color w:val="7030A0"/>
        </w:rPr>
      </w:pPr>
      <w:r>
        <w:rPr>
          <w:rFonts w:hint="eastAsia" w:ascii="宋体" w:hAnsi="宋体" w:eastAsia="宋体" w:cs="宋体"/>
          <w:color w:val="7030A0"/>
        </w:rPr>
        <w:t>（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p>
    <w:p w14:paraId="5A3FA4C1">
      <w:pPr>
        <w:pStyle w:val="44"/>
        <w:spacing w:before="120" w:beforeAutospacing="0" w:after="120" w:afterAutospacing="0"/>
        <w:ind w:left="408" w:hanging="408"/>
        <w:jc w:val="both"/>
        <w:rPr>
          <w:rFonts w:hint="eastAsia" w:ascii="宋体" w:hAnsi="宋体" w:eastAsia="宋体"/>
        </w:rPr>
      </w:pPr>
      <w:r>
        <w:rPr>
          <w:rFonts w:hint="eastAsia" w:ascii="宋体" w:hAnsi="宋体" w:eastAsia="宋体" w:cs="宋体"/>
          <w:color w:val="000000"/>
        </w:rPr>
        <w:t>6.2合同履行结束后，甲方应及时退还交纳的履约保证金。</w:t>
      </w:r>
    </w:p>
    <w:p w14:paraId="529262ED">
      <w:pPr>
        <w:spacing w:line="360" w:lineRule="auto"/>
        <w:rPr>
          <w:rFonts w:hint="eastAsia" w:ascii="宋体" w:hAnsi="宋体" w:eastAsia="宋体" w:cs="宋体"/>
          <w:color w:val="FF0000"/>
          <w:sz w:val="24"/>
        </w:rPr>
      </w:pPr>
      <w:r>
        <w:rPr>
          <w:rFonts w:hint="eastAsia" w:ascii="宋体" w:hAnsi="宋体" w:eastAsia="宋体" w:cs="宋体"/>
          <w:color w:val="FF0000"/>
          <w:sz w:val="24"/>
        </w:rPr>
        <w:t>6.3履约保证金的退还：</w:t>
      </w:r>
    </w:p>
    <w:p w14:paraId="20B8B092">
      <w:pPr>
        <w:spacing w:line="360" w:lineRule="auto"/>
        <w:rPr>
          <w:rFonts w:hint="eastAsia" w:ascii="宋体" w:hAnsi="宋体" w:eastAsia="宋体" w:cs="宋体"/>
          <w:color w:val="FF0000"/>
          <w:sz w:val="24"/>
        </w:rPr>
      </w:pPr>
      <w:r>
        <w:rPr>
          <w:rFonts w:hint="eastAsia" w:ascii="宋体" w:hAnsi="宋体" w:eastAsia="宋体" w:cs="宋体"/>
          <w:color w:val="FF0000"/>
          <w:sz w:val="24"/>
        </w:rPr>
        <w:t>6.3.1方式：退还至投标人缴纳履约保证金的账户。如为保函，在到期时自行失效。</w:t>
      </w:r>
    </w:p>
    <w:p w14:paraId="5D79298D">
      <w:pPr>
        <w:spacing w:line="360" w:lineRule="auto"/>
        <w:rPr>
          <w:rFonts w:hint="eastAsia" w:ascii="宋体" w:hAnsi="宋体" w:eastAsia="宋体" w:cs="宋体"/>
          <w:color w:val="FF0000"/>
          <w:sz w:val="24"/>
        </w:rPr>
      </w:pPr>
      <w:r>
        <w:rPr>
          <w:rFonts w:hint="eastAsia" w:ascii="宋体" w:hAnsi="宋体" w:eastAsia="宋体" w:cs="宋体"/>
          <w:color w:val="FF0000"/>
          <w:sz w:val="24"/>
        </w:rPr>
        <w:t>6.3.2时间：验收合格且采购人收到发票后10个工作日内。</w:t>
      </w:r>
    </w:p>
    <w:p w14:paraId="65F917C2">
      <w:pPr>
        <w:spacing w:line="360" w:lineRule="auto"/>
        <w:rPr>
          <w:rFonts w:hint="eastAsia" w:ascii="宋体" w:hAnsi="宋体" w:eastAsia="宋体" w:cs="宋体"/>
          <w:color w:val="FF0000"/>
          <w:sz w:val="24"/>
        </w:rPr>
      </w:pPr>
      <w:r>
        <w:rPr>
          <w:rFonts w:hint="eastAsia" w:ascii="宋体" w:hAnsi="宋体" w:eastAsia="宋体" w:cs="宋体"/>
          <w:color w:val="FF0000"/>
          <w:sz w:val="24"/>
        </w:rPr>
        <w:t>6.3.3条件：按合同要求全部履约完成并经采购人验收合格，且采购人收到中标人出具的发票。</w:t>
      </w:r>
    </w:p>
    <w:p w14:paraId="32962B1E">
      <w:pPr>
        <w:spacing w:line="360" w:lineRule="auto"/>
        <w:rPr>
          <w:rFonts w:hint="eastAsia" w:ascii="宋体" w:hAnsi="宋体" w:eastAsia="宋体" w:cs="宋体"/>
          <w:color w:val="FF0000"/>
          <w:sz w:val="24"/>
        </w:rPr>
      </w:pPr>
      <w:r>
        <w:rPr>
          <w:rFonts w:hint="eastAsia" w:ascii="宋体" w:hAnsi="宋体" w:eastAsia="宋体" w:cs="宋体"/>
          <w:color w:val="FF0000"/>
          <w:sz w:val="24"/>
        </w:rPr>
        <w:t>6.3.4不予退还情形：</w:t>
      </w:r>
    </w:p>
    <w:p w14:paraId="6DE8EB04">
      <w:pPr>
        <w:spacing w:line="360" w:lineRule="auto"/>
        <w:rPr>
          <w:rFonts w:hint="eastAsia" w:ascii="宋体" w:hAnsi="宋体" w:eastAsia="宋体" w:cs="宋体"/>
          <w:color w:val="FF0000"/>
          <w:sz w:val="24"/>
        </w:rPr>
      </w:pPr>
      <w:r>
        <w:rPr>
          <w:rFonts w:hint="eastAsia" w:ascii="宋体" w:hAnsi="宋体" w:eastAsia="宋体" w:cs="宋体"/>
          <w:color w:val="FF0000"/>
          <w:sz w:val="24"/>
        </w:rPr>
        <w:t>除不可抗力情况外，投标人出现下列情形之一的，其履约保证金，招标人将视情节决定不予退还或部分不予退还。</w:t>
      </w:r>
    </w:p>
    <w:p w14:paraId="730F73A6">
      <w:pPr>
        <w:spacing w:line="360" w:lineRule="auto"/>
        <w:rPr>
          <w:rFonts w:hint="eastAsia" w:ascii="宋体" w:hAnsi="宋体" w:eastAsia="宋体" w:cs="宋体"/>
          <w:color w:val="FF0000"/>
          <w:sz w:val="24"/>
        </w:rPr>
      </w:pPr>
      <w:r>
        <w:rPr>
          <w:rFonts w:hint="eastAsia" w:ascii="宋体" w:hAnsi="宋体" w:eastAsia="宋体" w:cs="宋体"/>
          <w:color w:val="FF0000"/>
          <w:sz w:val="24"/>
        </w:rPr>
        <w:t>（1）中标人无正当理由拒绝签订合同的，或者在签订合同时向采购人提出附加条件或者更改合同实质性内容要求的；</w:t>
      </w:r>
    </w:p>
    <w:p w14:paraId="1C6360DC">
      <w:pPr>
        <w:spacing w:line="360" w:lineRule="auto"/>
        <w:rPr>
          <w:rFonts w:hint="eastAsia" w:ascii="宋体" w:hAnsi="宋体" w:eastAsia="宋体" w:cs="宋体"/>
          <w:color w:val="FF0000"/>
          <w:sz w:val="24"/>
        </w:rPr>
      </w:pPr>
      <w:r>
        <w:rPr>
          <w:rFonts w:hint="eastAsia" w:ascii="宋体" w:hAnsi="宋体" w:eastAsia="宋体" w:cs="宋体"/>
          <w:color w:val="FF0000"/>
          <w:sz w:val="24"/>
        </w:rPr>
        <w:t>（2）中标人不履行与采购人订立的合同的；</w:t>
      </w:r>
    </w:p>
    <w:p w14:paraId="48DB431D">
      <w:pPr>
        <w:spacing w:line="360" w:lineRule="auto"/>
        <w:rPr>
          <w:rFonts w:hint="eastAsia" w:ascii="宋体" w:hAnsi="宋体" w:eastAsia="宋体" w:cs="宋体"/>
          <w:color w:val="FF0000"/>
          <w:sz w:val="24"/>
        </w:rPr>
      </w:pPr>
      <w:r>
        <w:rPr>
          <w:rFonts w:hint="eastAsia" w:ascii="宋体" w:hAnsi="宋体" w:eastAsia="宋体" w:cs="宋体"/>
          <w:color w:val="FF0000"/>
          <w:sz w:val="24"/>
        </w:rPr>
        <w:t>（3）中标人所供货物或服务不符合招标文件规定要求的；</w:t>
      </w:r>
    </w:p>
    <w:p w14:paraId="08D17664">
      <w:pPr>
        <w:spacing w:line="360" w:lineRule="auto"/>
        <w:rPr>
          <w:rFonts w:hint="eastAsia" w:ascii="宋体" w:hAnsi="宋体" w:eastAsia="宋体" w:cs="宋体"/>
          <w:color w:val="FF0000"/>
          <w:sz w:val="24"/>
        </w:rPr>
      </w:pPr>
      <w:r>
        <w:rPr>
          <w:rFonts w:hint="eastAsia" w:ascii="宋体" w:hAnsi="宋体" w:eastAsia="宋体" w:cs="宋体"/>
          <w:color w:val="FF0000"/>
          <w:sz w:val="24"/>
        </w:rPr>
        <w:t>（4）中标人采取欺骗、弄虚作假方式投标的或与其它投标人串通投标的；</w:t>
      </w:r>
    </w:p>
    <w:p w14:paraId="77F87ADA">
      <w:pPr>
        <w:spacing w:line="360" w:lineRule="auto"/>
        <w:rPr>
          <w:rFonts w:hint="eastAsia" w:ascii="宋体" w:hAnsi="宋体" w:eastAsia="宋体" w:cs="宋体"/>
          <w:color w:val="FF0000"/>
          <w:sz w:val="24"/>
        </w:rPr>
      </w:pPr>
      <w:r>
        <w:rPr>
          <w:rFonts w:hint="eastAsia" w:ascii="宋体" w:hAnsi="宋体" w:eastAsia="宋体" w:cs="宋体"/>
          <w:color w:val="FF0000"/>
          <w:sz w:val="24"/>
        </w:rPr>
        <w:t>（5）中标人将合同内容转包、违法分包的；</w:t>
      </w:r>
    </w:p>
    <w:p w14:paraId="3C847599">
      <w:pPr>
        <w:spacing w:line="360" w:lineRule="auto"/>
        <w:rPr>
          <w:rFonts w:hint="eastAsia" w:ascii="宋体" w:hAnsi="宋体" w:eastAsia="宋体" w:cs="宋体"/>
          <w:color w:val="FF0000"/>
          <w:sz w:val="24"/>
        </w:rPr>
      </w:pPr>
      <w:r>
        <w:rPr>
          <w:rFonts w:hint="eastAsia" w:ascii="宋体" w:hAnsi="宋体" w:eastAsia="宋体" w:cs="宋体"/>
          <w:color w:val="FF0000"/>
          <w:sz w:val="24"/>
        </w:rPr>
        <w:t>（6）中标人故意捏造事实或伪造证明材料，进行虚假恶意投诉或反映的。</w:t>
      </w:r>
    </w:p>
    <w:p w14:paraId="08AB1D1F">
      <w:pPr>
        <w:spacing w:line="360" w:lineRule="auto"/>
        <w:rPr>
          <w:rFonts w:hint="eastAsia" w:ascii="宋体" w:hAnsi="宋体" w:eastAsia="宋体" w:cs="宋体"/>
          <w:color w:val="FF0000"/>
          <w:sz w:val="24"/>
        </w:rPr>
      </w:pPr>
      <w:r>
        <w:rPr>
          <w:rFonts w:hint="eastAsia" w:ascii="宋体" w:hAnsi="宋体" w:eastAsia="宋体" w:cs="宋体"/>
          <w:color w:val="FF0000"/>
          <w:sz w:val="24"/>
        </w:rPr>
        <w:t>6.3.5逾期退还的违约责任：采购人逾期无故未退还履约保证金的，按中国人民银行同期贷款基准利率上浮20%后的利率支付超期资金占用费，但因供应商自身原因导致无法及时退还的除外。</w:t>
      </w:r>
    </w:p>
    <w:p w14:paraId="153BBFE0">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rPr>
      </w:pPr>
      <w:r>
        <w:rPr>
          <w:rFonts w:hint="eastAsia" w:ascii="宋体" w:hAnsi="宋体" w:eastAsia="宋体" w:cs="宋体"/>
          <w:b/>
          <w:color w:val="000000"/>
        </w:rPr>
        <w:t>七、合同转包或分包</w:t>
      </w:r>
    </w:p>
    <w:p w14:paraId="7B283980">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7.1乙方不得将合同标的转包给他人履行。</w:t>
      </w:r>
    </w:p>
    <w:p w14:paraId="4194566F">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7.2乙方不得将合同标的分包给他人履行。</w:t>
      </w:r>
    </w:p>
    <w:p w14:paraId="08FD92E0">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7.3乙方如有转包或未经甲方同意的分包行为，甲方有权给予终止合同。</w:t>
      </w:r>
    </w:p>
    <w:p w14:paraId="28141729">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rPr>
      </w:pPr>
      <w:r>
        <w:rPr>
          <w:rFonts w:hint="eastAsia" w:ascii="宋体" w:hAnsi="宋体" w:eastAsia="宋体" w:cs="宋体"/>
          <w:b/>
          <w:color w:val="000000"/>
        </w:rPr>
        <w:t>八、合同款项支付</w:t>
      </w:r>
    </w:p>
    <w:p w14:paraId="6F949EB3">
      <w:pPr>
        <w:spacing w:line="360" w:lineRule="auto"/>
        <w:ind w:firstLine="480"/>
        <w:rPr>
          <w:rFonts w:hint="eastAsia" w:ascii="宋体" w:hAnsi="宋体" w:eastAsia="宋体"/>
          <w:sz w:val="24"/>
        </w:rPr>
      </w:pPr>
      <w:r>
        <w:rPr>
          <w:rFonts w:hint="eastAsia" w:ascii="宋体" w:hAnsi="宋体" w:eastAsia="宋体"/>
          <w:sz w:val="24"/>
        </w:rPr>
        <w:t>合同签定后7日内支付合同总价的10%作为预付款（中标人须提供合同总价10%的银行保函）；</w:t>
      </w:r>
      <w:r>
        <w:rPr>
          <w:rFonts w:ascii="宋体" w:hAnsi="宋体" w:eastAsia="宋体"/>
          <w:sz w:val="24"/>
        </w:rPr>
        <w:t>中标人按要求将货物送到指定地点并完成安装调试，经采购人验收全部合格后付至合同款的</w:t>
      </w:r>
      <w:r>
        <w:rPr>
          <w:rFonts w:hint="eastAsia" w:ascii="宋体" w:hAnsi="宋体" w:eastAsia="宋体"/>
          <w:sz w:val="24"/>
          <w:lang w:val="en-US" w:eastAsia="zh-CN"/>
        </w:rPr>
        <w:t>80</w:t>
      </w:r>
      <w:r>
        <w:rPr>
          <w:rFonts w:ascii="宋体" w:hAnsi="宋体" w:eastAsia="宋体"/>
          <w:sz w:val="24"/>
        </w:rPr>
        <w:t>%</w:t>
      </w:r>
      <w:r>
        <w:rPr>
          <w:rFonts w:hint="eastAsia" w:ascii="宋体" w:hAnsi="宋体" w:eastAsia="宋体"/>
          <w:sz w:val="24"/>
          <w:lang w:eastAsia="zh-CN"/>
        </w:rPr>
        <w:t>；</w:t>
      </w:r>
      <w:r>
        <w:rPr>
          <w:rFonts w:ascii="宋体" w:hAnsi="宋体" w:eastAsia="宋体"/>
          <w:sz w:val="24"/>
        </w:rPr>
        <w:t>验收合格满一年后付至合同款的</w:t>
      </w:r>
      <w:r>
        <w:rPr>
          <w:rFonts w:hint="eastAsia" w:ascii="宋体" w:hAnsi="宋体" w:eastAsia="宋体"/>
          <w:sz w:val="24"/>
        </w:rPr>
        <w:t>90</w:t>
      </w:r>
      <w:r>
        <w:rPr>
          <w:rFonts w:ascii="宋体" w:hAnsi="宋体" w:eastAsia="宋体"/>
          <w:sz w:val="24"/>
        </w:rPr>
        <w:t>%</w:t>
      </w:r>
      <w:r>
        <w:rPr>
          <w:rFonts w:hint="eastAsia" w:ascii="宋体" w:hAnsi="宋体" w:eastAsia="宋体"/>
          <w:sz w:val="24"/>
          <w:lang w:eastAsia="zh-CN"/>
        </w:rPr>
        <w:t>；</w:t>
      </w:r>
      <w:r>
        <w:rPr>
          <w:rFonts w:ascii="宋体" w:hAnsi="宋体" w:eastAsia="宋体"/>
          <w:sz w:val="24"/>
        </w:rPr>
        <w:t>余款在质保期满并经审计后付清。（结算时，中标人须提供税务发票，收到发票后10个工作日内支付）。</w:t>
      </w:r>
    </w:p>
    <w:p w14:paraId="1BF4090B">
      <w:pPr>
        <w:spacing w:line="360" w:lineRule="auto"/>
        <w:ind w:firstLine="480"/>
        <w:rPr>
          <w:rFonts w:hint="eastAsia" w:ascii="宋体" w:hAnsi="宋体" w:eastAsia="宋体"/>
          <w:sz w:val="24"/>
        </w:rPr>
      </w:pPr>
      <w:r>
        <w:rPr>
          <w:rFonts w:hint="eastAsia" w:ascii="宋体" w:hAnsi="宋体" w:eastAsia="宋体"/>
          <w:sz w:val="24"/>
          <w:lang w:val="en-US" w:eastAsia="zh-CN"/>
        </w:rPr>
        <w:t>注：</w:t>
      </w:r>
      <w:r>
        <w:rPr>
          <w:rFonts w:ascii="宋体" w:hAnsi="宋体" w:eastAsia="宋体"/>
          <w:sz w:val="24"/>
        </w:rPr>
        <w:t>当采购数量与实际使用数量不一致时，乙方应根据实际使用量供货，合同的最终结算金额按实际使用量乘以成交单价进行计算。</w:t>
      </w:r>
    </w:p>
    <w:p w14:paraId="3C81207A">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rPr>
      </w:pPr>
      <w:r>
        <w:rPr>
          <w:rFonts w:hint="eastAsia" w:ascii="宋体" w:hAnsi="宋体" w:eastAsia="宋体" w:cs="宋体"/>
          <w:b/>
          <w:color w:val="000000"/>
        </w:rPr>
        <w:t>九、税费</w:t>
      </w:r>
    </w:p>
    <w:p w14:paraId="442BCA8D">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9.1本合同执行中相关的一切税费均由乙方负担。</w:t>
      </w:r>
    </w:p>
    <w:p w14:paraId="4F60C877">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rPr>
      </w:pPr>
      <w:r>
        <w:rPr>
          <w:rFonts w:hint="eastAsia" w:ascii="宋体" w:hAnsi="宋体" w:eastAsia="宋体" w:cs="宋体"/>
          <w:b/>
          <w:color w:val="000000"/>
        </w:rPr>
        <w:t>十、质量保修范围和保修期及售后服务</w:t>
      </w:r>
    </w:p>
    <w:p w14:paraId="22F2A30C">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10.1 乙方应按招标文件规定的货物性能、技术要求、质量标准向甲方提供未经使用的全新产品。</w:t>
      </w:r>
    </w:p>
    <w:p w14:paraId="38091817">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10.2 乙方提供的货物在质量期内因货物本身的质量问题发生故障，乙方应负责免费更换。对达不到技术要求者，根据实际情况，经双方协商，可按以下办法处理：</w:t>
      </w:r>
    </w:p>
    <w:p w14:paraId="421BC85F">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⑴更换：由乙方承担所发生的全部费用。</w:t>
      </w:r>
    </w:p>
    <w:p w14:paraId="1E53A704">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⑵贬值处理：由甲乙双方合议定价。</w:t>
      </w:r>
    </w:p>
    <w:p w14:paraId="6D5D1096">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⑶退货处理：乙方应退还甲方支付的合同款，同时应承担该货物的直接费用（运输、保险、检验、货款利息及银行手续费等）。</w:t>
      </w:r>
    </w:p>
    <w:p w14:paraId="0F6F3BB0">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10.3 如在使用过程中发生质量问题，乙方在接到甲方通知后在</w:t>
      </w:r>
      <w:r>
        <w:rPr>
          <w:rFonts w:hint="eastAsia" w:ascii="宋体" w:hAnsi="宋体" w:eastAsia="宋体" w:cs="宋体"/>
          <w:color w:val="000000"/>
          <w:u w:val="single"/>
        </w:rPr>
        <w:t xml:space="preserve">  </w:t>
      </w:r>
      <w:r>
        <w:rPr>
          <w:rFonts w:hint="eastAsia" w:ascii="宋体" w:hAnsi="宋体" w:eastAsia="宋体" w:cs="宋体"/>
          <w:color w:val="000000"/>
        </w:rPr>
        <w:t>小时内到达甲方现场。</w:t>
      </w:r>
    </w:p>
    <w:p w14:paraId="08F25B3F">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10.4 在质保期内，乙方应对货物出现的质量及安全问题负责处理解决并承担一切费用。</w:t>
      </w:r>
    </w:p>
    <w:p w14:paraId="0FD0AC84">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10.5上述的货物免费保修期为</w:t>
      </w:r>
      <w:r>
        <w:rPr>
          <w:rFonts w:hint="eastAsia" w:ascii="宋体" w:hAnsi="宋体" w:eastAsia="宋体" w:cs="宋体"/>
          <w:color w:val="000000"/>
          <w:u w:val="single"/>
        </w:rPr>
        <w:t>  </w:t>
      </w:r>
      <w:r>
        <w:rPr>
          <w:rFonts w:hint="eastAsia" w:ascii="宋体" w:hAnsi="宋体" w:eastAsia="宋体" w:cs="宋体"/>
          <w:color w:val="000000"/>
        </w:rPr>
        <w:t>年（自交货验收合格之日起计），因人为因素出现的故障不在免费保修范围内。超过保修期的机器设备，终生维修，维修时只收部件成本费。</w:t>
      </w:r>
    </w:p>
    <w:p w14:paraId="77331801">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rPr>
      </w:pPr>
      <w:r>
        <w:rPr>
          <w:rFonts w:hint="eastAsia" w:ascii="宋体" w:hAnsi="宋体" w:eastAsia="宋体" w:cs="宋体"/>
          <w:b/>
          <w:color w:val="000000"/>
        </w:rPr>
        <w:t>十一、项目验收</w:t>
      </w:r>
    </w:p>
    <w:p w14:paraId="1A7EF768">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11.1 甲方依法组织履约验收工作。</w:t>
      </w:r>
    </w:p>
    <w:p w14:paraId="43DA0062">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D00F834">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11.3 对于实际使用人和甲方分离的项目，甲方邀请实际使用人参与验收。</w:t>
      </w:r>
    </w:p>
    <w:p w14:paraId="1C5955C7">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11.4 如有必要，甲方邀请参加本项目的其他供应商或第三方专业机构及专家参与验收，相关意见将作为验收书的参考资料。</w:t>
      </w:r>
    </w:p>
    <w:p w14:paraId="1C2B59CA">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2DB82D9">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22F5CDC">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rPr>
      </w:pPr>
      <w:r>
        <w:rPr>
          <w:rFonts w:hint="eastAsia" w:ascii="宋体" w:hAnsi="宋体" w:eastAsia="宋体" w:cs="宋体"/>
          <w:b/>
          <w:color w:val="000000"/>
        </w:rPr>
        <w:t>十二、货物的包装、发运及运输</w:t>
      </w:r>
    </w:p>
    <w:p w14:paraId="3774FB54">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12.1 乙方应在货物发运前对其进行满足运输距离、防潮、防震、防锈和防破损装卸等要求包装，以保证货物安全运达甲方指定地点。</w:t>
      </w:r>
      <w:r>
        <w:rPr>
          <w:rFonts w:hint="eastAsia" w:ascii="宋体" w:hAnsi="宋体" w:eastAsia="宋体" w:cs="宋体"/>
          <w:color w:val="FF0000"/>
        </w:rPr>
        <w:t>乙方对货物的包装应符合《商品包装政府采购需求标准（试行）》、《快递包装政府采购需求标准（试行）》的规定。</w:t>
      </w:r>
    </w:p>
    <w:p w14:paraId="32CFA235">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12.2 使用说明书、质量检验证明书、随配附件和工具以及清单一并附于货物内。</w:t>
      </w:r>
    </w:p>
    <w:p w14:paraId="7C32DC0E">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12.3 乙方在货物发运手续办理完毕后24小时内或货到甲方48小时前通知甲方，以准备接货。</w:t>
      </w:r>
    </w:p>
    <w:p w14:paraId="14FC4DFE">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12.4 货物在交付甲方前发生的风险均由乙方负责。</w:t>
      </w:r>
    </w:p>
    <w:p w14:paraId="53B3AA52">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right="26" w:firstLine="480" w:firstLineChars="200"/>
        <w:jc w:val="both"/>
        <w:textAlignment w:val="auto"/>
        <w:rPr>
          <w:rFonts w:hint="eastAsia" w:ascii="宋体" w:hAnsi="宋体" w:eastAsia="宋体" w:cs="宋体"/>
        </w:rPr>
      </w:pPr>
      <w:r>
        <w:rPr>
          <w:rFonts w:hint="eastAsia" w:ascii="宋体" w:hAnsi="宋体" w:eastAsia="宋体" w:cs="宋体"/>
          <w:color w:val="000000"/>
        </w:rPr>
        <w:t>12.5 货物在规定的交付期限内由乙方送达甲方指定的地点视为交付，乙方同时需通知甲方货物已送达。</w:t>
      </w:r>
    </w:p>
    <w:p w14:paraId="6C2C8250">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rPr>
      </w:pPr>
      <w:r>
        <w:rPr>
          <w:rFonts w:hint="eastAsia" w:ascii="宋体" w:hAnsi="宋体" w:eastAsia="宋体" w:cs="宋体"/>
          <w:b/>
          <w:color w:val="000000"/>
        </w:rPr>
        <w:t>十三、违约责任</w:t>
      </w:r>
    </w:p>
    <w:p w14:paraId="6D265F9C">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rPr>
      </w:pPr>
      <w:r>
        <w:rPr>
          <w:rFonts w:hint="eastAsia" w:ascii="宋体" w:hAnsi="宋体" w:eastAsia="宋体" w:cs="宋体"/>
          <w:color w:val="000000"/>
        </w:rPr>
        <w:t>13.1甲方无正当理由拒收货物的，甲方向乙方偿付拒收货款总值的百分之五违约金。</w:t>
      </w:r>
    </w:p>
    <w:p w14:paraId="56617E09">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rPr>
      </w:pPr>
      <w:r>
        <w:rPr>
          <w:rFonts w:hint="eastAsia" w:ascii="宋体" w:hAnsi="宋体" w:eastAsia="宋体" w:cs="宋体"/>
          <w:color w:val="000000"/>
        </w:rPr>
        <w:t>13.2甲方无故逾期验收和办理货款支付手续的,甲方应按逾期付款总额每日千分之六向乙方支付违约金。</w:t>
      </w:r>
    </w:p>
    <w:p w14:paraId="5D8FDE44">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rPr>
      </w:pPr>
      <w:r>
        <w:rPr>
          <w:rFonts w:hint="eastAsia" w:ascii="宋体" w:hAnsi="宋体" w:eastAsia="宋体" w:cs="宋体"/>
          <w:color w:val="000000"/>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392C18D9">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14AA5D87">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rPr>
      </w:pPr>
      <w:r>
        <w:rPr>
          <w:rFonts w:hint="eastAsia" w:ascii="宋体" w:hAnsi="宋体" w:eastAsia="宋体" w:cs="宋体"/>
          <w:b/>
          <w:color w:val="000000"/>
        </w:rPr>
        <w:t>十四、不可抗力事件处理</w:t>
      </w:r>
    </w:p>
    <w:p w14:paraId="34807477">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14.1 在合同有效期内，任何一方因不可抗力事件导致不能履行合同，则合同履行期可延长，其延长期与不可抗力影响期相同。</w:t>
      </w:r>
    </w:p>
    <w:p w14:paraId="04542795">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14.2 不可抗力事件发生后，应立即通知对方，并寄送有关权威机构出具的证明。</w:t>
      </w:r>
    </w:p>
    <w:p w14:paraId="21254757">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14.3 不可抗力事件延续120天以上，双方应通过友好协商，确定是否继续履行合同。</w:t>
      </w:r>
    </w:p>
    <w:p w14:paraId="2E4DC4D6">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rPr>
      </w:pPr>
      <w:r>
        <w:rPr>
          <w:rFonts w:hint="eastAsia" w:ascii="宋体" w:hAnsi="宋体" w:eastAsia="宋体" w:cs="宋体"/>
          <w:b/>
          <w:color w:val="000000"/>
        </w:rPr>
        <w:t>十五、解决争议的方法</w:t>
      </w:r>
    </w:p>
    <w:p w14:paraId="1E2974A3">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15.1甲乙双方因合同签订、履行而发生的一切争议，应通过友好协商解决。如协商不成由甲方住所地人民法院管辖。</w:t>
      </w:r>
    </w:p>
    <w:p w14:paraId="79037F2B">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rPr>
      </w:pPr>
      <w:r>
        <w:rPr>
          <w:rFonts w:hint="eastAsia" w:ascii="宋体" w:hAnsi="宋体" w:eastAsia="宋体" w:cs="宋体"/>
          <w:b/>
          <w:color w:val="000000"/>
        </w:rPr>
        <w:t>十六、合同生效及其它</w:t>
      </w:r>
    </w:p>
    <w:p w14:paraId="1840143F">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16.1 合同经双方法定代表人或授权委托代表人签字并加盖单位公章后生效。</w:t>
      </w:r>
    </w:p>
    <w:p w14:paraId="230FA30B">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16.2本合同未尽事宜，遵照《民法典》、《政府采购法》有关条文执行。</w:t>
      </w:r>
    </w:p>
    <w:p w14:paraId="45BB8D52">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16.3 本合同正本一式五份，具有同等法律效力，甲方、乙方各执二份、代理公司执一份。</w:t>
      </w:r>
    </w:p>
    <w:p w14:paraId="4C9CC98E">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80" w:hanging="480"/>
        <w:jc w:val="both"/>
        <w:textAlignment w:val="auto"/>
        <w:rPr>
          <w:rFonts w:hint="eastAsia" w:ascii="宋体" w:hAnsi="宋体" w:eastAsia="宋体" w:cs="宋体"/>
        </w:rPr>
      </w:pPr>
      <w:r>
        <w:rPr>
          <w:rFonts w:hint="eastAsia" w:ascii="宋体" w:hAnsi="宋体" w:eastAsia="宋体" w:cs="宋体"/>
          <w:color w:val="000000"/>
        </w:rPr>
        <w:t xml:space="preserve">  甲方：                乙方： </w:t>
      </w:r>
    </w:p>
    <w:p w14:paraId="53D42CA2">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rPr>
      </w:pPr>
      <w:r>
        <w:rPr>
          <w:rFonts w:hint="eastAsia" w:ascii="宋体" w:hAnsi="宋体" w:eastAsia="宋体" w:cs="宋体"/>
          <w:color w:val="000000"/>
        </w:rPr>
        <w:t xml:space="preserve">  地址：                地址： </w:t>
      </w:r>
    </w:p>
    <w:p w14:paraId="7B535E20">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rPr>
      </w:pPr>
      <w:r>
        <w:rPr>
          <w:rFonts w:hint="eastAsia" w:ascii="宋体" w:hAnsi="宋体" w:eastAsia="宋体" w:cs="宋体"/>
          <w:color w:val="000000"/>
        </w:rPr>
        <w:t>  法定代表人或授权代表：        法定代表人或授权代表：</w:t>
      </w:r>
    </w:p>
    <w:p w14:paraId="1C7CE1C8">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jc w:val="both"/>
        <w:textAlignment w:val="auto"/>
        <w:rPr>
          <w:rFonts w:hint="eastAsia" w:ascii="宋体" w:hAnsi="宋体" w:eastAsia="宋体" w:cs="宋体"/>
        </w:rPr>
      </w:pPr>
      <w:r>
        <w:rPr>
          <w:rFonts w:hint="eastAsia" w:ascii="宋体" w:hAnsi="宋体" w:eastAsia="宋体" w:cs="宋体"/>
          <w:color w:val="000000"/>
        </w:rPr>
        <w:t xml:space="preserve">联系电话：              联系电话：          </w:t>
      </w:r>
    </w:p>
    <w:p w14:paraId="16EA9350">
      <w:pPr>
        <w:pStyle w:val="44"/>
        <w:spacing w:before="120" w:beforeAutospacing="0" w:after="120" w:afterAutospacing="0" w:line="0" w:lineRule="atLeast"/>
        <w:jc w:val="center"/>
        <w:rPr>
          <w:rFonts w:hint="eastAsia" w:ascii="宋体" w:hAnsi="宋体" w:eastAsia="宋体" w:cs="宋体"/>
        </w:rPr>
      </w:pPr>
      <w:r>
        <w:rPr>
          <w:rFonts w:hint="eastAsia" w:ascii="宋体" w:hAnsi="宋体" w:eastAsia="宋体" w:cs="宋体"/>
          <w:color w:val="000000"/>
          <w:sz w:val="21"/>
          <w:szCs w:val="21"/>
        </w:rPr>
        <w:t xml:space="preserve">                 </w:t>
      </w:r>
      <w:r>
        <w:rPr>
          <w:rFonts w:hint="eastAsia" w:ascii="宋体" w:hAnsi="宋体" w:eastAsia="宋体" w:cs="宋体"/>
          <w:color w:val="000000"/>
        </w:rPr>
        <w:t xml:space="preserve">   </w:t>
      </w:r>
    </w:p>
    <w:p w14:paraId="1E48C41D">
      <w:pPr>
        <w:pStyle w:val="44"/>
        <w:spacing w:before="120" w:beforeAutospacing="0" w:after="120" w:afterAutospacing="0" w:line="0" w:lineRule="atLeast"/>
        <w:jc w:val="center"/>
        <w:rPr>
          <w:rFonts w:hint="eastAsia" w:ascii="宋体" w:hAnsi="宋体" w:eastAsia="宋体" w:cs="宋体"/>
        </w:rPr>
      </w:pPr>
      <w:r>
        <w:rPr>
          <w:rFonts w:hint="eastAsia" w:ascii="宋体" w:hAnsi="宋体" w:eastAsia="宋体" w:cs="宋体"/>
        </w:rPr>
        <w:t> </w:t>
      </w:r>
    </w:p>
    <w:p w14:paraId="52852916">
      <w:pPr>
        <w:pStyle w:val="44"/>
        <w:spacing w:before="120" w:beforeAutospacing="0" w:after="120" w:afterAutospacing="0" w:line="0" w:lineRule="atLeast"/>
        <w:jc w:val="center"/>
        <w:rPr>
          <w:rFonts w:hint="eastAsia" w:ascii="宋体" w:hAnsi="宋体" w:eastAsia="宋体" w:cs="宋体"/>
        </w:rPr>
      </w:pPr>
      <w:r>
        <w:rPr>
          <w:rFonts w:hint="eastAsia" w:ascii="宋体" w:hAnsi="宋体" w:eastAsia="宋体" w:cs="宋体"/>
          <w:color w:val="000000"/>
        </w:rPr>
        <w:t>         签订日期：      年    月   日</w:t>
      </w:r>
      <w:bookmarkStart w:id="168" w:name="_Toc479757211"/>
      <w:bookmarkStart w:id="169" w:name="_Toc20823346"/>
      <w:bookmarkStart w:id="170" w:name="_Toc462564139"/>
      <w:bookmarkStart w:id="171" w:name="_Toc16938590"/>
      <w:bookmarkStart w:id="172" w:name="_Hlt16619350"/>
      <w:bookmarkStart w:id="173" w:name="_Toc120614244"/>
      <w:bookmarkStart w:id="174" w:name="_Hlt16619369"/>
      <w:r>
        <w:rPr>
          <w:rFonts w:hint="eastAsia" w:ascii="宋体" w:hAnsi="宋体" w:eastAsia="宋体" w:cs="宋体"/>
          <w:color w:val="000000"/>
          <w:sz w:val="44"/>
          <w:szCs w:val="44"/>
        </w:rPr>
        <w:br w:type="page" w:clear="all"/>
      </w:r>
      <w:r>
        <w:rPr>
          <w:rFonts w:hint="eastAsia" w:ascii="宋体" w:hAnsi="宋体" w:eastAsia="宋体" w:cs="宋体"/>
          <w:color w:val="000000"/>
          <w:sz w:val="44"/>
          <w:szCs w:val="44"/>
        </w:rPr>
        <w:t> 第</w:t>
      </w:r>
      <w:bookmarkEnd w:id="168"/>
      <w:r>
        <w:rPr>
          <w:rFonts w:hint="eastAsia" w:ascii="宋体" w:hAnsi="宋体" w:eastAsia="宋体" w:cs="宋体"/>
          <w:color w:val="000000"/>
          <w:sz w:val="44"/>
          <w:szCs w:val="44"/>
        </w:rPr>
        <w:t>四章 采购需求</w:t>
      </w:r>
      <w:bookmarkEnd w:id="169"/>
      <w:bookmarkEnd w:id="170"/>
      <w:bookmarkEnd w:id="171"/>
      <w:bookmarkEnd w:id="172"/>
      <w:bookmarkEnd w:id="173"/>
    </w:p>
    <w:p w14:paraId="66133BB5">
      <w:pPr>
        <w:numPr>
          <w:ilvl w:val="0"/>
          <w:numId w:val="5"/>
        </w:numPr>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设备需求清单</w:t>
      </w:r>
    </w:p>
    <w:tbl>
      <w:tblPr>
        <w:tblStyle w:val="50"/>
        <w:tblW w:w="10085" w:type="dxa"/>
        <w:tblInd w:w="-73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74"/>
        <w:gridCol w:w="1269"/>
        <w:gridCol w:w="4659"/>
        <w:gridCol w:w="495"/>
        <w:gridCol w:w="737"/>
        <w:gridCol w:w="1851"/>
      </w:tblGrid>
      <w:tr w14:paraId="73128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980" w:hRule="atLeast"/>
        </w:trPr>
        <w:tc>
          <w:tcPr>
            <w:tcW w:w="1074" w:type="dxa"/>
            <w:tcBorders>
              <w:top w:val="single" w:color="000000" w:sz="8" w:space="0"/>
              <w:left w:val="single" w:color="000000" w:sz="8" w:space="0"/>
              <w:bottom w:val="single" w:color="000000" w:sz="4" w:space="0"/>
              <w:right w:val="single" w:color="000000" w:sz="4" w:space="0"/>
            </w:tcBorders>
            <w:shd w:val="clear" w:color="auto" w:fill="auto"/>
            <w:vAlign w:val="center"/>
          </w:tcPr>
          <w:p w14:paraId="1CCD6B0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000000"/>
                <w:sz w:val="18"/>
                <w:szCs w:val="18"/>
                <w:u w:val="none"/>
              </w:rPr>
            </w:pPr>
            <w:r>
              <w:rPr>
                <w:rStyle w:val="482"/>
                <w:rFonts w:hint="eastAsia" w:ascii="宋体" w:hAnsi="宋体" w:eastAsia="宋体" w:cs="宋体"/>
                <w:sz w:val="18"/>
                <w:szCs w:val="18"/>
                <w:lang w:val="en-US" w:eastAsia="zh-CN" w:bidi="ar"/>
              </w:rPr>
              <w:t>序号</w:t>
            </w:r>
          </w:p>
        </w:tc>
        <w:tc>
          <w:tcPr>
            <w:tcW w:w="1269" w:type="dxa"/>
            <w:tcBorders>
              <w:top w:val="single" w:color="000000" w:sz="8" w:space="0"/>
              <w:left w:val="single" w:color="000000" w:sz="4" w:space="0"/>
              <w:bottom w:val="single" w:color="000000" w:sz="4" w:space="0"/>
              <w:right w:val="single" w:color="000000" w:sz="4" w:space="0"/>
            </w:tcBorders>
            <w:shd w:val="clear" w:color="auto" w:fill="auto"/>
            <w:vAlign w:val="center"/>
          </w:tcPr>
          <w:p w14:paraId="4AD289A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bCs/>
                <w:i w:val="0"/>
                <w:iCs w:val="0"/>
                <w:color w:val="000000"/>
                <w:sz w:val="18"/>
                <w:szCs w:val="18"/>
                <w:u w:val="none"/>
              </w:rPr>
            </w:pPr>
            <w:r>
              <w:rPr>
                <w:rStyle w:val="482"/>
                <w:rFonts w:hint="eastAsia" w:ascii="宋体" w:hAnsi="宋体" w:eastAsia="宋体" w:cs="宋体"/>
                <w:sz w:val="18"/>
                <w:szCs w:val="18"/>
                <w:lang w:val="en-US" w:eastAsia="zh-CN" w:bidi="ar"/>
              </w:rPr>
              <w:t>项目名称</w:t>
            </w:r>
          </w:p>
        </w:tc>
        <w:tc>
          <w:tcPr>
            <w:tcW w:w="4659" w:type="dxa"/>
            <w:tcBorders>
              <w:top w:val="single" w:color="000000" w:sz="8" w:space="0"/>
              <w:left w:val="single" w:color="000000" w:sz="4" w:space="0"/>
              <w:bottom w:val="single" w:color="000000" w:sz="4" w:space="0"/>
              <w:right w:val="single" w:color="000000" w:sz="4" w:space="0"/>
            </w:tcBorders>
            <w:shd w:val="clear" w:color="auto" w:fill="auto"/>
            <w:vAlign w:val="center"/>
          </w:tcPr>
          <w:p w14:paraId="31E1343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000000"/>
                <w:sz w:val="18"/>
                <w:szCs w:val="18"/>
                <w:u w:val="none"/>
              </w:rPr>
            </w:pPr>
            <w:r>
              <w:rPr>
                <w:rStyle w:val="482"/>
                <w:rFonts w:hint="eastAsia" w:ascii="宋体" w:hAnsi="宋体" w:eastAsia="宋体" w:cs="宋体"/>
                <w:sz w:val="18"/>
                <w:szCs w:val="18"/>
                <w:lang w:val="en-US" w:eastAsia="zh-CN" w:bidi="ar"/>
              </w:rPr>
              <w:t>项目特征描述</w:t>
            </w:r>
          </w:p>
        </w:tc>
        <w:tc>
          <w:tcPr>
            <w:tcW w:w="495" w:type="dxa"/>
            <w:tcBorders>
              <w:top w:val="single" w:color="000000" w:sz="8" w:space="0"/>
              <w:left w:val="single" w:color="000000" w:sz="4" w:space="0"/>
              <w:bottom w:val="single" w:color="000000" w:sz="4" w:space="0"/>
              <w:right w:val="single" w:color="000000" w:sz="4" w:space="0"/>
            </w:tcBorders>
            <w:shd w:val="clear" w:color="auto" w:fill="auto"/>
            <w:vAlign w:val="center"/>
          </w:tcPr>
          <w:p w14:paraId="4B50192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000000"/>
                <w:sz w:val="18"/>
                <w:szCs w:val="18"/>
                <w:u w:val="none"/>
              </w:rPr>
            </w:pPr>
            <w:r>
              <w:rPr>
                <w:rStyle w:val="482"/>
                <w:rFonts w:hint="eastAsia" w:ascii="宋体" w:hAnsi="宋体" w:eastAsia="宋体" w:cs="宋体"/>
                <w:sz w:val="18"/>
                <w:szCs w:val="18"/>
                <w:lang w:val="en-US" w:eastAsia="zh-CN" w:bidi="ar"/>
              </w:rPr>
              <w:t>单位</w:t>
            </w:r>
          </w:p>
        </w:tc>
        <w:tc>
          <w:tcPr>
            <w:tcW w:w="737" w:type="dxa"/>
            <w:tcBorders>
              <w:top w:val="single" w:color="000000" w:sz="8" w:space="0"/>
              <w:left w:val="single" w:color="000000" w:sz="4" w:space="0"/>
              <w:bottom w:val="single" w:color="000000" w:sz="4" w:space="0"/>
              <w:right w:val="single" w:color="000000" w:sz="4" w:space="0"/>
            </w:tcBorders>
            <w:shd w:val="clear" w:color="auto" w:fill="auto"/>
            <w:vAlign w:val="center"/>
          </w:tcPr>
          <w:p w14:paraId="4FB60DE8">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数量</w:t>
            </w:r>
          </w:p>
        </w:tc>
        <w:tc>
          <w:tcPr>
            <w:tcW w:w="1851" w:type="dxa"/>
            <w:tcBorders>
              <w:top w:val="single" w:color="000000" w:sz="8" w:space="0"/>
              <w:left w:val="single" w:color="000000" w:sz="4" w:space="0"/>
              <w:bottom w:val="single" w:color="000000" w:sz="4" w:space="0"/>
              <w:right w:val="single" w:color="000000" w:sz="4" w:space="0"/>
            </w:tcBorders>
            <w:shd w:val="clear" w:color="auto" w:fill="auto"/>
            <w:vAlign w:val="center"/>
          </w:tcPr>
          <w:p w14:paraId="626788B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推荐</w:t>
            </w:r>
          </w:p>
          <w:p w14:paraId="7D2AE27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品牌</w:t>
            </w:r>
          </w:p>
        </w:tc>
      </w:tr>
      <w:tr w14:paraId="23AB4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10085" w:type="dxa"/>
            <w:gridSpan w:val="6"/>
            <w:tcBorders>
              <w:top w:val="single" w:color="000000" w:sz="8" w:space="0"/>
              <w:left w:val="single" w:color="000000" w:sz="8" w:space="0"/>
              <w:bottom w:val="single" w:color="000000" w:sz="4" w:space="0"/>
              <w:right w:val="single" w:color="000000" w:sz="4" w:space="0"/>
            </w:tcBorders>
            <w:shd w:val="clear" w:color="auto" w:fill="auto"/>
            <w:vAlign w:val="center"/>
          </w:tcPr>
          <w:p w14:paraId="1B99ACD7">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一、家具采购</w:t>
            </w:r>
          </w:p>
        </w:tc>
      </w:tr>
      <w:tr w14:paraId="1914F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0665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B1B1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6F2B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  城市书吧</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、定制书柜</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F91A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90DC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7E91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1B47B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0"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1A09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9CE3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E94B4">
            <w:pPr>
              <w:keepNext w:val="0"/>
              <w:keepLines w:val="0"/>
              <w:pageBreakBefore w:val="0"/>
              <w:widowControl/>
              <w:suppressLineNumbers w:val="0"/>
              <w:tabs>
                <w:tab w:val="left" w:pos="3360"/>
              </w:tabs>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  妇女儿童活动区</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、定制壁柜</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863B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BE296">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F614">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00EF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D3D6E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FC5F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货架</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CB32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  库房</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、定制货架</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47D1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A4C7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12.04</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DD75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14328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B6F05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1F61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货架</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037C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  助农直播间</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、定制货架</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D08C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C9FC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E03B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1282F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16147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A02E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货架</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08B6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  冰鲜小铺</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、定制货架</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809F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82C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55B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789AD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86310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FFA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货架</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FCB4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  冰鲜小铺</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、定制带发光灯带货架</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47AD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DAAD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FFC7F">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01BF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2A916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849C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矮柜</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BBB6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  茶水间</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、定制成品台盆柜h=750mm</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2 、含面层石材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80E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B5211">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1.63</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7A0C0">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9BE3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6E21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B2D9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D019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1 、定制爱心便民驿站</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C245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940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543A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54482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880A5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6152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3FAA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1 、定制快递驿站</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BBC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63AE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EC77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30AB9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9E14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ADED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C2C5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1 、定制打印机工作台</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E89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E274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93D5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3F2CE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C6F54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C4D0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矮柜</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C1B8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部位：茶水间</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、定制成品台盆柜h=750mm</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2 、含面层石材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768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D4A48">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7EA9A">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7AD2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ECFAE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4A32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柜台</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669A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部位：便民大厅</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、定制石材台面服务台</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2 、含面层石材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440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92CA5">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12.9</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479D">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F7F5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302B68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53B5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单人办公桌椅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BE35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部位：便民大厅</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、单人办公桌椅</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2 、含1张办公桌 、1张办公椅子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9A4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7CAF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7911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FA03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5ED9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14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0437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单人办公椅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E79A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部位：便民大厅</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、单人办公椅</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2 、含1张办公椅子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D729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87D57">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CFB42">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8C82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2646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E6CC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单人办公桌椅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A33A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  网格化办公区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、单人办公桌椅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、含1张办公桌 、1张办公椅子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063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53B9E">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F65F9">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5CCB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E937E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A7CF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休闲桌椅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8F10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  妇女儿童活动区 、等候区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、休闲桌椅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、含1张休闲圆桌 、4张椅子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9C3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62DB7">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A2F6D">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DC29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A791C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17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3C79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单人办公桌椅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6ADB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  助农直播间 、冰鲜小铺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、单人办公桌椅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、含1张办公桌 、1张办公椅子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6941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74758">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B68AF">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CC10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34EE5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3FA7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休闲桌椅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88E3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部位：棋牌区域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、双人休闲桌椅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、含1张棋牌桌 、2张椅子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625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FB32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3D820">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80EA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8DB2E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A041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单人休闲椅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1C8F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部位：公益理发</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、单人休闲椅</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2 、含1张休闲椅子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5487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AFE86">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440C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3195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03C51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7346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六人休闲椅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612A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  儿童淘气堡</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、六人休闲椅</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2 、含1张休闲椅子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52F8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FBF84">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B042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E6C7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1A01A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21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8970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休闲桌椅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AC3F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部位：城市书吧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、休闲桌椅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、含1张书桌 、4张椅子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D5A6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DB85E">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9239F">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5E56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9528A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22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AF05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自助服务机</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B5F9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部位：等候区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、自助服务机</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E760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AE8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2104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4AFD5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6E17D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23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B185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雨伞架</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F677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部位：等候区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、雨伞架</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EA53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A210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92B5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7B02F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02F57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24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C34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748B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、二层科普教育区书柜</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382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1A78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760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357B6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8405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25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D36C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单人办公桌椅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75B2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部位：退役军人活动室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、单人办公桌椅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、含1张办公桌 、1张办公椅子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FEE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359ED">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107CC">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119E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B48FE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26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3683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633B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、定制镂空装饰柜</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B08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16B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35B6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0EE2D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4950D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27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060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51B0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、定制档案室柜子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CD94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m2</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A596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21.55</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6790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AB5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6ACC9B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28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F15A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182C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部位：居家养老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、定制墙面装饰柜</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AB66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m2</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CEA20">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9.45</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1720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6F33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7B6C2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C708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矮柜</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328C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1 、退役书画室定</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制矮柜h=800mm</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8B4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3182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46DA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6185E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FB536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FFCA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矮柜</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26C7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、青少年科普教育定制矮柜</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1038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A498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5.76</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38BC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07111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5FE16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31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6446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矮柜</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A0B5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部位：茶水间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、定制成品台盆柜h=750mm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、含面层石材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A50E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726E2">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A44AD">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6B7D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691AB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32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DCCD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休闲桌椅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9053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  居家养老、退役军人活动室 、青少年科普教育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、休闲桌椅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、含1张休闲圆桌 、4张椅子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452B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8590F">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BB91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6AB8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88EE1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33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752B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办公桌椅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BB11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部位：两代表一委员活动室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、条形办公桌椅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、含1张办公桌 、14张办公椅子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C0EB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4138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3A65C">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93F0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5434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34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C19A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单人办公椅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551C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部位：两代表一委员活动室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、单人办公椅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56E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DA2C4">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96BEE">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B664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077D51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35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4905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办公桌椅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7069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部位：会议室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、会议室讲台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、含1张办公桌 、7张办公椅子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D840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B76F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5C314">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9808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DD36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36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8DC0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办公桌椅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840D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部位：会议室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、会议室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、含1张办公桌 、5张办公椅子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529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4AD7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9459D">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A3E2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CB6A1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37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29DE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单人办公桌椅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8C99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部位：档案室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、单人办公桌椅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、含1张办公桌 、1张办公椅子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92E3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015E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45DD0">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38DB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B68FA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38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55D5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单人办公桌椅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271A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部位：健康驿站</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、单人办公桌椅</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2 、含1张办公桌 、2张办公椅子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AA69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B0DCC">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9DCD4">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59D1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1EDF8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39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6E6C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按摩椅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C574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部位：居家养老区域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  电动全智能按摩椅</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76C0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41094">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147DA">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2C8B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5"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C4BC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40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D17D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办公桌椅</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DFCE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部位：书画区域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、会议室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、含1张办公桌 、10张办公椅子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8EAC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FFD5">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D10A6">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80CF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AFBC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41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620D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健身器材</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39ED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  全民健身中心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、健身器材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A9E9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349EA">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3AB4D">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1BE4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9D7CB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42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32D8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乒乓球桌</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1311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部位：全民健身中心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、乒乓球桌</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419F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6A5A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C1067">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BF66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10085" w:type="dxa"/>
            <w:gridSpan w:val="6"/>
            <w:tcBorders>
              <w:top w:val="single" w:color="000000" w:sz="4" w:space="0"/>
              <w:left w:val="single" w:color="000000" w:sz="8" w:space="0"/>
              <w:bottom w:val="single" w:color="000000" w:sz="4" w:space="0"/>
              <w:right w:val="single" w:color="000000" w:sz="4" w:space="0"/>
            </w:tcBorders>
            <w:shd w:val="clear" w:color="auto" w:fill="auto"/>
            <w:vAlign w:val="center"/>
          </w:tcPr>
          <w:p w14:paraId="7793A5D7">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二、电脑采购</w:t>
            </w:r>
          </w:p>
        </w:tc>
      </w:tr>
      <w:tr w14:paraId="44FE8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5"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30E186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C4C1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sz w:val="18"/>
                <w:szCs w:val="18"/>
                <w:lang w:val="en-US" w:eastAsia="zh-CN" w:bidi="ar"/>
              </w:rPr>
            </w:pPr>
            <w:r>
              <w:rPr>
                <w:rFonts w:hint="eastAsia" w:ascii="宋体" w:hAnsi="宋体" w:eastAsia="宋体" w:cs="宋体"/>
                <w:sz w:val="18"/>
                <w:szCs w:val="18"/>
                <w:lang w:val="en-US" w:eastAsia="zh-CN" w:bidi="ar"/>
              </w:rPr>
              <w:t>办公电脑</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3578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配置不低于：i5十代CPU，8G内存，256固态+1T机械盘，22寸显示器，鼠标键盘</w:t>
            </w:r>
          </w:p>
          <w:p w14:paraId="4669C24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部位：档案室、健康驿站</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69D8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sz w:val="18"/>
                <w:szCs w:val="18"/>
                <w:lang w:val="en-US" w:eastAsia="zh-CN" w:bidi="ar"/>
              </w:rPr>
            </w:pPr>
            <w:r>
              <w:rPr>
                <w:rFonts w:hint="eastAsia" w:ascii="宋体" w:hAnsi="宋体" w:eastAsia="宋体" w:cs="宋体"/>
                <w:sz w:val="18"/>
                <w:szCs w:val="18"/>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C6F12">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25</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29A3F">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259B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trPr>
        <w:tc>
          <w:tcPr>
            <w:tcW w:w="8234" w:type="dxa"/>
            <w:gridSpan w:val="5"/>
            <w:tcBorders>
              <w:top w:val="single" w:color="000000" w:sz="4" w:space="0"/>
              <w:left w:val="single" w:color="000000" w:sz="8" w:space="0"/>
              <w:bottom w:val="single" w:color="000000" w:sz="4" w:space="0"/>
              <w:right w:val="single" w:color="000000" w:sz="4" w:space="0"/>
            </w:tcBorders>
            <w:shd w:val="clear" w:color="auto" w:fill="auto"/>
            <w:vAlign w:val="center"/>
          </w:tcPr>
          <w:p w14:paraId="6B1C76F2">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三、智能化采购</w:t>
            </w:r>
          </w:p>
        </w:tc>
        <w:tc>
          <w:tcPr>
            <w:tcW w:w="185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3EDD0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2AB21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D0ED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6C4C0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桥架</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E5790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、名称:防火桥架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 :200*100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、材质 :金属</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、备注:含支架制作 、安装</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CBB91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AD3E0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46E5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r>
      <w:tr w14:paraId="2F5AA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6C4B0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94C16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配管</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1BEA9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 : 电气配管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、规格:JDG20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、配置形式:砖、混凝土结构明配 、暗配 、  吊顶内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、备注:含墙体开槽 、补槽均考虑到报价中</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4BBBD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13A3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81349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r>
      <w:tr w14:paraId="1D553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2EE6C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146F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信息插座</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DE5CB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、名称:单口信息面板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、规格:颜色：白色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规格：平面90度86x86型单/双口信息面板；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材料：高强度ABS塑料制造，结构强度高、耐冲击，阻燃级别 94V-0；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结构：面板表面采用不可见螺钉孔设计，美观大方；扣位式面板设计可防止施工时污染面板；面板设计线条流畅、棱角清晰；带有防尘盖，适应于不同的恶劣施工环境，方便跳线插拔；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标示：双标识管理，自带可更换式标签，方便管理，另带数据、语音识别标签；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、底盒材质 、规格:86金属底盒</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E0FEE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CFAAC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10DE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闽蓝、东强、颐通</w:t>
            </w:r>
          </w:p>
        </w:tc>
      </w:tr>
      <w:tr w14:paraId="69889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71B65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9AB82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信息插座</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CB5E6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、名称:双口信息面板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、颜色：白色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规格：平面90度86x86型单/双口信息面板；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材料：高强度ABS塑料制造，结构强度高、耐冲击，阻燃级别 94V-0；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结构：面板表面采用不可见螺钉孔设计，美观大方；扣位式面板设计可防止施工时污染面板；面板设计线条流畅、棱角清晰；带有防尘盖，适应于不同的恶劣施工环境，方便跳线插拔；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标示：双标识管理，自带可更换式标签，方便管理，另带数据、语音识别标签；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、底盒材质 、规格:86金属底盒</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B1D9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A435D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935D7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闽蓝、东强、颐通</w:t>
            </w:r>
          </w:p>
        </w:tc>
      </w:tr>
      <w:tr w14:paraId="72D28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716C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E68C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跳块</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B3E7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、名称:六类LED非屏蔽模块  90度自带防尘门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、规格:颜色：白色；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规格：六类非屏蔽信息模块，180度，向下兼容超五类、五类、三类；                                                                     特性：符合ANSI/TIA-568-C.2、ISO/IEC 11801、EN 50173-1和IEEE802.3an六类规范；带宽达到250MHz；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IDC簧片：磷青铜镀镍（100μ英寸），可容纳 22-26 AWG 单股和多股线缆，最少250次端接；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JACK金针：磷青铜镀镍再镀金（50μ英寸），最少1000次插拔；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、类别:满足设计及使用需求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628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04C8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3CB5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闽蓝、东强、颐通</w:t>
            </w:r>
          </w:p>
        </w:tc>
      </w:tr>
      <w:tr w14:paraId="4A5F3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FEEC5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29ADE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跳线</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F9777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、名称:六类非屏蔽导光跳线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 、类别:规格：六类4对非屏蔽RJ45-RJ45跳线，带宽达到250MHz；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导体：30AWG；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芯线：8根芯线采用多股软铜线，每根芯线带有彩色绝缘层；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插头：插头采用独特的工艺加工成型，且有弹片保护套，有效防倒钩，提升水晶头使用寿命；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特性：符合ANSI/TIA-568-C.2、ISO/IEC 11801、EN 50288六类规范；单体100%通过fluke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护套：紧护套结构，采用PVC材质，4种颜色可选（蓝、红、黄、紫），可对不同网络和区域进行区分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A037B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条</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138C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9641E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闽蓝、东强、颐通</w:t>
            </w:r>
          </w:p>
        </w:tc>
      </w:tr>
      <w:tr w14:paraId="64F08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1EA9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E0DD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双绞线缆</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A9D2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、名称:六类非屏蔽线缆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 、规格:导体：导体：23AWG，带宽达到250MHz；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芯线：8根芯线采用单股软铜线，每根芯线带有彩色绝缘层；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特性：符合ANSI/TIA-568-C.2、ISO/IEC 11801、EN 50173和GB50311-2007六类规范；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护套：PVC材质，十字骨架结构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特性阻抗: (f：1-250MHz)100±15Ω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六类非屏蔽链路通过ETL认证机构的六个连接点的测试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须符合UL认证，ROHS环保认证、3P认证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6D2E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83D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4000</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2E77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闽蓝、东强、颐通</w:t>
            </w:r>
          </w:p>
        </w:tc>
      </w:tr>
      <w:tr w14:paraId="3B89D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094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D51D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配线架</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5A08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、名称:六类24口模块化智能配线架（含模块）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、类别:采用SPCC冷扎钢板制成，厚度1.5mm，安装背板带防卡反设置，19寸标准机柜安装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模块化结构，各模块独立扣合，不安装模块孔位可提供塑料堵块，组态灵活，方便后续升级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每个模块都有LED显示，配合LED智能导线仪，智能导航功能，根据不同状态，显示不同颜色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模块自带防尘门，避免灰尘污染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配线架背面需配有理线托盘，用于捆扎、管理线缆，并防尘、防撞击；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每端口对应一个可写标识区域充裕的标签空间，方便端口信息管理；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86F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9620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DA9E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闽蓝、东强、颐通</w:t>
            </w:r>
          </w:p>
        </w:tc>
      </w:tr>
      <w:tr w14:paraId="424D1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47D75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D2D7F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线管理器</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F2C79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、名称:19"标准机柜用1U宽度理线器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、规格:高强度ABS料制造，弹性好，强度高；特殊的可拆卸盖板设计，可上下自由翻转，方便施工操作；均匀琴键式理线槽位,保证跳线良好的弯曲,保证传输性能；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2A485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8412C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C5DFA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闽蓝、东强、颐通</w:t>
            </w:r>
          </w:p>
        </w:tc>
      </w:tr>
      <w:tr w14:paraId="6ABCB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AF8B6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126C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跳线</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2F920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、名称:六类非屏蔽导光跳线  2米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 、类别:规格：六类4对非屏蔽RJ45-RJ45跳线，带宽达到250MHz；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导体：30AWG；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芯线：8根芯线采用多股软铜线，每根芯线带有彩色绝缘层；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插头：插头采用独特的工艺加工成型，且有弹片保护套，有效防倒钩，提升水晶头使用寿命；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特性：符合ANSI/TIA-568-C.2、ISO/IEC 11801、EN 50288六类规范；单体100%通过fluke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护套：紧护套结构，采用PVC材质，4种颜色可选（蓝、红、黄、紫），可对不同网络和区域进行区分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4240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条</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DEDE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9008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闽蓝、东强、颐通</w:t>
            </w:r>
          </w:p>
        </w:tc>
      </w:tr>
      <w:tr w14:paraId="6388B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7F13F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C40BD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 、机架</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BE78D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、名称:42U机柜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、类别:尺寸：42U，600*600*2000mm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板材：采用优质SPCC冷轧钢板，立柱（方孔条）2.0mm、横梁（安装梁）\框架组件1.5mm 、侧门1.0mm、其余1.2mm；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表面：脱脂、酸洗、防锈磷化、纯水清洗、喷塑处理、外型美观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结构：可方便地安装机柜集中配电单元及设备；前单开后双开网孔门，具有良好的通风自然散热性能，通风率&gt;75%；可同时安装脚轮和支撑脚；可关闭的上部、下部多处走线通道，底部大走线孔尺寸可按需调整；可选配安装底座，达到固定机柜、底部过线、底部送冷风、防鼠的要求；高品质安全锁，锁具开启平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机柜承重：结构稳固，静载可达1000Kg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CC3F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00BA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E5F83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r>
      <w:tr w14:paraId="5F192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C05F9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71C5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控制设备</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5ABE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Style w:val="479"/>
                <w:rFonts w:hint="eastAsia" w:ascii="宋体" w:hAnsi="宋体" w:eastAsia="宋体" w:cs="宋体"/>
                <w:sz w:val="18"/>
                <w:szCs w:val="18"/>
                <w:lang w:val="en-US" w:eastAsia="zh-CN" w:bidi="ar"/>
              </w:rPr>
              <w:t>1. 吞吐量：≥10Gbps，最大接入用户数≥4096</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2. AP管理：最大管理普通AP≥256；</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3. 接口：</w:t>
            </w:r>
            <w:r>
              <w:rPr>
                <w:rFonts w:hint="eastAsia" w:ascii="宋体" w:hAnsi="宋体" w:eastAsia="宋体" w:cs="宋体"/>
                <w:b/>
                <w:bCs/>
                <w:i w:val="0"/>
                <w:iCs w:val="0"/>
                <w:color w:val="000000"/>
                <w:kern w:val="0"/>
                <w:sz w:val="18"/>
                <w:szCs w:val="18"/>
                <w:u w:val="none"/>
                <w:lang w:val="en-US" w:eastAsia="zh-CN" w:bidi="ar"/>
              </w:rPr>
              <w:t>≥</w:t>
            </w:r>
            <w:r>
              <w:rPr>
                <w:rStyle w:val="479"/>
                <w:rFonts w:hint="eastAsia" w:ascii="宋体" w:hAnsi="宋体" w:eastAsia="宋体" w:cs="宋体"/>
                <w:sz w:val="18"/>
                <w:szCs w:val="18"/>
                <w:lang w:val="en-US" w:eastAsia="zh-CN" w:bidi="ar"/>
              </w:rPr>
              <w:t>8个千兆电口，≥2个万兆SFP+，≥1个USB ，≥1个Console口，内置双电源；</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4. 支持AC内漫游，支持跨AC间漫游，支持跨VLAN的三层漫游</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5. 支持基于802.11k/802.11v/802.11r协议的智能漫游</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6. 支持标准capwap协议、AC和AP之间支持L2/L3层网络拓扑</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7. 支持与无线云平台对接，实现多种的应用功能，支持微信/短信认证以及一键认证及流量管控功能</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8. 为保障网络全面运维，支持通过云平台显示AC CPU、内存使用情况、整机或单口广播、单播历史信息等</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9. 基于空口利用率的SSID自动隐藏功能：AC、AP支持基于空口利用率的SSID自动隐藏功能，当空口繁忙程度达到或超过配置的阈值时，SSID自动隐藏，为用户提供稳定可靠的无线服务；</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10.AC支持对流经本设备的报文流量进行病毒检测，支持对黑客攻击、蠕虫/病毒、木马、恶意代码、风险软件、DoS/DDoS等常见的攻击防御，检测到存在病毒的数据并阻止下载；</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4DB3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67B8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A384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华为、华三、中兴</w:t>
            </w:r>
          </w:p>
        </w:tc>
      </w:tr>
      <w:tr w14:paraId="49686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59185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52DB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交换机</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EFC0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性能：整机交换容量≥496Gbps；转发性能≥126Mpps，以官网最小值为准；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端口：≥24千兆电+4千兆SFP；支持POE+，整机POE供电功率≥375W；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支持≥9台物理设备虚拟化技术，支持完善的堆叠分裂检测机制，堆叠分裂后能自动完成MAC和IP地址的重配置，无需手动干预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支持IPv4/IPv6静态路由，支持RIP/RIPng，OSPFV2/V3；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 支持DHCP Client，支持DHCP Snooping，支持 DHCP Relay</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 支持STP/RSTP/MSTP协议，支持G.8032以太网环保护协议ERPS，可兼容其他支持该协议的产品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 支持SP/WRR/SP+WRR队列调度，支持基于端口的限速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 内置图形化网管软件功能，对下属接入网络设备的统一管理，实现命令的批量下发、拓扑展示等运维功能；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 支持SNMP V1/V2/V3、RMON、Telnet远程配置；支持端口休眠，关闭没有应用的端口，节省能源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10、支持≥10KV业务端口防雷能力</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49A9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ECA6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902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华为、华三、中兴</w:t>
            </w:r>
          </w:p>
        </w:tc>
      </w:tr>
      <w:tr w14:paraId="2B5DA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BA5B4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44CD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输入设备</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6076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1、支持可工作在802.11a/b/g/n/ac/ac wave2/ax模式；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2、采用双频四流设计，整机最大接入速率2.975Gbps；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3、接口≥1个10/100/1000M电口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4、内置BLE5.1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5、内置智能天线系统，发射功率≥23dBm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6、支持包括802.1x认证、PSK认证、MAC、PPPOE、Portal、微信、短信等认证加密方式，用以保护无线网络安全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7、在网络拥塞情况下，支持对终端报文进行识别，可对关键业务优先处理并加速，提升用户体验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8、支持基于SSID的包过滤，可以在无线空口接收报文阶段及根据IP地址、端口号等对用户报文进行过滤，实现用户数据流量的精细化控制，并支持IPV6协议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9、为避免用户在网络中私接AP，干扰网络正常运行，可以及时检测到这类问题，对此类设备进行反制，同时合法用户不受影响，保证网络正常运行</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8DBE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39AD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8BB5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华为、华三、中兴</w:t>
            </w:r>
          </w:p>
        </w:tc>
      </w:tr>
      <w:tr w14:paraId="25758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00C5C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D6B2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交换机</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C472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性能：整机交换容量≥496Gbps；转发性能≥144Mpps，以官网最小值为准；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端口：≥48千兆电+4千兆SFP；</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支持≥9台物理设备虚拟化技术，支持完善的堆叠分裂检测机制，堆叠分裂后能自动完成MAC和IP地址的重配置，无需手动干预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支持IPv4/IPv6静态路由，支持RIP/RIPng，OSPFV2/V3；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 支持DHCP Client，支持DHCP Snooping，支持 DHCP Relay</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 支持STP/RSTP/MSTP协议，支持G.8032以太网环保护协议ERPS，可兼容其他支持该协议的产品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 支持SP/WRR/SP+WRR队列调度，支持基于端口的限速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 内置图形化网管软件功能，对下属接入网络设备的统一管理，实现命令的批量下发、拓扑展示等运维功能；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 支持SNMP V1/V2/V3、RMON、Telnet远程配置；支持端口休眠，关闭没有应用的端口，节省能源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10、支持≥10KV业务端口防雷能力</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FA8E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3715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00AE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华为、华三、中兴</w:t>
            </w:r>
          </w:p>
        </w:tc>
      </w:tr>
      <w:tr w14:paraId="7654C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5ED6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2A425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48149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1）像素间距：1.86mm；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2）封装类型：国产铜线；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3）箱体类型：压铸铝箱体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4）箱体参数：尺寸640*480mm；分辨率344×258dots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5）像素密度：288906 dots/m²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6）光学参数：灰度等级14 bit；颜色68.71 trillion；支持单点亮度校正；支持单点色度校正；发光点中心距偏差≤2%；亮度均匀性≥98%；色度均匀性：±0.003Cx,Cy之内；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7）电气参数：输入电源AC186~264V/50~60 Hz；输入功率(最大值)≤586 W/m²；输入功率(典型值)≤195W/m²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8）环境参数：工作温湿度-20℃~+50℃/10%~95%RH；存储温湿度-40℃~+80℃/10%~90%RH（无结霜）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9）维护方式：前维护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10）标配单卡单电源，不支持双卡双电源备份</w:t>
            </w:r>
            <w:r>
              <w:rPr>
                <w:rFonts w:hint="eastAsia" w:ascii="宋体" w:hAnsi="宋体" w:eastAsia="宋体" w:cs="宋体"/>
                <w:i w:val="0"/>
                <w:iCs w:val="0"/>
                <w:color w:val="000000"/>
                <w:kern w:val="0"/>
                <w:sz w:val="18"/>
                <w:szCs w:val="18"/>
                <w:u w:val="none"/>
                <w:lang w:val="en-US" w:eastAsia="zh-CN" w:bidi="ar"/>
              </w:rPr>
              <w:br w:type="textWrapping"/>
            </w:r>
            <w:r>
              <w:rPr>
                <w:rStyle w:val="479"/>
                <w:rFonts w:hint="eastAsia" w:ascii="宋体" w:hAnsi="宋体" w:eastAsia="宋体" w:cs="宋体"/>
                <w:sz w:val="18"/>
                <w:szCs w:val="18"/>
                <w:lang w:val="en-US" w:eastAsia="zh-CN" w:bidi="ar"/>
              </w:rPr>
              <w:t xml:space="preserve">产品应具备较高的刷新率，刷新率应可调至3840Hz;  </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 xml:space="preserve">★产品应严格控制像素中心距偏差，像素中心距偏差值应≤0.1;（投标时提供封面具备CAL、CMA、CNAS标识的第三方检测机构出具的检测报告复印件）  </w:t>
            </w:r>
            <w:r>
              <w:rPr>
                <w:rFonts w:hint="eastAsia" w:ascii="宋体" w:hAnsi="宋体" w:eastAsia="宋体" w:cs="宋体"/>
                <w:i w:val="0"/>
                <w:iCs w:val="0"/>
                <w:color w:val="FF0000"/>
                <w:kern w:val="0"/>
                <w:sz w:val="18"/>
                <w:szCs w:val="18"/>
                <w:u w:val="none"/>
                <w:lang w:val="en-US" w:eastAsia="zh-CN" w:bidi="ar"/>
              </w:rPr>
              <w:br w:type="textWrapping"/>
            </w:r>
            <w:r>
              <w:rPr>
                <w:rStyle w:val="479"/>
                <w:rFonts w:hint="eastAsia" w:ascii="宋体" w:hAnsi="宋体" w:eastAsia="宋体" w:cs="宋体"/>
                <w:sz w:val="18"/>
                <w:szCs w:val="18"/>
                <w:lang w:val="en-US" w:eastAsia="zh-CN" w:bidi="ar"/>
              </w:rPr>
              <w:t xml:space="preserve">产品应具备较好的亮度均匀性，亮度均匀性应≥98%; </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产品应具备较好的色度均匀性，色度均匀性应在± 0.002Cx,Cy之间;</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 xml:space="preserve">产品在正常运行时不应有较大噪声，工作噪声（距离1米） 应≤10db ;  </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在显示屏长时间不用或者环境湿度过大时，通过软件可以自动实现定期开机以灰度渐变方式回温除湿。</w:t>
            </w:r>
            <w:r>
              <w:rPr>
                <w:rFonts w:hint="eastAsia" w:ascii="宋体" w:hAnsi="宋体" w:eastAsia="宋体" w:cs="宋体"/>
                <w:i w:val="0"/>
                <w:iCs w:val="0"/>
                <w:color w:val="FF0000"/>
                <w:kern w:val="0"/>
                <w:sz w:val="18"/>
                <w:szCs w:val="18"/>
                <w:u w:val="none"/>
                <w:lang w:val="en-US" w:eastAsia="zh-CN" w:bidi="ar"/>
              </w:rPr>
              <w:t xml:space="preserve">  </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 xml:space="preserve">★显示屏可以根据环境亮度自动调节显示亮度。（投标时提供封面具备CAL、CMA、CNAS标识的第三方检测机构出具的检测报告复印件）  </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C71B7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00A86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7.37</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1AE06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大华、强力巨彩、蓝普</w:t>
            </w:r>
          </w:p>
        </w:tc>
      </w:tr>
      <w:tr w14:paraId="51053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A7BDF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B539E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60F85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、名称:会议平板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 : 100英寸，4K画质，一键投屏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一楼、二楼小会议室各一台</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428C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38CED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A886E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华为、小米、创维</w:t>
            </w:r>
          </w:p>
        </w:tc>
      </w:tr>
      <w:tr w14:paraId="7A9F4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44D74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D0AE7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软件</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B8B0B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、名称:控制系统软件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1.支持所有设备信号源通道的展示；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2.支持一键开窗、分屏 、漫游 、缩放操作 ，  画面显示没有区域范围上的边界限制 ，  通过独有的视频处理算法，保证画面在缩放过程中画质不受损失；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3.支持信号通道模糊搜索功能；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4.支持输入源收藏夹管理 ，  重要及常用的信号源可用收藏夹收藏打包管理；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5.支持设置虚拟LED ，  包括设置字体 、字号 、颜色 、位置 、背景色等（需本身设备支持虚拟LED功能）；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6.支持云台控制，包括方向控制 、配置转速 、变倍 、聚焦等功能；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7.支持设置各种轮巡 ，  包括窗口轮巡和场景轮巡；</w:t>
            </w:r>
            <w:r>
              <w:rPr>
                <w:rFonts w:hint="eastAsia" w:ascii="宋体" w:hAnsi="宋体" w:eastAsia="宋体" w:cs="宋体"/>
                <w:i w:val="0"/>
                <w:iCs w:val="0"/>
                <w:color w:val="000000"/>
                <w:kern w:val="0"/>
                <w:sz w:val="18"/>
                <w:szCs w:val="18"/>
                <w:u w:val="none"/>
                <w:lang w:val="en-US" w:eastAsia="zh-CN" w:bidi="ar"/>
              </w:rPr>
              <w:br w:type="textWrapping"/>
            </w:r>
            <w:r>
              <w:rPr>
                <w:rStyle w:val="479"/>
                <w:rFonts w:hint="eastAsia" w:ascii="宋体" w:hAnsi="宋体" w:eastAsia="宋体" w:cs="宋体"/>
                <w:sz w:val="18"/>
                <w:szCs w:val="18"/>
                <w:lang w:val="en-US" w:eastAsia="zh-CN" w:bidi="ar"/>
              </w:rPr>
              <w:t>8.支持轮巡启动上墙 、暂停 、切换上一轮巡 、下一轮巡；</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9.支持场景计划的设置 、启动；</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10.支持对大屏进行手动/定时/延迟开关机。</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767F8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23AD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1437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r>
      <w:tr w14:paraId="72CFC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36A1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80AAF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配电箱</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ABDA4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 :LED10KW配电箱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1. 采用高质量 ，  高可靠性的工业级进口控制器 ，  全天候 ，  全时段稳定可靠运行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配电系统包含PLC远程智能控制系统 ，  可执行远程开关机操作 ，  具备过压 、过流 、欠压 、短路 、断路及漏电保护措施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拥有LED显示屏全智能远程控制系统 ，  可实现对LED智能配电箱的远程设定 、控制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内部模块化设计 ，  合理布局 ，  用电安全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  内设控制电路保险装置 ，对电路实施全方位监控 、保护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  内部设立具有三芯及两芯插座，方便调试设备及维修供电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  具有A/B/C三相独立供电指示灯，方便外部判断设备工作状态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 支持手动一键启动/停止和单点点动控制 、远程一键启动/停止和单点点动控制.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 拥有启动 、紧急制停按钮 ，  方便异常状态紧急维护使用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 机柜可采用壁装 、挂装安装方式 ，  具有防虫 、防鼠功效。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FB021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1061E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BFFF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r>
      <w:tr w14:paraId="36F8B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BF4E8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B4DA6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2060B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、名称:专业主控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、1. 最大带载不低于524万像素，最宽不低于16384像素 ，  最高不低于8192像素 ，尺寸可灵活设置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支持视频源任意切换，可根据显示屏分辨率对输入图像进行拼接 、缩放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支持6画面显示，位置、大小可自由调节支持多窗口 ，  可自由设定窗口大小和位置，并支持窗口叠加4. 支持16种预置模式 ，  可根据需求随时加载保存的预置参数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 支持亮度和色温调节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 支持低亮高灰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 最大输入分辨率4096*2160@60Hz ,  支持分辨率任意设置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 支持HDCP 2.2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 支持丰富的数字信号接口 ，  包括3路HDMI 、2路DVI 、1路DP 、1路3.5mm音频输入输出接口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 USB2.0*2个，用于电脑调试和设备间任意级联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 8个千兆输出网口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为确保系统稳定性、安全性 ，所投LED显示单元与控制设备需为同一厂家设备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14D8A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40C5A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16A99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r>
      <w:tr w14:paraId="1ED77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6EA5A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CD009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设备支架</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B5E96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、名称:LED定制支架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B9E87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CAB72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84B86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r>
      <w:tr w14:paraId="58E4B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FD838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044CB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接插件等</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C1EE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 : 电缆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、类型:LED屏到配电箱的强电电缆</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CB9F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773E1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1129B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r>
      <w:tr w14:paraId="681DE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039D1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8F4A7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网络服务器</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AE0EE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、名称:新增视频服务器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 : i5-13400F/GTX1650/主板B365/固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态512G/高性能内存16G/电源500W/</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B76D4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0BD1B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0ED3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联想、戴尔、华为</w:t>
            </w:r>
          </w:p>
        </w:tc>
      </w:tr>
      <w:tr w14:paraId="02051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1F02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24797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0D9C9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、名称:高档会议音箱（350W）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点声源音箱作为大型音箱系统一部份，可以安装在包厢.眺台下方和作为舞台台唇区域音箱使用，也可以为工业和商业场所的高清晰分散或扩声系统音箱使用。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1.高音：1x34mm高音单元，34芯音圈，1寸口径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2.低音：1x10寸低音单元，50芯音圈，140磁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3.频响响应：65Hz-20KHz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4.额定功率：≥350W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5.峰值功率：≥1400W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6.灵敏度：≥96dB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7.阻抗：8ohm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8.辐射角度：≥80°(H)×≥80°(V)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E023D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B7C83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3632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1A939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014C5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16F18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93D8D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、名称:2通道专业功放400W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1.2.8寸真彩屏功能：机内温度显示、左右声道数值显示、工作状态显示、输入灵敏度显示、保护提醒关机显示。（投标时需提供第三方检测机构出具的带有CMA、CNAS及国际互认的ilac-MRA标志的有效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2.体积小，低重量、高效率、高音质，声音饱满有磁性。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3.具有独特的保护电路设计，保护功能：直流、过热、过载以及限幅，过压、欠压有效保护设备长期使用。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4.后面板拔动开关用于选择立体声模式、桥接模式、并接模式，三个工作模式。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1.立体声输出功率8Ω：≥400W×2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2.立体声输出功率4Ω：≥700W×2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3.桥接功率 8Ω：≥1100W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4.输入灵敏度：0.775V/1.4V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5.频率响应：20-20000Hz(±0.3dB)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6.转换速率：≥10V/µs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7.阻尼系数：﹥200:1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8.串音：&gt;70dB@1KHz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9.信噪比：﹥100dB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10.总谐波失真：＜0.5%，1KHz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11.互调失真：﹤0.35%8Ω,1KHz1W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8BB35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8350D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2F488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1EEF3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E7CEE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B8C74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设备支架</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00E3C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、名称:音箱壁挂支架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1.黑色、全钢制作、表面喷漆处理，坚固可靠；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2.满足您的需要可承重≥80kg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3.可安装KTV包房音箱、专业舞台音箱等；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4.可往左右上下方调节音箱的角度；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5.后方带以音箱深度来调节定位的横形压条；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6.下方倾斜角度：90-135度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7.左右转动角度：10-180度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36B5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2AEE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8E423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3115F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9493A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163B1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268E5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、名称:音频处理器八进八出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1.最新音频处理器技术，40bitDSP浮点运算引擎处理芯片，24bitA/D及D/A转换，音频采样率达到48KHz；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2.提供8路平衡式话筒／线路输入，采用裸线接口端子，8路平衡式输出，采用裸线接口端子，4路GPIO逻辑接口；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3.内置USB声卡，支持播放USB音频文件，支持录播和远程会议；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4.输入：前级放大、信号发生器、扩展器、压缩器、参量均衡、自动增益、反馈抑制器等；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5.输出：参量均衡、高低通、延时器、限幅器、输出正反向、增益调节；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6.内置话筒自适应反馈消除（AFC）、数字矩阵、自动混音、回声消除、噪声抑制；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7.支持编组控制功能、多组场景预设、远程管理功能，支持通道拷贝、粘贴、联控功能；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8.设备支持APP控制，支持IOS、安卓、WINDOWS等，APP软件支持用户自定义，通过APP可实现对处理器进行控制，如音量大小、预设调用、外控第三方设备、矩阵切换等；（投标时需提供第三方检测机构出具的带有CMA、CNAS及国际互认的ilac-MRA标志的有效检测报告复印件并加盖企业公章，并提供软件自定义界面编程截图)</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9.系统集成中控功能，支持RS232、RS485、UDP控制，通过编程简单地控制投影、幕布、灯光、窗帘、电源时序器等第三方设备；（投标时需提供第三方检测机构出具的带有CMA、CNAS及国际互认的ilac-MRA标志的有效检测报告复印件并加盖厂家公章，并提供软件设定RS232、RS485、UDP协议选择及程序定制编程软件界面设置截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10.产品支持扩展外接控制面板功能，面板类型至少两种以上，可实现远端对处理器进行控制，如音量大小、预设调用、外控第三方设备(支持RS232、RS485、UDP等)、矩阵切换等；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58F92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1D05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4F4A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16A8F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F8BB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A5F40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034C3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、名称:16路机架式调音台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1.16路低噪音通道；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2.8路单声道输入，4路立体声输入；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3.3路立体声返回，4个AUX效果输出；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4.1组立体声监听输出，4编组输出；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5.1组左右平衡主输出，1组主混音输出；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6.1个单声道输出，1个效果器脚踏板开关；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7.1组TAPE输入和1组TAPE输出；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8.具有通道哑音功能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9.产品配置USB声卡，可播放高清无损音乐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10.19〞机架式安装设计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8CFF3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1F1B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244B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7A689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55C5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38133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42406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、名称:真分集U段无线话筒（一台主机+两个无线话筒）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、类别：功能特点：                                                                                                                                                      1.使用UHF520-690MHz频段，避免干扰频率；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2.真分集U段话筒，一台主机+两个无线话筒；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3.全自动红外线对频，使发射机与接收机自动同步收发；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4.采用锁相环PLL频率合成稳定系统，提供200个通道；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5.≥4组独立的射频中频系统，配≥4支独立的高增益天线；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6.采用最新型高频滤波器，最大限度地滤除带外干扰信号；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7.采用二次变频的高频电路设计，具有极高的灵敏度；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8.多重静噪控制电路，拒绝外部干扰；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9.工作距离：室内大于≥100米.室外≥260米；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10.背面设有≥2个平衡输出和1≥个混合非平衡输出，适合连接各种外置设备；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11.接收机背面设置≥4条橡胶接收天线，增强接收的信号，外观大方得体。</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98B7E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5480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13240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156F1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EF20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4FED2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背景音乐系统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7CD4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、名称:无线话筒天线放大器(室内)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功能特点：一款UHF有源无线指向型天线，具有双极化对数周期列阵。与1/2波长全向型天线对比，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1.新宽频分配器的载波范围由（500-950MHz），涵盖欧、美新电波法规频率范围。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2.提供2~4台各种自动选讯接收机共享一对天线系统，简化天线装配工程，提升接收距离及效能。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3.采用最新超高动态低噪声之主动组件与超宽带微带线路设计，具有超低内调失真及损耗的特性，提供多频道接收系统同时使用时能排除混频干扰，其输出增益约等于1。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4.具有两组天线输入、输出底座及两组四频道天线输出底座可以直接连到四台自动选讯接收机的天线输入座。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5.天线输入底座可以直接装置适用频带范围内的各种单竿天线、同轴天线或加装强波器后连接延长天线组及宽带对数定向天线组。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6.可以安装在话筒支架上、悬挂在天花板上或采用旋转式转接器托架安装在墙壁上。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7.天线输入底座具有供应强波器的电源，可直接连接具有天线强波器的延长天线组及内建强波器的对数定向天线组。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8.为补偿同轴电缆的信号损失，板载放大器提供给用户可选的3或10dB增益。增益设置有两个LED灯显示。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9.外置4组12V/1ADC电流（直流电源）。阻抗：50欧姆</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61AC0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5C971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6F1A1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43C5B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9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59B2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6DCD5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1E0DD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、名称:8+2路智能编程带滤波电源时序管理器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1.配备14路220V/13A受控万能接口电源+250V/50A高端电源滤波器+紧急触发接口+副机级联接口+智能控制及定时编程模块等；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2.4.3寸屏可显示所有工作输出状态，当前电压、电流、当前功率、温度、系统时间、当时电源插座运行状态等；（投标时需提供第三方检测机构出具的带有CMA、CNAS及国际互认的ilac-MRA标志的有效检测报告复印件，提供产品软件功能截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3.可直接设置输出参数，单机可实现定时开定时关，每路输出可设12组时间定时开关模式，一共可设定168组定时程序；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4.可手动设置各路电源的开关输出状态，全部电源输出接通后，还可以用通道开关按键，选择任一一路输出即时关即时开；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5.系统具备网络控制功能及自我检测功能，可进行IP地址相关配置，可进行欠压、过压、温度设定检测功能，当超过案例设定值自动断开电源功能；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可设置机器地址，多台联机，只需设置一台为主机，其余都设置为副机，用控制信号线将主机与副机连接起来，就可实现多路顺序开关，多路定时开关，当需关机时，只需关主机电源开关就能控制副机关机；设定主副机，最大可级连10台副机，总控可达140路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7.具有程序断电记忆功能，当设定正常后，在使用过程中断电，再次开电可记忆之前设定状态；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8.为保证系统安全，产品自带漏电保护开关，当系统中有设备有漏电等情况时可自动切断电源起到设备保护及人员安全等问题；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9.设备具备音频输入及输出功能，可结合IP网络广播系统，可以做IP网络解码或编码终端来使用，可实现专业系统与广播系统的无缝对接功能；（投标时需提供第三方检测机构出具的带有CMA、CNAS及国际互认的ilac-MRA标志的有效检测报告复印件）</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10.系统具备RS232、IP网络等接口，可实现中控及第三方设备控制功能，达到多系统集成控制功能；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1.通道数：14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2.总输出功率：11kW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3.网络接口：RJ45（1个）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4.电源：AC 220V 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4.电源：AC 220V 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5BBC1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B291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87FA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4078B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7A3C6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90B34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背景音乐系统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F29B9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、名称:有线和无线会议主机视频版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1.采用≥4.3英寸全彩触摸屏，能够实现对参数查看和设置，支持进行任意触摸操作。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2.支持普通模式、先进先出、声控模式、申请模式四种话筒管理模式。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3.支持单台会议主机实现≥16个会议室合并音频以及音频单独分区控制。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4.有≥1路RCA、≥1路卡侬接口、≥16路凤凰端子音频输出接口。每个输出通道都可以调节音量、EQ、延时器等参数。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5.可控制音量、EQ、话筒灵敏度等音频矩阵参数，控制开关话筒同步、≥16通道输出模式切换、控制角色分离主机。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6.支持≥16通道角色分离输出模式，有线或无线单元支持单独输出声音，通过录音软件可以实现每个单元独立录音，支持连接语音转写设备，实现角色分离。</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7.支持≥16通道相控输出模式，设备内置≥nx16音频矩阵处理器，可以实现≥16通道分组输出功能，可以进行任意音量比例输出到任意通道。（投标时需提供第三方检测机构出具的带有CMA、CNAS及国际互认的ilac-MRA标志的有效检测报告复印件）</w:t>
            </w:r>
            <w:r>
              <w:rPr>
                <w:rFonts w:hint="eastAsia" w:ascii="宋体" w:hAnsi="宋体" w:eastAsia="宋体" w:cs="宋体"/>
                <w:i w:val="0"/>
                <w:iCs w:val="0"/>
                <w:color w:val="FF0000"/>
                <w:kern w:val="0"/>
                <w:sz w:val="18"/>
                <w:szCs w:val="18"/>
                <w:u w:val="none"/>
                <w:lang w:val="en-US" w:eastAsia="zh-CN" w:bidi="ar"/>
              </w:rPr>
              <w:br w:type="textWrapping"/>
            </w:r>
            <w:r>
              <w:rPr>
                <w:rStyle w:val="479"/>
                <w:rFonts w:hint="eastAsia" w:ascii="宋体" w:hAnsi="宋体" w:eastAsia="宋体" w:cs="宋体"/>
                <w:sz w:val="18"/>
                <w:szCs w:val="18"/>
                <w:lang w:val="en-US" w:eastAsia="zh-CN" w:bidi="ar"/>
              </w:rPr>
              <w:t>8.支持≥16通道同传输出模式，能够把译员机的声音单独输出提供外部设备，给录音或者监听设备使用。</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9.支持不低于10段EQ调节功能，≥2路LINEOUT输出通道和≥16路多功能输出通道都具有不低于10段EQ调节功能。</w:t>
            </w:r>
            <w:r>
              <w:rPr>
                <w:rFonts w:hint="eastAsia" w:ascii="宋体" w:hAnsi="宋体" w:eastAsia="宋体" w:cs="宋体"/>
                <w:i w:val="0"/>
                <w:iCs w:val="0"/>
                <w:color w:val="FF0000"/>
                <w:kern w:val="0"/>
                <w:sz w:val="18"/>
                <w:szCs w:val="18"/>
                <w:u w:val="none"/>
                <w:lang w:val="en-US" w:eastAsia="zh-CN" w:bidi="ar"/>
              </w:rPr>
              <w:br w:type="textWrapping"/>
            </w:r>
            <w:r>
              <w:rPr>
                <w:rStyle w:val="479"/>
                <w:rFonts w:hint="eastAsia" w:ascii="宋体" w:hAnsi="宋体" w:eastAsia="宋体" w:cs="宋体"/>
                <w:sz w:val="18"/>
                <w:szCs w:val="18"/>
                <w:lang w:val="en-US" w:eastAsia="zh-CN" w:bidi="ar"/>
              </w:rPr>
              <w:t>10.系统最多支持≥300台无线会议单元与≥4096台有线会议单元。系统支持最多发言数量为≥6个无线话筒和≥8个有线话筒。</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★11.支持不低于四进四出HDMI无缝切换。（投标时需提供第三方检测机构出具的带有CMA、CNAS及国际互认的ilac-MRA标志的有效检测报告复印件）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1.触屏控制：≥4.3英寸全彩触摸屏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2.频率响应：80~16KHz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3.有线话筒连接方式：专用电缆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4.话筒容量：有线话筒≥4096；无线话筒≥300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5.同声传译通道：≥63+1通道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6.信噪比：≥80dB(A)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7.动态范围：≥80dB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8.总谐波失真：≥0.05%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9.EXTENSION口：连接会议系统扩展设备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10.WIFI网口：连接无线AP</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11.PC网口：连接电脑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12.主电源：100-240VAC</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13.静态功耗：≤30W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14.输出功耗：≤150W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73EE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69C9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E5F25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187B9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208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759C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C095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、名称:全数字4寸表决无线鹅颈会议主席单元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1.精致时尚的≥4.0触摸屏用于显示会议进程信息，可显示以下信息：发言模式、发言计时、发言人信息、茶水服务等。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2.无线可移动桌面更整洁。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3.Ø3.5mm的立体声耳机插口可连接耳机，且音量可调。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4.驻极体心形指向性麦克风，并带有双色开启指示灯圈，内置麦克风防风罩。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5.Type-C接口，可给设备充电，同时程序升级功能。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6.主席机具有优先权功能，可以关闭所以正在发言的代表机。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7.采用不低于128位AES加密技术，支持WPA/WPA2无线安全技术，防止窃听和非授权访问，提供更高的会议系统机密性。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8.具有智能检测故障功能，提示用户AP故障、主机通信故障、信号强度过低等情况。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9.全数字音频技术，内置高性能CPU，处理速度更快，音质更佳。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10.支持不低于48kHz音频采样频率，频率响应不低于60Hz~18kHz。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11.会议单元之间、会议单元与主机之间均采用全数字音频传输技术。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12.具有按键签到功能。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13.会议单元有唯一的序列号，会议系统可以手动给会议单元分配ID。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14.配合摄像机、视频切换台，使用电脑预设后，可进行摄像机自动跟踪。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1.颜色：黑色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2.安装方式：桌面式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3.签到功能：按键签到、触摸屏签到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4.显示屏：≥4寸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5.麦克风类型：驻极体电容式传声器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6.频率响应：60Hz~18KHz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7.麦克风输入阻抗：1KΩ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8.灵敏度：－43±1dBv/Pa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9.最大SPL：≥100dB(THD&gt;3%)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10.信噪比：≥80dB(A)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11.串扰：≥70dB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12.动态范围：≥80dB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13.THD：≤0.1%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14.最大功耗：≤1.5W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15.供电方式：18650锂电池供电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16.充电方式：通过TYPE-C接口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17.无线频率范围：5.15GHz~5.85GHz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18.电池容量：≥5200mAh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19.发言工作时长：≥8小时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20.咪杆长度：≥420mm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 ，  含全数字会议系统音频传输内嵌软件</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B6AE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0C6EE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5EFC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03940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ADD08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C9731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A8D8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、名称:全数字4寸表决无线鹅颈会议代表单元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1.精致时尚的≥4.0触摸屏用于显示会议进程信息，可显示以下信息：发言模式、发言计时、发言人信息、茶水服务等。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2.Ø3.5mm的立体声耳机插口可连接耳机，且音量可调。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3.主席机具有优先权功能，可以关闭所以正在发言的代表机。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4.采用不低于128位AES加密技术，支持WPA/WPA2无线安全技术，防止窃听和非授权访问，提供更高的会议系统机密性。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5.具有智能检测故障功能，提示用户AP故障、主机通信故障、信号强度过低等情况。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6.全数字音频技术，内置高性能CPU，处理速度更快，音质更佳。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7.支持不低于48kHz音频采样频率，频率响应不低于60Hz~18kHz。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8.具有按键签到功能。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9.配合摄像机、视频切换台，使用电脑预设后，可进行摄像机自动跟踪。</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B125A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92D5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2EC3B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05829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B6135">
            <w:pPr>
              <w:keepNext w:val="0"/>
              <w:keepLines w:val="0"/>
              <w:pageBreakBefore w:val="0"/>
              <w:widowControl/>
              <w:kinsoku/>
              <w:wordWrap/>
              <w:overflowPunct/>
              <w:topLinePunct w:val="0"/>
              <w:autoSpaceDE/>
              <w:autoSpaceDN/>
              <w:bidi w:val="0"/>
              <w:adjustRightInd/>
              <w:snapToGrid/>
              <w:spacing w:line="300" w:lineRule="exact"/>
              <w:jc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35</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7B91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D10E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 、名称:5G无线数字AP发射器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 、类别 :功能特点：</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1.产品具有外观美观大方、安装便利的特点，适用于吸顶、壁挂、桌面放装。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2.上行链路采用不低于千兆以太网端口，有线口不再是无线接入的速率瓶颈。</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3.支持PoE远程供电和本地供电，可依据用户的供电现场环境选择适合的供电方式。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4.兼容Wave 2、802.11a/ an / ac ，支持MU-MIMO，允许AP同时接收多个终端发送数据，整机最大传输速率可以达到≥1.601Gbps，能够有效地从接入密度、覆盖范围、流量吞吐等方面提供更高性能的无线接入服务。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5.支持≥1024QAM调制解调算法和空间复用技术，能够提供更大的无线覆盖范围和更快的无线上网，可以满足语音、文字等各种无线业务的承载使用。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6.支持WPA3安全协议，让会议内容保密性更强。</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7.采用虚拟无线接入点技术，最多可以提供≥32个ESSID，这些不同SSID之间相互隔离，这样对于同一个VLAN下或使用相同SSID的子网进行终端二层隔离，保障用户数据安全性。</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8.支持中文SSID和中英文混合的SSID，为使用用户提高识别度和提供个性化的SSID。</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9.支持不低于80/160MHz的高带宽频段，有助于减少了网络拥堵，降低延迟，能够提供更高的性能。</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技术参数：</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1.状态指示灯：≥1*系统灯：Blue，正常上线：常亮；未激活：闪烁；设备上电异常：系统灯灭</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2.以太网口：≥1个10/100/1000M电口</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3.POE口：≥1个RJ45口</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4.天线：内置矩阵式智能天线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5.PoE：支持802.3at/bt以太网供电标准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6.发射功率：≤20dBm</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7.可调节功率粒度：≥1dBm</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8.复位/恢复出厂设置：支持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9.可调功率范围：1dBm~相应国家规定</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10.功耗：≤15W</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11.工作/存储温度：0℃～45℃</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12.工作/存储湿度：10%～90%RH</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13.防护等级：不低于IP41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52CE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CB38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7DE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SONBS昇博士，AVOWIT爱唯华、MVNZIZ美至尊</w:t>
            </w:r>
          </w:p>
        </w:tc>
      </w:tr>
      <w:tr w14:paraId="46160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EAEB4">
            <w:pPr>
              <w:keepNext w:val="0"/>
              <w:keepLines w:val="0"/>
              <w:pageBreakBefore w:val="0"/>
              <w:widowControl/>
              <w:kinsoku/>
              <w:wordWrap/>
              <w:overflowPunct/>
              <w:topLinePunct w:val="0"/>
              <w:autoSpaceDE/>
              <w:autoSpaceDN/>
              <w:bidi w:val="0"/>
              <w:adjustRightInd/>
              <w:snapToGrid/>
              <w:spacing w:line="300" w:lineRule="exact"/>
              <w:jc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36</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B93B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D146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 、名称:千兆POE供电器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 、类别 :48V2A千兆POE支持BT协议智能</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8C2E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9483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143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SONBS昇博士，AVOWIT爱唯华、MVNZIZ美至尊</w:t>
            </w:r>
          </w:p>
        </w:tc>
      </w:tr>
      <w:tr w14:paraId="12CB5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02A3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auto"/>
                <w:sz w:val="18"/>
                <w:szCs w:val="18"/>
                <w:u w:val="none"/>
              </w:rPr>
            </w:pP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FBCB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FBE5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 、名称:无线20口充电箱</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 、类别 :技术参数：</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1.材质：铁质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2.充电口：≥20口USB</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3.输入电压：AC220V  50/60Hz</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4.输出电压：5V DC，输出电流：单口2A</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5.总功率：≥200W 40A</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2A7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DDB1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2D9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SONBS昇博士，AVOWIT爱唯华、MVNZIZ美至尊</w:t>
            </w:r>
          </w:p>
        </w:tc>
      </w:tr>
      <w:tr w14:paraId="02354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94F2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sz w:val="18"/>
                <w:szCs w:val="18"/>
                <w:u w:val="none"/>
                <w:lang w:val="en-US"/>
              </w:rPr>
            </w:pPr>
            <w:r>
              <w:rPr>
                <w:rFonts w:hint="eastAsia" w:ascii="宋体" w:hAnsi="宋体" w:eastAsia="宋体" w:cs="宋体"/>
                <w:i w:val="0"/>
                <w:iCs w:val="0"/>
                <w:color w:val="auto"/>
                <w:kern w:val="0"/>
                <w:sz w:val="18"/>
                <w:szCs w:val="18"/>
                <w:u w:val="none"/>
                <w:lang w:val="en-US" w:eastAsia="zh-CN" w:bidi="ar"/>
              </w:rPr>
              <w:t>37</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A36E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416F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 、名称:反馈抑制器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 、类别 :功能特点</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1.采用自适应环境啸叫抑制算法，采用高速浮点数字音频处理器和先进的自带降噪消除技术，可快速自动完全消除啸叫和背景噪声。</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★2.内置自适应动态噪声滤波器，可滤掉现场环境的背景噪声但不影响语音信号传送。（投标时需提供第三方检测机构出具的带有CMA、CNAS及国际互认的ilac-MRA标志的有效检测报告复印件）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3.系统智能AGC双向电平控制技术，可以获得到清晰、持续、大小均匀的语音输出，保持讲话声调的连贯和语音清楚，可以提升增益达6-8dB，话筒拾音距离0.5-1.2米。</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4.内置≥24Bit A/D、D/A转换；≥24位DSP浮点运算处理器，≥96KHz高速采样。</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★5.一键智能免人工调试，无论房间环境中位置、温度、湿度、装饰的改变，系统安装都无需进行声场调试。（投标时需提供第三方检测机构出具的带有CMA、CNAS及国际互认的ilac-MRA标志的有效检测报告复印件）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6.键盘上锁功能：当管理员将设备调试完后，再将面板按键锁住，防止非管理员进行操作。</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7.菜单可以中英文切换。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8.≥2寸彩色显示屏显示给参数状态。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9.≥2路可独立的48V幻象电源。</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A4C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E4F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88DD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SONBS昇博士，AVOWIT爱唯华、MVNZIZ美至尊</w:t>
            </w:r>
          </w:p>
        </w:tc>
      </w:tr>
      <w:tr w14:paraId="0D0C1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445C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38</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655FD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 、机架</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A931F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、名称:42U机柜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、类别:尺寸：42U，600*600*2000mm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板材：采用优质SPCC冷轧钢板，立柱（方孔条）2.0mm、横梁（安装梁）\框架组件1.5mm 、侧门1.0mm、其余1.2mm；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表面：脱脂、酸洗、防锈磷化、纯水清洗、喷塑处理、外型美观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结构：可方便地安装机柜集中配电单元及设备；前单开后双开网孔门，具有良好的通风自然散热性能，通风率&gt;75%；可同时安装脚轮和支撑脚；可关闭的上部、下部多处走线通道，底部大走线孔尺寸可按需调整；可选配安装底座，达到固定机柜、底部过线、底部送冷风、防鼠的要求；高品质安全锁，锁具开启平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机柜承重：结构稳固，静载可达1000Kg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D81F8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48E76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7194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321B3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08A91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39</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F1143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接插件等</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70247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、名称:接插件及管线等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、类型:含接插件 、设备间连接线 、系统所需管线等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、备注:涉及管线 、音频跳线 、连接线 、各类接口等一次性报死。</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3470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137F3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AD127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0D7AA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DA8AF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40</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9B707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AC53F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、名称:会议小阵列音箱（ 6.5寸 ，  120W）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一款两分频音柱音箱。单元采用了优质的原材料，对人声、音乐有还原真实的放大特性，音色清晰。精确的纵向单元排列，只产生平面波，基本没有向上和向下的扩散，不会产生倍数级衰减，令声音可以传得更远。具备更强的声能辐射力，可以轻松实现声场均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1.低音单元：LF:2×6.5",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2.高音单元：HF:1x1"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3.频响响应：80Hz-20KHz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4.阻抗：8Ω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5.承受功率：120WAES,400WPeak</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6.推荐功放：300-600Winto4ohms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7.灵敏度：90dB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8.最大声压级：106-112dB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9.箱体板材：铝合金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10.箱体喷漆工艺：烤漆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11.指向性:90°Hx60°V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25A5F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2EBBF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7D29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46BDB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B87FE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41</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CB05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05F6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、名称:专业功放200W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1.立体声输出功率8Ω：≥200W×2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2.立体声输出功率4Ω：≥280W×2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3.输入灵敏度：≥0.775V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4.频率响应：20-20000Hz(±0.3dB)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5.转换速率：≥10V/µs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6.阻尼系数：﹥200:1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7.串音：&gt;-75dB@1KHz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8.信噪比：﹥100dB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9.总谐波失真：＜0.5%，1KHz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10.互调失真：﹤0.35%8Ω,1KHz1W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4BBB9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D89E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92CA8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42753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5FDF8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42</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F8898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F220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1.最新音频处理器技术，40bitDSP浮点运算引擎处理芯片，24bitA/D及D/A转换，音频采样率达到48KHz；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2.提供8路平衡式话筒／线路输入，采用裸线接口端子，8路平衡式输出，采用裸线接口端子，4路GPIO逻辑接口；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3.内置USB声卡，支持播放USB音频文件，支持录播和远程会议；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4.输入：前级放大、信号发生器、扩展器、压缩器、参量均衡、自动增益、反馈抑制器等；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5.输出：参量均衡、高低通、延时器、限幅器、输出正反向、增益调节；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6.内置话筒自适应反馈消除（AFC）、数字矩阵、自动混音、回声消除、噪声抑制；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7.支持编组控制功能、多组场景预设、远程管理功能，支持通道拷贝、粘贴、联控功能；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8.设备支持APP控制，支持IOS、安卓、WINDOWS等，APP软件支持用户自定义，通过APP可实现对处理器进行控制，如音量大小、预设调用、外控第三方设备、矩阵切换等；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9.系统集成中控功能，支持RS232、RS485、UDP控制，通过编程简单地控制投影、幕布、灯光、窗帘、电源时序器等第三方设备；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10.产品支持扩展外接控制面板功能，面板类型至少两种以上，可实现远端对处理器进行控制，如音量大小、预设调用、外控第三方设备(支持RS232、RS485、UDP等)、矩阵切换等；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91D56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2D969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BB87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59F00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C989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43</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2C96E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9F2ED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1.≥6路单声道输入+≥1立体声道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2.具备蓝牙连接、USB播放/录音功能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3.最高支持24-bit/48kHz 规格的录音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4.LCD彩屏显示，具有99种DSP效果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5.USB独立播放通道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6.≥4路母线（BUS）：主输出+监听室输出+录音输出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7.≥1组辅助发送以及≥1组辅助返回</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8.≥60MM高精度对数式衰减推子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9.内置48V幻象供电，内置80V-240V宽电压工作电源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224B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5FED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F433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24116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AC81D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44</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110E7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07B92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、名称:反馈抑制器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1.采用自适应环境啸叫抑制算法，采用高速浮点数字音频处理器和先进的自带降噪消除技术，可快速自动完全消除啸叫和背景噪声。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2.内置自适应动态噪声滤波器，可滤掉现场环境的背景噪声但不影响语音信号传送。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3.系统智能AGC双向电平控制技术，可以获得到清晰、持续、大小均匀的语音输出，保持讲话声调的连贯和语音清楚，可以提升增益达6-8dB，话筒拾音距离0.5-1.2米。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4.内置≥24Bit A/D、D/A转换；≥24位DSP浮点运算处理器，≥96KHz高速采样。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5.一键智能免人工调试，无论房间环境中位置、温度、湿度、装饰的改变，系统安装都无需进行声场调试。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6.键盘上锁功能：当管理员将设备调试完后，再将面板按键锁住，防止非管理员进行操作。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7.菜单可以中英文切换。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8.≥2寸彩色显示屏显示给参数状态。</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7BB5A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5578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F6C08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0AB15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680D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45</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5B868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8C8BE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、名称:U段红外对频一拖四会议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、类别:产品概述：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1.一台主机+四个无线方形话筒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1.使用UHF635-685MHz频段，应用PLL频率合成锁相环技术，频率可调。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2.集成中央处理器CPU的总控制，配合数字液晶界面显示，操作方便，性能出众。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3.全自动红外线对频，使发射机与接收机自动同步收发。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4.多重静噪控制电路，拒绝外部干扰。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5.设有回输啸叫抑制减弱功能，能有效减少回输啸叫。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6.接收机采用多级高频放大，具有极高的灵敏度。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7.多重噪音监测电路，特设单音锁定TONE-LOCKED系统，使之具有无与伦比的抗干扰特性。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8.同时设置≥4个平衡输出.≥1个混合非平衡输出，适合连接各种外置设备；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9.接收机背面设置4条橡胶接收天线，增强接收的信号，外观大方得体；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10.空阔最大使用距离100米，理想空间使用距离50米。                             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09E6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9655F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FB7BF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r>
      <w:tr w14:paraId="1B9E7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A1B3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46</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ADE74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 、机架</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A59A4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、名称:42U机柜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、类别:尺寸：42U，600*600*2000mm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板材：采用优质SPCC冷轧钢板，立柱（方孔条）2.0mm、横梁（安装梁）\框架组件1.5mm 、侧门1.0mm、其余1.2mm；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表面：脱脂、酸洗、防锈磷化、纯水清洗、喷塑处理、外型美观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结构：可方便地安装机柜集中配电单元及设备；前单开后双开网孔门，具有良好的通风自然散热性能，通风率&gt;75%；可同时安装脚轮和支撑脚；可关闭的上部、下部多处走线通道，底部大走线孔尺寸可按需调整；可选配安装底座，达到固定机柜、底部过线、底部送冷风、防鼠的要求；高品质安全锁，锁具开启平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机柜承重：结构稳固，静载可达1000Kg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AD7D7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C410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1FC09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r>
      <w:tr w14:paraId="03ED5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52D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47</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965C8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接插件等</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F2881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、名称:接插件及管线等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、类型:含接插件 、设备间连接线 、系统所需管线等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、备注:涉及管线 、音频跳线 、连接线 、各类接口等一次性报死。</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BDCF3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9061C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61388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r>
      <w:tr w14:paraId="47DDB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805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48</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5F99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监控摄像设备</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A6BD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、名称:400万高清半球网络摄像机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内置GPU芯片，采用星光级400万像素1/2.7英寸CMOS图像传感器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最大可输出400万(2688×1520)@25fps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最低照度：0.002lux（彩色模式）；0.0002lux（黑白模式）；0lux（补光灯开启）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内置高效红外补光灯，最大红外监控距离50米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支持通用行为分析：绊线入侵，区域入侵（两项支持人车分类及精准检测），物品遗留，物品搬移，徘徊检测，人员聚集；支持SMD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1~10灵敏度等级设置;支持扰动过滤,当小动物、灯光、树叶、气球出现在检测区域时,不会触发报警；可对打伞、拎包、骑车的人员进行检测:可对目标大小(像素值)范围进行设置,使样机只对预设大小(像素值)范围内的人员及机动车辆进行检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支持对以下行为进行智能分析,并通过客户端软件或IE浏览器给出告警提示:a)拌线入侵;b)区域入侵;c)物品遗留:d)物品搬移;e)徘徊检测;f)停车检测:g)快速移动;h)人员聚集;设备支持行为分析触发后联动抓图、录像、目标跟踪、报警上传、发送邮件等多种报警联动方式。设备支持设置30组智能周界规则并进行独立布防,每组的布撤防时间可单独设置,目标在布防区域和布防时间段内出现会触发报警,并联动相关操作。（投标时提供公安部有效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ICR滤光片切换检验：样机可在白天、夜晚模式下自动切换滤光片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★视频水印功能检验：开启视频水印功能后，可通过专用播放软件检测到录像文件中的水印信息（投标时提供公安部有效检测报告复印件）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网络传输能力检验：相机与客户端之间以长度为200m的超五类非屏蔽网线直接连接，每次客户端连续发送2000个数据包，重复测试3次，每次丢包数不大于1个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网络适应能力检验：在丢包率设置为30%的网络环境下，可正常显示监视画面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断电保护功能检验：样机软件升级过程中断电，重新加电后可恢复到升级前的软件版本</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支持ROI，SMART H.264/H.265，AI H.264/H.265，灵活编码，适用不同带宽和存储环境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内置MIC</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支持DC12V/POE供电方式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支持IP67防护等级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9EAF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221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9249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海康、大华、宇视</w:t>
            </w:r>
          </w:p>
        </w:tc>
      </w:tr>
      <w:tr w14:paraId="1EB2A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BA0D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49</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C47B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监控摄像设备</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A48F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、名称:400万高清枪型网络摄像机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、类别:内置GPU芯片，支持两路码流功能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采用度400万像素1/2.7英寸CMOS图像传感器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最大可输出400万(2688×1520)@25fps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最低照度：0.002lux（彩色模式）；0.0002lux（黑白模式）；0lux（补光灯开启）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支持通用行为分析：绊线入侵，区域入侵（两项支持人车分类及精准检测），物品遗留，物品搬移，徘徊检测，人员聚集；支持SMD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内置高效红外补光灯，最大红外监控距离50米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★具有智能编码设置选项，在标准环境下，设备在H.264或H.265编码方式时，开启智能编码功能和不开启智能编码相比，码流节约9/10（投标时提供公安部有效检测报告复印件）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设备支持智能动态检测（SMD）分析触发后联动抓图、录像、目标跟踪、报警上传、发送邮件等多种报警触发方式 支持设置报警目标为人、机动车、全部（人或机动车）进行检测，支持灵敏度设置低、中、高三档，具备智能分析抗干扰功能，当小动物、灯光、树叶、气球等非人或机动车目标出现在画面时，不会触发报警。 支持人或机动车报警去重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★当以下的智能分析行为进行智能分析，并通过客户端软件或IE浏览器给出报警提示。 a）拌线入侵； b）区域入侵； c）物品遗留； d）物品搬移； e）徘徊检测； f）停车检测； g）快速移动； h）人员聚集； 样机支持行为分析触发后联动抓图、录像、目标跟踪、报警上传、发送邮件等多种报警触发方式（投标提供公安部有效检测报告复印件）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支持智能方案无缝切换功能，可通过菜单进行各智能方案切换配置，切换过程无需重启设备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在分辨率设置为2688×1520、帧率设置为30fps、码率设置为1Mbps时，样机处于监看或录像状态，监视画面无明显缺损，物体移动时画面边缘无明显锯齿、拉毛现象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黑白名单功能检验：在白名单模式中，只有添加在白名单中的IP地址才允许访问样机，白名单中最多可添加10个IP地址。在黑名单模式中，只有添加在黑名单中的IP地址不允许访问样机，黑名单中最多可添加10个IP地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支持走廊模式，宽动态，3D降噪，强光抑制，背光补偿，数字水印，适用不同监控环境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支持ROI，SMART H.264/H.265，AI H.264/H.265，灵活编码，适用不同带宽和存储环境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内置MIC</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支持DC12V/POE供电方式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支持IP67防护等级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0529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04E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1689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海康、大华、宇视</w:t>
            </w:r>
          </w:p>
        </w:tc>
      </w:tr>
      <w:tr w14:paraId="6050E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1C75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50</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A93F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录像设备</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230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、名称:网络视频录像机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具有2个HDMI接口、2个VGA接口、2个RJ45网络接口、2个USB2.0接口、2个USB3.0接口、1个RS232接口、2个RS485接口、1个eSata接口；具有1路音频输入接口、2路音频输出接口，16个SATA接口，16个报警输入接口、8个报警输出接口、2个DV12V输出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支持64路网络视频接入，支持384Mbps接入、384Mbps存储、384Mbps转发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同时正放或倒放16路H.265或H.264编码1920X1080P分辨率的视频图像；或者16路H.265或H.264编码、2560×1440分辨率的视频图像；或8路H.265或H.264编码、4096×2160分辨率的视频图像；或2路H.265或H.264编码、8192×3840分辨率的视频图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自适应接入H.265、H.264、MPEG4、MJPE、SmartH.264、SmartH.265、SVAC编码格式的网络视频并解码支持2路分辨率为8192×3840、帧率为25fps或5路分辨率为4000×3000、帧率为25fps或8路分辨率为4096×2160、帧率为25fps或16路分辨率为2560×1440、帧率为30fps或32路分辨率为1920*1080、帧率为30fps的视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支持2路H.265编码、25fps、8192×3840分辨率的拼接摄像机视频实时预览功能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支持2路后智能人脸检测比对； 不少于20个人脸库，不少于20000张人脸图片；4路后智能周界检测；8路后智能SMD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支持前智能：人脸检测比对、周界防范、视频结构化、通用行为分析、立体行为分析、人群分布、人数统计、热度图、车牌识别、SMD功能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支持32M/24M/16M/12M/8M/6M/5M/4M/3M/1080P/960P/720PIPC分辨率接入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支持按时间、按事件等多种方式进行录像的检索、回放、备份，支持图片本地回放与查询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支持本机硬盘、网络等存储方式，支持硬盘、外接USB存储设备备份方式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支持设备操作日志、报警日志、系统日志的记录与查询功能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支持断网续传功能，能对前端摄像机断网这段时间内SD卡中的录像回传到NVR</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支持即时回放功能，在预览画面下回放指定通道的录像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支持预览图像与回放图像的电子放大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支持远程管理IPC功能，支持对前端IPC远程升级，支持远程对IPC的编码配置修改等操作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支持远程零通道预览功能，可将接入的多路视频图像多画面显示在一路视频图像上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支持盘组管理功能，实现视频录像的定向存储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支持配额管理功能，实现按通道分配不同的录像天数进行存储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支持走廊模式功能，支持IPC画面旋转90°或270°，成9:16走廊模式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支持预览通道拖动保存、自定义布局（双目、三目、四目枪机接入）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SmartIPC接入、绊线入侵、区域入侵、场景变化、移动侦测、人脸检测、物品遗留和物品搬移时，可给出报警/联动/上传，同时支持SMD、人群分布、热度图、人数统计、车牌检测（支持卡口ITC、球机）、智能跟踪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支持人脸检测、人脸识别，系统将检测到的人脸与联动人脸库中的人脸图片进行匹配，当匹配相似度达到时，可给出报警提示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支持接入热成像相机 ，当触发 火情检测，冷点检测，热点检测，测温检测，温差检测，打电话检测，吸烟检测，烟雾检测等报警时，可联动录像、抓拍并保存图片、弹出报警画面、声音警告、上传中心、发送邮件、触发报警输出，并按通道、时间、类型检索报警图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接入带有火情检测、冷点检测、热点检测、温度/温差检测、打电话检测、吸烟检测、烟雾检测报警功能的网络摄像机，当触发报警时，可联动录像、抓拍并保存图片、弹出报警画面、声音警告、上传中心、发送邮件、触发报警输出，并按通道、时间、类型检索报警图片，录像搜索结果支持图片和列表2种展现形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搜索列表中的设备，不需要添加就可以通过点击预览按钮查看前端的视频画面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设备应自动记录与设备信息安全相关的日志信息，作为独立的安全日志,内容包括用户登录/登出、重要和敏感操作、安全事件等,并划分独立的记录空间存储安全日志,其它日志信息不能覆盖安全日志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支持CGI命令配置设备配置参数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66E7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94D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950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海康、大华、宇视</w:t>
            </w:r>
          </w:p>
        </w:tc>
      </w:tr>
      <w:tr w14:paraId="23CAD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5B092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51</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AC355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存储设备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5C18A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、名称:企业级硬盘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、规格:容量 :8TB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接口类型 :SATA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尺寸 :3.5英寸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硬盘类型:企业级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转速 :7200RPM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缓存 :256MB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9788E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554D9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5CA7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海康、大华、宇视</w:t>
            </w:r>
          </w:p>
        </w:tc>
      </w:tr>
      <w:tr w14:paraId="059EF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11D44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52</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804C6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4D1D3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、名称:显示器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、类别:21寸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8909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A4AB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3A8AE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r>
      <w:tr w14:paraId="2A452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645EE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53</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2DD3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7B1D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、名称:信息发布管理服务器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、配置不低于:8核 2.5GHZ以上；运行内存：8G；存储内存：1T；操作系统：server2016及以上 ；可使用虚拟服务机，系统必须64位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8357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13788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23949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SONBS昇博士、德睿、视摩</w:t>
            </w:r>
          </w:p>
        </w:tc>
      </w:tr>
      <w:tr w14:paraId="60003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896EA">
            <w:pPr>
              <w:keepNext w:val="0"/>
              <w:keepLines w:val="0"/>
              <w:pageBreakBefore w:val="0"/>
              <w:widowControl/>
              <w:kinsoku/>
              <w:wordWrap/>
              <w:overflowPunct/>
              <w:topLinePunct w:val="0"/>
              <w:autoSpaceDE/>
              <w:autoSpaceDN/>
              <w:bidi w:val="0"/>
              <w:adjustRightInd/>
              <w:snapToGrid/>
              <w:spacing w:line="300" w:lineRule="exact"/>
              <w:jc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54</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5043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软件</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6A71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1、信息发布软件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类别：系统采用B/S架构，基于TCP/IP网络，能够通过网络管理终端设备，并可以高质量的完成各种播放任务，能够对文字、图象、音视、视频、网页等多种媒体进行编辑制作、网络传输和控制播出，同时向多个显示终端（如:电视机、显示器、LED全彩屏、拼接屏等）发布不同的多媒体信息。支持轮播任务、互动任务、插播任务；支持指定不同的设备发布不同而任务或发布同一任务；支持权限设置，设置不同的角色，设置不同的权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C4A2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257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B61A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SONBS昇博士、德睿、视摩</w:t>
            </w:r>
          </w:p>
        </w:tc>
      </w:tr>
      <w:tr w14:paraId="20A9F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47F6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55</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D0F99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视频控制设备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DCBD1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、名称:信息发布盒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、类别:Cortex-A17 四核，最高主频 1.8GHz；RAM  2GB；存储 16GB；分辨率 1920*1080；网络接口 RJ45,100M以上以太网接口，支持WIFI ； USB HOST*2； HDMI OUTPUT*1；1个标准TF卡接口，最大支持128G；国标3.5mm立体声接口；整机功率  5W ；嵌入式超高效率，高稳定性 免黑免病毒；通过网络连接，通过服务器集中控制与管理，实现播放内容和播放方式的统一管理；支持分屏显示，同一屏幕上可组合播放视频、图片、滚动字幕、时间、天气预报等内容；良好的硬件品质，保证长时间稳定工作；支持断电恢复，无需人工干涉；网络临时故障不影响当前播放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AE5A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9389A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72AAB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SONBS昇博士、德睿、视摩</w:t>
            </w:r>
          </w:p>
        </w:tc>
      </w:tr>
      <w:tr w14:paraId="662C2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789A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56</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17334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0B7A4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、名称:100寸显示屏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、备注:含支架安装</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8D1F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656A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03F7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r>
      <w:tr w14:paraId="69007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89B3A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57</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C17D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显示设备</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5A006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、名称:32寸显示屏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、类别:分辨率不低于1920*1080，含安装支架</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B86E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2DC4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CEF02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r>
      <w:tr w14:paraId="7D350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AFF8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58</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BF4BF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智能化系统工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程调试试运行</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08D0B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、名称:智能化系统工程调试试运行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（含各系统的调试 、联调及与原系统的对接等）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、类别:系统调试及试运行为一次性包死价, 中标后一律不作调整</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6A9FD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3D04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C4B32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r>
    </w:tbl>
    <w:p w14:paraId="2974626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、质量保证</w:t>
      </w:r>
    </w:p>
    <w:p w14:paraId="268BF45D">
      <w:pPr>
        <w:pStyle w:val="48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.供应商应保证货物是全新、未使用过的原厂合格产品，并实质性响应招标文件的要求。验收过程中发现产品不符合上述要求的，将视作不合格产品，采购人有权终止合同，造成的一切损失由中标人承担。 </w:t>
      </w:r>
    </w:p>
    <w:p w14:paraId="2DB1BB53">
      <w:pPr>
        <w:pStyle w:val="48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.供应商应保证提供的产品不得侵犯第三方专利权、商标权和设计权、版权等。否则，供应商应负全部责任，并承担由此引起的一切后果。</w:t>
      </w:r>
    </w:p>
    <w:p w14:paraId="23BABB77">
      <w:pPr>
        <w:pStyle w:val="48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.供应商应保证其货物在正确安装、正常使用下，在其使用寿命期内应具有满意的性能。</w:t>
      </w:r>
    </w:p>
    <w:p w14:paraId="54398480">
      <w:pPr>
        <w:pStyle w:val="48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.供应商应采取必要的安全措施保证货物的运输及安装的安全，并承担货物的运输及安装过程中产生的风险。</w:t>
      </w:r>
    </w:p>
    <w:p w14:paraId="3CEFF291">
      <w:pPr>
        <w:pStyle w:val="48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.所报价的产品的各项技术标准应当符合国家现行相关生产标准、规范及招标文件的要求。</w:t>
      </w:r>
      <w:r>
        <w:rPr>
          <w:rFonts w:hint="eastAsia" w:ascii="宋体" w:hAnsi="宋体" w:eastAsia="宋体" w:cs="宋体"/>
          <w:bCs/>
          <w:sz w:val="24"/>
          <w:szCs w:val="24"/>
        </w:rPr>
        <w:t xml:space="preserve"> </w:t>
      </w:r>
    </w:p>
    <w:p w14:paraId="19242556">
      <w:pPr>
        <w:pStyle w:val="48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、售后服务要求</w:t>
      </w:r>
    </w:p>
    <w:p w14:paraId="7B1EC1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1.自采购单位报故障之时起，</w:t>
      </w:r>
      <w:r>
        <w:rPr>
          <w:rFonts w:hint="eastAsia" w:ascii="宋体" w:hAnsi="宋体" w:eastAsia="宋体" w:cs="宋体"/>
          <w:sz w:val="24"/>
          <w:szCs w:val="24"/>
          <w:u w:val="single"/>
        </w:rPr>
        <w:t>4</w:t>
      </w:r>
      <w:r>
        <w:rPr>
          <w:rFonts w:hint="eastAsia" w:ascii="宋体" w:hAnsi="宋体" w:eastAsia="宋体" w:cs="宋体"/>
          <w:sz w:val="24"/>
          <w:szCs w:val="24"/>
        </w:rPr>
        <w:t xml:space="preserve">小时内响应并到达现场处理问题，在质保期内非人为因素损坏设备，二日内修复障碍，保证用户正常使用其功能。投标文件中提供具体的保障措施。 </w:t>
      </w:r>
    </w:p>
    <w:p w14:paraId="391050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2.提供技术培训，投标文件中应给出详尽的培训计划，确保采购人的使用人员在经过培训后能熟练使用。</w:t>
      </w:r>
    </w:p>
    <w:p w14:paraId="1E28D3A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四</w:t>
      </w:r>
      <w:r>
        <w:rPr>
          <w:rFonts w:hint="eastAsia" w:ascii="宋体" w:hAnsi="宋体" w:eastAsia="宋体" w:cs="宋体"/>
          <w:b/>
          <w:bCs/>
          <w:sz w:val="24"/>
          <w:szCs w:val="24"/>
        </w:rPr>
        <w:t>、安装要求</w:t>
      </w:r>
    </w:p>
    <w:p w14:paraId="61E057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1.所有安装施工材料质量及施工质量必须严格按照国家规范及地方规范的有关要求执行。</w:t>
      </w:r>
    </w:p>
    <w:p w14:paraId="30122B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2.设备在安装时，应根据生产厂家所提供的产品安装说明书施工，安装辅材必须采用优质产品。</w:t>
      </w:r>
    </w:p>
    <w:p w14:paraId="2B237A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3.中标人应对安装施工质量全面负责，文明、安全施工，如中标人原因造成质量事故、中标人承担一切经济法律责任。</w:t>
      </w:r>
    </w:p>
    <w:p w14:paraId="41EC63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4.在实施期间，中标人应无条件的遵守施工现场的各项规章制度。</w:t>
      </w:r>
    </w:p>
    <w:p w14:paraId="2D976A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5.实施期间，中标人应无条件的接受采购人的质量监督，提出的质量问题要及时整改，整改完毕后通知采购人检查验收，合格后书面报送采购人备案。</w:t>
      </w:r>
    </w:p>
    <w:p w14:paraId="3E4318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6.中标人必须按照工程设计和技术标准施工，不得擅自修改工程设计，不得偷工减料。</w:t>
      </w:r>
    </w:p>
    <w:p w14:paraId="537FC9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中标人必须建立健全质量检查制度，严格工序管理，隐蔽工程在隐蔽前应通知采购人检查验收；本着谁施工谁负责产品保护，谁破坏产品谁负责赔偿的原则，中标人必须采取切实有效的产品保护措施，并编制相应的产品保护方案报采购人批准同意后组织实施。</w:t>
      </w:r>
    </w:p>
    <w:p w14:paraId="7D5CE6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8.中标人必须负责安装过程中对采购人原有装修的破坏进行修复，恢复原状，该费用包含于总投标报价中。</w:t>
      </w:r>
    </w:p>
    <w:p w14:paraId="434F4A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9.中标人的报价包含了采购人现有场地条件下，进行设备的安装调试达到可使用状态，并含验收合格前的所有费用。</w:t>
      </w:r>
    </w:p>
    <w:p w14:paraId="111F493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、特别说明</w:t>
      </w:r>
    </w:p>
    <w:p w14:paraId="09F740D8">
      <w:pPr>
        <w:pStyle w:val="48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1.报价含项目成果交付前一切费用。不接受选择性报价。</w:t>
      </w:r>
    </w:p>
    <w:p w14:paraId="027CA7E1">
      <w:pPr>
        <w:pStyle w:val="48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2.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 </w:t>
      </w:r>
    </w:p>
    <w:p w14:paraId="0595C1D3">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FF0000"/>
          <w:sz w:val="28"/>
          <w:szCs w:val="28"/>
        </w:rPr>
      </w:pPr>
      <w:r>
        <w:rPr>
          <w:rFonts w:hint="eastAsia" w:ascii="宋体" w:hAnsi="宋体" w:eastAsia="宋体" w:cs="宋体"/>
          <w:sz w:val="24"/>
          <w:szCs w:val="24"/>
        </w:rPr>
        <w:t>3.资格后审：项目开标结束后，采购人依法对投标人的资格进行审查。资格审查材料的复印件须在投标文件中提供。</w:t>
      </w:r>
    </w:p>
    <w:p w14:paraId="352DC8AF">
      <w:pPr>
        <w:pStyle w:val="44"/>
        <w:spacing w:beforeAutospacing="0" w:afterAutospacing="0" w:line="0" w:lineRule="atLeast"/>
        <w:ind w:firstLine="480"/>
        <w:jc w:val="both"/>
        <w:rPr>
          <w:rFonts w:hint="eastAsia" w:ascii="宋体" w:hAnsi="宋体" w:eastAsia="宋体" w:cs="宋体"/>
          <w:color w:val="FF0000"/>
        </w:rPr>
      </w:pPr>
      <w:r>
        <w:rPr>
          <w:rFonts w:hint="eastAsia" w:ascii="宋体" w:hAnsi="宋体" w:eastAsia="宋体" w:cs="宋体"/>
          <w:color w:val="FF0000"/>
        </w:rPr>
        <w:t> </w:t>
      </w:r>
    </w:p>
    <w:p w14:paraId="100EB798">
      <w:pPr>
        <w:pStyle w:val="44"/>
        <w:spacing w:beforeAutospacing="0" w:afterAutospacing="0"/>
        <w:ind w:firstLine="602"/>
        <w:jc w:val="both"/>
        <w:rPr>
          <w:rFonts w:hint="eastAsia" w:ascii="宋体" w:hAnsi="宋体" w:eastAsia="宋体" w:cs="宋体"/>
          <w:b/>
          <w:bCs/>
          <w:color w:val="000000"/>
          <w:sz w:val="44"/>
          <w:szCs w:val="44"/>
        </w:rPr>
      </w:pPr>
      <w:r>
        <w:rPr>
          <w:rFonts w:hint="eastAsia" w:ascii="宋体" w:hAnsi="宋体" w:eastAsia="宋体" w:cs="宋体"/>
        </w:rPr>
        <w:t> </w:t>
      </w:r>
      <w:bookmarkStart w:id="175" w:name="_Toc120614281"/>
      <w:r>
        <w:rPr>
          <w:rFonts w:hint="eastAsia" w:ascii="宋体" w:hAnsi="宋体" w:eastAsia="宋体" w:cs="宋体"/>
          <w:b/>
          <w:bCs/>
          <w:color w:val="000000"/>
          <w:sz w:val="44"/>
          <w:szCs w:val="44"/>
        </w:rPr>
        <w:tab/>
      </w:r>
    </w:p>
    <w:p w14:paraId="7290E165">
      <w:pPr>
        <w:rPr>
          <w:rFonts w:hint="eastAsia" w:ascii="宋体" w:hAnsi="宋体" w:eastAsia="宋体" w:cs="宋体"/>
          <w:b/>
          <w:bCs/>
          <w:color w:val="000000"/>
          <w:sz w:val="44"/>
          <w:szCs w:val="44"/>
        </w:rPr>
      </w:pPr>
      <w:r>
        <w:rPr>
          <w:rFonts w:hint="eastAsia" w:ascii="宋体" w:hAnsi="宋体" w:eastAsia="宋体" w:cs="宋体"/>
          <w:b/>
          <w:bCs/>
          <w:color w:val="000000"/>
          <w:sz w:val="44"/>
          <w:szCs w:val="44"/>
        </w:rPr>
        <w:br w:type="page"/>
      </w:r>
    </w:p>
    <w:p w14:paraId="754CB468">
      <w:pPr>
        <w:pStyle w:val="44"/>
        <w:spacing w:beforeAutospacing="0" w:afterAutospacing="0"/>
        <w:jc w:val="center"/>
        <w:rPr>
          <w:rFonts w:hint="eastAsia" w:ascii="宋体" w:hAnsi="宋体" w:eastAsia="宋体" w:cs="宋体"/>
        </w:rPr>
      </w:pPr>
      <w:r>
        <w:rPr>
          <w:rFonts w:hint="eastAsia" w:ascii="宋体" w:hAnsi="宋体" w:eastAsia="宋体" w:cs="宋体"/>
          <w:b/>
          <w:bCs/>
          <w:color w:val="000000"/>
          <w:sz w:val="44"/>
          <w:szCs w:val="44"/>
        </w:rPr>
        <w:t>第五章</w:t>
      </w:r>
      <w:r>
        <w:rPr>
          <w:rFonts w:hint="eastAsia" w:ascii="宋体" w:hAnsi="宋体" w:eastAsia="宋体" w:cs="宋体"/>
          <w:color w:val="000000"/>
          <w:sz w:val="44"/>
          <w:szCs w:val="44"/>
        </w:rPr>
        <w:t xml:space="preserve">  </w:t>
      </w:r>
      <w:r>
        <w:rPr>
          <w:rFonts w:hint="eastAsia" w:ascii="宋体" w:hAnsi="宋体" w:eastAsia="宋体" w:cs="宋体"/>
          <w:b/>
          <w:color w:val="000000"/>
          <w:sz w:val="44"/>
          <w:szCs w:val="44"/>
        </w:rPr>
        <w:t>评标方法与评标标准</w:t>
      </w:r>
    </w:p>
    <w:p w14:paraId="6BEAED22">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025FF78D">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39"/>
        <w:textAlignment w:val="auto"/>
        <w:rPr>
          <w:rFonts w:hint="eastAsia" w:ascii="宋体" w:hAnsi="宋体" w:eastAsia="宋体" w:cs="宋体"/>
          <w:sz w:val="24"/>
          <w:szCs w:val="24"/>
        </w:rPr>
      </w:pPr>
      <w:r>
        <w:rPr>
          <w:rFonts w:hint="eastAsia" w:ascii="宋体" w:hAnsi="宋体" w:eastAsia="宋体" w:cs="宋体"/>
          <w:color w:val="000000"/>
          <w:sz w:val="24"/>
          <w:szCs w:val="24"/>
        </w:rPr>
        <w:t>本项目采用</w:t>
      </w:r>
      <w:r>
        <w:rPr>
          <w:rFonts w:hint="eastAsia" w:ascii="宋体" w:hAnsi="宋体" w:eastAsia="宋体" w:cs="宋体"/>
          <w:color w:val="000000"/>
          <w:sz w:val="24"/>
          <w:szCs w:val="24"/>
          <w:u w:val="single"/>
        </w:rPr>
        <w:t xml:space="preserve"> 综合评分</w:t>
      </w:r>
      <w:r>
        <w:rPr>
          <w:rFonts w:hint="eastAsia" w:ascii="宋体" w:hAnsi="宋体" w:eastAsia="宋体" w:cs="宋体"/>
          <w:color w:val="000000"/>
          <w:sz w:val="24"/>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000000"/>
          <w:sz w:val="24"/>
          <w:szCs w:val="24"/>
          <w:u w:val="single"/>
        </w:rPr>
        <w:t>1</w:t>
      </w:r>
      <w:r>
        <w:rPr>
          <w:rFonts w:hint="eastAsia" w:ascii="宋体" w:hAnsi="宋体" w:eastAsia="宋体" w:cs="宋体"/>
          <w:color w:val="000000"/>
          <w:sz w:val="24"/>
          <w:szCs w:val="24"/>
        </w:rPr>
        <w:t>名中标候选人。</w:t>
      </w:r>
    </w:p>
    <w:p w14:paraId="0CEF9300">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1"/>
        <w:textAlignment w:val="auto"/>
        <w:rPr>
          <w:rFonts w:hint="eastAsia" w:ascii="宋体" w:hAnsi="宋体" w:eastAsia="宋体" w:cs="宋体"/>
          <w:sz w:val="24"/>
          <w:szCs w:val="24"/>
        </w:rPr>
      </w:pPr>
      <w:r>
        <w:rPr>
          <w:rFonts w:hint="eastAsia" w:ascii="宋体" w:hAnsi="宋体" w:eastAsia="宋体" w:cs="宋体"/>
          <w:b/>
          <w:color w:val="000000"/>
          <w:sz w:val="24"/>
          <w:szCs w:val="24"/>
        </w:rPr>
        <w:t>政府采购政策功能落实</w:t>
      </w:r>
    </w:p>
    <w:p w14:paraId="44547E69">
      <w:pPr>
        <w:pStyle w:val="44"/>
        <w:spacing w:before="120" w:beforeAutospacing="0" w:after="120" w:afterAutospacing="0" w:line="0" w:lineRule="atLeast"/>
        <w:ind w:firstLine="480"/>
        <w:rPr>
          <w:rFonts w:hint="eastAsia" w:ascii="宋体" w:hAnsi="宋体" w:eastAsia="宋体"/>
        </w:rPr>
      </w:pPr>
      <w:r>
        <w:rPr>
          <w:rFonts w:hint="eastAsia" w:ascii="宋体" w:hAnsi="宋体" w:eastAsia="宋体" w:cs="宋体"/>
          <w:color w:val="000000"/>
        </w:rPr>
        <w:t>1.小微型企业价格扣除</w:t>
      </w:r>
    </w:p>
    <w:p w14:paraId="3C749319">
      <w:pPr>
        <w:pStyle w:val="44"/>
        <w:spacing w:before="120" w:beforeAutospacing="0" w:after="120" w:afterAutospacing="0" w:line="0" w:lineRule="atLeast"/>
        <w:ind w:firstLine="360"/>
        <w:rPr>
          <w:rFonts w:hint="eastAsia" w:ascii="宋体" w:hAnsi="宋体" w:eastAsia="宋体" w:cs="宋体"/>
          <w:color w:val="000000"/>
        </w:rPr>
      </w:pPr>
      <w:r>
        <w:rPr>
          <w:rFonts w:hint="eastAsia" w:ascii="宋体" w:hAnsi="宋体" w:eastAsia="宋体" w:cs="宋体"/>
          <w:color w:val="000000"/>
        </w:rPr>
        <w:t>（1）本项目对小型和微型企业产品给予</w:t>
      </w:r>
      <w:r>
        <w:rPr>
          <w:rFonts w:hint="eastAsia" w:ascii="宋体" w:hAnsi="宋体" w:eastAsia="宋体" w:cs="宋体"/>
          <w:color w:val="000000"/>
          <w:u w:val="single"/>
        </w:rPr>
        <w:t>20%</w:t>
      </w:r>
      <w:r>
        <w:rPr>
          <w:rFonts w:hint="eastAsia" w:ascii="宋体" w:hAnsi="宋体" w:eastAsia="宋体" w:cs="宋体"/>
          <w:color w:val="000000"/>
        </w:rPr>
        <w:t>的扣除价格，用扣除后的价格参与评审。</w:t>
      </w:r>
    </w:p>
    <w:p w14:paraId="07B3AD8D">
      <w:pPr>
        <w:pStyle w:val="44"/>
        <w:spacing w:before="120" w:beforeAutospacing="0" w:after="120" w:afterAutospacing="0" w:line="0" w:lineRule="atLeast"/>
        <w:ind w:firstLine="360"/>
        <w:rPr>
          <w:rFonts w:hint="eastAsia" w:ascii="宋体" w:hAnsi="宋体" w:eastAsia="宋体"/>
        </w:rPr>
      </w:pPr>
      <w:r>
        <w:rPr>
          <w:rFonts w:hint="eastAsia" w:ascii="宋体" w:hAnsi="宋体" w:eastAsia="宋体" w:cs="宋体"/>
          <w:color w:val="000000"/>
        </w:rPr>
        <w:t>（2）供应商需按照采购文件的要求提供相应的《小微企业声明函》。</w:t>
      </w:r>
    </w:p>
    <w:p w14:paraId="0EF94493">
      <w:pPr>
        <w:pStyle w:val="44"/>
        <w:spacing w:before="120" w:beforeAutospacing="0" w:after="120" w:afterAutospacing="0" w:line="0" w:lineRule="atLeast"/>
        <w:ind w:firstLine="360"/>
        <w:rPr>
          <w:rFonts w:hint="eastAsia" w:ascii="宋体" w:hAnsi="宋体" w:eastAsia="宋体"/>
        </w:rPr>
      </w:pPr>
      <w:r>
        <w:rPr>
          <w:rFonts w:hint="eastAsia" w:ascii="宋体" w:hAnsi="宋体" w:eastAsia="宋体" w:cs="宋体"/>
          <w:color w:val="000000"/>
        </w:rPr>
        <w:t>（3）企业标准请参照《关于印发中小企业划型标准规定的通知》（工信部联企业[2011]300号）文件规定自行填写。</w:t>
      </w:r>
    </w:p>
    <w:p w14:paraId="6F4B5356">
      <w:pPr>
        <w:pStyle w:val="44"/>
        <w:spacing w:before="120" w:beforeAutospacing="0" w:after="120" w:afterAutospacing="0" w:line="0" w:lineRule="atLeast"/>
        <w:ind w:firstLine="480"/>
        <w:rPr>
          <w:rFonts w:hint="eastAsia" w:ascii="宋体" w:hAnsi="宋体" w:eastAsia="宋体"/>
        </w:rPr>
      </w:pPr>
      <w:r>
        <w:rPr>
          <w:rFonts w:hint="eastAsia" w:ascii="宋体" w:hAnsi="宋体" w:eastAsia="宋体" w:cs="宋体"/>
          <w:color w:val="000000"/>
        </w:rPr>
        <w:t>2.残疾人福利单位价格扣除</w:t>
      </w:r>
    </w:p>
    <w:p w14:paraId="6F2779BB">
      <w:pPr>
        <w:pStyle w:val="44"/>
        <w:spacing w:before="120" w:beforeAutospacing="0" w:after="120" w:afterAutospacing="0" w:line="0" w:lineRule="atLeast"/>
        <w:ind w:left="120" w:firstLine="360"/>
        <w:rPr>
          <w:rFonts w:hint="eastAsia" w:ascii="宋体" w:hAnsi="宋体" w:eastAsia="宋体" w:cs="宋体"/>
          <w:color w:val="000000"/>
          <w:u w:val="single"/>
        </w:rPr>
      </w:pPr>
      <w:r>
        <w:rPr>
          <w:rFonts w:hint="eastAsia" w:ascii="宋体" w:hAnsi="宋体" w:eastAsia="宋体" w:cs="宋体"/>
          <w:color w:val="000000"/>
        </w:rPr>
        <w:t>（1）本项目对残疾人福利性单位视同小型、微型企业，给予</w:t>
      </w:r>
      <w:r>
        <w:rPr>
          <w:rFonts w:hint="eastAsia" w:ascii="宋体" w:hAnsi="宋体" w:eastAsia="宋体" w:cs="宋体"/>
          <w:color w:val="000000"/>
          <w:u w:val="single"/>
        </w:rPr>
        <w:t>20%</w:t>
      </w:r>
    </w:p>
    <w:p w14:paraId="48FA7570">
      <w:pPr>
        <w:pStyle w:val="44"/>
        <w:spacing w:before="120" w:beforeAutospacing="0" w:after="120" w:afterAutospacing="0" w:line="0" w:lineRule="atLeast"/>
        <w:ind w:left="120" w:firstLine="360"/>
        <w:rPr>
          <w:rFonts w:hint="eastAsia" w:ascii="宋体" w:hAnsi="宋体" w:eastAsia="宋体"/>
        </w:rPr>
      </w:pPr>
      <w:r>
        <w:rPr>
          <w:rFonts w:hint="eastAsia" w:ascii="宋体" w:hAnsi="宋体" w:eastAsia="宋体" w:cs="宋体"/>
          <w:color w:val="000000"/>
        </w:rPr>
        <w:t>（2）残疾人福利单位需按照采购文件的要求提供《残疾人福利性单位声明函》。</w:t>
      </w:r>
    </w:p>
    <w:p w14:paraId="5D922F03">
      <w:pPr>
        <w:pStyle w:val="44"/>
        <w:spacing w:before="120" w:beforeAutospacing="0" w:after="120" w:afterAutospacing="0" w:line="0" w:lineRule="atLeast"/>
        <w:ind w:left="120" w:firstLine="360"/>
        <w:rPr>
          <w:rFonts w:hint="eastAsia" w:ascii="宋体" w:hAnsi="宋体" w:eastAsia="宋体"/>
        </w:rPr>
      </w:pPr>
      <w:r>
        <w:rPr>
          <w:rFonts w:hint="eastAsia" w:ascii="宋体" w:hAnsi="宋体" w:eastAsia="宋体" w:cs="宋体"/>
          <w:color w:val="000000"/>
        </w:rPr>
        <w:t>（3）残疾人福利单位标准请参照《关于促进残疾人就业政府采购政策的通知》（财库〔2017〕141号）。</w:t>
      </w:r>
    </w:p>
    <w:p w14:paraId="777D272B">
      <w:pPr>
        <w:pStyle w:val="44"/>
        <w:spacing w:before="120" w:beforeAutospacing="0" w:after="120" w:afterAutospacing="0" w:line="0" w:lineRule="atLeast"/>
        <w:ind w:firstLine="480"/>
        <w:rPr>
          <w:rFonts w:hint="eastAsia" w:ascii="宋体" w:hAnsi="宋体" w:eastAsia="宋体"/>
        </w:rPr>
      </w:pPr>
      <w:r>
        <w:rPr>
          <w:rFonts w:hint="eastAsia" w:ascii="宋体" w:hAnsi="宋体" w:eastAsia="宋体" w:cs="宋体"/>
          <w:color w:val="000000"/>
        </w:rPr>
        <w:t>3.监狱和戒毒企业价格扣除</w:t>
      </w:r>
    </w:p>
    <w:p w14:paraId="211C315D">
      <w:pPr>
        <w:pStyle w:val="44"/>
        <w:spacing w:before="120" w:beforeAutospacing="0" w:after="120" w:afterAutospacing="0" w:line="0" w:lineRule="atLeast"/>
        <w:ind w:firstLine="480"/>
        <w:rPr>
          <w:rFonts w:hint="eastAsia" w:ascii="宋体" w:hAnsi="宋体" w:eastAsia="宋体" w:cs="宋体"/>
          <w:color w:val="000000"/>
          <w:u w:val="single"/>
        </w:rPr>
      </w:pPr>
      <w:r>
        <w:rPr>
          <w:rFonts w:hint="eastAsia" w:ascii="宋体" w:hAnsi="宋体" w:eastAsia="宋体" w:cs="宋体"/>
          <w:color w:val="000000"/>
        </w:rPr>
        <w:t>（1）本项目对监狱和戒毒企业（简称监狱企业）视同小型、微型企业，给予</w:t>
      </w:r>
      <w:r>
        <w:rPr>
          <w:rFonts w:hint="eastAsia" w:ascii="宋体" w:hAnsi="宋体" w:eastAsia="宋体" w:cs="宋体"/>
          <w:color w:val="000000"/>
          <w:u w:val="single"/>
        </w:rPr>
        <w:t>20%</w:t>
      </w:r>
    </w:p>
    <w:p w14:paraId="2B916A93">
      <w:pPr>
        <w:pStyle w:val="44"/>
        <w:spacing w:before="120" w:beforeAutospacing="0" w:after="120" w:afterAutospacing="0" w:line="0" w:lineRule="atLeast"/>
        <w:ind w:firstLine="480"/>
        <w:rPr>
          <w:rFonts w:hint="eastAsia" w:ascii="宋体" w:hAnsi="宋体" w:eastAsia="宋体"/>
        </w:rPr>
      </w:pPr>
      <w:r>
        <w:rPr>
          <w:rFonts w:hint="eastAsia" w:ascii="宋体" w:hAnsi="宋体" w:eastAsia="宋体" w:cs="宋体"/>
          <w:color w:val="000000"/>
        </w:rPr>
        <w:t>（2）监狱企业参加政府采购活动时，需提供由省级以上监狱管理局、戒毒管理局(含新疆生产建设兵团)出具的属于监狱企业的证明文件。供应商如不提供上述证明文件，价格将不做相应扣除。</w:t>
      </w:r>
    </w:p>
    <w:p w14:paraId="03CEBFB1">
      <w:pPr>
        <w:pStyle w:val="44"/>
        <w:spacing w:before="120" w:beforeAutospacing="0" w:after="120" w:afterAutospacing="0" w:line="0" w:lineRule="atLeast"/>
        <w:ind w:firstLine="480"/>
        <w:rPr>
          <w:rFonts w:hint="eastAsia" w:ascii="宋体" w:hAnsi="宋体" w:eastAsia="宋体"/>
        </w:rPr>
      </w:pPr>
      <w:r>
        <w:rPr>
          <w:rFonts w:hint="eastAsia" w:ascii="宋体" w:hAnsi="宋体" w:eastAsia="宋体" w:cs="宋体"/>
          <w:color w:val="000000"/>
        </w:rPr>
        <w:t>（3）监狱企业标准请参照《关于政府采购支持监狱企业发展有关问题的通知》（财库[2014]68号）。</w:t>
      </w:r>
    </w:p>
    <w:p w14:paraId="167139DA">
      <w:pPr>
        <w:pStyle w:val="44"/>
        <w:spacing w:before="120" w:beforeAutospacing="0" w:after="120" w:afterAutospacing="0" w:line="0" w:lineRule="atLeast"/>
        <w:ind w:firstLine="480"/>
        <w:rPr>
          <w:rFonts w:hint="eastAsia" w:ascii="宋体" w:hAnsi="宋体" w:eastAsia="宋体"/>
        </w:rPr>
      </w:pPr>
      <w:r>
        <w:rPr>
          <w:rFonts w:hint="eastAsia" w:ascii="宋体" w:hAnsi="宋体" w:eastAsia="宋体" w:cs="宋体"/>
          <w:color w:val="000000"/>
        </w:rPr>
        <w:t>4.残疾人福利单位、监狱企业属于小型、微型企业的，不重复享受政策。</w:t>
      </w:r>
    </w:p>
    <w:p w14:paraId="06C222B7">
      <w:pPr>
        <w:pStyle w:val="44"/>
        <w:spacing w:before="120" w:beforeAutospacing="0" w:after="120" w:afterAutospacing="0" w:line="0" w:lineRule="atLeast"/>
        <w:ind w:firstLine="480"/>
        <w:rPr>
          <w:rFonts w:hint="eastAsia" w:ascii="宋体" w:hAnsi="宋体" w:eastAsia="宋体" w:cs="宋体"/>
          <w:color w:val="000000"/>
        </w:rPr>
      </w:pPr>
      <w:r>
        <w:rPr>
          <w:rFonts w:hint="eastAsia" w:ascii="宋体" w:hAnsi="宋体" w:eastAsia="宋体" w:cs="宋体"/>
          <w:color w:val="000000"/>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6%</w:t>
      </w:r>
      <w:r>
        <w:rPr>
          <w:rFonts w:hint="eastAsia" w:ascii="宋体" w:hAnsi="宋体" w:eastAsia="宋体" w:cs="宋体"/>
          <w:color w:val="000000"/>
        </w:rPr>
        <w:t>的价格扣除，用扣除后的价格参与评审。</w:t>
      </w:r>
    </w:p>
    <w:p w14:paraId="647C31F4">
      <w:pPr>
        <w:pStyle w:val="44"/>
        <w:spacing w:before="120" w:beforeAutospacing="0" w:after="120" w:afterAutospacing="0" w:line="0" w:lineRule="atLeast"/>
        <w:ind w:firstLine="480"/>
        <w:rPr>
          <w:rFonts w:hint="eastAsia" w:ascii="宋体" w:hAnsi="宋体" w:eastAsia="宋体" w:cs="宋体"/>
          <w:color w:val="000000"/>
          <w:u w:val="single"/>
        </w:rPr>
      </w:pPr>
      <w:r>
        <w:rPr>
          <w:rFonts w:hint="eastAsia" w:ascii="宋体" w:hAnsi="宋体" w:eastAsia="宋体" w:cs="宋体"/>
          <w:color w:val="000000"/>
        </w:rPr>
        <w:t>6.联合体各方均为小型、微型企业（残疾人福利单位、监狱企业）的，联合体享受</w:t>
      </w:r>
      <w:r>
        <w:rPr>
          <w:rFonts w:hint="eastAsia" w:ascii="宋体" w:hAnsi="宋体" w:eastAsia="宋体" w:cs="宋体"/>
          <w:color w:val="000000"/>
          <w:u w:val="single"/>
        </w:rPr>
        <w:t>20%。</w:t>
      </w:r>
    </w:p>
    <w:p w14:paraId="637A6AE9">
      <w:pPr>
        <w:ind w:firstLine="480"/>
        <w:rPr>
          <w:rFonts w:hint="eastAsia" w:ascii="宋体" w:hAnsi="宋体" w:eastAsia="宋体" w:cs="宋体"/>
          <w:color w:val="FF0000"/>
          <w:sz w:val="24"/>
        </w:rPr>
      </w:pPr>
      <w:r>
        <w:rPr>
          <w:rFonts w:hint="eastAsia" w:ascii="宋体" w:hAnsi="宋体" w:eastAsia="宋体" w:cs="宋体"/>
          <w:color w:val="FF0000"/>
          <w:sz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FF0000"/>
          <w:sz w:val="24"/>
        </w:rPr>
        <w:t>如属政府强制采购产品未提供认证证书的或认证证书提供不全的将视为未实质性响应采购要求</w:t>
      </w:r>
      <w:r>
        <w:rPr>
          <w:rFonts w:hint="eastAsia" w:ascii="宋体" w:hAnsi="宋体" w:eastAsia="宋体" w:cs="宋体"/>
          <w:color w:val="FF0000"/>
          <w:sz w:val="24"/>
        </w:rPr>
        <w:t>。其他条件相同情况下，应当优先采购节能产品、环境标志产品。</w:t>
      </w:r>
    </w:p>
    <w:p w14:paraId="1C4F8B87">
      <w:pPr>
        <w:ind w:firstLine="480"/>
        <w:rPr>
          <w:rFonts w:hint="eastAsia" w:ascii="宋体" w:hAnsi="宋体" w:eastAsia="宋体" w:cs="宋体"/>
          <w:color w:val="FF0000"/>
          <w:sz w:val="24"/>
        </w:rPr>
      </w:pPr>
      <w:r>
        <w:rPr>
          <w:rFonts w:hint="eastAsia" w:ascii="宋体" w:hAnsi="宋体" w:eastAsia="宋体" w:cs="宋体"/>
          <w:color w:val="FF0000"/>
          <w:sz w:val="24"/>
        </w:rPr>
        <w:t>8.供应商对于投标产品的商品包装、快递包装应按照《关于印发《商品包装政府采购需求标准（试行）》、《快递包装政府采购需求标准（试行）》的通知》（财办库〔2020〕123号）执行。</w:t>
      </w:r>
    </w:p>
    <w:p w14:paraId="5E98E253">
      <w:pPr>
        <w:ind w:firstLine="480"/>
        <w:rPr>
          <w:rFonts w:hint="eastAsia" w:ascii="宋体" w:hAnsi="宋体" w:eastAsia="宋体" w:cs="宋体"/>
          <w:color w:val="FF0000"/>
          <w:sz w:val="24"/>
        </w:rPr>
      </w:pPr>
      <w:r>
        <w:rPr>
          <w:rFonts w:hint="eastAsia" w:ascii="宋体" w:hAnsi="宋体" w:eastAsia="宋体" w:cs="宋体"/>
          <w:color w:val="FF0000"/>
          <w:sz w:val="24"/>
        </w:rPr>
        <w:t>9.本文件中若涉及到数据中心采购，应按照《&lt;绿色数据中心政府采购需求标准（试行）&gt;的通知》（财库〔2023〕7号）执行。</w:t>
      </w:r>
    </w:p>
    <w:p w14:paraId="01314BAB">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textAlignment w:val="auto"/>
        <w:rPr>
          <w:rFonts w:hint="eastAsia" w:ascii="宋体" w:hAnsi="宋体" w:eastAsia="宋体" w:cs="宋体"/>
          <w:color w:val="000000"/>
          <w:highlight w:val="yellow"/>
        </w:rPr>
      </w:pPr>
      <w:r>
        <w:rPr>
          <w:rFonts w:hint="eastAsia" w:ascii="宋体" w:hAnsi="宋体" w:eastAsia="宋体" w:cs="宋体"/>
          <w:color w:val="000000"/>
          <w:highlight w:val="yellow"/>
        </w:rPr>
        <w:t>10.根据《江苏省政府采购信用管理暂行办法》的规定，供应商信用评价结果为三星的扣2分，评价结果为二星的扣3分，评价结果为一星的扣4分。</w:t>
      </w:r>
    </w:p>
    <w:p w14:paraId="282C9090">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textAlignment w:val="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评标方法与评标标准</w:t>
      </w:r>
    </w:p>
    <w:tbl>
      <w:tblPr>
        <w:tblStyle w:val="50"/>
        <w:tblW w:w="5839" w:type="pct"/>
        <w:tblInd w:w="-8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5"/>
        <w:gridCol w:w="2172"/>
        <w:gridCol w:w="7322"/>
      </w:tblGrid>
      <w:tr w14:paraId="7D671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211" w:type="dxa"/>
            <w:noWrap/>
            <w:vAlign w:val="center"/>
          </w:tcPr>
          <w:p w14:paraId="792A30C4">
            <w:pPr>
              <w:widowControl/>
              <w:jc w:val="center"/>
              <w:rPr>
                <w:rFonts w:ascii="宋体" w:hAnsi="宋体" w:cs="宋体"/>
                <w:b/>
                <w:bCs/>
                <w:sz w:val="22"/>
                <w:szCs w:val="22"/>
              </w:rPr>
            </w:pPr>
            <w:r>
              <w:rPr>
                <w:rFonts w:hint="eastAsia" w:ascii="宋体" w:hAnsi="宋体" w:cs="宋体"/>
                <w:b/>
                <w:bCs/>
                <w:sz w:val="22"/>
                <w:szCs w:val="22"/>
              </w:rPr>
              <w:t>评分项目</w:t>
            </w:r>
          </w:p>
        </w:tc>
        <w:tc>
          <w:tcPr>
            <w:tcW w:w="2000" w:type="dxa"/>
            <w:noWrap/>
            <w:vAlign w:val="center"/>
          </w:tcPr>
          <w:p w14:paraId="3260171E">
            <w:pPr>
              <w:widowControl/>
              <w:jc w:val="center"/>
              <w:rPr>
                <w:rFonts w:ascii="宋体" w:hAnsi="宋体" w:cs="宋体"/>
                <w:b/>
                <w:bCs/>
                <w:sz w:val="22"/>
                <w:szCs w:val="22"/>
              </w:rPr>
            </w:pPr>
            <w:r>
              <w:rPr>
                <w:rFonts w:hint="eastAsia" w:ascii="宋体" w:hAnsi="宋体" w:cs="宋体"/>
                <w:b/>
                <w:bCs/>
                <w:sz w:val="22"/>
                <w:szCs w:val="22"/>
              </w:rPr>
              <w:t>满分分值</w:t>
            </w:r>
          </w:p>
        </w:tc>
        <w:tc>
          <w:tcPr>
            <w:tcW w:w="6741" w:type="dxa"/>
            <w:noWrap/>
            <w:vAlign w:val="center"/>
          </w:tcPr>
          <w:p w14:paraId="1A90493A">
            <w:pPr>
              <w:widowControl/>
              <w:jc w:val="center"/>
              <w:rPr>
                <w:rFonts w:ascii="宋体" w:hAnsi="宋体" w:cs="宋体"/>
                <w:b/>
                <w:bCs/>
                <w:sz w:val="22"/>
                <w:szCs w:val="22"/>
              </w:rPr>
            </w:pPr>
            <w:r>
              <w:rPr>
                <w:rFonts w:hint="eastAsia" w:ascii="宋体" w:hAnsi="宋体" w:cs="宋体"/>
                <w:b/>
                <w:bCs/>
                <w:sz w:val="22"/>
                <w:szCs w:val="22"/>
              </w:rPr>
              <w:t>评分细则</w:t>
            </w:r>
          </w:p>
        </w:tc>
      </w:tr>
      <w:tr w14:paraId="2BA02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3" w:hRule="atLeast"/>
        </w:trPr>
        <w:tc>
          <w:tcPr>
            <w:tcW w:w="1211" w:type="dxa"/>
            <w:noWrap/>
            <w:vAlign w:val="center"/>
          </w:tcPr>
          <w:p w14:paraId="38AAD09D">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投标报价</w:t>
            </w:r>
          </w:p>
          <w:p w14:paraId="334EBC5E">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w:t>
            </w:r>
            <w:r>
              <w:rPr>
                <w:rFonts w:hint="eastAsia" w:ascii="宋体" w:hAnsi="宋体" w:cs="宋体"/>
                <w:color w:val="000000"/>
                <w:sz w:val="24"/>
                <w:lang w:val="en-US" w:eastAsia="zh-CN" w:bidi="ar"/>
              </w:rPr>
              <w:t>3</w:t>
            </w:r>
            <w:r>
              <w:rPr>
                <w:rFonts w:hint="eastAsia" w:ascii="宋体" w:hAnsi="宋体" w:eastAsia="宋体" w:cs="宋体"/>
                <w:color w:val="000000"/>
                <w:sz w:val="24"/>
                <w:lang w:val="en-US" w:eastAsia="zh-CN" w:bidi="ar"/>
              </w:rPr>
              <w:t>0分）</w:t>
            </w:r>
          </w:p>
        </w:tc>
        <w:tc>
          <w:tcPr>
            <w:tcW w:w="2000" w:type="dxa"/>
            <w:noWrap/>
            <w:vAlign w:val="center"/>
          </w:tcPr>
          <w:p w14:paraId="39FE3593">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报价（</w:t>
            </w:r>
            <w:r>
              <w:rPr>
                <w:rFonts w:hint="eastAsia" w:ascii="宋体" w:hAnsi="宋体" w:cs="宋体"/>
                <w:color w:val="000000"/>
                <w:sz w:val="24"/>
                <w:lang w:val="en-US" w:eastAsia="zh-CN" w:bidi="ar"/>
              </w:rPr>
              <w:t>3</w:t>
            </w:r>
            <w:r>
              <w:rPr>
                <w:rFonts w:hint="eastAsia" w:ascii="宋体" w:hAnsi="宋体" w:eastAsia="宋体" w:cs="宋体"/>
                <w:color w:val="000000"/>
                <w:sz w:val="24"/>
                <w:lang w:val="en-US" w:eastAsia="zh-CN" w:bidi="ar"/>
              </w:rPr>
              <w:t>0分）</w:t>
            </w:r>
          </w:p>
        </w:tc>
        <w:tc>
          <w:tcPr>
            <w:tcW w:w="6741" w:type="dxa"/>
            <w:noWrap/>
            <w:vAlign w:val="center"/>
          </w:tcPr>
          <w:p w14:paraId="1C28B7F7">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1、评标总价是指通过资格审查、符合性检查且实质性响应招标文件要求，经修正、落实政府采购政策功能扣除后的总价。</w:t>
            </w:r>
          </w:p>
          <w:p w14:paraId="424D3096">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2、评标基准价=评标总价中的最低总价。</w:t>
            </w:r>
          </w:p>
          <w:p w14:paraId="4CB2D914">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3、当投标人的评标总价等于评标基准价的得30分，其他投标人的价格分按照下列公式计算：评标总价得分=（评标基准价/评标总价）×30分（计算结果保留2位小数，第三位四舍五入）。</w:t>
            </w:r>
          </w:p>
        </w:tc>
      </w:tr>
      <w:tr w14:paraId="58342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2" w:hRule="atLeast"/>
        </w:trPr>
        <w:tc>
          <w:tcPr>
            <w:tcW w:w="1211" w:type="dxa"/>
            <w:noWrap/>
            <w:vAlign w:val="center"/>
          </w:tcPr>
          <w:p w14:paraId="75002F26">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技术部分（</w:t>
            </w:r>
            <w:r>
              <w:rPr>
                <w:rFonts w:hint="eastAsia" w:ascii="宋体" w:hAnsi="宋体" w:cs="宋体"/>
                <w:color w:val="000000"/>
                <w:sz w:val="24"/>
                <w:lang w:val="en-US" w:eastAsia="zh-CN" w:bidi="ar"/>
              </w:rPr>
              <w:t>3</w:t>
            </w:r>
            <w:r>
              <w:rPr>
                <w:rFonts w:hint="eastAsia" w:ascii="宋体" w:hAnsi="宋体" w:eastAsia="宋体" w:cs="宋体"/>
                <w:color w:val="000000"/>
                <w:sz w:val="24"/>
                <w:lang w:val="en-US" w:eastAsia="zh-CN" w:bidi="ar"/>
              </w:rPr>
              <w:t>0分）</w:t>
            </w:r>
          </w:p>
        </w:tc>
        <w:tc>
          <w:tcPr>
            <w:tcW w:w="2000" w:type="dxa"/>
            <w:noWrap/>
            <w:vAlign w:val="center"/>
          </w:tcPr>
          <w:p w14:paraId="24019338">
            <w:pPr>
              <w:widowControl/>
              <w:jc w:val="left"/>
              <w:rPr>
                <w:rFonts w:hint="default"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技术参数（</w:t>
            </w:r>
            <w:r>
              <w:rPr>
                <w:rFonts w:hint="eastAsia" w:ascii="宋体" w:hAnsi="宋体" w:cs="宋体"/>
                <w:color w:val="000000"/>
                <w:sz w:val="24"/>
                <w:lang w:val="en-US" w:eastAsia="zh-CN" w:bidi="ar"/>
              </w:rPr>
              <w:t>3</w:t>
            </w:r>
            <w:r>
              <w:rPr>
                <w:rFonts w:hint="eastAsia" w:ascii="宋体" w:hAnsi="宋体" w:eastAsia="宋体" w:cs="宋体"/>
                <w:color w:val="000000"/>
                <w:sz w:val="24"/>
                <w:lang w:val="en-US" w:eastAsia="zh-CN" w:bidi="ar"/>
              </w:rPr>
              <w:t>0分）</w:t>
            </w:r>
          </w:p>
          <w:p w14:paraId="549D5A8D">
            <w:pPr>
              <w:widowControl/>
              <w:jc w:val="left"/>
              <w:rPr>
                <w:rFonts w:hint="eastAsia" w:ascii="宋体" w:hAnsi="宋体" w:eastAsia="宋体" w:cs="宋体"/>
                <w:color w:val="000000"/>
                <w:sz w:val="24"/>
                <w:lang w:val="en-US" w:eastAsia="zh-CN" w:bidi="ar"/>
              </w:rPr>
            </w:pPr>
          </w:p>
        </w:tc>
        <w:tc>
          <w:tcPr>
            <w:tcW w:w="6741" w:type="dxa"/>
            <w:noWrap/>
            <w:vAlign w:val="center"/>
          </w:tcPr>
          <w:p w14:paraId="087D2CF5">
            <w:pPr>
              <w:widowControl/>
              <w:jc w:val="left"/>
              <w:rPr>
                <w:rFonts w:hint="default"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根据各投标人对本次招标技术参数部分响应情况进行评定。投标人的所有技术参数满足招标要求的得满分</w:t>
            </w:r>
            <w:r>
              <w:rPr>
                <w:rFonts w:hint="eastAsia" w:ascii="宋体" w:hAnsi="宋体" w:cs="宋体"/>
                <w:color w:val="000000"/>
                <w:sz w:val="24"/>
                <w:lang w:val="en-US" w:eastAsia="zh-CN" w:bidi="ar"/>
              </w:rPr>
              <w:t>3</w:t>
            </w:r>
            <w:r>
              <w:rPr>
                <w:rFonts w:hint="eastAsia" w:ascii="宋体" w:hAnsi="宋体" w:eastAsia="宋体" w:cs="宋体"/>
                <w:color w:val="000000"/>
                <w:sz w:val="24"/>
                <w:lang w:val="en-US" w:eastAsia="zh-CN" w:bidi="ar"/>
              </w:rPr>
              <w:t>0分；其中技术参数加“★”部分出现负偏离的，有一项扣2分；其他部分出现负偏离有一项扣1分，扣完为止。技术参数得0分，作无效标处理。</w:t>
            </w:r>
          </w:p>
          <w:p w14:paraId="26309DFC">
            <w:pPr>
              <w:widowControl/>
              <w:jc w:val="left"/>
              <w:rPr>
                <w:rFonts w:hint="default"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 xml:space="preserve">注：各投标人需针对“技术参数要求”在投标文件《技术参数偏离表》中逐条列出响应及偏差情况并予以说明。如需提供证明材料的，以提供的证明材料内容为准，否则视为负偏离。 </w:t>
            </w:r>
          </w:p>
        </w:tc>
      </w:tr>
      <w:tr w14:paraId="09219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211" w:type="dxa"/>
            <w:vMerge w:val="restart"/>
            <w:noWrap/>
            <w:vAlign w:val="center"/>
          </w:tcPr>
          <w:p w14:paraId="346749F9">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商务部分（</w:t>
            </w:r>
            <w:r>
              <w:rPr>
                <w:rFonts w:hint="eastAsia" w:ascii="宋体" w:hAnsi="宋体" w:cs="宋体"/>
                <w:color w:val="000000"/>
                <w:sz w:val="24"/>
                <w:lang w:val="en-US" w:eastAsia="zh-CN" w:bidi="ar"/>
              </w:rPr>
              <w:t>22</w:t>
            </w:r>
            <w:r>
              <w:rPr>
                <w:rFonts w:hint="eastAsia" w:ascii="宋体" w:hAnsi="宋体" w:eastAsia="宋体" w:cs="宋体"/>
                <w:color w:val="000000"/>
                <w:sz w:val="24"/>
                <w:lang w:val="en-US" w:eastAsia="zh-CN" w:bidi="ar"/>
              </w:rPr>
              <w:t>分）</w:t>
            </w:r>
          </w:p>
        </w:tc>
        <w:tc>
          <w:tcPr>
            <w:tcW w:w="2000" w:type="dxa"/>
            <w:noWrap/>
            <w:vAlign w:val="center"/>
          </w:tcPr>
          <w:p w14:paraId="63F3F6FD">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业绩（6分）</w:t>
            </w:r>
          </w:p>
        </w:tc>
        <w:tc>
          <w:tcPr>
            <w:tcW w:w="6741" w:type="dxa"/>
            <w:noWrap/>
            <w:vAlign w:val="center"/>
          </w:tcPr>
          <w:p w14:paraId="00E85EF0">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投标人自2021年1月1日以来（以竣工验收证明时间为准）具有智能化类似项目业绩的，每提供一个得2分，本项最高得6分。</w:t>
            </w:r>
          </w:p>
          <w:p w14:paraId="6413FEE1">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注：投标时须同时提供中标通知书、合同和竣工验收证明扫描件，未提供不得分。</w:t>
            </w:r>
          </w:p>
        </w:tc>
      </w:tr>
      <w:tr w14:paraId="0436F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0" w:hRule="atLeast"/>
        </w:trPr>
        <w:tc>
          <w:tcPr>
            <w:tcW w:w="1211" w:type="dxa"/>
            <w:vMerge w:val="continue"/>
            <w:noWrap/>
            <w:vAlign w:val="center"/>
          </w:tcPr>
          <w:p w14:paraId="42107776">
            <w:pPr>
              <w:widowControl/>
              <w:jc w:val="left"/>
              <w:rPr>
                <w:rFonts w:ascii="宋体" w:hAnsi="宋体" w:cs="宋体"/>
                <w:sz w:val="22"/>
                <w:szCs w:val="22"/>
              </w:rPr>
            </w:pPr>
          </w:p>
        </w:tc>
        <w:tc>
          <w:tcPr>
            <w:tcW w:w="2000" w:type="dxa"/>
            <w:noWrap/>
            <w:vAlign w:val="center"/>
          </w:tcPr>
          <w:p w14:paraId="3A7F0876">
            <w:pPr>
              <w:widowControl/>
              <w:jc w:val="left"/>
              <w:rPr>
                <w:rFonts w:hint="default"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资信等级（</w:t>
            </w:r>
            <w:r>
              <w:rPr>
                <w:rFonts w:hint="eastAsia" w:ascii="宋体" w:hAnsi="宋体" w:cs="宋体"/>
                <w:color w:val="000000"/>
                <w:sz w:val="24"/>
                <w:lang w:val="en-US" w:eastAsia="zh-CN" w:bidi="ar"/>
              </w:rPr>
              <w:t>8</w:t>
            </w:r>
            <w:r>
              <w:rPr>
                <w:rFonts w:hint="eastAsia" w:ascii="宋体" w:hAnsi="宋体" w:eastAsia="宋体" w:cs="宋体"/>
                <w:color w:val="000000"/>
                <w:sz w:val="24"/>
                <w:lang w:val="en-US" w:eastAsia="zh-CN" w:bidi="ar"/>
              </w:rPr>
              <w:t>分）</w:t>
            </w:r>
          </w:p>
        </w:tc>
        <w:tc>
          <w:tcPr>
            <w:tcW w:w="6741" w:type="dxa"/>
            <w:noWrap/>
            <w:vAlign w:val="center"/>
          </w:tcPr>
          <w:p w14:paraId="20AAC3AB">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 xml:space="preserve">1、投标人具有有效期内的第三方机构颁发的，且在全国认证认可信息服务平台查询状态必须是合格状态的 </w:t>
            </w:r>
            <w:r>
              <w:rPr>
                <w:rFonts w:hint="default" w:ascii="宋体" w:hAnsi="宋体" w:eastAsia="宋体" w:cs="宋体"/>
                <w:color w:val="000000"/>
                <w:sz w:val="24"/>
                <w:lang w:val="en-US" w:eastAsia="zh-CN" w:bidi="ar"/>
              </w:rPr>
              <w:t>ISO20000</w:t>
            </w:r>
            <w:r>
              <w:rPr>
                <w:rFonts w:hint="eastAsia" w:ascii="宋体" w:hAnsi="宋体" w:eastAsia="宋体" w:cs="宋体"/>
                <w:color w:val="000000"/>
                <w:sz w:val="24"/>
                <w:lang w:val="en-US" w:eastAsia="zh-CN" w:bidi="ar"/>
              </w:rPr>
              <w:t>信息技术服务管理体系认证证书、</w:t>
            </w:r>
            <w:r>
              <w:rPr>
                <w:rFonts w:hint="default" w:ascii="宋体" w:hAnsi="宋体" w:eastAsia="宋体" w:cs="宋体"/>
                <w:color w:val="000000"/>
                <w:sz w:val="24"/>
                <w:lang w:val="en-US" w:eastAsia="zh-CN" w:bidi="ar"/>
              </w:rPr>
              <w:t xml:space="preserve">ISO14001 </w:t>
            </w:r>
            <w:r>
              <w:rPr>
                <w:rFonts w:hint="eastAsia" w:ascii="宋体" w:hAnsi="宋体" w:eastAsia="宋体" w:cs="宋体"/>
                <w:color w:val="000000"/>
                <w:sz w:val="24"/>
                <w:lang w:val="en-US" w:eastAsia="zh-CN" w:bidi="ar"/>
              </w:rPr>
              <w:t>环境管理体系认证证书、</w:t>
            </w:r>
            <w:r>
              <w:rPr>
                <w:rFonts w:hint="default" w:ascii="宋体" w:hAnsi="宋体" w:eastAsia="宋体" w:cs="宋体"/>
                <w:color w:val="000000"/>
                <w:sz w:val="24"/>
                <w:lang w:val="en-US" w:eastAsia="zh-CN" w:bidi="ar"/>
              </w:rPr>
              <w:t xml:space="preserve">ISO9001 </w:t>
            </w:r>
            <w:r>
              <w:rPr>
                <w:rFonts w:hint="eastAsia" w:ascii="宋体" w:hAnsi="宋体" w:eastAsia="宋体" w:cs="宋体"/>
                <w:color w:val="000000"/>
                <w:sz w:val="24"/>
                <w:lang w:val="en-US" w:eastAsia="zh-CN" w:bidi="ar"/>
              </w:rPr>
              <w:t>质量管理体系认证证书、企业诚信管理体系认证证书。每有一项得1分，最高得</w:t>
            </w:r>
            <w:r>
              <w:rPr>
                <w:rFonts w:hint="eastAsia" w:ascii="宋体" w:hAnsi="宋体" w:cs="宋体"/>
                <w:color w:val="000000"/>
                <w:sz w:val="24"/>
                <w:lang w:val="en-US" w:eastAsia="zh-CN" w:bidi="ar"/>
              </w:rPr>
              <w:t>4</w:t>
            </w:r>
            <w:r>
              <w:rPr>
                <w:rFonts w:hint="eastAsia" w:ascii="宋体" w:hAnsi="宋体" w:eastAsia="宋体" w:cs="宋体"/>
                <w:color w:val="000000"/>
                <w:sz w:val="24"/>
                <w:lang w:val="en-US" w:eastAsia="zh-CN" w:bidi="ar"/>
              </w:rPr>
              <w:t>分；</w:t>
            </w:r>
          </w:p>
          <w:p w14:paraId="17F2EEED">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2、 投标人具有有效的信息系统业务安全服务资质，一级得 2</w:t>
            </w:r>
            <w:r>
              <w:rPr>
                <w:rFonts w:hint="default" w:ascii="宋体" w:hAnsi="宋体" w:eastAsia="宋体" w:cs="宋体"/>
                <w:color w:val="000000"/>
                <w:sz w:val="24"/>
                <w:lang w:val="en-US" w:eastAsia="zh-CN" w:bidi="ar"/>
              </w:rPr>
              <w:t xml:space="preserve"> </w:t>
            </w:r>
            <w:r>
              <w:rPr>
                <w:rFonts w:hint="eastAsia" w:ascii="宋体" w:hAnsi="宋体" w:eastAsia="宋体" w:cs="宋体"/>
                <w:color w:val="000000"/>
                <w:sz w:val="24"/>
                <w:lang w:val="en-US" w:eastAsia="zh-CN" w:bidi="ar"/>
              </w:rPr>
              <w:t>分，二级得1</w:t>
            </w:r>
            <w:r>
              <w:rPr>
                <w:rFonts w:hint="default" w:ascii="宋体" w:hAnsi="宋体" w:eastAsia="宋体" w:cs="宋体"/>
                <w:color w:val="000000"/>
                <w:sz w:val="24"/>
                <w:lang w:val="en-US" w:eastAsia="zh-CN" w:bidi="ar"/>
              </w:rPr>
              <w:t xml:space="preserve"> </w:t>
            </w:r>
            <w:r>
              <w:rPr>
                <w:rFonts w:hint="eastAsia" w:ascii="宋体" w:hAnsi="宋体" w:eastAsia="宋体" w:cs="宋体"/>
                <w:color w:val="000000"/>
                <w:sz w:val="24"/>
                <w:lang w:val="en-US" w:eastAsia="zh-CN" w:bidi="ar"/>
              </w:rPr>
              <w:t>分，本项最高得 2</w:t>
            </w:r>
            <w:r>
              <w:rPr>
                <w:rFonts w:hint="default" w:ascii="宋体" w:hAnsi="宋体" w:eastAsia="宋体" w:cs="宋体"/>
                <w:color w:val="000000"/>
                <w:sz w:val="24"/>
                <w:lang w:val="en-US" w:eastAsia="zh-CN" w:bidi="ar"/>
              </w:rPr>
              <w:t xml:space="preserve"> </w:t>
            </w:r>
            <w:r>
              <w:rPr>
                <w:rFonts w:hint="eastAsia" w:ascii="宋体" w:hAnsi="宋体" w:eastAsia="宋体" w:cs="宋体"/>
                <w:color w:val="000000"/>
                <w:sz w:val="24"/>
                <w:lang w:val="en-US" w:eastAsia="zh-CN" w:bidi="ar"/>
              </w:rPr>
              <w:t>分。</w:t>
            </w:r>
          </w:p>
          <w:p w14:paraId="7FE4ABF0">
            <w:pPr>
              <w:widowControl/>
              <w:jc w:val="left"/>
              <w:rPr>
                <w:rFonts w:hint="default"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3、投标人具备信息化工程与技术服务能力评价一级，得 2 分；二级得1分，未提供不得分。 </w:t>
            </w:r>
          </w:p>
          <w:p w14:paraId="568E114C">
            <w:pPr>
              <w:widowControl/>
              <w:jc w:val="left"/>
              <w:rPr>
                <w:rFonts w:hint="default"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注：投标时须提供以上证书扫描件，未提供不得分。</w:t>
            </w:r>
          </w:p>
        </w:tc>
      </w:tr>
      <w:tr w14:paraId="083AE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2" w:hRule="atLeast"/>
        </w:trPr>
        <w:tc>
          <w:tcPr>
            <w:tcW w:w="1211" w:type="dxa"/>
            <w:vMerge w:val="continue"/>
            <w:noWrap/>
            <w:vAlign w:val="center"/>
          </w:tcPr>
          <w:p w14:paraId="2431A192">
            <w:pPr>
              <w:widowControl/>
              <w:jc w:val="left"/>
              <w:rPr>
                <w:rFonts w:ascii="宋体" w:hAnsi="宋体" w:cs="宋体"/>
                <w:sz w:val="22"/>
                <w:szCs w:val="22"/>
              </w:rPr>
            </w:pPr>
          </w:p>
        </w:tc>
        <w:tc>
          <w:tcPr>
            <w:tcW w:w="2000" w:type="dxa"/>
            <w:noWrap/>
            <w:vAlign w:val="center"/>
          </w:tcPr>
          <w:p w14:paraId="55450C58">
            <w:pPr>
              <w:widowControl/>
              <w:jc w:val="left"/>
              <w:rPr>
                <w:rFonts w:hint="default"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项目实施团队（4分）</w:t>
            </w:r>
          </w:p>
        </w:tc>
        <w:tc>
          <w:tcPr>
            <w:tcW w:w="6741" w:type="dxa"/>
            <w:noWrap/>
            <w:vAlign w:val="center"/>
          </w:tcPr>
          <w:p w14:paraId="57756B46">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投标人拟派本项目的技术负责人，具有高级信息系统项目管理师证书、注册信息安全证书</w:t>
            </w:r>
            <w:r>
              <w:rPr>
                <w:rFonts w:hint="default" w:ascii="宋体" w:hAnsi="宋体" w:eastAsia="宋体" w:cs="宋体"/>
                <w:color w:val="000000"/>
                <w:sz w:val="24"/>
                <w:lang w:val="en-US" w:eastAsia="zh-CN" w:bidi="ar"/>
              </w:rPr>
              <w:t>(CISP)</w:t>
            </w:r>
            <w:r>
              <w:rPr>
                <w:rFonts w:hint="eastAsia" w:ascii="宋体" w:hAnsi="宋体" w:eastAsia="宋体" w:cs="宋体"/>
                <w:color w:val="000000"/>
                <w:sz w:val="24"/>
                <w:lang w:val="en-US" w:eastAsia="zh-CN" w:bidi="ar"/>
              </w:rPr>
              <w:t>、</w:t>
            </w:r>
            <w:r>
              <w:rPr>
                <w:rFonts w:hint="default" w:ascii="宋体" w:hAnsi="宋体" w:eastAsia="宋体" w:cs="宋体"/>
                <w:color w:val="000000"/>
                <w:sz w:val="24"/>
                <w:lang w:val="en-US" w:eastAsia="zh-CN" w:bidi="ar"/>
              </w:rPr>
              <w:t xml:space="preserve">IT </w:t>
            </w:r>
            <w:r>
              <w:rPr>
                <w:rFonts w:hint="eastAsia" w:ascii="宋体" w:hAnsi="宋体" w:eastAsia="宋体" w:cs="宋体"/>
                <w:color w:val="000000"/>
                <w:sz w:val="24"/>
                <w:lang w:val="en-US" w:eastAsia="zh-CN" w:bidi="ar"/>
              </w:rPr>
              <w:t>服务项目经理、网络安全能力认证</w:t>
            </w:r>
            <w:r>
              <w:rPr>
                <w:rFonts w:hint="default" w:ascii="宋体" w:hAnsi="宋体" w:eastAsia="宋体" w:cs="宋体"/>
                <w:color w:val="000000"/>
                <w:sz w:val="24"/>
                <w:lang w:val="en-US" w:eastAsia="zh-CN" w:bidi="ar"/>
              </w:rPr>
              <w:t>(CCSC)</w:t>
            </w:r>
            <w:r>
              <w:rPr>
                <w:rFonts w:hint="eastAsia" w:ascii="宋体" w:hAnsi="宋体" w:eastAsia="宋体" w:cs="宋体"/>
                <w:color w:val="000000"/>
                <w:sz w:val="24"/>
                <w:lang w:val="en-US" w:eastAsia="zh-CN" w:bidi="ar"/>
              </w:rPr>
              <w:t>的，每提供一项得1分，最高得4分，未提供不得分。</w:t>
            </w:r>
          </w:p>
          <w:p w14:paraId="5C28726D">
            <w:pPr>
              <w:widowControl/>
              <w:jc w:val="left"/>
              <w:rPr>
                <w:rFonts w:hint="default"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 xml:space="preserve">注：本项须提供人员相关证书扫描件及近一个月（不含投标截止日当月）在投标供应商单位正常缴纳社会保险证明材料扫描件，未提供不予认可。 </w:t>
            </w:r>
          </w:p>
        </w:tc>
      </w:tr>
      <w:tr w14:paraId="7F6D7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2" w:hRule="atLeast"/>
        </w:trPr>
        <w:tc>
          <w:tcPr>
            <w:tcW w:w="1211" w:type="dxa"/>
            <w:noWrap/>
            <w:vAlign w:val="center"/>
          </w:tcPr>
          <w:p w14:paraId="24237471">
            <w:pPr>
              <w:widowControl/>
              <w:jc w:val="left"/>
              <w:rPr>
                <w:rFonts w:ascii="宋体" w:hAnsi="宋体" w:cs="宋体"/>
                <w:sz w:val="22"/>
                <w:szCs w:val="22"/>
              </w:rPr>
            </w:pPr>
          </w:p>
        </w:tc>
        <w:tc>
          <w:tcPr>
            <w:tcW w:w="2000" w:type="dxa"/>
            <w:noWrap/>
            <w:vAlign w:val="center"/>
          </w:tcPr>
          <w:p w14:paraId="55D4047A">
            <w:pPr>
              <w:widowControl/>
              <w:jc w:val="lef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lang w:val="en-US" w:eastAsia="zh-CN" w:bidi="ar"/>
              </w:rPr>
              <w:t>售后服务保障（4</w:t>
            </w:r>
            <w:r>
              <w:rPr>
                <w:rFonts w:hint="eastAsia" w:ascii="宋体" w:hAnsi="宋体" w:cs="宋体"/>
                <w:color w:val="000000"/>
                <w:sz w:val="24"/>
                <w:lang w:val="en-US" w:eastAsia="zh-CN" w:bidi="ar"/>
              </w:rPr>
              <w:t>分</w:t>
            </w:r>
            <w:r>
              <w:rPr>
                <w:rFonts w:hint="eastAsia" w:ascii="宋体" w:hAnsi="宋体" w:eastAsia="宋体" w:cs="宋体"/>
                <w:color w:val="000000"/>
                <w:sz w:val="24"/>
                <w:lang w:val="en-US" w:eastAsia="zh-CN" w:bidi="ar"/>
              </w:rPr>
              <w:t>）</w:t>
            </w:r>
          </w:p>
        </w:tc>
        <w:tc>
          <w:tcPr>
            <w:tcW w:w="6741" w:type="dxa"/>
            <w:noWrap/>
            <w:vAlign w:val="center"/>
          </w:tcPr>
          <w:p w14:paraId="05569410">
            <w:pPr>
              <w:widowControl/>
              <w:jc w:val="lef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lang w:val="en-US" w:eastAsia="zh-CN" w:bidi="ar"/>
              </w:rPr>
              <w:t>1.投标人具备信息安全服务资质认证CCRC运维一级证书的，得2分；CCRC运维二级的，得1分；CCRC运维三级的，得0.5分，未提供不得分。</w:t>
            </w:r>
            <w:r>
              <w:rPr>
                <w:rFonts w:hint="eastAsia" w:ascii="宋体" w:hAnsi="宋体" w:eastAsia="宋体" w:cs="宋体"/>
                <w:color w:val="000000"/>
                <w:sz w:val="24"/>
                <w:lang w:val="en-US" w:eastAsia="zh-CN" w:bidi="ar"/>
              </w:rPr>
              <w:br w:type="textWrapping"/>
            </w:r>
            <w:r>
              <w:rPr>
                <w:rFonts w:hint="eastAsia" w:ascii="宋体" w:hAnsi="宋体" w:eastAsia="宋体" w:cs="宋体"/>
                <w:color w:val="000000"/>
                <w:sz w:val="24"/>
                <w:lang w:val="en-US" w:eastAsia="zh-CN" w:bidi="ar"/>
              </w:rPr>
              <w:t>2.投标人具备售后服务体系完善程度认证证书（十二星或十二星卓绝）的，得2分；具备售后服务体系完善程度认证证书（十星或十星卓绝）的，得1分；具备售后服务体系完善程度认证证书（七星或七星卓绝）的，得0.5分，未提供不得分。</w:t>
            </w:r>
            <w:r>
              <w:rPr>
                <w:rFonts w:hint="eastAsia" w:ascii="宋体" w:hAnsi="宋体" w:eastAsia="宋体" w:cs="宋体"/>
                <w:color w:val="000000"/>
                <w:sz w:val="24"/>
                <w:lang w:val="en-US" w:eastAsia="zh-CN" w:bidi="ar"/>
              </w:rPr>
              <w:br w:type="textWrapping"/>
            </w:r>
            <w:r>
              <w:rPr>
                <w:rFonts w:hint="eastAsia" w:ascii="宋体" w:hAnsi="宋体" w:eastAsia="宋体" w:cs="宋体"/>
                <w:color w:val="000000"/>
                <w:sz w:val="24"/>
                <w:lang w:val="en-US" w:eastAsia="zh-CN" w:bidi="ar"/>
              </w:rPr>
              <w:t>注：投标时须提供证书扫描件，否则不得分。</w:t>
            </w:r>
          </w:p>
        </w:tc>
      </w:tr>
      <w:tr w14:paraId="55885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211" w:type="dxa"/>
            <w:vMerge w:val="restart"/>
            <w:noWrap/>
            <w:vAlign w:val="center"/>
          </w:tcPr>
          <w:p w14:paraId="75CF0D98">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方案部分</w:t>
            </w:r>
          </w:p>
          <w:p w14:paraId="17098ED8">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（1</w:t>
            </w:r>
            <w:r>
              <w:rPr>
                <w:rFonts w:hint="eastAsia" w:ascii="宋体" w:hAnsi="宋体" w:cs="宋体"/>
                <w:color w:val="000000"/>
                <w:sz w:val="24"/>
                <w:lang w:val="en-US" w:eastAsia="zh-CN" w:bidi="ar"/>
              </w:rPr>
              <w:t>8</w:t>
            </w:r>
            <w:r>
              <w:rPr>
                <w:rFonts w:hint="eastAsia" w:ascii="宋体" w:hAnsi="宋体" w:eastAsia="宋体" w:cs="宋体"/>
                <w:color w:val="000000"/>
                <w:sz w:val="24"/>
                <w:lang w:val="en-US" w:eastAsia="zh-CN" w:bidi="ar"/>
              </w:rPr>
              <w:t>分）</w:t>
            </w:r>
          </w:p>
        </w:tc>
        <w:tc>
          <w:tcPr>
            <w:tcW w:w="2000" w:type="dxa"/>
            <w:noWrap/>
            <w:vAlign w:val="center"/>
          </w:tcPr>
          <w:p w14:paraId="123326E2">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采购方案（3分）</w:t>
            </w:r>
          </w:p>
        </w:tc>
        <w:tc>
          <w:tcPr>
            <w:tcW w:w="6741" w:type="dxa"/>
            <w:noWrap/>
            <w:vAlign w:val="center"/>
          </w:tcPr>
          <w:p w14:paraId="62C1A55B">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投标人提供的货物采购方案（包括购买、包装、运输等）完整、具体、合理、切实可行的得3分，合理性一般、科学、较全面得2分，不合理、不科学、不全面得1分；不提供不得分。</w:t>
            </w:r>
          </w:p>
        </w:tc>
      </w:tr>
      <w:tr w14:paraId="7A1DE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211" w:type="dxa"/>
            <w:vMerge w:val="continue"/>
            <w:noWrap/>
            <w:vAlign w:val="center"/>
          </w:tcPr>
          <w:p w14:paraId="11A938D8">
            <w:pPr>
              <w:widowControl/>
              <w:jc w:val="left"/>
              <w:rPr>
                <w:rFonts w:hint="eastAsia" w:ascii="宋体" w:hAnsi="宋体" w:eastAsia="宋体" w:cs="宋体"/>
                <w:color w:val="000000"/>
                <w:sz w:val="24"/>
                <w:lang w:val="en-US" w:eastAsia="zh-CN" w:bidi="ar"/>
              </w:rPr>
            </w:pPr>
          </w:p>
        </w:tc>
        <w:tc>
          <w:tcPr>
            <w:tcW w:w="2000" w:type="dxa"/>
            <w:noWrap/>
            <w:vAlign w:val="center"/>
          </w:tcPr>
          <w:p w14:paraId="1E7583F6">
            <w:pPr>
              <w:widowControl/>
              <w:jc w:val="left"/>
              <w:rPr>
                <w:rFonts w:hint="default"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施工方案（9分）</w:t>
            </w:r>
          </w:p>
        </w:tc>
        <w:tc>
          <w:tcPr>
            <w:tcW w:w="6741" w:type="dxa"/>
            <w:noWrap/>
            <w:vAlign w:val="center"/>
          </w:tcPr>
          <w:p w14:paraId="1326A177">
            <w:pPr>
              <w:widowControl/>
              <w:jc w:val="left"/>
              <w:rPr>
                <w:rFonts w:hint="default"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1、</w:t>
            </w:r>
            <w:r>
              <w:rPr>
                <w:rFonts w:hint="default" w:ascii="宋体" w:hAnsi="宋体" w:eastAsia="宋体" w:cs="宋体"/>
                <w:color w:val="000000"/>
                <w:sz w:val="24"/>
                <w:lang w:val="en-US" w:eastAsia="zh-CN" w:bidi="ar"/>
              </w:rPr>
              <w:t>货物安装、调试技术方案（完整、具体、合理、切实可行的得3分，合理性一般、科学、较全面得2分，不合理、不科学、不全面得1分；不提供不得分。</w:t>
            </w:r>
          </w:p>
          <w:p w14:paraId="31A5C4DF">
            <w:pPr>
              <w:widowControl/>
              <w:jc w:val="left"/>
              <w:rPr>
                <w:rFonts w:hint="default"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2、</w:t>
            </w:r>
            <w:r>
              <w:rPr>
                <w:rFonts w:hint="default" w:ascii="宋体" w:hAnsi="宋体" w:eastAsia="宋体" w:cs="宋体"/>
                <w:color w:val="000000"/>
                <w:sz w:val="24"/>
                <w:lang w:val="en-US" w:eastAsia="zh-CN" w:bidi="ar"/>
              </w:rPr>
              <w:t>项目人员配备及管理方案（完整、具体、合理、切实可行的得3分，合理性一般、科学、较全面得2分，不合理、不科学、不全面得1分；不提供不得分。</w:t>
            </w:r>
          </w:p>
          <w:p w14:paraId="50F9CF88">
            <w:pPr>
              <w:widowControl/>
              <w:jc w:val="left"/>
              <w:rPr>
                <w:rFonts w:hint="default"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3、</w:t>
            </w:r>
            <w:r>
              <w:rPr>
                <w:rFonts w:hint="default" w:ascii="宋体" w:hAnsi="宋体" w:eastAsia="宋体" w:cs="宋体"/>
                <w:color w:val="000000"/>
                <w:sz w:val="24"/>
                <w:lang w:val="en-US" w:eastAsia="zh-CN" w:bidi="ar"/>
              </w:rPr>
              <w:t>项目进度、质量、安全控制措施（完整、具体、合理、切实可行的得3分，合理性一般、科学、较全面得2分，不合理、不科学、不全面得1分；不提供不得分。</w:t>
            </w:r>
          </w:p>
        </w:tc>
      </w:tr>
      <w:tr w14:paraId="00B94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7" w:hRule="atLeast"/>
        </w:trPr>
        <w:tc>
          <w:tcPr>
            <w:tcW w:w="1211" w:type="dxa"/>
            <w:vMerge w:val="continue"/>
            <w:noWrap/>
            <w:vAlign w:val="center"/>
          </w:tcPr>
          <w:p w14:paraId="7551585A">
            <w:pPr>
              <w:widowControl/>
              <w:jc w:val="left"/>
              <w:rPr>
                <w:rFonts w:hint="eastAsia" w:ascii="宋体" w:hAnsi="宋体" w:eastAsia="宋体" w:cs="宋体"/>
                <w:color w:val="000000"/>
                <w:sz w:val="24"/>
                <w:lang w:val="en-US" w:eastAsia="zh-CN" w:bidi="ar"/>
              </w:rPr>
            </w:pPr>
          </w:p>
        </w:tc>
        <w:tc>
          <w:tcPr>
            <w:tcW w:w="2000" w:type="dxa"/>
            <w:noWrap/>
            <w:vAlign w:val="center"/>
          </w:tcPr>
          <w:p w14:paraId="4086514F">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售后服务方案（</w:t>
            </w:r>
            <w:r>
              <w:rPr>
                <w:rFonts w:hint="eastAsia" w:ascii="宋体" w:hAnsi="宋体" w:cs="宋体"/>
                <w:color w:val="000000"/>
                <w:sz w:val="24"/>
                <w:lang w:val="en-US" w:eastAsia="zh-CN" w:bidi="ar"/>
              </w:rPr>
              <w:t>6</w:t>
            </w:r>
            <w:r>
              <w:rPr>
                <w:rFonts w:hint="eastAsia" w:ascii="宋体" w:hAnsi="宋体" w:eastAsia="宋体" w:cs="宋体"/>
                <w:color w:val="000000"/>
                <w:sz w:val="24"/>
                <w:lang w:val="en-US" w:eastAsia="zh-CN" w:bidi="ar"/>
              </w:rPr>
              <w:t>分）</w:t>
            </w:r>
          </w:p>
        </w:tc>
        <w:tc>
          <w:tcPr>
            <w:tcW w:w="6741" w:type="dxa"/>
            <w:noWrap/>
            <w:vAlign w:val="center"/>
          </w:tcPr>
          <w:p w14:paraId="5D818340">
            <w:pPr>
              <w:widowControl/>
              <w:jc w:val="left"/>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投标人具有完善的售后服务体系，针对本项目提供切实可行的售后服务方案。根据投标文件中的服务方式、服务人员配备、响应时间、故障处理、应急方案、系统免费维护时间、系统维护频率、系统免费升级时间以及是否本地化服务的要求，完整、具体、合理、切实可行的得</w:t>
            </w:r>
            <w:r>
              <w:rPr>
                <w:rFonts w:hint="eastAsia" w:ascii="宋体" w:hAnsi="宋体" w:cs="宋体"/>
                <w:color w:val="000000"/>
                <w:sz w:val="24"/>
                <w:lang w:val="en-US" w:eastAsia="zh-CN" w:bidi="ar"/>
              </w:rPr>
              <w:t>6</w:t>
            </w:r>
            <w:r>
              <w:rPr>
                <w:rFonts w:hint="eastAsia" w:ascii="宋体" w:hAnsi="宋体" w:eastAsia="宋体" w:cs="宋体"/>
                <w:color w:val="000000"/>
                <w:sz w:val="24"/>
                <w:lang w:val="en-US" w:eastAsia="zh-CN" w:bidi="ar"/>
              </w:rPr>
              <w:t>分，合理性一般、科学、较全面得</w:t>
            </w:r>
            <w:r>
              <w:rPr>
                <w:rFonts w:hint="eastAsia" w:ascii="宋体" w:hAnsi="宋体" w:cs="宋体"/>
                <w:color w:val="000000"/>
                <w:sz w:val="24"/>
                <w:lang w:val="en-US" w:eastAsia="zh-CN" w:bidi="ar"/>
              </w:rPr>
              <w:t>4</w:t>
            </w:r>
            <w:r>
              <w:rPr>
                <w:rFonts w:hint="eastAsia" w:ascii="宋体" w:hAnsi="宋体" w:eastAsia="宋体" w:cs="宋体"/>
                <w:color w:val="000000"/>
                <w:sz w:val="24"/>
                <w:lang w:val="en-US" w:eastAsia="zh-CN" w:bidi="ar"/>
              </w:rPr>
              <w:t>分，不合理、不科学、不全面得</w:t>
            </w:r>
            <w:r>
              <w:rPr>
                <w:rFonts w:hint="eastAsia" w:ascii="宋体" w:hAnsi="宋体" w:cs="宋体"/>
                <w:color w:val="000000"/>
                <w:sz w:val="24"/>
                <w:lang w:val="en-US" w:eastAsia="zh-CN" w:bidi="ar"/>
              </w:rPr>
              <w:t>2</w:t>
            </w:r>
            <w:r>
              <w:rPr>
                <w:rFonts w:hint="eastAsia" w:ascii="宋体" w:hAnsi="宋体" w:eastAsia="宋体" w:cs="宋体"/>
                <w:color w:val="000000"/>
                <w:sz w:val="24"/>
                <w:lang w:val="en-US" w:eastAsia="zh-CN" w:bidi="ar"/>
              </w:rPr>
              <w:t>分；不提供不得分。</w:t>
            </w:r>
          </w:p>
        </w:tc>
      </w:tr>
    </w:tbl>
    <w:p w14:paraId="42240476">
      <w:pPr>
        <w:rPr>
          <w:rFonts w:hint="eastAsia" w:ascii="宋体" w:hAnsi="宋体" w:eastAsia="宋体" w:cs="宋体"/>
        </w:rPr>
      </w:pPr>
    </w:p>
    <w:p w14:paraId="71F46C0A">
      <w:pPr>
        <w:pStyle w:val="44"/>
        <w:keepNext/>
        <w:spacing w:beforeAutospacing="0" w:afterAutospacing="0"/>
        <w:jc w:val="center"/>
        <w:rPr>
          <w:rFonts w:hint="eastAsia" w:ascii="宋体" w:hAnsi="宋体" w:eastAsia="宋体" w:cs="宋体"/>
        </w:rPr>
      </w:pPr>
      <w:r>
        <w:rPr>
          <w:rFonts w:hint="eastAsia" w:ascii="宋体" w:hAnsi="宋体" w:eastAsia="宋体" w:cs="宋体"/>
          <w:color w:val="000000"/>
          <w:sz w:val="44"/>
          <w:szCs w:val="44"/>
        </w:rPr>
        <w:t xml:space="preserve">第六章  投标文件格式 </w:t>
      </w:r>
    </w:p>
    <w:p w14:paraId="629AF73D">
      <w:pPr>
        <w:pStyle w:val="44"/>
        <w:keepNext w:val="0"/>
        <w:keepLines w:val="0"/>
        <w:pageBreakBefore w:val="0"/>
        <w:widowControl w:val="0"/>
        <w:kinsoku/>
        <w:wordWrap/>
        <w:overflowPunct/>
        <w:topLinePunct w:val="0"/>
        <w:autoSpaceDE/>
        <w:autoSpaceDN/>
        <w:bidi w:val="0"/>
        <w:adjustRightInd/>
        <w:snapToGrid/>
        <w:spacing w:before="1801" w:beforeLines="500" w:beforeAutospacing="0" w:afterAutospacing="0"/>
        <w:jc w:val="center"/>
        <w:textAlignment w:val="auto"/>
        <w:rPr>
          <w:rFonts w:hint="eastAsia" w:ascii="宋体" w:hAnsi="宋体" w:eastAsia="宋体" w:cs="宋体"/>
        </w:rPr>
      </w:pPr>
      <w:bookmarkStart w:id="176" w:name="_Toc49090576"/>
      <w:bookmarkEnd w:id="176"/>
      <w:bookmarkStart w:id="177" w:name="_Toc120614282"/>
      <w:bookmarkEnd w:id="177"/>
      <w:bookmarkStart w:id="178" w:name="_Hlt26671244"/>
      <w:bookmarkStart w:id="179" w:name="_Toc26554094"/>
      <w:bookmarkStart w:id="180" w:name="_Hlt26955039"/>
      <w:r>
        <w:rPr>
          <w:rFonts w:hint="eastAsia" w:ascii="宋体" w:hAnsi="宋体" w:eastAsia="宋体" w:cs="宋体"/>
          <w:b/>
          <w:color w:val="000000"/>
          <w:sz w:val="72"/>
          <w:szCs w:val="72"/>
        </w:rPr>
        <w:t>投  标  文  件</w:t>
      </w:r>
    </w:p>
    <w:p w14:paraId="3A0E3F1D">
      <w:pPr>
        <w:pStyle w:val="44"/>
        <w:spacing w:beforeAutospacing="0" w:afterAutospacing="0"/>
        <w:jc w:val="center"/>
        <w:rPr>
          <w:rFonts w:hint="eastAsia" w:ascii="宋体" w:hAnsi="宋体" w:eastAsia="宋体" w:cs="宋体"/>
        </w:rPr>
      </w:pPr>
      <w:r>
        <w:rPr>
          <w:rFonts w:hint="eastAsia" w:ascii="宋体" w:hAnsi="宋体" w:eastAsia="宋体" w:cs="宋体"/>
        </w:rPr>
        <w:t> </w:t>
      </w:r>
    </w:p>
    <w:p w14:paraId="3976D2A5">
      <w:pPr>
        <w:pStyle w:val="44"/>
        <w:spacing w:beforeAutospacing="0" w:afterAutospacing="0"/>
        <w:jc w:val="center"/>
        <w:rPr>
          <w:rFonts w:hint="eastAsia" w:ascii="宋体" w:hAnsi="宋体" w:eastAsia="宋体" w:cs="宋体"/>
        </w:rPr>
      </w:pPr>
      <w:r>
        <w:rPr>
          <w:rFonts w:hint="eastAsia" w:ascii="宋体" w:hAnsi="宋体" w:eastAsia="宋体" w:cs="宋体"/>
        </w:rPr>
        <w:t> </w:t>
      </w:r>
    </w:p>
    <w:p w14:paraId="61249217">
      <w:pPr>
        <w:pStyle w:val="44"/>
        <w:spacing w:beforeAutospacing="0" w:afterAutospacing="0"/>
        <w:jc w:val="center"/>
        <w:rPr>
          <w:rFonts w:hint="eastAsia" w:ascii="宋体" w:hAnsi="宋体" w:eastAsia="宋体" w:cs="宋体"/>
        </w:rPr>
      </w:pPr>
      <w:r>
        <w:rPr>
          <w:rFonts w:hint="eastAsia" w:ascii="宋体" w:hAnsi="宋体" w:eastAsia="宋体" w:cs="宋体"/>
        </w:rPr>
        <w:t> </w:t>
      </w:r>
    </w:p>
    <w:p w14:paraId="7483FB3E">
      <w:pPr>
        <w:pStyle w:val="44"/>
        <w:spacing w:beforeAutospacing="0" w:afterAutospacing="0"/>
        <w:jc w:val="center"/>
        <w:rPr>
          <w:rFonts w:hint="eastAsia" w:ascii="宋体" w:hAnsi="宋体" w:eastAsia="宋体" w:cs="宋体"/>
        </w:rPr>
      </w:pPr>
      <w:r>
        <w:rPr>
          <w:rFonts w:hint="eastAsia" w:ascii="宋体" w:hAnsi="宋体" w:eastAsia="宋体" w:cs="宋体"/>
        </w:rPr>
        <w:t> </w:t>
      </w:r>
    </w:p>
    <w:p w14:paraId="00BF5974">
      <w:pPr>
        <w:pStyle w:val="44"/>
        <w:spacing w:beforeAutospacing="0" w:afterAutospacing="0"/>
        <w:jc w:val="center"/>
        <w:rPr>
          <w:rFonts w:hint="eastAsia" w:ascii="宋体" w:hAnsi="宋体" w:eastAsia="宋体" w:cs="宋体"/>
        </w:rPr>
      </w:pPr>
      <w:r>
        <w:rPr>
          <w:rFonts w:hint="eastAsia" w:ascii="宋体" w:hAnsi="宋体" w:eastAsia="宋体" w:cs="宋体"/>
        </w:rPr>
        <w:t> </w:t>
      </w:r>
    </w:p>
    <w:p w14:paraId="44E301F3">
      <w:pPr>
        <w:pStyle w:val="44"/>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1084"/>
        <w:jc w:val="both"/>
        <w:textAlignment w:val="auto"/>
        <w:rPr>
          <w:rFonts w:hint="eastAsia" w:ascii="宋体" w:hAnsi="宋体" w:eastAsia="宋体" w:cs="宋体"/>
        </w:rPr>
      </w:pPr>
      <w:r>
        <w:rPr>
          <w:rFonts w:hint="eastAsia" w:ascii="宋体" w:hAnsi="宋体" w:eastAsia="宋体" w:cs="宋体"/>
          <w:b/>
          <w:color w:val="000000"/>
          <w:sz w:val="36"/>
          <w:szCs w:val="36"/>
        </w:rPr>
        <w:t>项 目 名 称：</w:t>
      </w:r>
      <w:r>
        <w:rPr>
          <w:rFonts w:hint="eastAsia" w:ascii="宋体" w:hAnsi="宋体" w:eastAsia="宋体" w:cs="宋体"/>
          <w:b/>
          <w:color w:val="000000"/>
          <w:sz w:val="36"/>
          <w:szCs w:val="36"/>
          <w:u w:val="single"/>
        </w:rPr>
        <w:t>             </w:t>
      </w:r>
    </w:p>
    <w:p w14:paraId="22D3C4E1">
      <w:pPr>
        <w:pStyle w:val="44"/>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1084"/>
        <w:jc w:val="both"/>
        <w:textAlignment w:val="auto"/>
        <w:rPr>
          <w:rFonts w:hint="eastAsia" w:ascii="宋体" w:hAnsi="宋体" w:eastAsia="宋体" w:cs="宋体"/>
        </w:rPr>
      </w:pPr>
      <w:r>
        <w:rPr>
          <w:rFonts w:hint="eastAsia" w:ascii="宋体" w:hAnsi="宋体" w:eastAsia="宋体" w:cs="宋体"/>
          <w:b/>
          <w:color w:val="000000"/>
          <w:sz w:val="36"/>
          <w:szCs w:val="36"/>
        </w:rPr>
        <w:t>项 目 编 号：</w:t>
      </w:r>
      <w:r>
        <w:rPr>
          <w:rFonts w:hint="eastAsia" w:ascii="宋体" w:hAnsi="宋体" w:eastAsia="宋体" w:cs="宋体"/>
          <w:b/>
          <w:color w:val="000000"/>
          <w:sz w:val="36"/>
          <w:szCs w:val="36"/>
          <w:u w:val="single"/>
        </w:rPr>
        <w:t>             </w:t>
      </w:r>
    </w:p>
    <w:p w14:paraId="25C8E21D">
      <w:pPr>
        <w:pStyle w:val="44"/>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eastAsia" w:ascii="宋体" w:hAnsi="宋体" w:eastAsia="宋体" w:cs="宋体"/>
        </w:rPr>
      </w:pPr>
      <w:r>
        <w:rPr>
          <w:rFonts w:hint="eastAsia" w:ascii="宋体" w:hAnsi="宋体" w:eastAsia="宋体" w:cs="宋体"/>
          <w:b/>
          <w:color w:val="000000"/>
          <w:sz w:val="36"/>
          <w:szCs w:val="36"/>
        </w:rPr>
        <w:t>   投标人名称 ：</w:t>
      </w:r>
      <w:r>
        <w:rPr>
          <w:rFonts w:hint="eastAsia" w:ascii="宋体" w:hAnsi="宋体" w:eastAsia="宋体" w:cs="宋体"/>
          <w:b/>
          <w:color w:val="000000"/>
          <w:sz w:val="36"/>
          <w:szCs w:val="36"/>
          <w:u w:val="single"/>
        </w:rPr>
        <w:t>（加盖CA电子公章）</w:t>
      </w:r>
    </w:p>
    <w:p w14:paraId="07CFEA3D">
      <w:pPr>
        <w:pStyle w:val="44"/>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eastAsia" w:ascii="宋体" w:hAnsi="宋体" w:eastAsia="宋体" w:cs="宋体"/>
        </w:rPr>
      </w:pPr>
      <w:r>
        <w:rPr>
          <w:rFonts w:hint="eastAsia" w:ascii="宋体" w:hAnsi="宋体" w:eastAsia="宋体" w:cs="宋体"/>
          <w:b/>
          <w:color w:val="000000"/>
          <w:sz w:val="36"/>
          <w:szCs w:val="36"/>
        </w:rPr>
        <w:t>   日 </w:t>
      </w:r>
      <w:r>
        <w:rPr>
          <w:rFonts w:hint="eastAsia" w:ascii="宋体" w:hAnsi="宋体" w:eastAsia="宋体" w:cs="宋体"/>
          <w:b/>
          <w:color w:val="000000"/>
          <w:sz w:val="36"/>
          <w:szCs w:val="36"/>
          <w:lang w:val="en-US" w:eastAsia="zh-CN"/>
        </w:rPr>
        <w:t xml:space="preserve"> </w:t>
      </w:r>
      <w:r>
        <w:rPr>
          <w:rFonts w:hint="eastAsia" w:ascii="宋体" w:hAnsi="宋体" w:eastAsia="宋体" w:cs="宋体"/>
          <w:b/>
          <w:color w:val="000000"/>
          <w:sz w:val="36"/>
          <w:szCs w:val="36"/>
        </w:rPr>
        <w:t>  期 ：</w:t>
      </w:r>
      <w:r>
        <w:rPr>
          <w:rFonts w:hint="eastAsia" w:ascii="宋体" w:hAnsi="宋体" w:eastAsia="宋体" w:cs="宋体"/>
          <w:b/>
          <w:color w:val="000000"/>
          <w:sz w:val="36"/>
          <w:szCs w:val="36"/>
          <w:u w:val="single"/>
        </w:rPr>
        <w:t>             </w:t>
      </w:r>
    </w:p>
    <w:p w14:paraId="24C76FAF">
      <w:pPr>
        <w:pStyle w:val="44"/>
        <w:spacing w:beforeAutospacing="0" w:afterAutospacing="0" w:line="0" w:lineRule="atLeast"/>
        <w:jc w:val="center"/>
        <w:rPr>
          <w:rFonts w:hint="eastAsia" w:ascii="宋体" w:hAnsi="宋体" w:eastAsia="宋体" w:cs="宋体"/>
        </w:rPr>
      </w:pPr>
    </w:p>
    <w:p w14:paraId="22427EB4">
      <w:pPr>
        <w:pStyle w:val="44"/>
        <w:spacing w:beforeAutospacing="0" w:afterAutospacing="0" w:line="0" w:lineRule="atLeast"/>
        <w:jc w:val="center"/>
        <w:rPr>
          <w:rFonts w:hint="eastAsia" w:ascii="宋体" w:hAnsi="宋体" w:eastAsia="宋体" w:cs="宋体"/>
        </w:rPr>
      </w:pPr>
    </w:p>
    <w:p w14:paraId="5F8C8B8D">
      <w:pPr>
        <w:pStyle w:val="44"/>
        <w:spacing w:beforeAutospacing="0" w:afterAutospacing="0" w:line="0" w:lineRule="atLeast"/>
        <w:jc w:val="center"/>
        <w:rPr>
          <w:rFonts w:hint="eastAsia" w:ascii="宋体" w:hAnsi="宋体" w:eastAsia="宋体" w:cs="宋体"/>
        </w:rPr>
      </w:pPr>
    </w:p>
    <w:p w14:paraId="72B7496C">
      <w:pPr>
        <w:pStyle w:val="44"/>
        <w:spacing w:beforeAutospacing="0" w:afterAutospacing="0" w:line="0" w:lineRule="atLeast"/>
        <w:jc w:val="center"/>
        <w:rPr>
          <w:rFonts w:hint="eastAsia" w:ascii="宋体" w:hAnsi="宋体" w:eastAsia="宋体" w:cs="宋体"/>
        </w:rPr>
      </w:pPr>
    </w:p>
    <w:p w14:paraId="505FFDC7">
      <w:pPr>
        <w:pStyle w:val="44"/>
        <w:spacing w:beforeAutospacing="0" w:afterAutospacing="0" w:line="0" w:lineRule="atLeast"/>
        <w:jc w:val="center"/>
        <w:rPr>
          <w:rFonts w:hint="eastAsia" w:ascii="宋体" w:hAnsi="宋体" w:eastAsia="宋体" w:cs="宋体"/>
        </w:rPr>
      </w:pPr>
    </w:p>
    <w:p w14:paraId="322BEDD7">
      <w:pPr>
        <w:pStyle w:val="44"/>
        <w:spacing w:beforeAutospacing="0" w:afterAutospacing="0" w:line="0" w:lineRule="atLeast"/>
        <w:jc w:val="center"/>
        <w:rPr>
          <w:rFonts w:hint="eastAsia" w:ascii="宋体" w:hAnsi="宋体" w:eastAsia="宋体" w:cs="宋体"/>
        </w:rPr>
      </w:pPr>
    </w:p>
    <w:p w14:paraId="0CC0912D">
      <w:pPr>
        <w:pStyle w:val="44"/>
        <w:spacing w:beforeAutospacing="0" w:afterAutospacing="0" w:line="0" w:lineRule="atLeast"/>
        <w:jc w:val="center"/>
        <w:rPr>
          <w:rFonts w:hint="eastAsia" w:ascii="宋体" w:hAnsi="宋体" w:eastAsia="宋体" w:cs="宋体"/>
        </w:rPr>
      </w:pPr>
    </w:p>
    <w:p w14:paraId="191BCD90">
      <w:pPr>
        <w:pStyle w:val="44"/>
        <w:spacing w:beforeAutospacing="0" w:afterAutospacing="0" w:line="0" w:lineRule="atLeast"/>
        <w:jc w:val="center"/>
        <w:rPr>
          <w:rFonts w:hint="eastAsia" w:ascii="宋体" w:hAnsi="宋体" w:eastAsia="宋体" w:cs="宋体"/>
        </w:rPr>
      </w:pPr>
    </w:p>
    <w:p w14:paraId="52CB14A3">
      <w:pPr>
        <w:pStyle w:val="44"/>
        <w:spacing w:beforeAutospacing="0" w:afterAutospacing="0" w:line="0" w:lineRule="atLeast"/>
        <w:jc w:val="center"/>
        <w:rPr>
          <w:rFonts w:hint="eastAsia" w:ascii="宋体" w:hAnsi="宋体" w:eastAsia="宋体" w:cs="宋体"/>
        </w:rPr>
      </w:pPr>
    </w:p>
    <w:p w14:paraId="69D243B5">
      <w:pPr>
        <w:pStyle w:val="44"/>
        <w:spacing w:beforeAutospacing="0" w:afterAutospacing="0" w:line="0" w:lineRule="atLeast"/>
        <w:jc w:val="center"/>
        <w:rPr>
          <w:rFonts w:hint="eastAsia" w:ascii="宋体" w:hAnsi="宋体" w:eastAsia="宋体" w:cs="宋体"/>
        </w:rPr>
      </w:pPr>
    </w:p>
    <w:p w14:paraId="1EAB7871">
      <w:pPr>
        <w:pStyle w:val="44"/>
        <w:spacing w:beforeAutospacing="0" w:afterAutospacing="0" w:line="0" w:lineRule="atLeast"/>
        <w:jc w:val="center"/>
        <w:rPr>
          <w:rFonts w:hint="eastAsia" w:ascii="宋体" w:hAnsi="宋体" w:eastAsia="宋体" w:cs="宋体"/>
        </w:rPr>
      </w:pPr>
    </w:p>
    <w:p w14:paraId="61DEBA89">
      <w:pPr>
        <w:pStyle w:val="44"/>
        <w:spacing w:beforeAutospacing="0" w:afterAutospacing="0" w:line="0" w:lineRule="atLeast"/>
        <w:jc w:val="center"/>
        <w:rPr>
          <w:rFonts w:hint="eastAsia" w:ascii="宋体" w:hAnsi="宋体" w:eastAsia="宋体" w:cs="宋体"/>
        </w:rPr>
      </w:pPr>
    </w:p>
    <w:p w14:paraId="47730C9A">
      <w:pPr>
        <w:pStyle w:val="44"/>
        <w:spacing w:beforeAutospacing="0" w:afterAutospacing="0" w:line="0" w:lineRule="atLeast"/>
        <w:jc w:val="center"/>
        <w:rPr>
          <w:rFonts w:hint="eastAsia" w:ascii="宋体" w:hAnsi="宋体" w:eastAsia="宋体" w:cs="宋体"/>
        </w:rPr>
      </w:pPr>
    </w:p>
    <w:p w14:paraId="73CED6B7">
      <w:pPr>
        <w:pStyle w:val="44"/>
        <w:spacing w:beforeAutospacing="0" w:afterAutospacing="0" w:line="0" w:lineRule="atLeast"/>
        <w:jc w:val="center"/>
        <w:rPr>
          <w:rFonts w:hint="eastAsia" w:ascii="宋体" w:hAnsi="宋体" w:eastAsia="宋体" w:cs="宋体"/>
        </w:rPr>
      </w:pPr>
    </w:p>
    <w:p w14:paraId="65DA0E5F">
      <w:pPr>
        <w:pStyle w:val="44"/>
        <w:spacing w:beforeAutospacing="0" w:afterAutospacing="0" w:line="0" w:lineRule="atLeast"/>
        <w:jc w:val="center"/>
        <w:rPr>
          <w:rFonts w:hint="eastAsia" w:ascii="宋体" w:hAnsi="宋体" w:eastAsia="宋体" w:cs="宋体"/>
        </w:rPr>
      </w:pPr>
    </w:p>
    <w:p w14:paraId="7DC3B716">
      <w:pPr>
        <w:pStyle w:val="44"/>
        <w:spacing w:beforeAutospacing="0" w:afterAutospacing="0" w:line="0" w:lineRule="atLeast"/>
        <w:jc w:val="center"/>
        <w:rPr>
          <w:rFonts w:hint="eastAsia" w:ascii="宋体" w:hAnsi="宋体" w:eastAsia="宋体" w:cs="宋体"/>
        </w:rPr>
      </w:pPr>
    </w:p>
    <w:p w14:paraId="08816519">
      <w:pPr>
        <w:pStyle w:val="44"/>
        <w:spacing w:beforeAutospacing="0" w:afterAutospacing="0" w:line="0" w:lineRule="atLeast"/>
        <w:jc w:val="center"/>
        <w:rPr>
          <w:rFonts w:hint="eastAsia" w:ascii="宋体" w:hAnsi="宋体" w:eastAsia="宋体" w:cs="宋体"/>
        </w:rPr>
      </w:pPr>
    </w:p>
    <w:p w14:paraId="62BD446F">
      <w:pPr>
        <w:pStyle w:val="44"/>
        <w:spacing w:beforeAutospacing="0" w:afterAutospacing="0" w:line="0" w:lineRule="atLeast"/>
        <w:jc w:val="center"/>
        <w:rPr>
          <w:rFonts w:hint="eastAsia" w:ascii="宋体" w:hAnsi="宋体" w:eastAsia="宋体" w:cs="宋体"/>
        </w:rPr>
      </w:pPr>
    </w:p>
    <w:p w14:paraId="0E0A6421">
      <w:pPr>
        <w:pStyle w:val="44"/>
        <w:spacing w:beforeAutospacing="0" w:afterAutospacing="0" w:line="0" w:lineRule="atLeast"/>
        <w:jc w:val="center"/>
        <w:rPr>
          <w:rFonts w:hint="eastAsia" w:ascii="宋体" w:hAnsi="宋体" w:eastAsia="宋体" w:cs="宋体"/>
        </w:rPr>
      </w:pPr>
    </w:p>
    <w:bookmarkEnd w:id="7"/>
    <w:bookmarkEnd w:id="48"/>
    <w:bookmarkEnd w:id="95"/>
    <w:bookmarkEnd w:id="96"/>
    <w:bookmarkEnd w:id="97"/>
    <w:bookmarkEnd w:id="98"/>
    <w:bookmarkEnd w:id="99"/>
    <w:bookmarkEnd w:id="100"/>
    <w:bookmarkEnd w:id="101"/>
    <w:bookmarkEnd w:id="102"/>
    <w:bookmarkEnd w:id="111"/>
    <w:bookmarkEnd w:id="112"/>
    <w:bookmarkEnd w:id="119"/>
    <w:bookmarkEnd w:id="174"/>
    <w:bookmarkEnd w:id="175"/>
    <w:bookmarkEnd w:id="178"/>
    <w:bookmarkEnd w:id="179"/>
    <w:bookmarkEnd w:id="180"/>
    <w:p w14:paraId="4FA3F5A1">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5DB9C475">
      <w:pPr>
        <w:pStyle w:val="44"/>
        <w:spacing w:beforeAutospacing="0" w:afterAutospacing="0" w:line="0" w:lineRule="atLeast"/>
        <w:jc w:val="center"/>
        <w:rPr>
          <w:rFonts w:hint="eastAsia" w:ascii="宋体" w:hAnsi="宋体" w:eastAsia="宋体" w:cs="宋体"/>
        </w:rPr>
      </w:pPr>
      <w:r>
        <w:rPr>
          <w:rFonts w:hint="eastAsia" w:ascii="宋体" w:hAnsi="宋体" w:eastAsia="宋体" w:cs="宋体"/>
          <w:b/>
          <w:color w:val="000000"/>
          <w:sz w:val="32"/>
          <w:szCs w:val="32"/>
        </w:rPr>
        <w:t>投标文件目录</w:t>
      </w:r>
    </w:p>
    <w:p w14:paraId="02A23518">
      <w:pPr>
        <w:pStyle w:val="44"/>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08147D0C">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宋体" w:hAnsi="宋体" w:eastAsia="宋体" w:cs="宋体"/>
          <w:i/>
        </w:rPr>
      </w:pPr>
      <w:r>
        <w:rPr>
          <w:rFonts w:hint="eastAsia" w:ascii="宋体" w:hAnsi="宋体" w:eastAsia="宋体" w:cs="宋体"/>
          <w:color w:val="000000"/>
          <w:u w:val="single"/>
        </w:rPr>
        <w:t>一、</w:t>
      </w:r>
      <w:r>
        <w:rPr>
          <w:rFonts w:hint="eastAsia" w:ascii="宋体" w:hAnsi="宋体" w:eastAsia="宋体" w:cs="宋体"/>
          <w:i/>
          <w:color w:val="000000"/>
          <w:u w:val="single"/>
        </w:rPr>
        <w:t>法人或者其他组织的营业执照等证明文件，自然人的身份证明</w:t>
      </w:r>
    </w:p>
    <w:p w14:paraId="7B1AA531">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宋体" w:hAnsi="宋体" w:eastAsia="宋体" w:cs="宋体"/>
          <w:i/>
        </w:rPr>
      </w:pPr>
      <w:r>
        <w:rPr>
          <w:rFonts w:hint="eastAsia" w:ascii="宋体" w:hAnsi="宋体" w:eastAsia="宋体" w:cs="宋体"/>
          <w:i/>
          <w:color w:val="000000"/>
          <w:u w:val="single"/>
        </w:rPr>
        <w:t>二、上一年度的财务状况报表,至少包含资产负债表、利润表（投标人成立不满一年无需提供）</w:t>
      </w:r>
    </w:p>
    <w:p w14:paraId="06B3E680">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宋体" w:hAnsi="宋体" w:eastAsia="宋体" w:cs="宋体"/>
          <w:i/>
        </w:rPr>
      </w:pPr>
      <w:r>
        <w:rPr>
          <w:rFonts w:hint="eastAsia" w:ascii="宋体" w:hAnsi="宋体" w:eastAsia="宋体" w:cs="宋体"/>
          <w:i/>
          <w:color w:val="000000"/>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6E00BA16">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宋体" w:hAnsi="宋体" w:eastAsia="宋体" w:cs="宋体"/>
          <w:i/>
        </w:rPr>
      </w:pPr>
      <w:r>
        <w:rPr>
          <w:rFonts w:hint="eastAsia" w:ascii="宋体" w:hAnsi="宋体" w:eastAsia="宋体" w:cs="宋体"/>
          <w:i/>
          <w:color w:val="000000"/>
          <w:u w:val="single"/>
        </w:rPr>
        <w:t>四、具备履行合同所必需的设备和专业技术能力的书面声明</w:t>
      </w:r>
    </w:p>
    <w:p w14:paraId="4B37F3B8">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rPr>
      </w:pPr>
      <w:r>
        <w:rPr>
          <w:rFonts w:hint="eastAsia" w:ascii="宋体" w:hAnsi="宋体" w:eastAsia="宋体" w:cs="宋体"/>
          <w:i/>
          <w:color w:val="000000"/>
          <w:u w:val="single"/>
        </w:rPr>
        <w:t>五、参加政府采购活动前 3 年内在经营活动中没有重大违法记录的书面声明</w:t>
      </w:r>
    </w:p>
    <w:p w14:paraId="3E54A365">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rPr>
      </w:pPr>
      <w:r>
        <w:rPr>
          <w:rFonts w:hint="eastAsia" w:ascii="宋体" w:hAnsi="宋体" w:eastAsia="宋体" w:cs="宋体"/>
          <w:i/>
          <w:color w:val="000000"/>
          <w:u w:val="single"/>
        </w:rPr>
        <w:t>六、单位负责人为同一人或者存在直接控股、服务关系的不同供应商，不得参加同一合同项下的政府采购活动证明文件</w:t>
      </w:r>
    </w:p>
    <w:p w14:paraId="54FFA312">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rPr>
      </w:pPr>
      <w:r>
        <w:rPr>
          <w:rFonts w:hint="eastAsia" w:ascii="宋体" w:hAnsi="宋体" w:eastAsia="宋体" w:cs="宋体"/>
          <w:i/>
          <w:color w:val="000000"/>
          <w:u w:val="single"/>
        </w:rPr>
        <w:t>七、法人授权书</w:t>
      </w:r>
    </w:p>
    <w:p w14:paraId="040F54D6">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rPr>
      </w:pPr>
      <w:r>
        <w:rPr>
          <w:rFonts w:hint="eastAsia" w:ascii="宋体" w:hAnsi="宋体" w:eastAsia="宋体" w:cs="宋体"/>
          <w:i/>
          <w:color w:val="000000"/>
          <w:u w:val="single"/>
        </w:rPr>
        <w:t>八、投标函</w:t>
      </w:r>
    </w:p>
    <w:p w14:paraId="7FB2D078">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九、小微企业声明函</w:t>
      </w:r>
    </w:p>
    <w:p w14:paraId="6709CC20">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十、残疾人福利性单位声明函</w:t>
      </w:r>
    </w:p>
    <w:p w14:paraId="1E0D0F3C">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十一、投标分项报价表</w:t>
      </w:r>
    </w:p>
    <w:p w14:paraId="7A354976">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十二、技术要求响应及偏离表</w:t>
      </w:r>
    </w:p>
    <w:p w14:paraId="5C6FA04C">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十三、商务要求响应及偏离表</w:t>
      </w:r>
    </w:p>
    <w:p w14:paraId="77FB0A96">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u w:val="single"/>
        </w:rPr>
      </w:pPr>
      <w:r>
        <w:rPr>
          <w:rFonts w:hint="eastAsia" w:ascii="宋体" w:hAnsi="宋体" w:eastAsia="宋体" w:cs="宋体"/>
          <w:color w:val="000000"/>
          <w:u w:val="single"/>
        </w:rPr>
        <w:t>十四、</w:t>
      </w:r>
      <w:r>
        <w:rPr>
          <w:rFonts w:hint="eastAsia" w:ascii="宋体" w:hAnsi="宋体" w:eastAsia="宋体" w:cs="宋体"/>
          <w:i/>
          <w:color w:val="000000"/>
          <w:u w:val="single"/>
        </w:rPr>
        <w:t>开标一览表</w:t>
      </w:r>
    </w:p>
    <w:p w14:paraId="65F41763">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十五、项目实施与售后服务方案等</w:t>
      </w:r>
    </w:p>
    <w:p w14:paraId="2C9FA10D">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十六、盐城市政府采购事前信用承诺书</w:t>
      </w:r>
    </w:p>
    <w:p w14:paraId="6D0DE3D4">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十七、其他材料（如有）</w:t>
      </w:r>
    </w:p>
    <w:p w14:paraId="77D3DB4D">
      <w:pPr>
        <w:pStyle w:val="44"/>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14:paraId="1E2D6F16">
      <w:pPr>
        <w:pStyle w:val="44"/>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14:paraId="0CE5627B">
      <w:pPr>
        <w:pStyle w:val="44"/>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14:paraId="1CF57CF2">
      <w:pPr>
        <w:pStyle w:val="44"/>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14:paraId="65D3F187">
      <w:pPr>
        <w:pStyle w:val="44"/>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14:paraId="04C68043">
      <w:pPr>
        <w:pStyle w:val="44"/>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14:paraId="7CC817D9">
      <w:pPr>
        <w:pStyle w:val="44"/>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14:paraId="214A480B">
      <w:pPr>
        <w:pStyle w:val="44"/>
        <w:spacing w:beforeAutospacing="0" w:afterAutospacing="0" w:line="0" w:lineRule="atLeast"/>
        <w:ind w:firstLine="480"/>
        <w:jc w:val="both"/>
        <w:rPr>
          <w:rFonts w:hint="eastAsia" w:ascii="宋体" w:hAnsi="宋体" w:eastAsia="宋体" w:cs="宋体"/>
        </w:rPr>
      </w:pPr>
    </w:p>
    <w:p w14:paraId="6BE2B248">
      <w:pPr>
        <w:pStyle w:val="44"/>
        <w:spacing w:beforeAutospacing="0" w:afterAutospacing="0" w:line="0" w:lineRule="atLeast"/>
        <w:ind w:firstLine="480"/>
        <w:jc w:val="both"/>
        <w:rPr>
          <w:rFonts w:hint="eastAsia" w:ascii="宋体" w:hAnsi="宋体" w:eastAsia="宋体" w:cs="宋体"/>
        </w:rPr>
      </w:pPr>
    </w:p>
    <w:p w14:paraId="4A6A021A">
      <w:pPr>
        <w:pStyle w:val="44"/>
        <w:spacing w:beforeAutospacing="0" w:afterAutospacing="0" w:line="0" w:lineRule="atLeast"/>
        <w:ind w:firstLine="480"/>
        <w:jc w:val="both"/>
        <w:rPr>
          <w:rFonts w:hint="eastAsia" w:ascii="宋体" w:hAnsi="宋体" w:eastAsia="宋体" w:cs="宋体"/>
        </w:rPr>
      </w:pPr>
    </w:p>
    <w:p w14:paraId="4ED5FA36">
      <w:pPr>
        <w:pStyle w:val="44"/>
        <w:spacing w:beforeAutospacing="0" w:afterAutospacing="0" w:line="0" w:lineRule="atLeast"/>
        <w:ind w:firstLine="480"/>
        <w:jc w:val="both"/>
        <w:rPr>
          <w:rFonts w:hint="eastAsia" w:ascii="宋体" w:hAnsi="宋体" w:eastAsia="宋体" w:cs="宋体"/>
        </w:rPr>
      </w:pPr>
    </w:p>
    <w:p w14:paraId="2AAF068D">
      <w:pPr>
        <w:rPr>
          <w:rFonts w:hint="eastAsia" w:ascii="宋体" w:hAnsi="宋体" w:eastAsia="宋体" w:cs="宋体"/>
          <w:color w:val="000000"/>
          <w:sz w:val="32"/>
          <w:szCs w:val="32"/>
          <w:u w:val="single"/>
        </w:rPr>
      </w:pPr>
    </w:p>
    <w:p w14:paraId="20A9CB38">
      <w:pPr>
        <w:pStyle w:val="44"/>
        <w:spacing w:beforeAutospacing="0" w:afterAutospacing="0"/>
        <w:jc w:val="both"/>
        <w:rPr>
          <w:rFonts w:hint="eastAsia" w:ascii="宋体" w:hAnsi="宋体" w:eastAsia="宋体" w:cs="宋体"/>
        </w:rPr>
      </w:pPr>
      <w:r>
        <w:rPr>
          <w:rFonts w:hint="eastAsia" w:ascii="宋体" w:hAnsi="宋体" w:eastAsia="宋体" w:cs="宋体"/>
          <w:color w:val="000000"/>
          <w:sz w:val="32"/>
          <w:szCs w:val="32"/>
          <w:u w:val="single"/>
        </w:rPr>
        <w:t>一、</w:t>
      </w:r>
      <w:r>
        <w:rPr>
          <w:rFonts w:hint="eastAsia" w:ascii="宋体" w:hAnsi="宋体" w:eastAsia="宋体" w:cs="宋体"/>
          <w:i/>
          <w:color w:val="000000"/>
          <w:sz w:val="32"/>
          <w:szCs w:val="32"/>
          <w:u w:val="single"/>
        </w:rPr>
        <w:t>法人或者其他组织的营业执照等证明文件，自然人的身份证明</w:t>
      </w:r>
    </w:p>
    <w:p w14:paraId="5C26263B">
      <w:pPr>
        <w:pStyle w:val="44"/>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14:paraId="2B75E2BB">
      <w:pPr>
        <w:pStyle w:val="44"/>
        <w:spacing w:beforeAutospacing="0" w:afterAutospacing="0"/>
        <w:jc w:val="both"/>
        <w:rPr>
          <w:rFonts w:hint="eastAsia" w:ascii="宋体" w:hAnsi="宋体" w:eastAsia="宋体" w:cs="宋体"/>
        </w:rPr>
      </w:pPr>
      <w:r>
        <w:rPr>
          <w:rFonts w:hint="eastAsia" w:ascii="宋体" w:hAnsi="宋体" w:eastAsia="宋体" w:cs="宋体"/>
          <w:color w:val="000000"/>
          <w:sz w:val="32"/>
          <w:szCs w:val="32"/>
          <w:u w:val="single"/>
        </w:rPr>
        <w:t>二、</w:t>
      </w:r>
      <w:r>
        <w:rPr>
          <w:rFonts w:hint="eastAsia" w:ascii="宋体" w:hAnsi="宋体" w:eastAsia="宋体" w:cs="宋体"/>
          <w:i/>
          <w:color w:val="000000"/>
          <w:sz w:val="32"/>
          <w:szCs w:val="32"/>
          <w:u w:val="single"/>
        </w:rPr>
        <w:t>上一年度的财务状况报表至少包含资产负债表、利润表</w:t>
      </w:r>
    </w:p>
    <w:p w14:paraId="3EF2D65C">
      <w:pPr>
        <w:pStyle w:val="44"/>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投标人成立不满一年无需提供</w:t>
      </w:r>
    </w:p>
    <w:p w14:paraId="452CB137">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1DAB3835">
      <w:pPr>
        <w:pStyle w:val="44"/>
        <w:spacing w:beforeAutospacing="0" w:afterAutospacing="0"/>
        <w:jc w:val="both"/>
        <w:rPr>
          <w:rFonts w:hint="eastAsia" w:ascii="宋体" w:hAnsi="宋体" w:eastAsia="宋体" w:cs="宋体"/>
        </w:rPr>
      </w:pPr>
      <w:r>
        <w:rPr>
          <w:rFonts w:hint="eastAsia" w:ascii="宋体" w:hAnsi="宋体" w:eastAsia="宋体" w:cs="宋体"/>
          <w:color w:val="000000"/>
          <w:sz w:val="32"/>
          <w:szCs w:val="32"/>
          <w:u w:val="single"/>
        </w:rPr>
        <w:t>三、</w:t>
      </w:r>
      <w:r>
        <w:rPr>
          <w:rFonts w:hint="eastAsia" w:ascii="宋体" w:hAnsi="宋体" w:eastAsia="宋体" w:cs="宋体"/>
          <w:i/>
          <w:color w:val="000000"/>
          <w:sz w:val="32"/>
          <w:szCs w:val="32"/>
          <w:u w:val="single"/>
        </w:rPr>
        <w:t>依法缴纳税收和社会保障资金的相关材料</w:t>
      </w:r>
    </w:p>
    <w:p w14:paraId="6EBCA582">
      <w:pPr>
        <w:pStyle w:val="44"/>
        <w:spacing w:beforeAutospacing="0" w:afterAutospacing="0"/>
        <w:ind w:firstLine="480"/>
        <w:jc w:val="both"/>
        <w:rPr>
          <w:rFonts w:hint="eastAsia" w:ascii="宋体" w:hAnsi="宋体" w:eastAsia="宋体" w:cs="宋体"/>
        </w:rPr>
      </w:pPr>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p>
    <w:p w14:paraId="3CD65315">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5BC937E3">
      <w:pPr>
        <w:pStyle w:val="44"/>
        <w:spacing w:beforeAutospacing="0" w:afterAutospacing="0"/>
        <w:jc w:val="both"/>
        <w:rPr>
          <w:rFonts w:hint="eastAsia" w:ascii="宋体" w:hAnsi="宋体" w:eastAsia="宋体" w:cs="宋体"/>
        </w:rPr>
      </w:pPr>
      <w:r>
        <w:rPr>
          <w:rFonts w:hint="eastAsia" w:ascii="宋体" w:hAnsi="宋体" w:eastAsia="宋体" w:cs="宋体"/>
          <w:color w:val="000000"/>
          <w:sz w:val="32"/>
          <w:szCs w:val="32"/>
          <w:u w:val="single"/>
        </w:rPr>
        <w:t>四、</w:t>
      </w:r>
      <w:r>
        <w:rPr>
          <w:rFonts w:hint="eastAsia" w:ascii="宋体" w:hAnsi="宋体" w:eastAsia="宋体" w:cs="宋体"/>
          <w:i/>
          <w:color w:val="000000"/>
          <w:sz w:val="32"/>
          <w:szCs w:val="32"/>
          <w:u w:val="single"/>
        </w:rPr>
        <w:t>具备履行合同所必需的设备和专业技术能力的书面声明</w:t>
      </w:r>
    </w:p>
    <w:p w14:paraId="18296C6F">
      <w:pPr>
        <w:pStyle w:val="44"/>
        <w:spacing w:beforeAutospacing="0" w:afterAutospacing="0" w:line="0" w:lineRule="atLeast"/>
        <w:ind w:firstLine="492"/>
        <w:jc w:val="both"/>
        <w:rPr>
          <w:rFonts w:hint="eastAsia" w:ascii="宋体" w:hAnsi="宋体" w:eastAsia="宋体" w:cs="宋体"/>
        </w:rPr>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75547673">
      <w:pPr>
        <w:pStyle w:val="44"/>
        <w:spacing w:beforeAutospacing="0" w:afterAutospacing="0" w:line="0" w:lineRule="atLeast"/>
        <w:ind w:firstLine="492"/>
        <w:jc w:val="both"/>
        <w:rPr>
          <w:rFonts w:hint="eastAsia" w:ascii="宋体" w:hAnsi="宋体" w:eastAsia="宋体" w:cs="宋体"/>
        </w:rPr>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0C72721A">
      <w:pPr>
        <w:pStyle w:val="44"/>
        <w:spacing w:beforeAutospacing="0" w:afterAutospacing="0" w:line="0" w:lineRule="atLeast"/>
        <w:ind w:firstLine="492"/>
        <w:jc w:val="both"/>
        <w:rPr>
          <w:rFonts w:hint="eastAsia" w:ascii="宋体" w:hAnsi="宋体" w:eastAsia="宋体" w:cs="宋体"/>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75AEF823">
      <w:pPr>
        <w:pStyle w:val="44"/>
        <w:spacing w:beforeAutospacing="0" w:afterAutospacing="0" w:line="0" w:lineRule="atLeast"/>
        <w:jc w:val="both"/>
        <w:rPr>
          <w:rFonts w:hint="eastAsia" w:ascii="宋体" w:hAnsi="宋体" w:eastAsia="宋体" w:cs="宋体"/>
        </w:rPr>
      </w:pPr>
      <w:r>
        <w:rPr>
          <w:rFonts w:hint="eastAsia" w:ascii="宋体" w:hAnsi="宋体" w:eastAsia="宋体" w:cs="宋体"/>
          <w:color w:val="000000"/>
        </w:rPr>
        <w:t>                                  </w:t>
      </w:r>
    </w:p>
    <w:p w14:paraId="482B3E7A">
      <w:pPr>
        <w:pStyle w:val="44"/>
        <w:spacing w:beforeAutospacing="0" w:afterAutospacing="0"/>
        <w:jc w:val="both"/>
        <w:rPr>
          <w:rFonts w:hint="eastAsia" w:ascii="宋体" w:hAnsi="宋体" w:eastAsia="宋体" w:cs="宋体"/>
        </w:rPr>
      </w:pPr>
      <w:r>
        <w:rPr>
          <w:rFonts w:hint="eastAsia" w:ascii="宋体" w:hAnsi="宋体" w:eastAsia="宋体" w:cs="宋体"/>
          <w:color w:val="000000"/>
          <w:sz w:val="32"/>
          <w:szCs w:val="32"/>
          <w:u w:val="single"/>
        </w:rPr>
        <w:t>五、</w:t>
      </w:r>
      <w:r>
        <w:rPr>
          <w:rFonts w:hint="eastAsia" w:ascii="宋体" w:hAnsi="宋体" w:eastAsia="宋体" w:cs="宋体"/>
          <w:i/>
          <w:color w:val="000000"/>
          <w:sz w:val="32"/>
          <w:szCs w:val="32"/>
          <w:u w:val="single"/>
        </w:rPr>
        <w:t>参加政府采购活动前 3 年内在经营活动中没有重大违法记录的书面声明</w:t>
      </w:r>
    </w:p>
    <w:p w14:paraId="5F3533B3">
      <w:pPr>
        <w:pStyle w:val="44"/>
        <w:spacing w:beforeAutospacing="0" w:afterAutospacing="0" w:line="0" w:lineRule="atLeast"/>
        <w:jc w:val="both"/>
        <w:rPr>
          <w:rFonts w:hint="eastAsia" w:ascii="宋体" w:hAnsi="宋体" w:eastAsia="宋体" w:cs="宋体"/>
          <w:b/>
          <w:color w:val="000000"/>
          <w:sz w:val="44"/>
          <w:szCs w:val="44"/>
        </w:rPr>
      </w:pPr>
      <w:r>
        <w:rPr>
          <w:rFonts w:hint="eastAsia" w:ascii="宋体" w:hAnsi="宋体" w:eastAsia="宋体" w:cs="宋体"/>
          <w:b/>
          <w:color w:val="000000"/>
          <w:sz w:val="44"/>
          <w:szCs w:val="44"/>
        </w:rPr>
        <w:t>                </w:t>
      </w:r>
    </w:p>
    <w:p w14:paraId="7611D603">
      <w:pPr>
        <w:pStyle w:val="44"/>
        <w:spacing w:beforeAutospacing="0" w:afterAutospacing="0" w:line="0" w:lineRule="atLeast"/>
        <w:ind w:firstLine="3092"/>
        <w:jc w:val="both"/>
        <w:rPr>
          <w:rFonts w:hint="eastAsia" w:ascii="宋体" w:hAnsi="宋体" w:eastAsia="宋体" w:cs="宋体"/>
        </w:rPr>
      </w:pPr>
      <w:r>
        <w:rPr>
          <w:rFonts w:hint="eastAsia" w:ascii="宋体" w:hAnsi="宋体" w:eastAsia="宋体" w:cs="宋体"/>
          <w:b/>
          <w:color w:val="000000"/>
          <w:sz w:val="44"/>
          <w:szCs w:val="44"/>
        </w:rPr>
        <w:t xml:space="preserve"> 声  明</w:t>
      </w:r>
    </w:p>
    <w:p w14:paraId="61682493">
      <w:pPr>
        <w:pStyle w:val="44"/>
        <w:spacing w:beforeAutospacing="0" w:afterAutospacing="0" w:line="0" w:lineRule="atLeast"/>
        <w:jc w:val="both"/>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0F188619">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0BD0BAD0">
      <w:pPr>
        <w:pStyle w:val="44"/>
        <w:spacing w:beforeAutospacing="0" w:afterAutospacing="0"/>
        <w:jc w:val="both"/>
        <w:rPr>
          <w:rFonts w:hint="eastAsia" w:ascii="宋体" w:hAnsi="宋体" w:eastAsia="宋体" w:cs="宋体"/>
          <w:highlight w:val="yellow"/>
        </w:rPr>
      </w:pPr>
      <w:r>
        <w:rPr>
          <w:rFonts w:hint="eastAsia" w:ascii="宋体" w:hAnsi="宋体" w:eastAsia="宋体" w:cs="宋体"/>
          <w:color w:val="000000"/>
          <w:sz w:val="32"/>
          <w:szCs w:val="32"/>
          <w:u w:val="single"/>
        </w:rPr>
        <w:t>六、</w:t>
      </w:r>
      <w:r>
        <w:rPr>
          <w:rFonts w:hint="eastAsia" w:ascii="宋体" w:hAnsi="宋体" w:eastAsia="宋体" w:cs="宋体"/>
          <w:i/>
          <w:color w:val="000000"/>
          <w:sz w:val="32"/>
          <w:szCs w:val="32"/>
          <w:u w:val="single"/>
        </w:rPr>
        <w:t>单位负责人为同一人或者存在直接控股、服务关系的不同供应商，不得参加同一合同项下的政府采购活动证明文件</w:t>
      </w:r>
    </w:p>
    <w:p w14:paraId="69941845">
      <w:pPr>
        <w:pStyle w:val="44"/>
        <w:spacing w:beforeAutospacing="0" w:afterAutospacing="0" w:line="0" w:lineRule="atLeast"/>
        <w:ind w:firstLine="1680"/>
        <w:jc w:val="both"/>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b/>
          <w:color w:val="000000"/>
          <w:sz w:val="44"/>
          <w:szCs w:val="44"/>
        </w:rPr>
        <w:t xml:space="preserve">   声  明</w:t>
      </w:r>
    </w:p>
    <w:p w14:paraId="24FFBB27">
      <w:pPr>
        <w:pStyle w:val="44"/>
        <w:spacing w:beforeAutospacing="0" w:afterAutospacing="0" w:line="0" w:lineRule="atLeast"/>
        <w:jc w:val="both"/>
        <w:rPr>
          <w:rFonts w:hint="eastAsia" w:ascii="宋体" w:hAnsi="宋体" w:eastAsia="宋体" w:cs="宋体"/>
        </w:rPr>
      </w:pPr>
      <w:r>
        <w:rPr>
          <w:rFonts w:hint="eastAsia" w:ascii="宋体" w:hAnsi="宋体" w:eastAsia="宋体" w:cs="宋体"/>
          <w:color w:val="000000"/>
        </w:rPr>
        <w:t>我单位不存在：单位负责人为同一人或者存在直接控股、管理关系的不同供应商，同时参加同一合同项下的政府采购活动。</w:t>
      </w:r>
    </w:p>
    <w:p w14:paraId="30B50DC3">
      <w:pPr>
        <w:pStyle w:val="44"/>
        <w:spacing w:beforeAutospacing="0" w:afterAutospacing="0"/>
        <w:jc w:val="center"/>
        <w:rPr>
          <w:rFonts w:hint="eastAsia" w:ascii="宋体" w:hAnsi="宋体" w:eastAsia="宋体" w:cs="宋体"/>
          <w:i/>
          <w:color w:val="000000"/>
          <w:sz w:val="32"/>
          <w:szCs w:val="32"/>
          <w:u w:val="single"/>
        </w:rPr>
      </w:pPr>
      <w:bookmarkStart w:id="181" w:name="_Toc120614284"/>
    </w:p>
    <w:p w14:paraId="314050C8">
      <w:pPr>
        <w:pStyle w:val="44"/>
        <w:spacing w:beforeAutospacing="0" w:afterAutospacing="0"/>
        <w:jc w:val="center"/>
        <w:rPr>
          <w:rFonts w:hint="eastAsia" w:ascii="宋体" w:hAnsi="宋体" w:eastAsia="宋体" w:cs="宋体"/>
          <w:i/>
          <w:color w:val="000000"/>
          <w:sz w:val="32"/>
          <w:szCs w:val="32"/>
          <w:u w:val="single"/>
        </w:rPr>
      </w:pPr>
    </w:p>
    <w:p w14:paraId="5F65E943">
      <w:pPr>
        <w:pStyle w:val="44"/>
        <w:spacing w:beforeAutospacing="0" w:afterAutospacing="0"/>
        <w:jc w:val="center"/>
        <w:rPr>
          <w:rFonts w:hint="eastAsia" w:ascii="宋体" w:hAnsi="宋体" w:eastAsia="宋体" w:cs="宋体"/>
          <w:color w:val="000000"/>
          <w:sz w:val="32"/>
          <w:szCs w:val="32"/>
          <w:u w:val="single"/>
        </w:rPr>
      </w:pPr>
    </w:p>
    <w:p w14:paraId="5111B4AD">
      <w:pPr>
        <w:pStyle w:val="44"/>
        <w:spacing w:beforeAutospacing="0" w:afterAutospacing="0"/>
        <w:jc w:val="center"/>
        <w:rPr>
          <w:rFonts w:hint="eastAsia" w:ascii="宋体" w:hAnsi="宋体" w:eastAsia="宋体" w:cs="宋体"/>
          <w:color w:val="000000"/>
          <w:sz w:val="32"/>
          <w:szCs w:val="32"/>
        </w:rPr>
      </w:pPr>
    </w:p>
    <w:p w14:paraId="4B13646A">
      <w:pPr>
        <w:pStyle w:val="44"/>
        <w:spacing w:beforeAutospacing="0" w:afterAutospacing="0"/>
        <w:jc w:val="center"/>
        <w:rPr>
          <w:rFonts w:hint="eastAsia" w:ascii="宋体" w:hAnsi="宋体" w:eastAsia="宋体" w:cs="宋体"/>
          <w:color w:val="000000"/>
          <w:sz w:val="32"/>
          <w:szCs w:val="32"/>
        </w:rPr>
      </w:pPr>
    </w:p>
    <w:p w14:paraId="4EC537C9">
      <w:pPr>
        <w:pStyle w:val="44"/>
        <w:spacing w:beforeAutospacing="0" w:afterAutospacing="0"/>
        <w:jc w:val="center"/>
        <w:rPr>
          <w:rFonts w:hint="eastAsia" w:ascii="宋体" w:hAnsi="宋体" w:eastAsia="宋体" w:cs="宋体"/>
          <w:color w:val="000000"/>
          <w:sz w:val="32"/>
          <w:szCs w:val="32"/>
        </w:rPr>
      </w:pPr>
    </w:p>
    <w:p w14:paraId="418FA32E">
      <w:pPr>
        <w:rPr>
          <w:rFonts w:hint="eastAsia" w:ascii="宋体" w:hAnsi="宋体" w:eastAsia="宋体" w:cs="宋体"/>
          <w:color w:val="000000"/>
          <w:sz w:val="32"/>
          <w:szCs w:val="32"/>
        </w:rPr>
      </w:pPr>
      <w:r>
        <w:rPr>
          <w:rFonts w:hint="eastAsia" w:ascii="宋体" w:hAnsi="宋体" w:eastAsia="宋体" w:cs="宋体"/>
          <w:color w:val="000000"/>
          <w:sz w:val="32"/>
          <w:szCs w:val="32"/>
        </w:rPr>
        <w:br w:type="page"/>
      </w:r>
    </w:p>
    <w:p w14:paraId="07916B9F">
      <w:pPr>
        <w:pStyle w:val="44"/>
        <w:spacing w:beforeAutospacing="0" w:afterAutospacing="0"/>
        <w:jc w:val="center"/>
        <w:rPr>
          <w:rFonts w:hint="eastAsia" w:ascii="宋体" w:hAnsi="宋体" w:eastAsia="宋体" w:cs="宋体"/>
        </w:rPr>
      </w:pPr>
      <w:r>
        <w:rPr>
          <w:rFonts w:hint="eastAsia" w:ascii="宋体" w:hAnsi="宋体" w:eastAsia="宋体" w:cs="宋体"/>
          <w:color w:val="000000"/>
          <w:sz w:val="32"/>
          <w:szCs w:val="32"/>
        </w:rPr>
        <w:t>七、法人授权书</w:t>
      </w:r>
    </w:p>
    <w:p w14:paraId="5209B8E8">
      <w:pPr>
        <w:pStyle w:val="44"/>
        <w:keepNext w:val="0"/>
        <w:keepLines w:val="0"/>
        <w:pageBreakBefore w:val="0"/>
        <w:widowControl w:val="0"/>
        <w:tabs>
          <w:tab w:val="left" w:pos="360"/>
        </w:tabs>
        <w:kinsoku/>
        <w:wordWrap/>
        <w:overflowPunct/>
        <w:topLinePunct w:val="0"/>
        <w:autoSpaceDE/>
        <w:autoSpaceDN/>
        <w:bidi w:val="0"/>
        <w:adjustRightInd/>
        <w:snapToGrid/>
        <w:spacing w:before="541" w:beforeLines="150" w:beforeAutospacing="0" w:afterAutospacing="0" w:line="360" w:lineRule="auto"/>
        <w:ind w:firstLine="482"/>
        <w:jc w:val="both"/>
        <w:textAlignment w:val="auto"/>
        <w:rPr>
          <w:rFonts w:hint="eastAsia" w:ascii="宋体" w:hAnsi="宋体" w:eastAsia="宋体" w:cs="宋体"/>
        </w:rPr>
      </w:pPr>
      <w:r>
        <w:rPr>
          <w:rFonts w:hint="eastAsia" w:ascii="宋体" w:hAnsi="宋体" w:eastAsia="宋体" w:cs="宋体"/>
          <w:color w:val="000000"/>
        </w:rPr>
        <w:t>本授权书声明：____________（投标人名称）授权________________（被授权人的姓名）为我方就JSZC-</w:t>
      </w:r>
      <w:r>
        <w:rPr>
          <w:rFonts w:hint="eastAsia" w:ascii="宋体" w:hAnsi="宋体" w:eastAsia="宋体" w:cs="宋体"/>
          <w:color w:val="000000"/>
          <w:u w:val="single"/>
        </w:rPr>
        <w:t xml:space="preserve">        </w:t>
      </w:r>
      <w:r>
        <w:rPr>
          <w:rFonts w:hint="eastAsia" w:ascii="宋体" w:hAnsi="宋体" w:eastAsia="宋体" w:cs="宋体"/>
          <w:color w:val="000000"/>
        </w:rPr>
        <w:t>号项目采购活动的合法代理人，以本单位名义全权处理一切与该项目采购有关的事务。</w:t>
      </w:r>
    </w:p>
    <w:p w14:paraId="595EBCB7">
      <w:pPr>
        <w:pStyle w:val="4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本授权书于______年____月____日起生效，特此声明。</w:t>
      </w:r>
    </w:p>
    <w:p w14:paraId="425C9582">
      <w:pPr>
        <w:pStyle w:val="4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rPr>
      </w:pPr>
      <w:r>
        <w:rPr>
          <w:rFonts w:hint="eastAsia" w:ascii="宋体" w:hAnsi="宋体" w:eastAsia="宋体" w:cs="宋体"/>
          <w:color w:val="000000"/>
        </w:rPr>
        <w:t>  被授权人身份证号码：</w:t>
      </w:r>
      <w:r>
        <w:rPr>
          <w:rFonts w:hint="eastAsia" w:ascii="宋体" w:hAnsi="宋体" w:eastAsia="宋体" w:cs="宋体"/>
          <w:color w:val="000000"/>
          <w:u w:val="single"/>
        </w:rPr>
        <w:t xml:space="preserve">                      </w:t>
      </w:r>
    </w:p>
    <w:p w14:paraId="6FF71AC0">
      <w:pPr>
        <w:pStyle w:val="4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被授权人联系电话：（手机）</w:t>
      </w:r>
      <w:r>
        <w:rPr>
          <w:rFonts w:hint="eastAsia" w:ascii="宋体" w:hAnsi="宋体" w:eastAsia="宋体" w:cs="宋体"/>
          <w:color w:val="000000"/>
          <w:u w:val="single"/>
        </w:rPr>
        <w:t>                </w:t>
      </w:r>
    </w:p>
    <w:p w14:paraId="72AD13F4">
      <w:pPr>
        <w:pStyle w:val="4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授权单位名称：</w:t>
      </w:r>
      <w:r>
        <w:rPr>
          <w:rFonts w:hint="eastAsia" w:ascii="宋体" w:hAnsi="宋体" w:eastAsia="宋体" w:cs="宋体"/>
          <w:color w:val="000000"/>
          <w:u w:val="single"/>
        </w:rPr>
        <w:t>（加盖CA电子公章）</w:t>
      </w:r>
    </w:p>
    <w:p w14:paraId="6FABD42B">
      <w:pPr>
        <w:pStyle w:val="4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单位地址：</w:t>
      </w:r>
      <w:r>
        <w:rPr>
          <w:rFonts w:hint="eastAsia" w:ascii="宋体" w:hAnsi="宋体" w:eastAsia="宋体" w:cs="宋体"/>
          <w:color w:val="000000"/>
          <w:u w:val="single"/>
        </w:rPr>
        <w:t xml:space="preserve">                       </w:t>
      </w:r>
    </w:p>
    <w:p w14:paraId="56756C05">
      <w:pPr>
        <w:pStyle w:val="4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日期：</w:t>
      </w:r>
      <w:bookmarkStart w:id="182" w:name="_格式3__银行出具的资信证明"/>
      <w:bookmarkStart w:id="183" w:name="_Hlt26955070"/>
      <w:bookmarkStart w:id="184" w:name="_Hlt26671380"/>
      <w:r>
        <w:rPr>
          <w:rFonts w:hint="eastAsia" w:ascii="宋体" w:hAnsi="宋体" w:eastAsia="宋体" w:cs="宋体"/>
          <w:color w:val="000000"/>
          <w:u w:val="single"/>
        </w:rPr>
        <w:t>                                               </w:t>
      </w:r>
    </w:p>
    <w:p w14:paraId="59D47605">
      <w:pPr>
        <w:pStyle w:val="44"/>
        <w:spacing w:beforeAutospacing="0" w:afterAutospacing="0"/>
        <w:ind w:firstLine="420"/>
        <w:jc w:val="both"/>
        <w:rPr>
          <w:rFonts w:hint="eastAsia" w:ascii="宋体" w:hAnsi="宋体" w:eastAsia="宋体" w:cs="宋体"/>
        </w:rPr>
      </w:pPr>
    </w:p>
    <w:p w14:paraId="43B3781F">
      <w:pPr>
        <w:pStyle w:val="44"/>
        <w:spacing w:beforeAutospacing="0" w:afterAutospacing="0"/>
        <w:ind w:firstLine="420"/>
        <w:jc w:val="both"/>
        <w:rPr>
          <w:rFonts w:hint="eastAsia" w:ascii="宋体" w:hAnsi="宋体" w:eastAsia="宋体" w:cs="宋体"/>
        </w:rPr>
      </w:pPr>
    </w:p>
    <w:p w14:paraId="7C71B2C5">
      <w:pPr>
        <w:pStyle w:val="44"/>
        <w:spacing w:beforeAutospacing="0" w:afterAutospacing="0"/>
        <w:ind w:firstLine="420"/>
        <w:jc w:val="both"/>
        <w:rPr>
          <w:rFonts w:hint="eastAsia" w:ascii="宋体" w:hAnsi="宋体" w:eastAsia="宋体" w:cs="宋体"/>
        </w:rPr>
      </w:pPr>
    </w:p>
    <w:p w14:paraId="189BE7BD">
      <w:pPr>
        <w:pStyle w:val="44"/>
        <w:spacing w:beforeAutospacing="0" w:afterAutospacing="0"/>
        <w:ind w:firstLine="420"/>
        <w:jc w:val="both"/>
        <w:rPr>
          <w:rFonts w:hint="eastAsia" w:ascii="宋体" w:hAnsi="宋体" w:eastAsia="宋体" w:cs="宋体"/>
        </w:rPr>
      </w:pPr>
    </w:p>
    <w:p w14:paraId="6A373700">
      <w:pPr>
        <w:pStyle w:val="44"/>
        <w:spacing w:beforeAutospacing="0" w:afterAutospacing="0"/>
        <w:ind w:firstLine="420"/>
        <w:jc w:val="both"/>
        <w:rPr>
          <w:rFonts w:hint="eastAsia" w:ascii="宋体" w:hAnsi="宋体" w:eastAsia="宋体" w:cs="宋体"/>
        </w:rPr>
      </w:pPr>
    </w:p>
    <w:p w14:paraId="28E05F2D">
      <w:pPr>
        <w:pStyle w:val="44"/>
        <w:spacing w:beforeAutospacing="0" w:afterAutospacing="0"/>
        <w:ind w:firstLine="420"/>
        <w:jc w:val="both"/>
        <w:rPr>
          <w:rFonts w:hint="eastAsia" w:ascii="宋体" w:hAnsi="宋体" w:eastAsia="宋体" w:cs="宋体"/>
        </w:rPr>
      </w:pPr>
    </w:p>
    <w:p w14:paraId="559D8B5E">
      <w:pPr>
        <w:pStyle w:val="44"/>
        <w:spacing w:beforeAutospacing="0" w:afterAutospacing="0"/>
        <w:ind w:firstLine="420"/>
        <w:jc w:val="both"/>
        <w:rPr>
          <w:rFonts w:hint="eastAsia" w:ascii="宋体" w:hAnsi="宋体" w:eastAsia="宋体" w:cs="宋体"/>
        </w:rPr>
      </w:pPr>
    </w:p>
    <w:p w14:paraId="5E4A3D65">
      <w:pPr>
        <w:pStyle w:val="44"/>
        <w:spacing w:beforeAutospacing="0" w:afterAutospacing="0"/>
        <w:ind w:firstLine="420"/>
        <w:jc w:val="both"/>
        <w:rPr>
          <w:rFonts w:hint="eastAsia" w:ascii="宋体" w:hAnsi="宋体" w:eastAsia="宋体" w:cs="宋体"/>
        </w:rPr>
      </w:pPr>
    </w:p>
    <w:p w14:paraId="03226DDD">
      <w:pPr>
        <w:pStyle w:val="44"/>
        <w:spacing w:beforeAutospacing="0" w:afterAutospacing="0"/>
        <w:ind w:firstLine="420"/>
        <w:jc w:val="both"/>
        <w:rPr>
          <w:rFonts w:hint="eastAsia" w:ascii="宋体" w:hAnsi="宋体" w:eastAsia="宋体" w:cs="宋体"/>
        </w:rPr>
      </w:pPr>
    </w:p>
    <w:p w14:paraId="14FE065D">
      <w:pPr>
        <w:pStyle w:val="44"/>
        <w:spacing w:beforeAutospacing="0" w:afterAutospacing="0"/>
        <w:ind w:firstLine="420"/>
        <w:jc w:val="both"/>
        <w:rPr>
          <w:rFonts w:hint="eastAsia" w:ascii="宋体" w:hAnsi="宋体" w:eastAsia="宋体" w:cs="宋体"/>
        </w:rPr>
      </w:pPr>
    </w:p>
    <w:p w14:paraId="6AEDC5F5">
      <w:pPr>
        <w:pStyle w:val="44"/>
        <w:spacing w:beforeAutospacing="0" w:afterAutospacing="0"/>
        <w:ind w:firstLine="420"/>
        <w:jc w:val="both"/>
        <w:rPr>
          <w:rFonts w:hint="eastAsia" w:ascii="宋体" w:hAnsi="宋体" w:eastAsia="宋体" w:cs="宋体"/>
        </w:rPr>
      </w:pPr>
    </w:p>
    <w:p w14:paraId="3E827737">
      <w:pPr>
        <w:pStyle w:val="44"/>
        <w:spacing w:beforeAutospacing="0" w:afterAutospacing="0"/>
        <w:ind w:firstLine="420"/>
        <w:jc w:val="both"/>
        <w:rPr>
          <w:rFonts w:hint="eastAsia" w:ascii="宋体" w:hAnsi="宋体" w:eastAsia="宋体" w:cs="宋体"/>
        </w:rPr>
      </w:pPr>
    </w:p>
    <w:p w14:paraId="215C9071">
      <w:pPr>
        <w:pStyle w:val="44"/>
        <w:spacing w:beforeAutospacing="0" w:afterAutospacing="0"/>
        <w:ind w:firstLine="420"/>
        <w:jc w:val="both"/>
        <w:rPr>
          <w:rFonts w:hint="eastAsia" w:ascii="宋体" w:hAnsi="宋体" w:eastAsia="宋体" w:cs="宋体"/>
        </w:rPr>
      </w:pPr>
    </w:p>
    <w:p w14:paraId="388B5CB8">
      <w:pPr>
        <w:pStyle w:val="44"/>
        <w:spacing w:beforeAutospacing="0" w:afterAutospacing="0"/>
        <w:ind w:firstLine="420"/>
        <w:jc w:val="both"/>
        <w:rPr>
          <w:rFonts w:hint="eastAsia" w:ascii="宋体" w:hAnsi="宋体" w:eastAsia="宋体" w:cs="宋体"/>
        </w:rPr>
      </w:pPr>
    </w:p>
    <w:p w14:paraId="11F6A157">
      <w:pPr>
        <w:pStyle w:val="44"/>
        <w:spacing w:beforeAutospacing="0" w:afterAutospacing="0"/>
        <w:ind w:firstLine="420"/>
        <w:jc w:val="both"/>
        <w:rPr>
          <w:rFonts w:hint="eastAsia" w:ascii="宋体" w:hAnsi="宋体" w:eastAsia="宋体" w:cs="宋体"/>
        </w:rPr>
      </w:pPr>
    </w:p>
    <w:p w14:paraId="781DB728">
      <w:pPr>
        <w:pStyle w:val="44"/>
        <w:spacing w:beforeAutospacing="0" w:afterAutospacing="0"/>
        <w:ind w:firstLine="420"/>
        <w:jc w:val="both"/>
        <w:rPr>
          <w:rFonts w:hint="eastAsia" w:ascii="宋体" w:hAnsi="宋体" w:eastAsia="宋体" w:cs="宋体"/>
        </w:rPr>
      </w:pPr>
    </w:p>
    <w:p w14:paraId="29E239F8">
      <w:pPr>
        <w:pStyle w:val="44"/>
        <w:spacing w:beforeAutospacing="0" w:afterAutospacing="0"/>
        <w:ind w:firstLine="420"/>
        <w:jc w:val="both"/>
        <w:rPr>
          <w:rFonts w:hint="eastAsia" w:ascii="宋体" w:hAnsi="宋体" w:eastAsia="宋体" w:cs="宋体"/>
        </w:rPr>
      </w:pPr>
    </w:p>
    <w:p w14:paraId="0B140952">
      <w:pPr>
        <w:pStyle w:val="44"/>
        <w:spacing w:beforeAutospacing="0" w:afterAutospacing="0"/>
        <w:ind w:firstLine="420"/>
        <w:jc w:val="both"/>
        <w:rPr>
          <w:rFonts w:hint="eastAsia" w:ascii="宋体" w:hAnsi="宋体" w:eastAsia="宋体" w:cs="宋体"/>
        </w:rPr>
      </w:pPr>
    </w:p>
    <w:p w14:paraId="466A7346">
      <w:pPr>
        <w:pStyle w:val="44"/>
        <w:spacing w:beforeAutospacing="0" w:afterAutospacing="0"/>
        <w:ind w:firstLine="420"/>
        <w:jc w:val="both"/>
        <w:rPr>
          <w:rFonts w:hint="eastAsia" w:ascii="宋体" w:hAnsi="宋体" w:eastAsia="宋体" w:cs="宋体"/>
        </w:rPr>
      </w:pPr>
    </w:p>
    <w:p w14:paraId="3A8768D6">
      <w:pPr>
        <w:pStyle w:val="44"/>
        <w:spacing w:beforeAutospacing="0" w:afterAutospacing="0"/>
        <w:ind w:firstLine="420"/>
        <w:jc w:val="both"/>
        <w:rPr>
          <w:rFonts w:hint="eastAsia" w:ascii="宋体" w:hAnsi="宋体" w:eastAsia="宋体" w:cs="宋体"/>
        </w:rPr>
      </w:pPr>
    </w:p>
    <w:p w14:paraId="473946FA">
      <w:pPr>
        <w:pStyle w:val="44"/>
        <w:spacing w:beforeAutospacing="0" w:afterAutospacing="0"/>
        <w:ind w:firstLine="420"/>
        <w:jc w:val="both"/>
        <w:rPr>
          <w:rFonts w:hint="eastAsia" w:ascii="宋体" w:hAnsi="宋体" w:eastAsia="宋体" w:cs="宋体"/>
        </w:rPr>
      </w:pPr>
    </w:p>
    <w:p w14:paraId="042AAFF4">
      <w:pPr>
        <w:pStyle w:val="44"/>
        <w:spacing w:beforeAutospacing="0" w:afterAutospacing="0"/>
        <w:ind w:firstLine="420"/>
        <w:jc w:val="both"/>
        <w:rPr>
          <w:rFonts w:hint="eastAsia" w:ascii="宋体" w:hAnsi="宋体" w:eastAsia="宋体" w:cs="宋体"/>
        </w:rPr>
      </w:pPr>
    </w:p>
    <w:p w14:paraId="608645A9">
      <w:pPr>
        <w:pStyle w:val="44"/>
        <w:spacing w:beforeAutospacing="0" w:afterAutospacing="0"/>
        <w:ind w:firstLine="420"/>
        <w:jc w:val="both"/>
        <w:rPr>
          <w:rFonts w:hint="eastAsia" w:ascii="宋体" w:hAnsi="宋体" w:eastAsia="宋体" w:cs="宋体"/>
        </w:rPr>
      </w:pPr>
    </w:p>
    <w:p w14:paraId="7E18E15A">
      <w:pPr>
        <w:pStyle w:val="44"/>
        <w:spacing w:beforeAutospacing="0" w:afterAutospacing="0"/>
        <w:ind w:firstLine="420"/>
        <w:jc w:val="both"/>
        <w:rPr>
          <w:rFonts w:hint="eastAsia" w:ascii="宋体" w:hAnsi="宋体" w:eastAsia="宋体" w:cs="宋体"/>
        </w:rPr>
      </w:pPr>
    </w:p>
    <w:p w14:paraId="3B09230F">
      <w:pPr>
        <w:pStyle w:val="44"/>
        <w:spacing w:beforeAutospacing="0" w:afterAutospacing="0"/>
        <w:ind w:firstLine="420"/>
        <w:jc w:val="both"/>
        <w:rPr>
          <w:rFonts w:hint="eastAsia" w:ascii="宋体" w:hAnsi="宋体" w:eastAsia="宋体" w:cs="宋体"/>
        </w:rPr>
      </w:pPr>
    </w:p>
    <w:p w14:paraId="09F096EE">
      <w:pPr>
        <w:pStyle w:val="44"/>
        <w:spacing w:beforeAutospacing="0" w:afterAutospacing="0"/>
        <w:ind w:firstLine="420"/>
        <w:jc w:val="both"/>
        <w:rPr>
          <w:rFonts w:hint="eastAsia" w:ascii="宋体" w:hAnsi="宋体" w:eastAsia="宋体" w:cs="宋体"/>
        </w:rPr>
      </w:pPr>
    </w:p>
    <w:p w14:paraId="598859ED">
      <w:pPr>
        <w:pStyle w:val="44"/>
        <w:spacing w:beforeAutospacing="0" w:afterAutospacing="0"/>
        <w:ind w:firstLine="420"/>
        <w:jc w:val="both"/>
        <w:rPr>
          <w:rFonts w:hint="eastAsia" w:ascii="宋体" w:hAnsi="宋体" w:eastAsia="宋体" w:cs="宋体"/>
        </w:rPr>
      </w:pPr>
    </w:p>
    <w:p w14:paraId="70FBF930">
      <w:pPr>
        <w:pStyle w:val="44"/>
        <w:spacing w:beforeAutospacing="0" w:afterAutospacing="0"/>
        <w:ind w:firstLine="420"/>
        <w:jc w:val="both"/>
        <w:rPr>
          <w:rFonts w:hint="eastAsia" w:ascii="宋体" w:hAnsi="宋体" w:eastAsia="宋体" w:cs="宋体"/>
        </w:rPr>
      </w:pPr>
    </w:p>
    <w:p w14:paraId="0AF7FAFA">
      <w:pPr>
        <w:pStyle w:val="44"/>
        <w:keepNext/>
        <w:keepLines/>
        <w:spacing w:before="260" w:beforeAutospacing="0" w:after="260" w:afterAutospacing="0" w:line="415" w:lineRule="auto"/>
        <w:ind w:firstLine="3390"/>
        <w:jc w:val="both"/>
        <w:rPr>
          <w:rFonts w:hint="eastAsia" w:ascii="宋体" w:hAnsi="宋体" w:eastAsia="宋体" w:cs="宋体"/>
          <w:u w:val="none"/>
        </w:rPr>
      </w:pPr>
      <w:r>
        <w:rPr>
          <w:rFonts w:hint="eastAsia" w:ascii="宋体" w:hAnsi="宋体" w:eastAsia="宋体" w:cs="宋体"/>
          <w:b/>
          <w:color w:val="000000"/>
          <w:u w:val="none"/>
        </w:rPr>
        <w:t> </w:t>
      </w:r>
      <w:r>
        <w:rPr>
          <w:rFonts w:hint="eastAsia" w:ascii="宋体" w:hAnsi="宋体" w:eastAsia="宋体" w:cs="宋体"/>
          <w:b/>
          <w:color w:val="000000"/>
          <w:sz w:val="32"/>
          <w:szCs w:val="32"/>
          <w:u w:val="none"/>
        </w:rPr>
        <w:t>八、投标函</w:t>
      </w:r>
    </w:p>
    <w:p w14:paraId="5C65F515">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宋体" w:hAnsi="宋体" w:eastAsia="宋体" w:cs="宋体"/>
          <w:u w:val="single"/>
          <w:lang w:val="en-US" w:eastAsia="zh-CN"/>
        </w:rPr>
      </w:pPr>
      <w:r>
        <w:rPr>
          <w:rFonts w:hint="eastAsia" w:ascii="宋体" w:hAnsi="宋体" w:eastAsia="宋体" w:cs="宋体"/>
          <w:color w:val="000000"/>
        </w:rPr>
        <w:t>致：</w:t>
      </w:r>
      <w:r>
        <w:rPr>
          <w:rFonts w:hint="eastAsia" w:ascii="宋体" w:hAnsi="宋体" w:eastAsia="宋体" w:cs="宋体"/>
          <w:color w:val="000000"/>
          <w:lang w:val="en-US" w:eastAsia="zh-CN"/>
        </w:rPr>
        <w:t xml:space="preserve"> </w:t>
      </w:r>
      <w:r>
        <w:rPr>
          <w:rFonts w:hint="eastAsia" w:ascii="宋体" w:hAnsi="宋体" w:eastAsia="宋体" w:cs="宋体"/>
          <w:color w:val="000000"/>
          <w:u w:val="single"/>
          <w:lang w:val="en-US" w:eastAsia="zh-CN"/>
        </w:rPr>
        <w:t xml:space="preserve">                     </w:t>
      </w:r>
    </w:p>
    <w:p w14:paraId="6FDA080C">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rPr>
      </w:pPr>
      <w:r>
        <w:rPr>
          <w:rFonts w:hint="eastAsia" w:ascii="宋体" w:hAnsi="宋体" w:eastAsia="宋体" w:cs="宋体"/>
          <w:color w:val="000000"/>
        </w:rPr>
        <w:t>根据贵方的</w:t>
      </w:r>
      <w:r>
        <w:rPr>
          <w:rFonts w:hint="eastAsia" w:ascii="宋体" w:hAnsi="宋体" w:eastAsia="宋体" w:cs="宋体"/>
          <w:color w:val="000000"/>
          <w:lang w:val="en-US" w:eastAsia="zh-CN"/>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号招标文件，正式授权下述签字人_________________(姓名)代表我方______________（投标人的名称），全权处理本次项目投标的有关事宜。</w:t>
      </w:r>
    </w:p>
    <w:p w14:paraId="2C623E00">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000000"/>
        </w:rPr>
      </w:pPr>
      <w:r>
        <w:rPr>
          <w:rFonts w:hint="eastAsia" w:ascii="宋体" w:hAnsi="宋体" w:eastAsia="宋体" w:cs="宋体"/>
          <w:color w:val="000000"/>
        </w:rPr>
        <w:t>据此函，__________签字人兹宣布同意如下：</w:t>
      </w:r>
    </w:p>
    <w:p w14:paraId="2A97A382">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rPr>
      </w:pPr>
      <w:r>
        <w:rPr>
          <w:rFonts w:hint="eastAsia" w:ascii="宋体" w:hAnsi="宋体" w:eastAsia="宋体" w:cs="宋体"/>
        </w:rPr>
        <w:t>1.我单位此次合同履行期限：供货期限（含安装调试工期）</w:t>
      </w:r>
      <w:r>
        <w:rPr>
          <w:rFonts w:hint="eastAsia" w:ascii="宋体" w:hAnsi="宋体" w:eastAsia="宋体" w:cs="宋体"/>
          <w:u w:val="single"/>
        </w:rPr>
        <w:t xml:space="preserve">      </w:t>
      </w:r>
      <w:r>
        <w:rPr>
          <w:rFonts w:hint="eastAsia" w:ascii="宋体" w:hAnsi="宋体" w:eastAsia="宋体" w:cs="宋体"/>
        </w:rPr>
        <w:t>日历天；免费质量保修期（所有产品）</w:t>
      </w:r>
      <w:r>
        <w:rPr>
          <w:rFonts w:hint="eastAsia" w:ascii="宋体" w:hAnsi="宋体" w:eastAsia="宋体" w:cs="宋体"/>
          <w:u w:val="single"/>
        </w:rPr>
        <w:t xml:space="preserve">     </w:t>
      </w:r>
      <w:r>
        <w:rPr>
          <w:rFonts w:hint="eastAsia" w:ascii="宋体" w:hAnsi="宋体" w:eastAsia="宋体" w:cs="宋体"/>
        </w:rPr>
        <w:t>年。质量标准：</w:t>
      </w:r>
      <w:r>
        <w:rPr>
          <w:rFonts w:hint="eastAsia" w:ascii="宋体" w:hAnsi="宋体" w:eastAsia="宋体" w:cs="宋体"/>
          <w:u w:val="single"/>
        </w:rPr>
        <w:t>合格</w:t>
      </w:r>
      <w:r>
        <w:rPr>
          <w:rFonts w:hint="eastAsia" w:ascii="宋体" w:hAnsi="宋体" w:eastAsia="宋体" w:cs="宋体"/>
        </w:rPr>
        <w:t>。</w:t>
      </w:r>
    </w:p>
    <w:p w14:paraId="67658534">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rPr>
      </w:pPr>
      <w:r>
        <w:rPr>
          <w:rFonts w:hint="eastAsia" w:ascii="宋体" w:hAnsi="宋体" w:eastAsia="宋体" w:cs="宋体"/>
          <w:color w:val="000000"/>
        </w:rPr>
        <w:t>2.按招标文件规定的各项要求，向买方提供所需货物（包含与货物相关的服务）。</w:t>
      </w:r>
    </w:p>
    <w:p w14:paraId="41CDFFB8">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rPr>
      </w:pPr>
      <w:r>
        <w:rPr>
          <w:rFonts w:hint="eastAsia" w:ascii="宋体" w:hAnsi="宋体" w:eastAsia="宋体" w:cs="宋体"/>
          <w:color w:val="000000"/>
        </w:rPr>
        <w:t>3.我们完全理解贵方不一定将合同授予最低报价的投标人。</w:t>
      </w:r>
    </w:p>
    <w:p w14:paraId="0F282247">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rPr>
      </w:pPr>
      <w:r>
        <w:rPr>
          <w:rFonts w:hint="eastAsia" w:ascii="宋体" w:hAnsi="宋体" w:eastAsia="宋体" w:cs="宋体"/>
          <w:color w:val="000000"/>
        </w:rPr>
        <w:t>4.我们已详细审核全部招标文件及其有效补充文件，我们知道必须放弃提出含糊不清或误解问题的权利。</w:t>
      </w:r>
    </w:p>
    <w:p w14:paraId="4DF5CE1A">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rPr>
      </w:pPr>
      <w:r>
        <w:rPr>
          <w:rFonts w:hint="eastAsia" w:ascii="宋体" w:hAnsi="宋体" w:eastAsia="宋体" w:cs="宋体"/>
          <w:color w:val="000000"/>
        </w:rPr>
        <w:t>5.我们同意从规定的开标日期起遵循本投标文件，并在规定的投标有效期期满之前均具有约束力。</w:t>
      </w:r>
    </w:p>
    <w:p w14:paraId="78C37E38">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rPr>
      </w:pPr>
      <w:r>
        <w:rPr>
          <w:rFonts w:hint="eastAsia" w:ascii="宋体" w:hAnsi="宋体" w:eastAsia="宋体" w:cs="宋体"/>
          <w:color w:val="000000"/>
        </w:rPr>
        <w:t>6.同意向贵方提供贵方可能另外要求的与投标有关的任何证据或资料，并保证我方已提供和将要提供的文件是真实的、准确的。</w:t>
      </w:r>
    </w:p>
    <w:p w14:paraId="5F200FCB">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rPr>
      </w:pPr>
      <w:r>
        <w:rPr>
          <w:rFonts w:hint="eastAsia" w:ascii="宋体" w:hAnsi="宋体" w:eastAsia="宋体" w:cs="宋体"/>
          <w:color w:val="000000"/>
        </w:rPr>
        <w:t>7.一旦我方中标,我方将根据招标文件的规定，严格履行合同的责任和义务,并保证在招标文件规定的时间完成项目，交付买方验收、使用。</w:t>
      </w:r>
    </w:p>
    <w:p w14:paraId="348CD9E2">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5"/>
        <w:textAlignment w:val="auto"/>
        <w:rPr>
          <w:rFonts w:hint="eastAsia" w:ascii="宋体" w:hAnsi="宋体" w:eastAsia="宋体" w:cs="宋体"/>
        </w:rPr>
      </w:pPr>
      <w:r>
        <w:rPr>
          <w:rFonts w:hint="eastAsia" w:ascii="宋体" w:hAnsi="宋体" w:eastAsia="宋体" w:cs="宋体"/>
          <w:color w:val="000000"/>
        </w:rPr>
        <w:t>8.与本投标有关的正式通讯地址为：</w:t>
      </w:r>
    </w:p>
    <w:p w14:paraId="6A352300">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宋体" w:hAnsi="宋体" w:eastAsia="宋体" w:cs="宋体"/>
        </w:rPr>
      </w:pPr>
      <w:r>
        <w:rPr>
          <w:rFonts w:hint="eastAsia" w:ascii="宋体" w:hAnsi="宋体" w:eastAsia="宋体" w:cs="宋体"/>
          <w:color w:val="000000"/>
        </w:rPr>
        <w:t>地          址：</w:t>
      </w:r>
    </w:p>
    <w:p w14:paraId="6DC8D7C9">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宋体" w:hAnsi="宋体" w:eastAsia="宋体" w:cs="宋体"/>
        </w:rPr>
      </w:pPr>
      <w:r>
        <w:rPr>
          <w:rFonts w:hint="eastAsia" w:ascii="宋体" w:hAnsi="宋体" w:eastAsia="宋体" w:cs="宋体"/>
          <w:color w:val="000000"/>
        </w:rPr>
        <w:t>邮          编：</w:t>
      </w:r>
    </w:p>
    <w:p w14:paraId="0B4A65B0">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宋体" w:hAnsi="宋体" w:eastAsia="宋体" w:cs="宋体"/>
        </w:rPr>
      </w:pPr>
      <w:r>
        <w:rPr>
          <w:rFonts w:hint="eastAsia" w:ascii="宋体" w:hAnsi="宋体" w:eastAsia="宋体" w:cs="宋体"/>
          <w:color w:val="000000"/>
        </w:rPr>
        <w:t>电          话：</w:t>
      </w:r>
    </w:p>
    <w:p w14:paraId="0110FB29">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宋体" w:hAnsi="宋体" w:eastAsia="宋体" w:cs="宋体"/>
        </w:rPr>
      </w:pPr>
      <w:r>
        <w:rPr>
          <w:rFonts w:hint="eastAsia" w:ascii="宋体" w:hAnsi="宋体" w:eastAsia="宋体" w:cs="宋体"/>
          <w:color w:val="000000"/>
        </w:rPr>
        <w:t>传          真：</w:t>
      </w:r>
    </w:p>
    <w:p w14:paraId="4B7176FE">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宋体" w:hAnsi="宋体" w:eastAsia="宋体" w:cs="宋体"/>
        </w:rPr>
      </w:pPr>
      <w:r>
        <w:rPr>
          <w:rFonts w:hint="eastAsia" w:ascii="宋体" w:hAnsi="宋体" w:eastAsia="宋体" w:cs="宋体"/>
          <w:color w:val="000000"/>
        </w:rPr>
        <w:t>投标人开户行：</w:t>
      </w:r>
    </w:p>
    <w:p w14:paraId="10E11829">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宋体" w:hAnsi="宋体" w:eastAsia="宋体" w:cs="宋体"/>
        </w:rPr>
      </w:pPr>
      <w:r>
        <w:rPr>
          <w:rFonts w:hint="eastAsia" w:ascii="宋体" w:hAnsi="宋体" w:eastAsia="宋体" w:cs="宋体"/>
          <w:color w:val="000000"/>
        </w:rPr>
        <w:t xml:space="preserve">账          号： </w:t>
      </w:r>
    </w:p>
    <w:p w14:paraId="6C38AB32">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宋体" w:hAnsi="宋体" w:eastAsia="宋体" w:cs="宋体"/>
        </w:rPr>
      </w:pPr>
      <w:r>
        <w:rPr>
          <w:rFonts w:hint="eastAsia" w:ascii="宋体" w:hAnsi="宋体" w:eastAsia="宋体" w:cs="宋体"/>
          <w:color w:val="000000"/>
        </w:rPr>
        <w:t>日           期：________年____月____日</w:t>
      </w:r>
    </w:p>
    <w:p w14:paraId="495E9527">
      <w:pPr>
        <w:pStyle w:val="44"/>
        <w:spacing w:beforeAutospacing="0" w:afterAutospacing="0" w:line="0" w:lineRule="atLeast"/>
        <w:ind w:firstLine="240"/>
        <w:jc w:val="center"/>
        <w:rPr>
          <w:rFonts w:hint="eastAsia" w:ascii="宋体" w:hAnsi="宋体" w:eastAsia="宋体" w:cs="宋体"/>
        </w:rPr>
      </w:pPr>
      <w:r>
        <w:rPr>
          <w:rFonts w:hint="eastAsia" w:ascii="宋体" w:hAnsi="宋体" w:eastAsia="宋体" w:cs="宋体"/>
        </w:rPr>
        <w:t> </w:t>
      </w:r>
    </w:p>
    <w:p w14:paraId="6896F189">
      <w:pPr>
        <w:pStyle w:val="44"/>
        <w:spacing w:beforeAutospacing="0" w:afterAutospacing="0" w:line="0" w:lineRule="atLeast"/>
        <w:ind w:firstLine="240"/>
        <w:jc w:val="center"/>
        <w:rPr>
          <w:rFonts w:hint="eastAsia" w:ascii="宋体" w:hAnsi="宋体" w:eastAsia="宋体" w:cs="宋体"/>
        </w:rPr>
      </w:pPr>
      <w:r>
        <w:rPr>
          <w:rFonts w:hint="eastAsia" w:ascii="宋体" w:hAnsi="宋体" w:eastAsia="宋体" w:cs="宋体"/>
        </w:rPr>
        <w:t> </w:t>
      </w:r>
    </w:p>
    <w:p w14:paraId="6DE199FE">
      <w:pPr>
        <w:pStyle w:val="44"/>
        <w:spacing w:beforeAutospacing="0" w:afterAutospacing="0" w:line="0" w:lineRule="atLeast"/>
        <w:ind w:firstLine="321"/>
        <w:jc w:val="center"/>
        <w:rPr>
          <w:rFonts w:hint="eastAsia" w:ascii="宋体" w:hAnsi="宋体" w:eastAsia="宋体" w:cs="宋体"/>
        </w:rPr>
      </w:pPr>
      <w:r>
        <w:rPr>
          <w:rFonts w:hint="eastAsia" w:ascii="宋体" w:hAnsi="宋体" w:eastAsia="宋体" w:cs="宋体"/>
          <w:b/>
          <w:color w:val="000000"/>
          <w:sz w:val="32"/>
          <w:szCs w:val="32"/>
        </w:rPr>
        <w:t>九、</w:t>
      </w:r>
      <w:r>
        <w:rPr>
          <w:rFonts w:hint="eastAsia" w:ascii="宋体" w:hAnsi="宋体" w:eastAsia="宋体" w:cs="宋体"/>
          <w:b/>
          <w:color w:val="000000"/>
          <w:sz w:val="32"/>
          <w:szCs w:val="32"/>
          <w:lang w:val="en-US" w:eastAsia="zh-CN"/>
        </w:rPr>
        <w:t>中小</w:t>
      </w:r>
      <w:r>
        <w:rPr>
          <w:rFonts w:hint="eastAsia" w:ascii="宋体" w:hAnsi="宋体" w:eastAsia="宋体" w:cs="宋体"/>
          <w:b/>
          <w:color w:val="000000"/>
          <w:sz w:val="32"/>
          <w:szCs w:val="32"/>
        </w:rPr>
        <w:t>企业声明函（货物）</w:t>
      </w:r>
    </w:p>
    <w:p w14:paraId="1A2D8260">
      <w:pPr>
        <w:pStyle w:val="44"/>
        <w:keepNext w:val="0"/>
        <w:keepLines w:val="0"/>
        <w:pageBreakBefore w:val="0"/>
        <w:widowControl w:val="0"/>
        <w:kinsoku/>
        <w:wordWrap/>
        <w:overflowPunct/>
        <w:topLinePunct w:val="0"/>
        <w:autoSpaceDE/>
        <w:autoSpaceDN/>
        <w:bidi w:val="0"/>
        <w:adjustRightInd/>
        <w:snapToGrid/>
        <w:spacing w:before="721" w:beforeLines="200" w:beforeAutospacing="0" w:afterAutospacing="0" w:line="360" w:lineRule="auto"/>
        <w:ind w:firstLine="363"/>
        <w:jc w:val="both"/>
        <w:textAlignment w:val="auto"/>
        <w:rPr>
          <w:rFonts w:hint="eastAsia" w:ascii="宋体" w:hAnsi="宋体" w:eastAsia="宋体" w:cs="宋体"/>
        </w:rPr>
      </w:pPr>
      <w:r>
        <w:rPr>
          <w:rFonts w:hint="eastAsia" w:ascii="宋体" w:hAnsi="宋体" w:eastAsia="宋体" w:cs="宋体"/>
          <w:color w:val="000000"/>
        </w:rPr>
        <w:t>本公司（联合体）郑重声明，根据《政府采购促进中小企业发展管理办法》(财库[2020]46号)的规定，本公司（联合体）参加</w:t>
      </w:r>
      <w:r>
        <w:rPr>
          <w:rFonts w:hint="eastAsia" w:ascii="宋体" w:hAnsi="宋体" w:eastAsia="宋体" w:cs="宋体"/>
          <w:color w:val="000000"/>
          <w:lang w:val="en-US" w:eastAsia="zh-CN"/>
        </w:rPr>
        <w:t>滨海县人民政府东坎街道办事处</w:t>
      </w:r>
      <w:r>
        <w:rPr>
          <w:rFonts w:hint="eastAsia" w:ascii="宋体" w:hAnsi="宋体" w:eastAsia="宋体" w:cs="宋体"/>
          <w:color w:val="000000"/>
        </w:rPr>
        <w:t>的采购编号为</w:t>
      </w:r>
      <w:r>
        <w:rPr>
          <w:rFonts w:hint="eastAsia" w:ascii="宋体" w:hAnsi="宋体" w:eastAsia="宋体" w:cs="宋体"/>
          <w:color w:val="000000"/>
          <w:u w:val="single"/>
        </w:rPr>
        <w:t>***</w:t>
      </w:r>
      <w:r>
        <w:rPr>
          <w:rFonts w:hint="eastAsia" w:ascii="宋体" w:hAnsi="宋体" w:eastAsia="宋体" w:cs="宋体"/>
          <w:color w:val="000000"/>
        </w:rPr>
        <w:t>，</w:t>
      </w:r>
      <w:r>
        <w:rPr>
          <w:rFonts w:hint="eastAsia" w:ascii="宋体" w:hAnsi="宋体" w:eastAsia="宋体" w:cs="宋体"/>
          <w:color w:val="000000"/>
          <w:u w:val="single"/>
        </w:rPr>
        <w:t>（项目名称）</w:t>
      </w:r>
      <w:r>
        <w:rPr>
          <w:rFonts w:hint="eastAsia" w:ascii="宋体" w:hAnsi="宋体" w:eastAsia="宋体" w:cs="宋体"/>
          <w:color w:val="000000"/>
        </w:rPr>
        <w:t>的采购活动，提供的货物全部由符合政策要求的</w:t>
      </w:r>
      <w:r>
        <w:rPr>
          <w:rFonts w:hint="eastAsia" w:ascii="宋体" w:hAnsi="宋体" w:eastAsia="宋体" w:cs="宋体"/>
          <w:color w:val="000000"/>
          <w:lang w:val="en-US" w:eastAsia="zh-CN"/>
        </w:rPr>
        <w:t>中</w:t>
      </w:r>
      <w:r>
        <w:rPr>
          <w:rFonts w:hint="eastAsia" w:ascii="宋体" w:hAnsi="宋体" w:eastAsia="宋体" w:cs="宋体"/>
          <w:color w:val="000000"/>
        </w:rPr>
        <w:t>小</w:t>
      </w:r>
      <w:r>
        <w:rPr>
          <w:rFonts w:hint="eastAsia" w:ascii="宋体" w:hAnsi="宋体" w:eastAsia="宋体" w:cs="宋体"/>
          <w:color w:val="000000"/>
          <w:lang w:val="en-US" w:eastAsia="zh-CN"/>
        </w:rPr>
        <w:t>微</w:t>
      </w:r>
      <w:r>
        <w:rPr>
          <w:rFonts w:hint="eastAsia" w:ascii="宋体" w:hAnsi="宋体" w:eastAsia="宋体" w:cs="宋体"/>
          <w:color w:val="000000"/>
        </w:rPr>
        <w:t>企业制造。根据《工业和信息化部、国家统计局、国家发展和改革委员会、财政部关于印发中小</w:t>
      </w:r>
      <w:r>
        <w:rPr>
          <w:rFonts w:hint="eastAsia" w:ascii="宋体" w:hAnsi="宋体" w:eastAsia="宋体" w:cs="宋体"/>
          <w:color w:val="000000"/>
          <w:lang w:val="en-US" w:eastAsia="zh-CN"/>
        </w:rPr>
        <w:t>微</w:t>
      </w:r>
      <w:r>
        <w:rPr>
          <w:rFonts w:hint="eastAsia" w:ascii="宋体" w:hAnsi="宋体" w:eastAsia="宋体" w:cs="宋体"/>
          <w:color w:val="000000"/>
        </w:rPr>
        <w:t>企业划型标准规定的通知》(工信部联企业[2011]300号)的规定，相关企业（含联合体中的</w:t>
      </w:r>
      <w:r>
        <w:rPr>
          <w:rFonts w:hint="eastAsia" w:ascii="宋体" w:hAnsi="宋体" w:eastAsia="宋体" w:cs="宋体"/>
          <w:color w:val="000000"/>
          <w:lang w:val="en-US" w:eastAsia="zh-CN"/>
        </w:rPr>
        <w:t>中</w:t>
      </w:r>
      <w:r>
        <w:rPr>
          <w:rFonts w:hint="eastAsia" w:ascii="宋体" w:hAnsi="宋体" w:eastAsia="宋体" w:cs="宋体"/>
          <w:color w:val="000000"/>
        </w:rPr>
        <w:t>小微企业、签订分包意向协议的</w:t>
      </w:r>
      <w:r>
        <w:rPr>
          <w:rFonts w:hint="eastAsia" w:ascii="宋体" w:hAnsi="宋体" w:eastAsia="宋体" w:cs="宋体"/>
          <w:color w:val="000000"/>
          <w:lang w:val="en-US" w:eastAsia="zh-CN"/>
        </w:rPr>
        <w:t>中</w:t>
      </w:r>
      <w:r>
        <w:rPr>
          <w:rFonts w:hint="eastAsia" w:ascii="宋体" w:hAnsi="宋体" w:eastAsia="宋体" w:cs="宋体"/>
          <w:color w:val="000000"/>
        </w:rPr>
        <w:t>小微企业）的具体情况如下：</w:t>
      </w:r>
    </w:p>
    <w:p w14:paraId="111A6850">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w:t>
      </w:r>
      <w:r>
        <w:rPr>
          <w:rFonts w:hint="eastAsia" w:ascii="宋体" w:hAnsi="宋体" w:eastAsia="宋体" w:cs="宋体"/>
          <w:color w:val="000000"/>
        </w:rPr>
        <w:t>行业；制造商为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万元，属于</w:t>
      </w:r>
      <w:r>
        <w:rPr>
          <w:rFonts w:hint="eastAsia" w:ascii="宋体" w:hAnsi="宋体" w:eastAsia="宋体" w:cs="宋体"/>
          <w:color w:val="000000"/>
          <w:u w:val="single"/>
        </w:rPr>
        <w:t>（</w:t>
      </w:r>
      <w:r>
        <w:rPr>
          <w:rFonts w:hint="eastAsia" w:ascii="宋体" w:hAnsi="宋体" w:eastAsia="宋体" w:cs="宋体"/>
          <w:color w:val="000000"/>
          <w:u w:val="single"/>
          <w:lang w:val="en-US" w:eastAsia="zh-CN"/>
        </w:rPr>
        <w:t>中型企业、</w:t>
      </w:r>
      <w:r>
        <w:rPr>
          <w:rFonts w:hint="eastAsia" w:ascii="宋体" w:hAnsi="宋体" w:eastAsia="宋体" w:cs="宋体"/>
          <w:color w:val="000000"/>
          <w:u w:val="single"/>
        </w:rPr>
        <w:t>小型企业、微型企业）；</w:t>
      </w:r>
    </w:p>
    <w:p w14:paraId="2D724635">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rPr>
      </w:pPr>
      <w:r>
        <w:rPr>
          <w:rFonts w:hint="eastAsia" w:ascii="宋体" w:hAnsi="宋体" w:eastAsia="宋体" w:cs="宋体"/>
          <w:color w:val="000000"/>
        </w:rPr>
        <w:t>2.</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w:t>
      </w:r>
      <w:r>
        <w:rPr>
          <w:rFonts w:hint="eastAsia" w:ascii="宋体" w:hAnsi="宋体" w:eastAsia="宋体" w:cs="宋体"/>
          <w:color w:val="000000"/>
        </w:rPr>
        <w:t>行业；制造商为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万元，属于</w:t>
      </w:r>
      <w:r>
        <w:rPr>
          <w:rFonts w:hint="eastAsia" w:ascii="宋体" w:hAnsi="宋体" w:eastAsia="宋体" w:cs="宋体"/>
          <w:color w:val="000000"/>
          <w:u w:val="single"/>
        </w:rPr>
        <w:t>（</w:t>
      </w:r>
      <w:r>
        <w:rPr>
          <w:rFonts w:hint="eastAsia" w:ascii="宋体" w:hAnsi="宋体" w:eastAsia="宋体" w:cs="宋体"/>
          <w:color w:val="000000"/>
          <w:u w:val="single"/>
          <w:lang w:val="en-US" w:eastAsia="zh-CN"/>
        </w:rPr>
        <w:t>中型企业、</w:t>
      </w:r>
      <w:r>
        <w:rPr>
          <w:rFonts w:hint="eastAsia" w:ascii="宋体" w:hAnsi="宋体" w:eastAsia="宋体" w:cs="宋体"/>
          <w:color w:val="000000"/>
          <w:u w:val="single"/>
        </w:rPr>
        <w:t>小型企业、微型企业）；</w:t>
      </w:r>
    </w:p>
    <w:p w14:paraId="7D3D5D04">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color w:val="000000"/>
        </w:rPr>
      </w:pPr>
      <w:r>
        <w:rPr>
          <w:rFonts w:hint="eastAsia" w:ascii="宋体" w:hAnsi="宋体" w:eastAsia="宋体" w:cs="宋体"/>
          <w:color w:val="000000"/>
        </w:rPr>
        <w:t>……</w:t>
      </w:r>
    </w:p>
    <w:p w14:paraId="05143E36">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color w:val="000000"/>
        </w:rPr>
      </w:pPr>
    </w:p>
    <w:p w14:paraId="6E541ACE">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rPr>
      </w:pPr>
    </w:p>
    <w:p w14:paraId="3C5CE150">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rPr>
      </w:pPr>
      <w:r>
        <w:rPr>
          <w:rFonts w:hint="eastAsia" w:ascii="宋体" w:hAnsi="宋体" w:eastAsia="宋体" w:cs="宋体"/>
          <w:color w:val="000000"/>
        </w:rPr>
        <w:t>以上企业，不属于大企业的分支机构，不存在控股股东为大企业的情形，也不存在与大企业的负责人为同一人的情形。</w:t>
      </w:r>
    </w:p>
    <w:p w14:paraId="40BFA34D">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rPr>
      </w:pPr>
      <w:r>
        <w:rPr>
          <w:rFonts w:hint="eastAsia" w:ascii="宋体" w:hAnsi="宋体" w:eastAsia="宋体" w:cs="宋体"/>
          <w:color w:val="000000"/>
        </w:rPr>
        <w:t>本企业对上述声明内容的真实性负责。如有虚假，将依法承担相应责任</w:t>
      </w:r>
    </w:p>
    <w:p w14:paraId="56CFBA94">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right="720"/>
        <w:jc w:val="both"/>
        <w:textAlignment w:val="auto"/>
        <w:rPr>
          <w:rFonts w:hint="eastAsia" w:ascii="宋体" w:hAnsi="宋体" w:eastAsia="宋体" w:cs="宋体"/>
        </w:rPr>
      </w:pPr>
      <w:r>
        <w:rPr>
          <w:rFonts w:hint="eastAsia" w:ascii="宋体" w:hAnsi="宋体" w:eastAsia="宋体" w:cs="宋体"/>
        </w:rPr>
        <w:t> </w:t>
      </w:r>
    </w:p>
    <w:p w14:paraId="4E662837">
      <w:pPr>
        <w:pStyle w:val="44"/>
        <w:spacing w:beforeAutospacing="0" w:afterAutospacing="0" w:line="0" w:lineRule="atLeast"/>
        <w:ind w:right="180" w:firstLine="360"/>
        <w:jc w:val="right"/>
        <w:rPr>
          <w:rFonts w:hint="eastAsia" w:ascii="宋体" w:hAnsi="宋体" w:eastAsia="宋体" w:cs="宋体"/>
        </w:rPr>
      </w:pPr>
      <w:r>
        <w:rPr>
          <w:rFonts w:hint="eastAsia" w:ascii="宋体" w:hAnsi="宋体" w:eastAsia="宋体" w:cs="宋体"/>
          <w:color w:val="000000"/>
        </w:rPr>
        <w:t>企业名称（加盖CA电子公章）：</w:t>
      </w:r>
    </w:p>
    <w:p w14:paraId="7AB596EE">
      <w:pPr>
        <w:pStyle w:val="44"/>
        <w:spacing w:beforeAutospacing="0" w:afterAutospacing="0" w:line="0" w:lineRule="atLeast"/>
        <w:ind w:right="480" w:firstLine="6240" w:firstLineChars="2600"/>
        <w:jc w:val="both"/>
        <w:rPr>
          <w:rFonts w:hint="eastAsia" w:ascii="宋体" w:hAnsi="宋体" w:eastAsia="宋体" w:cs="宋体"/>
        </w:rPr>
      </w:pPr>
      <w:r>
        <w:rPr>
          <w:rFonts w:hint="eastAsia" w:ascii="宋体" w:hAnsi="宋体" w:eastAsia="宋体" w:cs="宋体"/>
          <w:color w:val="000000"/>
        </w:rPr>
        <w:t>日  期：</w:t>
      </w:r>
    </w:p>
    <w:p w14:paraId="2D848D68">
      <w:pPr>
        <w:pStyle w:val="44"/>
        <w:spacing w:beforeAutospacing="0" w:afterAutospacing="0" w:line="0" w:lineRule="atLeast"/>
        <w:ind w:firstLine="360"/>
        <w:jc w:val="both"/>
        <w:rPr>
          <w:rFonts w:hint="eastAsia" w:ascii="宋体" w:hAnsi="宋体" w:eastAsia="宋体" w:cs="宋体"/>
        </w:rPr>
      </w:pPr>
      <w:r>
        <w:rPr>
          <w:rFonts w:hint="eastAsia" w:ascii="宋体" w:hAnsi="宋体" w:eastAsia="宋体" w:cs="宋体"/>
        </w:rPr>
        <w:t> </w:t>
      </w:r>
    </w:p>
    <w:p w14:paraId="58AC7970">
      <w:pPr>
        <w:pStyle w:val="44"/>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备注1：从业人员、营业收入、资产总额填报上一年度数据，无上一年度数据的新成立企业可不填报。</w:t>
      </w:r>
    </w:p>
    <w:p w14:paraId="2B85B0C8">
      <w:pPr>
        <w:pStyle w:val="44"/>
        <w:spacing w:beforeAutospacing="0" w:afterAutospacing="0" w:line="0" w:lineRule="atLeast"/>
        <w:ind w:firstLine="480"/>
        <w:jc w:val="both"/>
        <w:rPr>
          <w:rFonts w:hint="eastAsia" w:ascii="宋体" w:hAnsi="宋体" w:eastAsia="宋体" w:cs="宋体"/>
        </w:rPr>
      </w:pPr>
      <w:r>
        <w:rPr>
          <w:rFonts w:hint="eastAsia" w:ascii="宋体" w:hAnsi="宋体" w:eastAsia="宋体" w:cs="宋体"/>
          <w:color w:val="000000"/>
        </w:rPr>
        <w:t>备注2：供应商如不提供此声明函，价格将不做相应扣除。</w:t>
      </w:r>
    </w:p>
    <w:p w14:paraId="6CE3BB68">
      <w:pPr>
        <w:pStyle w:val="44"/>
        <w:spacing w:beforeAutospacing="0" w:afterAutospacing="0" w:line="0" w:lineRule="atLeast"/>
        <w:ind w:firstLine="480"/>
        <w:jc w:val="both"/>
        <w:rPr>
          <w:rFonts w:hint="eastAsia" w:ascii="宋体" w:hAnsi="宋体" w:eastAsia="宋体" w:cs="宋体"/>
        </w:rPr>
      </w:pPr>
    </w:p>
    <w:p w14:paraId="458D74C2">
      <w:pPr>
        <w:pStyle w:val="44"/>
        <w:spacing w:beforeAutospacing="0" w:afterAutospacing="0" w:line="0" w:lineRule="atLeast"/>
        <w:jc w:val="center"/>
        <w:rPr>
          <w:rFonts w:hint="eastAsia" w:ascii="宋体" w:hAnsi="宋体" w:eastAsia="宋体" w:cs="宋体"/>
        </w:rPr>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t> 十、残疾人福利性单位声明函</w:t>
      </w:r>
    </w:p>
    <w:p w14:paraId="514827F5">
      <w:pPr>
        <w:pStyle w:val="44"/>
        <w:keepNext w:val="0"/>
        <w:keepLines w:val="0"/>
        <w:pageBreakBefore w:val="0"/>
        <w:widowControl w:val="0"/>
        <w:kinsoku/>
        <w:wordWrap/>
        <w:overflowPunct/>
        <w:topLinePunct w:val="0"/>
        <w:autoSpaceDE/>
        <w:autoSpaceDN/>
        <w:bidi w:val="0"/>
        <w:adjustRightInd/>
        <w:snapToGrid/>
        <w:spacing w:before="541" w:beforeLines="150" w:beforeAutospacing="0" w:afterAutospacing="0" w:line="360" w:lineRule="auto"/>
        <w:ind w:firstLine="482"/>
        <w:jc w:val="both"/>
        <w:textAlignment w:val="auto"/>
        <w:rPr>
          <w:rFonts w:hint="eastAsia" w:ascii="宋体" w:hAnsi="宋体" w:eastAsia="宋体" w:cs="宋体"/>
        </w:rPr>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单位</w:t>
      </w:r>
      <w:r>
        <w:rPr>
          <w:rFonts w:hint="eastAsia" w:ascii="宋体" w:hAnsi="宋体" w:eastAsia="宋体" w:cs="宋体"/>
          <w:color w:val="000000"/>
          <w:u w:val="single"/>
          <w:lang w:eastAsia="zh-CN"/>
        </w:rPr>
        <w:t>）</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项目采购活动提供本单位制造的货物，或者提供其他残疾人福利性单位制造的货物（不包括使用非残疾人福利性单位注册商标的货物）。</w:t>
      </w:r>
    </w:p>
    <w:p w14:paraId="7AEFA1F4">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本单位对上述声明的真实性负责。如有虚假，将依法承担相应责任。</w:t>
      </w:r>
    </w:p>
    <w:p w14:paraId="3EC24B91">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rPr>
        <w:t> </w:t>
      </w:r>
    </w:p>
    <w:p w14:paraId="06DFBA98">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（备注：1.供应商如不提供此声明函，价格将不做相应扣除。2.中标供应商为残疾人福利单位的，此声明函将随中标结果同时公告，接受社会监督）</w:t>
      </w:r>
    </w:p>
    <w:p w14:paraId="6E014008">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624"/>
        <w:jc w:val="both"/>
        <w:textAlignment w:val="auto"/>
        <w:rPr>
          <w:rFonts w:hint="eastAsia" w:ascii="宋体" w:hAnsi="宋体" w:eastAsia="宋体" w:cs="宋体"/>
        </w:rPr>
      </w:pPr>
      <w:r>
        <w:rPr>
          <w:rFonts w:hint="eastAsia" w:ascii="宋体" w:hAnsi="宋体" w:eastAsia="宋体" w:cs="宋体"/>
        </w:rPr>
        <w:t> </w:t>
      </w:r>
    </w:p>
    <w:p w14:paraId="544E3489">
      <w:pPr>
        <w:pStyle w:val="44"/>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360" w:lineRule="auto"/>
        <w:ind w:right="1560" w:firstLine="624"/>
        <w:jc w:val="center"/>
        <w:textAlignment w:val="auto"/>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供应商全称（加盖CA电子公章）：</w:t>
      </w:r>
    </w:p>
    <w:p w14:paraId="630A248F">
      <w:pPr>
        <w:pStyle w:val="44"/>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360" w:lineRule="auto"/>
        <w:ind w:right="1560" w:firstLine="480"/>
        <w:jc w:val="center"/>
        <w:textAlignment w:val="auto"/>
        <w:rPr>
          <w:rFonts w:hint="eastAsia" w:ascii="宋体" w:hAnsi="宋体" w:eastAsia="宋体" w:cs="宋体"/>
        </w:rPr>
      </w:pPr>
      <w:r>
        <w:rPr>
          <w:rFonts w:hint="eastAsia" w:ascii="宋体" w:hAnsi="宋体" w:eastAsia="宋体" w:cs="宋体"/>
          <w:color w:val="000000"/>
        </w:rPr>
        <w:t>        日  期：</w:t>
      </w:r>
    </w:p>
    <w:p w14:paraId="175DF6E4">
      <w:pPr>
        <w:pStyle w:val="44"/>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rPr>
      </w:pPr>
      <w:r>
        <w:rPr>
          <w:rFonts w:hint="eastAsia" w:ascii="宋体" w:hAnsi="宋体" w:eastAsia="宋体" w:cs="宋体"/>
        </w:rPr>
        <w:t> </w:t>
      </w:r>
    </w:p>
    <w:p w14:paraId="04A29CFE">
      <w:pPr>
        <w:pStyle w:val="44"/>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60C73994">
      <w:pPr>
        <w:pStyle w:val="44"/>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0BE92DFF">
      <w:pPr>
        <w:pStyle w:val="44"/>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3A957854">
      <w:pPr>
        <w:pStyle w:val="44"/>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2B208A0E">
      <w:pPr>
        <w:pStyle w:val="44"/>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5E9B76CD">
      <w:pPr>
        <w:pStyle w:val="44"/>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50685B4B">
      <w:pPr>
        <w:pStyle w:val="44"/>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105E5CAD">
      <w:pPr>
        <w:pStyle w:val="44"/>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779335EF">
      <w:pPr>
        <w:pStyle w:val="44"/>
        <w:spacing w:beforeAutospacing="0" w:afterAutospacing="0" w:line="0" w:lineRule="atLeast"/>
        <w:jc w:val="center"/>
        <w:rPr>
          <w:rFonts w:hint="eastAsia" w:ascii="宋体" w:hAnsi="宋体" w:eastAsia="宋体" w:cs="宋体"/>
        </w:rPr>
      </w:pPr>
    </w:p>
    <w:p w14:paraId="3B85A455">
      <w:pPr>
        <w:pStyle w:val="44"/>
        <w:spacing w:beforeAutospacing="0" w:afterAutospacing="0" w:line="0" w:lineRule="atLeast"/>
        <w:jc w:val="center"/>
        <w:rPr>
          <w:rFonts w:hint="eastAsia" w:ascii="宋体" w:hAnsi="宋体" w:eastAsia="宋体" w:cs="宋体"/>
        </w:rPr>
      </w:pPr>
    </w:p>
    <w:p w14:paraId="2EE0188E">
      <w:pPr>
        <w:pStyle w:val="44"/>
        <w:spacing w:beforeAutospacing="0" w:afterAutospacing="0" w:line="0" w:lineRule="atLeast"/>
        <w:jc w:val="center"/>
        <w:rPr>
          <w:rFonts w:hint="eastAsia" w:ascii="宋体" w:hAnsi="宋体" w:eastAsia="宋体" w:cs="宋体"/>
        </w:rPr>
      </w:pPr>
    </w:p>
    <w:p w14:paraId="20DFC875">
      <w:pPr>
        <w:pStyle w:val="44"/>
        <w:spacing w:beforeAutospacing="0" w:afterAutospacing="0" w:line="0" w:lineRule="atLeast"/>
        <w:jc w:val="center"/>
        <w:rPr>
          <w:rFonts w:hint="eastAsia" w:ascii="宋体" w:hAnsi="宋体" w:eastAsia="宋体" w:cs="宋体"/>
        </w:rPr>
      </w:pPr>
    </w:p>
    <w:p w14:paraId="2F81300B">
      <w:pPr>
        <w:pStyle w:val="44"/>
        <w:spacing w:beforeAutospacing="0" w:afterAutospacing="0" w:line="0" w:lineRule="atLeast"/>
        <w:jc w:val="center"/>
        <w:rPr>
          <w:rFonts w:hint="eastAsia" w:ascii="宋体" w:hAnsi="宋体" w:eastAsia="宋体" w:cs="宋体"/>
        </w:rPr>
      </w:pPr>
    </w:p>
    <w:p w14:paraId="324CE933">
      <w:pPr>
        <w:pStyle w:val="44"/>
        <w:spacing w:beforeAutospacing="0" w:afterAutospacing="0" w:line="0" w:lineRule="atLeast"/>
        <w:jc w:val="center"/>
        <w:rPr>
          <w:rFonts w:hint="eastAsia" w:ascii="宋体" w:hAnsi="宋体" w:eastAsia="宋体" w:cs="宋体"/>
        </w:rPr>
      </w:pPr>
    </w:p>
    <w:p w14:paraId="39905C6C">
      <w:pPr>
        <w:pStyle w:val="44"/>
        <w:spacing w:beforeAutospacing="0" w:afterAutospacing="0" w:line="0" w:lineRule="atLeast"/>
        <w:jc w:val="center"/>
        <w:rPr>
          <w:rFonts w:hint="eastAsia" w:ascii="宋体" w:hAnsi="宋体" w:eastAsia="宋体" w:cs="宋体"/>
        </w:rPr>
      </w:pPr>
    </w:p>
    <w:p w14:paraId="6F6E164B">
      <w:pPr>
        <w:pStyle w:val="44"/>
        <w:spacing w:beforeAutospacing="0" w:afterAutospacing="0" w:line="0" w:lineRule="atLeast"/>
        <w:jc w:val="center"/>
        <w:rPr>
          <w:rFonts w:hint="eastAsia" w:ascii="宋体" w:hAnsi="宋体" w:eastAsia="宋体" w:cs="宋体"/>
        </w:rPr>
      </w:pPr>
    </w:p>
    <w:p w14:paraId="1C92E73D">
      <w:pPr>
        <w:pStyle w:val="44"/>
        <w:spacing w:beforeAutospacing="0" w:afterAutospacing="0" w:line="0" w:lineRule="atLeast"/>
        <w:jc w:val="center"/>
        <w:rPr>
          <w:rFonts w:hint="eastAsia" w:ascii="宋体" w:hAnsi="宋体" w:eastAsia="宋体" w:cs="宋体"/>
        </w:rPr>
      </w:pPr>
    </w:p>
    <w:p w14:paraId="47C12A4C">
      <w:pPr>
        <w:pStyle w:val="44"/>
        <w:spacing w:beforeAutospacing="0" w:afterAutospacing="0" w:line="0" w:lineRule="atLeast"/>
        <w:jc w:val="center"/>
        <w:rPr>
          <w:rFonts w:hint="eastAsia" w:ascii="宋体" w:hAnsi="宋体" w:eastAsia="宋体" w:cs="宋体"/>
        </w:rPr>
      </w:pPr>
    </w:p>
    <w:p w14:paraId="4CD8A52B">
      <w:pPr>
        <w:pStyle w:val="44"/>
        <w:spacing w:beforeAutospacing="0" w:afterAutospacing="0" w:line="0" w:lineRule="atLeast"/>
        <w:jc w:val="center"/>
        <w:rPr>
          <w:rFonts w:hint="eastAsia" w:ascii="宋体" w:hAnsi="宋体" w:eastAsia="宋体" w:cs="宋体"/>
        </w:rPr>
      </w:pPr>
    </w:p>
    <w:p w14:paraId="2C100ACE">
      <w:pPr>
        <w:pStyle w:val="44"/>
        <w:spacing w:beforeAutospacing="0" w:afterAutospacing="0" w:line="0" w:lineRule="atLeast"/>
        <w:jc w:val="center"/>
        <w:rPr>
          <w:rFonts w:hint="eastAsia" w:ascii="宋体" w:hAnsi="宋体" w:eastAsia="宋体" w:cs="宋体"/>
        </w:rPr>
      </w:pPr>
    </w:p>
    <w:p w14:paraId="05B73818">
      <w:pPr>
        <w:pStyle w:val="44"/>
        <w:spacing w:beforeAutospacing="0" w:afterAutospacing="0"/>
        <w:jc w:val="both"/>
        <w:rPr>
          <w:rFonts w:hint="eastAsia" w:ascii="宋体" w:hAnsi="宋体" w:eastAsia="宋体" w:cs="宋体"/>
        </w:rPr>
      </w:pPr>
    </w:p>
    <w:p w14:paraId="492E49A2">
      <w:pPr>
        <w:pStyle w:val="44"/>
        <w:spacing w:beforeAutospacing="0" w:afterAutospacing="0"/>
        <w:jc w:val="center"/>
        <w:rPr>
          <w:rFonts w:hint="eastAsia" w:ascii="宋体" w:hAnsi="宋体" w:eastAsia="宋体" w:cs="宋体"/>
        </w:rPr>
      </w:pPr>
      <w:r>
        <w:rPr>
          <w:rFonts w:hint="eastAsia" w:ascii="宋体" w:hAnsi="宋体" w:eastAsia="宋体" w:cs="宋体"/>
          <w:b/>
          <w:color w:val="000000"/>
          <w:sz w:val="32"/>
          <w:szCs w:val="32"/>
        </w:rPr>
        <w:t>十一、投标分项报价表</w:t>
      </w:r>
    </w:p>
    <w:tbl>
      <w:tblPr>
        <w:tblStyle w:val="50"/>
        <w:tblW w:w="9674" w:type="dxa"/>
        <w:tblInd w:w="-73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74"/>
        <w:gridCol w:w="1269"/>
        <w:gridCol w:w="3674"/>
        <w:gridCol w:w="495"/>
        <w:gridCol w:w="737"/>
        <w:gridCol w:w="898"/>
        <w:gridCol w:w="765"/>
        <w:gridCol w:w="762"/>
      </w:tblGrid>
      <w:tr w14:paraId="025F3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1074" w:type="dxa"/>
            <w:tcBorders>
              <w:top w:val="single" w:color="000000" w:sz="8" w:space="0"/>
              <w:left w:val="single" w:color="000000" w:sz="8" w:space="0"/>
              <w:bottom w:val="single" w:color="000000" w:sz="4" w:space="0"/>
              <w:right w:val="single" w:color="000000" w:sz="4" w:space="0"/>
            </w:tcBorders>
            <w:shd w:val="clear" w:color="auto" w:fill="auto"/>
            <w:vAlign w:val="center"/>
          </w:tcPr>
          <w:p w14:paraId="7612BCE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000000"/>
                <w:sz w:val="18"/>
                <w:szCs w:val="18"/>
                <w:u w:val="none"/>
              </w:rPr>
            </w:pPr>
            <w:r>
              <w:rPr>
                <w:rStyle w:val="482"/>
                <w:rFonts w:hint="eastAsia" w:ascii="宋体" w:hAnsi="宋体" w:eastAsia="宋体" w:cs="宋体"/>
                <w:sz w:val="18"/>
                <w:szCs w:val="18"/>
                <w:lang w:val="en-US" w:eastAsia="zh-CN" w:bidi="ar"/>
              </w:rPr>
              <w:t>序号</w:t>
            </w:r>
          </w:p>
        </w:tc>
        <w:tc>
          <w:tcPr>
            <w:tcW w:w="1269" w:type="dxa"/>
            <w:tcBorders>
              <w:top w:val="single" w:color="000000" w:sz="8" w:space="0"/>
              <w:left w:val="single" w:color="000000" w:sz="4" w:space="0"/>
              <w:bottom w:val="single" w:color="000000" w:sz="4" w:space="0"/>
              <w:right w:val="single" w:color="000000" w:sz="4" w:space="0"/>
            </w:tcBorders>
            <w:shd w:val="clear" w:color="auto" w:fill="auto"/>
            <w:vAlign w:val="center"/>
          </w:tcPr>
          <w:p w14:paraId="3829481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bCs/>
                <w:i w:val="0"/>
                <w:iCs w:val="0"/>
                <w:color w:val="000000"/>
                <w:sz w:val="18"/>
                <w:szCs w:val="18"/>
                <w:u w:val="none"/>
              </w:rPr>
            </w:pPr>
            <w:r>
              <w:rPr>
                <w:rStyle w:val="482"/>
                <w:rFonts w:hint="eastAsia" w:ascii="宋体" w:hAnsi="宋体" w:eastAsia="宋体" w:cs="宋体"/>
                <w:sz w:val="18"/>
                <w:szCs w:val="18"/>
                <w:lang w:val="en-US" w:eastAsia="zh-CN" w:bidi="ar"/>
              </w:rPr>
              <w:t>项目名称</w:t>
            </w:r>
          </w:p>
        </w:tc>
        <w:tc>
          <w:tcPr>
            <w:tcW w:w="3674"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C62791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000000"/>
                <w:sz w:val="18"/>
                <w:szCs w:val="18"/>
                <w:u w:val="none"/>
              </w:rPr>
            </w:pPr>
            <w:r>
              <w:rPr>
                <w:rStyle w:val="482"/>
                <w:rFonts w:hint="eastAsia" w:ascii="宋体" w:hAnsi="宋体" w:eastAsia="宋体" w:cs="宋体"/>
                <w:sz w:val="18"/>
                <w:szCs w:val="18"/>
                <w:lang w:val="en-US" w:eastAsia="zh-CN" w:bidi="ar"/>
              </w:rPr>
              <w:t>项目特征描述</w:t>
            </w:r>
          </w:p>
        </w:tc>
        <w:tc>
          <w:tcPr>
            <w:tcW w:w="495" w:type="dxa"/>
            <w:tcBorders>
              <w:top w:val="single" w:color="000000" w:sz="8" w:space="0"/>
              <w:left w:val="single" w:color="000000" w:sz="4" w:space="0"/>
              <w:bottom w:val="single" w:color="000000" w:sz="4" w:space="0"/>
              <w:right w:val="single" w:color="000000" w:sz="4" w:space="0"/>
            </w:tcBorders>
            <w:shd w:val="clear" w:color="auto" w:fill="auto"/>
            <w:vAlign w:val="center"/>
          </w:tcPr>
          <w:p w14:paraId="6A76A60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000000"/>
                <w:sz w:val="18"/>
                <w:szCs w:val="18"/>
                <w:u w:val="none"/>
              </w:rPr>
            </w:pPr>
            <w:r>
              <w:rPr>
                <w:rStyle w:val="482"/>
                <w:rFonts w:hint="eastAsia" w:ascii="宋体" w:hAnsi="宋体" w:eastAsia="宋体" w:cs="宋体"/>
                <w:sz w:val="18"/>
                <w:szCs w:val="18"/>
                <w:lang w:val="en-US" w:eastAsia="zh-CN" w:bidi="ar"/>
              </w:rPr>
              <w:t>单位</w:t>
            </w:r>
          </w:p>
        </w:tc>
        <w:tc>
          <w:tcPr>
            <w:tcW w:w="737"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DFA67E4">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数量</w:t>
            </w:r>
          </w:p>
        </w:tc>
        <w:tc>
          <w:tcPr>
            <w:tcW w:w="898"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CFA18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推荐</w:t>
            </w:r>
          </w:p>
          <w:p w14:paraId="6FEDB78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品牌</w:t>
            </w:r>
          </w:p>
        </w:tc>
        <w:tc>
          <w:tcPr>
            <w:tcW w:w="765" w:type="dxa"/>
            <w:tcBorders>
              <w:top w:val="single" w:color="000000" w:sz="8" w:space="0"/>
              <w:left w:val="single" w:color="000000" w:sz="4" w:space="0"/>
              <w:bottom w:val="single" w:color="000000" w:sz="4" w:space="0"/>
              <w:right w:val="single" w:color="000000" w:sz="4" w:space="0"/>
            </w:tcBorders>
            <w:shd w:val="clear" w:color="auto" w:fill="auto"/>
            <w:vAlign w:val="center"/>
          </w:tcPr>
          <w:p w14:paraId="37E0494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单价</w:t>
            </w:r>
          </w:p>
        </w:tc>
        <w:tc>
          <w:tcPr>
            <w:tcW w:w="762" w:type="dxa"/>
            <w:tcBorders>
              <w:top w:val="single" w:color="000000" w:sz="8" w:space="0"/>
              <w:left w:val="single" w:color="000000" w:sz="4" w:space="0"/>
              <w:bottom w:val="single" w:color="000000" w:sz="4" w:space="0"/>
              <w:right w:val="single" w:color="000000" w:sz="4" w:space="0"/>
            </w:tcBorders>
            <w:shd w:val="clear" w:color="auto" w:fill="auto"/>
            <w:vAlign w:val="center"/>
          </w:tcPr>
          <w:p w14:paraId="4337F29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合价</w:t>
            </w:r>
          </w:p>
        </w:tc>
      </w:tr>
      <w:tr w14:paraId="3E969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674" w:type="dxa"/>
            <w:gridSpan w:val="8"/>
            <w:tcBorders>
              <w:top w:val="single" w:color="000000" w:sz="8" w:space="0"/>
              <w:left w:val="single" w:color="000000" w:sz="8" w:space="0"/>
              <w:bottom w:val="single" w:color="000000" w:sz="4" w:space="0"/>
              <w:right w:val="single" w:color="000000" w:sz="4" w:space="0"/>
            </w:tcBorders>
            <w:shd w:val="clear" w:color="auto" w:fill="auto"/>
            <w:vAlign w:val="center"/>
          </w:tcPr>
          <w:p w14:paraId="2DE8487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一、家具采购</w:t>
            </w:r>
          </w:p>
        </w:tc>
      </w:tr>
      <w:tr w14:paraId="65881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A80C2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3775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4B68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  城市书吧</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、定制书柜</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C975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956C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CB1E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5A6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A42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69FF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0"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0AC677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3733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531AE">
            <w:pPr>
              <w:keepNext w:val="0"/>
              <w:keepLines w:val="0"/>
              <w:pageBreakBefore w:val="0"/>
              <w:widowControl/>
              <w:suppressLineNumbers w:val="0"/>
              <w:tabs>
                <w:tab w:val="left" w:pos="3360"/>
              </w:tabs>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  妇女儿童活动区</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、定制壁柜</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9E09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8A3AA">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A8B2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FB2C6">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34CE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A5AB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5037F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2372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货架</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DF60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  库房</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、定制货架</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9E9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AF4C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12.04</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8F8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79A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986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C119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42CF3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0B64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货架</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D624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  助农直播间</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、定制货架</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F8C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499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D1D5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32D9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82CC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77ECE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60071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4F31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货架</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4B30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  冰鲜小铺</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、定制货架</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05C1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C91E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DFC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786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5789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468C0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32481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58F9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货架</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1515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  冰鲜小铺</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、定制带发光灯带货架</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D2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E93FE">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9A69">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675F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D69C">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2536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370EE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F146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矮柜</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0477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  茶水间</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、定制成品台盆柜h=750mm</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2 、含面层石材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924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88152">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1.63</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D60D1">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F21A9">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F7968">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DE0D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DC40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F1F6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BE85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1 、定制爱心便民驿站</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A98D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C8F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5A2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2785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8BD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15A7C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A8767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BACF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6FED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1 、定制快递驿站</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A352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A938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D7D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DB0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D771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59458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232BC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4E56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6DC8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1 、定制打印机工作台</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7F1F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1FC4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5056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A362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C10A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5CB13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61D7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94F7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矮柜</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A182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部位：茶水间</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、定制成品台盆柜h=750mm</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2 、含面层石材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0FCF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338D9">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AD769">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2BF00">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0FC5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00BE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AF290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9398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柜台</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DE3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部位：便民大厅</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、定制石材台面服务台</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2 、含面层石材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601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3CC4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12.9</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92C14">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B4E61">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196E0">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E9B6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D7DB8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62B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单人办公桌椅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889A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部位：便民大厅</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、单人办公桌椅</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2 、含1张办公桌 、1张办公椅子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40DB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A824D">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D578">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E154C">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0F2BA">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ACC0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66356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14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691A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单人办公椅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950F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部位：便民大厅</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、单人办公椅</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2 、含1张办公椅子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DF9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4B73A">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AAA7C">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CF6EA">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29882">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6D08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0FD8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08AF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单人办公桌椅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43C3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  网格化办公区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、单人办公桌椅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、含1张办公桌 、1张办公椅子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F596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8DE7F">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07DA1">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22F0E">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00BA5">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EFBD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BF955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D323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休闲桌椅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4BF9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  妇女儿童活动区 、等候区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、休闲桌椅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、含1张休闲圆桌 、4张椅子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3A8A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B6FC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6FF62">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3128F">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DCB9D">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0531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6B28F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17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DF69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单人办公桌椅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D8E1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  助农直播间 、冰鲜小铺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、单人办公桌椅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、含1张办公桌 、1张办公椅子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FC96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97C65">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99DC6">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EC3E1">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A13C7">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741F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E50C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DB93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休闲桌椅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6C65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部位：棋牌区域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、双人休闲桌椅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、含1张棋牌桌 、2张椅子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4C8A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76DA0">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98FBF">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26F0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8F9D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9FA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D407E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51A2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单人休闲椅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D6C5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部位：公益理发</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、单人休闲椅</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2 、含1张休闲椅子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C421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70E79">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CF514">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C1432">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261F4">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FE68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4354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3165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六人休闲椅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3AA5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  儿童淘气堡</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、六人休闲椅</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2 、含1张休闲椅子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3C61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48CE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F935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D95EF">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13B08">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2480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C343B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21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0D7B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休闲桌椅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3FBC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部位：城市书吧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、休闲桌椅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、含1张书桌 、4张椅子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B75C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2B977">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F95A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22DBC">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A1B42">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20BC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2F57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22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457C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自助服务机</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22A4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部位：等候区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、自助服务机</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1BD9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0C2B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192A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C5E6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C614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3A365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3C22D8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23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C5F9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雨伞架</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40B7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部位：等候区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、雨伞架</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2E7D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872B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9070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C04B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0CF5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03D44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586DD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24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5AA1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971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、二层科普教育区书柜</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F797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21B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893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33C5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1043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AB4B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2D4BB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25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2E9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单人办公桌椅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F7D5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部位：退役军人活动室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、单人办公桌椅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、含1张办公桌 、1张办公椅子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B164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AFBA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16E00">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772A1">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ADE76">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AD1B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EC6E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26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34B6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1EFE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、定制镂空装饰柜</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A29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156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2D8A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4863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5D0F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0D7A5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F55D7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27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8BB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2915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、定制档案室柜子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4C0C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m2</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098D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21.55</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6DA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1005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D16B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0FEF1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D358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28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629C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木壁柜</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82BD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部位：居家养老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、定制墙面装饰柜</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0A01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m2</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3E8A7">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9.45</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44CE4">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41445">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313CA">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5BA3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B1B28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241D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矮柜</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18E6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1 、退役书画室定</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制矮柜h=800mm</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9DF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DF60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630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970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E7F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630AB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E5A73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7FB9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矮柜</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2333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、青少年科普教育定制矮柜</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DC4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267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5.76</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9A2F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BB80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9F6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37D1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A7A27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31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4B3B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矮柜</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0ADF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部位：茶水间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、定制成品台盆柜h=750mm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、含面层石材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576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ED9C9">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42D7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AA84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7B5E6">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65A9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E6575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32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136E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休闲桌椅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811B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  居家养老、退役军人活动室 、青少年科普教育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、休闲桌椅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、含1张休闲圆桌 、4张椅子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E8C0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0DE52">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C6CC1">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D3C1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807DA">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815B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C57BD5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33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BEE7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办公桌椅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BAA4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部位：两代表一委员活动室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、条形办公桌椅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、含1张办公桌 、14张办公椅子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DC2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5616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FF12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AAF5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83C08">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36A8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19ACF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34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FF29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单人办公椅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9E67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部位：两代表一委员活动室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、单人办公椅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8B96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2411D">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28B36">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5DFE8">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69B9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9DEC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5097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35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B796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办公桌椅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1672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部位：会议室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、会议室讲台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、含1张办公桌 、7张办公椅子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F09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8C23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6C4BD">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01780">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6BEB0">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EB5B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0772C9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36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1BB3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办公桌椅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B426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部位：会议室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、会议室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、含1张办公桌 、5张办公椅子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D741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BE9A5">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3AB0A">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6729F">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07DE4">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45EC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18FC5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37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C391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单人办公桌椅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2DAD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部位：档案室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、单人办公桌椅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、含1张办公桌 、1张办公椅子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8B8A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000E0">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9A265">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65B39">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8F5D6">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D72F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653CF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38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63A3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单人办公桌椅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7DB1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部位：健康驿站</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1 、单人办公桌椅</w:t>
            </w:r>
            <w:r>
              <w:rPr>
                <w:rFonts w:hint="eastAsia" w:ascii="宋体" w:hAnsi="宋体" w:eastAsia="宋体" w:cs="宋体"/>
                <w:sz w:val="18"/>
                <w:szCs w:val="18"/>
                <w:lang w:val="en-US" w:eastAsia="zh-CN" w:bidi="ar"/>
              </w:rPr>
              <w:br w:type="textWrapping"/>
            </w:r>
            <w:r>
              <w:rPr>
                <w:rFonts w:hint="eastAsia" w:ascii="宋体" w:hAnsi="宋体" w:eastAsia="宋体" w:cs="宋体"/>
                <w:sz w:val="18"/>
                <w:szCs w:val="18"/>
                <w:lang w:val="en-US" w:eastAsia="zh-CN" w:bidi="ar"/>
              </w:rPr>
              <w:t>2 、含1张办公桌 、2张办公椅子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60D5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7DE17">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6521E">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44AA5">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FA629">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18EC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549AA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39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AA3E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按摩椅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9C28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部位：居家养老区域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  电动全智能按摩椅</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CB7C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26FE4">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BD470">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4CC70">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325B9">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AD61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5"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C75C6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40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D639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办公桌椅</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B1BE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部位：书画区域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、会议室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、含1张办公桌 、10张办公椅子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6BC1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D12E5">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16BFA">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60627">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E05E2">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FF53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C1898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41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2444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健身器材</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F886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  全民健身中心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、健身器材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ED92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BCAE1">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F71CA">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7484B">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486B8">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F487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EA374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42 </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76DD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乒乓球桌</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0730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部位：全民健身中心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、乒乓球桌</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E8F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z w:val="18"/>
                <w:szCs w:val="18"/>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584B2">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A0D51">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58783">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E886A">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C807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9674" w:type="dxa"/>
            <w:gridSpan w:val="8"/>
            <w:tcBorders>
              <w:top w:val="single" w:color="000000" w:sz="4" w:space="0"/>
              <w:left w:val="single" w:color="000000" w:sz="8" w:space="0"/>
              <w:bottom w:val="single" w:color="000000" w:sz="4" w:space="0"/>
              <w:right w:val="single" w:color="000000" w:sz="4" w:space="0"/>
            </w:tcBorders>
            <w:shd w:val="clear" w:color="auto" w:fill="auto"/>
            <w:vAlign w:val="center"/>
          </w:tcPr>
          <w:p w14:paraId="219FE522">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Chars="0"/>
              <w:jc w:val="left"/>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二、电脑采购</w:t>
            </w:r>
          </w:p>
        </w:tc>
      </w:tr>
      <w:tr w14:paraId="64E6C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5" w:hRule="atLeast"/>
        </w:trPr>
        <w:tc>
          <w:tcPr>
            <w:tcW w:w="107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845E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0609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sz w:val="18"/>
                <w:szCs w:val="18"/>
                <w:lang w:val="en-US" w:eastAsia="zh-CN" w:bidi="ar"/>
              </w:rPr>
            </w:pPr>
            <w:r>
              <w:rPr>
                <w:rFonts w:hint="eastAsia" w:ascii="宋体" w:hAnsi="宋体" w:eastAsia="宋体" w:cs="宋体"/>
                <w:sz w:val="18"/>
                <w:szCs w:val="18"/>
                <w:lang w:val="en-US" w:eastAsia="zh-CN" w:bidi="ar"/>
              </w:rPr>
              <w:t>办公电脑</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604B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配置不低于：i5十代CPU，8G内存，256固态+1T机械盘，22寸显示器，鼠标键盘</w:t>
            </w:r>
          </w:p>
          <w:p w14:paraId="10C8D12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部位：档案室、健康驿站</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4239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sz w:val="18"/>
                <w:szCs w:val="18"/>
                <w:lang w:val="en-US" w:eastAsia="zh-CN" w:bidi="ar"/>
              </w:rPr>
            </w:pPr>
            <w:r>
              <w:rPr>
                <w:rFonts w:hint="eastAsia" w:ascii="宋体" w:hAnsi="宋体" w:eastAsia="宋体" w:cs="宋体"/>
                <w:sz w:val="18"/>
                <w:szCs w:val="18"/>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F1BF0">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25</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07B56">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D4F54">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56A7C">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6767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9674" w:type="dxa"/>
            <w:gridSpan w:val="8"/>
            <w:tcBorders>
              <w:top w:val="single" w:color="000000" w:sz="4" w:space="0"/>
              <w:left w:val="single" w:color="000000" w:sz="8" w:space="0"/>
              <w:bottom w:val="single" w:color="000000" w:sz="4" w:space="0"/>
              <w:right w:val="single" w:color="000000" w:sz="4" w:space="0"/>
            </w:tcBorders>
            <w:shd w:val="clear" w:color="auto" w:fill="auto"/>
            <w:vAlign w:val="center"/>
          </w:tcPr>
          <w:p w14:paraId="7FBED35E">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left"/>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三、智能化采购</w:t>
            </w:r>
          </w:p>
        </w:tc>
      </w:tr>
      <w:tr w14:paraId="4F9A4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720F8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BC7A5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桥架</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5D685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、名称:防火桥架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 :200*100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、材质 :金属</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、备注:含支架制作 、安装</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22A9A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5E76D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D8991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B10BB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5CA33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355F0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9215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50AE2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配管</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73D2D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 : 电气配管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、规格:JDG20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、配置形式:砖、混凝土结构明配 、暗配 、  吊顶内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、备注:含墙体开槽 、补槽均考虑到报价中</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BEE8B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8FDA4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EBBF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1CCD7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93F79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5B063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18FE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252AF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信息插座</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A8CD7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、名称:单口信息面板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、规格:颜色：白色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规格：平面90度86x86型单/双口信息面板；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材料：高强度ABS塑料制造，结构强度高、耐冲击，阻燃级别 94V-0；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结构：面板表面采用不可见螺钉孔设计，美观大方；扣位式面板设计可防止施工时污染面板；面板设计线条流畅、棱角清晰；带有防尘盖，适应于不同的恶劣施工环境，方便跳线插拔；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标示：双标识管理，自带可更换式标签，方便管理，另带数据、语音识别标签；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、底盒材质 、规格:86金属底盒</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7F781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ED64B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7C1A4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闽蓝、东强、颐通</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1B19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828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4E967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80F66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45704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信息插座</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1BE3F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、名称:双口信息面板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、颜色：白色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规格：平面90度86x86型单/双口信息面板；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材料：高强度ABS塑料制造，结构强度高、耐冲击，阻燃级别 94V-0；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结构：面板表面采用不可见螺钉孔设计，美观大方；扣位式面板设计可防止施工时污染面板；面板设计线条流畅、棱角清晰；带有防尘盖，适应于不同的恶劣施工环境，方便跳线插拔；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标示：双标识管理，自带可更换式标签，方便管理，另带数据、语音识别标签；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、底盒材质 、规格:86金属底盒</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A664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B82C2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B7C0A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闽蓝、东强、颐通</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AE994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5C28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63BBB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F3BE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587A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跳块</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17BD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、名称:六类LED非屏蔽模块  90度自带防尘门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、规格:颜色：白色；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规格：六类非屏蔽信息模块，180度，向下兼容超五类、五类、三类；                                                                     特性：符合ANSI/TIA-568-C.2、ISO/IEC 11801、EN 50173-1和IEEE802.3an六类规范；带宽达到250MHz；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IDC簧片：磷青铜镀镍（100μ英寸），可容纳 22-26 AWG 单股和多股线缆，最少250次端接；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JACK金针：磷青铜镀镍再镀金（50μ英寸），最少1000次插拔；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、类别:满足设计及使用需求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72B5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739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D6B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闽蓝、东强、颐通</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3E1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415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6D705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E5C7D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A4F06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跳线</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F5CE9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、名称:六类非屏蔽导光跳线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 、类别:规格：六类4对非屏蔽RJ45-RJ45跳线，带宽达到250MHz；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导体：30AWG；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芯线：8根芯线采用多股软铜线，每根芯线带有彩色绝缘层；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插头：插头采用独特的工艺加工成型，且有弹片保护套，有效防倒钩，提升水晶头使用寿命；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特性：符合ANSI/TIA-568-C.2、ISO/IEC 11801、EN 50288六类规范；单体100%通过fluke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护套：紧护套结构，采用PVC材质，4种颜色可选（蓝、红、黄、紫），可对不同网络和区域进行区分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2BAED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条</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C0930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F4646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闽蓝、东强、颐通</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95C78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81F8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3CA33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BAFC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B178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双绞线缆</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E62E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、名称:六类非屏蔽线缆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 、规格:导体：导体：23AWG，带宽达到250MHz；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芯线：8根芯线采用单股软铜线，每根芯线带有彩色绝缘层；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特性：符合ANSI/TIA-568-C.2、ISO/IEC 11801、EN 50173和GB50311-2007六类规范；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护套：PVC材质，十字骨架结构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特性阻抗: (f：1-250MHz)100±15Ω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六类非屏蔽链路通过ETL认证机构的六个连接点的测试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须符合UL认证，ROHS环保认证、3P认证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79CF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581E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4000</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25E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闽蓝、东强、颐通</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5B5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8E7A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5EAAC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F884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2497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配线架</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0CBC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、名称:六类24口模块化智能配线架（含模块）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、类别:采用SPCC冷扎钢板制成，厚度1.5mm，安装背板带防卡反设置，19寸标准机柜安装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模块化结构，各模块独立扣合，不安装模块孔位可提供塑料堵块，组态灵活，方便后续升级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每个模块都有LED显示，配合LED智能导线仪，智能导航功能，根据不同状态，显示不同颜色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模块自带防尘门，避免灰尘污染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配线架背面需配有理线托盘，用于捆扎、管理线缆，并防尘、防撞击；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每端口对应一个可写标识区域充裕的标签空间，方便端口信息管理；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35FF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B15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9A3A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闽蓝、东强、颐通</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9726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721E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5081A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191A0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5D7FC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线管理器</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B1EF4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、名称:19"标准机柜用1U宽度理线器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、规格:高强度ABS料制造，弹性好，强度高；特殊的可拆卸盖板设计，可上下自由翻转，方便施工操作；均匀琴键式理线槽位,保证跳线良好的弯曲,保证传输性能；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920C6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68ABB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CB00A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闽蓝、东强、颐通</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F368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EDD34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3045C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7B1BB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B5D8D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跳线</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B805F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、名称:六类非屏蔽导光跳线  2米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 、类别:规格：六类4对非屏蔽RJ45-RJ45跳线，带宽达到250MHz；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导体：30AWG；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芯线：8根芯线采用多股软铜线，每根芯线带有彩色绝缘层；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插头：插头采用独特的工艺加工成型，且有弹片保护套，有效防倒钩，提升水晶头使用寿命；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特性：符合ANSI/TIA-568-C.2、ISO/IEC 11801、EN 50288六类规范；单体100%通过fluke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护套：紧护套结构，采用PVC材质，4种颜色可选（蓝、红、黄、紫），可对不同网络和区域进行区分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C177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条</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B5F45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BAB0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闽蓝、东强、颐通</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0DDB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C824D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69BDE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55E6D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325CF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 、机架</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5AF0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、名称:42U机柜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、类别:尺寸：42U，600*600*2000mm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板材：采用优质SPCC冷轧钢板，立柱（方孔条）2.0mm、横梁（安装梁）\框架组件1.5mm 、侧门1.0mm、其余1.2mm；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表面：脱脂、酸洗、防锈磷化、纯水清洗、喷塑处理、外型美观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结构：可方便地安装机柜集中配电单元及设备；前单开后双开网孔门，具有良好的通风自然散热性能，通风率&gt;75%；可同时安装脚轮和支撑脚；可关闭的上部、下部多处走线通道，底部大走线孔尺寸可按需调整；可选配安装底座，达到固定机柜、底部过线、底部送冷风、防鼠的要求；高品质安全锁，锁具开启平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机柜承重：结构稳固，静载可达1000Kg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03BAD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10AA6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DA379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0245E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325BC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1546C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A80D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EA11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控制设备</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07B3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Style w:val="479"/>
                <w:rFonts w:hint="eastAsia" w:ascii="宋体" w:hAnsi="宋体" w:eastAsia="宋体" w:cs="宋体"/>
                <w:sz w:val="18"/>
                <w:szCs w:val="18"/>
                <w:lang w:val="en-US" w:eastAsia="zh-CN" w:bidi="ar"/>
              </w:rPr>
              <w:t>1. 吞吐量：≥10Gbps，最大接入用户数≥4096</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2. AP管理：最大管理普通AP≥256；</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3. 接口：</w:t>
            </w:r>
            <w:r>
              <w:rPr>
                <w:rFonts w:hint="eastAsia" w:ascii="宋体" w:hAnsi="宋体" w:eastAsia="宋体" w:cs="宋体"/>
                <w:b/>
                <w:bCs/>
                <w:i w:val="0"/>
                <w:iCs w:val="0"/>
                <w:color w:val="000000"/>
                <w:kern w:val="0"/>
                <w:sz w:val="18"/>
                <w:szCs w:val="18"/>
                <w:u w:val="none"/>
                <w:lang w:val="en-US" w:eastAsia="zh-CN" w:bidi="ar"/>
              </w:rPr>
              <w:t>≥</w:t>
            </w:r>
            <w:r>
              <w:rPr>
                <w:rStyle w:val="479"/>
                <w:rFonts w:hint="eastAsia" w:ascii="宋体" w:hAnsi="宋体" w:eastAsia="宋体" w:cs="宋体"/>
                <w:sz w:val="18"/>
                <w:szCs w:val="18"/>
                <w:lang w:val="en-US" w:eastAsia="zh-CN" w:bidi="ar"/>
              </w:rPr>
              <w:t>8个千兆电口，≥2个万兆SFP+，≥1个USB ，≥1个Console口，内置双电源；</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4. 支持AC内漫游，支持跨AC间漫游，支持跨VLAN的三层漫游</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5. 支持基于802.11k/802.11v/802.11r协议的智能漫游</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6. 支持标准capwap协议、AC和AP之间支持L2/L3层网络拓扑</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7. 支持与无线云平台对接，实现多种的应用功能，支持微信/短信认证以及一键认证及流量管控功能</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8. 为保障网络全面运维，支持通过云平台显示AC CPU、内存使用情况、整机或单口广播、单播历史信息等</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9. 基于空口利用率的SSID自动隐藏功能：AC、AP支持基于空口利用率的SSID自动隐藏功能，当空口繁忙程度达到或超过配置的阈值时，SSID自动隐藏，为用户提供稳定可靠的无线服务；</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10.AC支持对流经本设备的报文流量进行病毒检测，支持对黑客攻击、蠕虫/病毒、木马、恶意代码、风险软件、DoS/DDoS等常见的攻击防御，检测到存在病毒的数据并阻止下载；</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3547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2240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7FB1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华为、华三、中兴</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EE8C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867C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36629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39E8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6140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交换机</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49D7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性能：整机交换容量≥496Gbps；转发性能≥126Mpps，以官网最小值为准；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端口：≥24千兆电+4千兆SFP；支持POE+，整机POE供电功率≥375W；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支持≥9台物理设备虚拟化技术，支持完善的堆叠分裂检测机制，堆叠分裂后能自动完成MAC和IP地址的重配置，无需手动干预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支持IPv4/IPv6静态路由，支持RIP/RIPng，OSPFV2/V3；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 支持DHCP Client，支持DHCP Snooping，支持 DHCP Relay</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 支持STP/RSTP/MSTP协议，支持G.8032以太网环保护协议ERPS，可兼容其他支持该协议的产品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 支持SP/WRR/SP+WRR队列调度，支持基于端口的限速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 内置图形化网管软件功能，对下属接入网络设备的统一管理，实现命令的批量下发、拓扑展示等运维功能；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 支持SNMP V1/V2/V3、RMON、Telnet远程配置；支持端口休眠，关闭没有应用的端口，节省能源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10、支持≥10KV业务端口防雷能力</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5FB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BE29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9A6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华为、华三、中兴</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80D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CB0B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0F8EF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C6882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EBD4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输入设备</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9370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1、支持可工作在802.11a/b/g/n/ac/ac wave2/ax模式；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2、采用双频四流设计，整机最大接入速率2.975Gbps；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3、接口≥1个10/100/1000M电口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4、内置BLE5.1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5、内置智能天线系统，发射功率≥23dBm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6、支持包括802.1x认证、PSK认证、MAC、PPPOE、Portal、微信、短信等认证加密方式，用以保护无线网络安全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7、在网络拥塞情况下，支持对终端报文进行识别，可对关键业务优先处理并加速，提升用户体验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8、支持基于SSID的包过滤，可以在无线空口接收报文阶段及根据IP地址、端口号等对用户报文进行过滤，实现用户数据流量的精细化控制，并支持IPV6协议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9、为避免用户在网络中私接AP，干扰网络正常运行，可以及时检测到这类问题，对此类设备进行反制，同时合法用户不受影响，保证网络正常运行</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358D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15AA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F85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华为、华三、中兴</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F7A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FF8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4D234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812B5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A41E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交换机</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8C84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性能：整机交换容量≥496Gbps；转发性能≥144Mpps，以官网最小值为准；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端口：≥48千兆电+4千兆SFP；</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支持≥9台物理设备虚拟化技术，支持完善的堆叠分裂检测机制，堆叠分裂后能自动完成MAC和IP地址的重配置，无需手动干预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支持IPv4/IPv6静态路由，支持RIP/RIPng，OSPFV2/V3；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 支持DHCP Client，支持DHCP Snooping，支持 DHCP Relay</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 支持STP/RSTP/MSTP协议，支持G.8032以太网环保护协议ERPS，可兼容其他支持该协议的产品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 支持SP/WRR/SP+WRR队列调度，支持基于端口的限速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 内置图形化网管软件功能，对下属接入网络设备的统一管理，实现命令的批量下发、拓扑展示等运维功能；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 支持SNMP V1/V2/V3、RMON、Telnet远程配置；支持端口休眠，关闭没有应用的端口，节省能源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10、支持≥10KV业务端口防雷能力</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0C9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9F85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313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华为、华三、中兴</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370B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72B8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699B8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5662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89BA7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7C834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1）像素间距：1.86mm；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2）封装类型：国产铜线；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3）箱体类型：压铸铝箱体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4）箱体参数：尺寸640*480mm；分辨率344×258dots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5）像素密度：288906 dots/m²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6）光学参数：灰度等级14 bit；颜色68.71 trillion；支持单点亮度校正；支持单点色度校正；发光点中心距偏差≤2%；亮度均匀性≥98%；色度均匀性：±0.003Cx,Cy之内；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7）电气参数：输入电源AC186~264V/50~60 Hz；输入功率(最大值)≤586 W/m²；输入功率(典型值)≤195W/m²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8）环境参数：工作温湿度-20℃~+50℃/10%~95%RH；存储温湿度-40℃~+80℃/10%~90%RH（无结霜）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9）维护方式：前维护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10）标配单卡单电源，不支持双卡双电源备份</w:t>
            </w:r>
            <w:r>
              <w:rPr>
                <w:rFonts w:hint="eastAsia" w:ascii="宋体" w:hAnsi="宋体" w:eastAsia="宋体" w:cs="宋体"/>
                <w:i w:val="0"/>
                <w:iCs w:val="0"/>
                <w:color w:val="000000"/>
                <w:kern w:val="0"/>
                <w:sz w:val="18"/>
                <w:szCs w:val="18"/>
                <w:u w:val="none"/>
                <w:lang w:val="en-US" w:eastAsia="zh-CN" w:bidi="ar"/>
              </w:rPr>
              <w:br w:type="textWrapping"/>
            </w:r>
            <w:r>
              <w:rPr>
                <w:rStyle w:val="479"/>
                <w:rFonts w:hint="eastAsia" w:ascii="宋体" w:hAnsi="宋体" w:eastAsia="宋体" w:cs="宋体"/>
                <w:sz w:val="18"/>
                <w:szCs w:val="18"/>
                <w:lang w:val="en-US" w:eastAsia="zh-CN" w:bidi="ar"/>
              </w:rPr>
              <w:t xml:space="preserve">产品应具备较高的刷新率，刷新率应可调至3840Hz;  </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 xml:space="preserve">★产品应严格控制像素中心距偏差，像素中心距偏差值应≤0.1;（投标时提供封面具备CAL、CMA、CNAS标识的第三方检测机构出具的检测报告复印件）  </w:t>
            </w:r>
            <w:r>
              <w:rPr>
                <w:rFonts w:hint="eastAsia" w:ascii="宋体" w:hAnsi="宋体" w:eastAsia="宋体" w:cs="宋体"/>
                <w:i w:val="0"/>
                <w:iCs w:val="0"/>
                <w:color w:val="FF0000"/>
                <w:kern w:val="0"/>
                <w:sz w:val="18"/>
                <w:szCs w:val="18"/>
                <w:u w:val="none"/>
                <w:lang w:val="en-US" w:eastAsia="zh-CN" w:bidi="ar"/>
              </w:rPr>
              <w:br w:type="textWrapping"/>
            </w:r>
            <w:r>
              <w:rPr>
                <w:rStyle w:val="479"/>
                <w:rFonts w:hint="eastAsia" w:ascii="宋体" w:hAnsi="宋体" w:eastAsia="宋体" w:cs="宋体"/>
                <w:sz w:val="18"/>
                <w:szCs w:val="18"/>
                <w:lang w:val="en-US" w:eastAsia="zh-CN" w:bidi="ar"/>
              </w:rPr>
              <w:t xml:space="preserve">产品应具备较好的亮度均匀性，亮度均匀性应≥98%; </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产品应具备较好的色度均匀性，色度均匀性应在± 0.002Cx,Cy之间;</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 xml:space="preserve">产品在正常运行时不应有较大噪声，工作噪声（距离1米） 应≤10db ;  </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在显示屏长时间不用或者环境湿度过大时，通过软件可以自动实现定期开机以灰度渐变方式回温除湿。</w:t>
            </w:r>
            <w:r>
              <w:rPr>
                <w:rFonts w:hint="eastAsia" w:ascii="宋体" w:hAnsi="宋体" w:eastAsia="宋体" w:cs="宋体"/>
                <w:i w:val="0"/>
                <w:iCs w:val="0"/>
                <w:color w:val="FF0000"/>
                <w:kern w:val="0"/>
                <w:sz w:val="18"/>
                <w:szCs w:val="18"/>
                <w:u w:val="none"/>
                <w:lang w:val="en-US" w:eastAsia="zh-CN" w:bidi="ar"/>
              </w:rPr>
              <w:t xml:space="preserve">  </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 xml:space="preserve">★显示屏可以根据环境亮度自动调节显示亮度。（投标时提供封面具备CAL、CMA、CNAS标识的第三方检测机构出具的检测报告复印件）  </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FE61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3F2C5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7.37</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E88D8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大华、强力巨彩、蓝普</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7A5E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9CC8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04A75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8130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8D575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7156A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、名称:会议平板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 : 100英寸，4K画质，一键投屏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一楼、二楼小会议室各一台</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90C3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256AF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493C4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华为、小米、创维</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4F234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6AEAA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787F2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21A5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B0634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软件</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35AF0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、名称:控制系统软件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1.支持所有设备信号源通道的展示；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2.支持一键开窗、分屏 、漫游 、缩放操作 ，  画面显示没有区域范围上的边界限制 ，  通过独有的视频处理算法，保证画面在缩放过程中画质不受损失；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3.支持信号通道模糊搜索功能；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4.支持输入源收藏夹管理 ，  重要及常用的信号源可用收藏夹收藏打包管理；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5.支持设置虚拟LED ，  包括设置字体 、字号 、颜色 、位置 、背景色等（需本身设备支持虚拟LED功能）；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6.支持云台控制，包括方向控制 、配置转速 、变倍 、聚焦等功能；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7.支持设置各种轮巡 ，  包括窗口轮巡和场景轮巡；</w:t>
            </w:r>
            <w:r>
              <w:rPr>
                <w:rFonts w:hint="eastAsia" w:ascii="宋体" w:hAnsi="宋体" w:eastAsia="宋体" w:cs="宋体"/>
                <w:i w:val="0"/>
                <w:iCs w:val="0"/>
                <w:color w:val="000000"/>
                <w:kern w:val="0"/>
                <w:sz w:val="18"/>
                <w:szCs w:val="18"/>
                <w:u w:val="none"/>
                <w:lang w:val="en-US" w:eastAsia="zh-CN" w:bidi="ar"/>
              </w:rPr>
              <w:br w:type="textWrapping"/>
            </w:r>
            <w:r>
              <w:rPr>
                <w:rStyle w:val="479"/>
                <w:rFonts w:hint="eastAsia" w:ascii="宋体" w:hAnsi="宋体" w:eastAsia="宋体" w:cs="宋体"/>
                <w:sz w:val="18"/>
                <w:szCs w:val="18"/>
                <w:lang w:val="en-US" w:eastAsia="zh-CN" w:bidi="ar"/>
              </w:rPr>
              <w:t>8.支持轮巡启动上墙 、暂停 、切换上一轮巡 、下一轮巡；</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9.支持场景计划的设置 、启动；</w:t>
            </w:r>
            <w:r>
              <w:rPr>
                <w:rStyle w:val="479"/>
                <w:rFonts w:hint="eastAsia" w:ascii="宋体" w:hAnsi="宋体" w:eastAsia="宋体" w:cs="宋体"/>
                <w:sz w:val="18"/>
                <w:szCs w:val="18"/>
                <w:lang w:val="en-US" w:eastAsia="zh-CN" w:bidi="ar"/>
              </w:rPr>
              <w:br w:type="textWrapping"/>
            </w:r>
            <w:r>
              <w:rPr>
                <w:rStyle w:val="479"/>
                <w:rFonts w:hint="eastAsia" w:ascii="宋体" w:hAnsi="宋体" w:eastAsia="宋体" w:cs="宋体"/>
                <w:sz w:val="18"/>
                <w:szCs w:val="18"/>
                <w:lang w:val="en-US" w:eastAsia="zh-CN" w:bidi="ar"/>
              </w:rPr>
              <w:t>10.支持对大屏进行手动/定时/延迟开关机。</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C3386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8A1A4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0E625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876D3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2F8EB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3433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CC95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206A3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配电箱</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3F75C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 :LED10KW配电箱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1. 采用高质量 ，  高可靠性的工业级进口控制器 ，  全天候 ，  全时段稳定可靠运行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配电系统包含PLC远程智能控制系统 ，  可执行远程开关机操作 ，  具备过压 、过流 、欠压 、短路 、断路及漏电保护措施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拥有LED显示屏全智能远程控制系统 ，  可实现对LED智能配电箱的远程设定 、控制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内部模块化设计 ，  合理布局 ，  用电安全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  内设控制电路保险装置 ，对电路实施全方位监控 、保护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  内部设立具有三芯及两芯插座，方便调试设备及维修供电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  具有A/B/C三相独立供电指示灯，方便外部判断设备工作状态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 支持手动一键启动/停止和单点点动控制 、远程一键启动/停止和单点点动控制.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 拥有启动 、紧急制停按钮 ，  方便异常状态紧急维护使用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 机柜可采用壁装 、挂装安装方式 ，  具有防虫 、防鼠功效。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D3608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1A019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D2E0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60824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E6D7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C584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85A74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C9E11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BC7B1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、名称:专业主控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、1. 最大带载不低于524万像素，最宽不低于16384像素 ，  最高不低于8192像素 ，尺寸可灵活设置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支持视频源任意切换，可根据显示屏分辨率对输入图像进行拼接 、缩放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支持6画面显示，位置、大小可自由调节支持多窗口 ，  可自由设定窗口大小和位置，并支持窗口叠加4. 支持16种预置模式 ，  可根据需求随时加载保存的预置参数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 支持亮度和色温调节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 支持低亮高灰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 最大输入分辨率4096*2160@60Hz ,  支持分辨率任意设置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 支持HDCP 2.2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 支持丰富的数字信号接口 ，  包括3路HDMI 、2路DVI 、1路DP 、1路3.5mm音频输入输出接口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 USB2.0*2个，用于电脑调试和设备间任意级联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 8个千兆输出网口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为确保系统稳定性、安全性 ，所投LED显示单元与控制设备需为同一厂家设备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798E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01B7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0A6C2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0DE32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3769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01058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37124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4F900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设备支架</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1AE59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、名称:LED定制支架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B0680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3D6A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6C919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8DD01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A247F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1291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0460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E7124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接插件等</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8BF33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 : 电缆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、类型:LED屏到配电箱的强电电缆</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48FDF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5230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C8348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ACFE9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6AC35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CF1B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93885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6F2A4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网络服务器</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D8EAF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、名称:新增视频服务器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 : i5-13400F/GTX1650/主板B365/固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态512G/高性能内存16G/电源500W/</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44EDD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FB266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3F68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联想、戴尔、华为</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5BBB5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3BA5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0445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3DB9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51876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9657C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、名称:高档会议音箱（350W）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点声源音箱作为大型音箱系统一部份，可以安装在包厢.眺台下方和作为舞台台唇区域音箱使用，也可以为工业和商业场所的高清晰分散或扩声系统音箱使用。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1.高音：1x34mm高音单元，34芯音圈，1寸口径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2.低音：1x10寸低音单元，50芯音圈，140磁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3.频响响应：65Hz-20KHz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4.额定功率：≥350W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5.峰值功率：≥1400W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6.灵敏度：≥96dB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7.阻抗：8ohm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8.辐射角度：≥80°(H)×≥80°(V)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8C285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160A8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BAE61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28A92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D0ABA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069C3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25B08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512F6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3643B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、名称:2通道专业功放400W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1.2.8寸真彩屏功能：机内温度显示、左右声道数值显示、工作状态显示、输入灵敏度显示、保护提醒关机显示。（投标时需提供第三方检测机构出具的带有CMA、CNAS及国际互认的ilac-MRA标志的有效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2.体积小，低重量、高效率、高音质，声音饱满有磁性。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3.具有独特的保护电路设计，保护功能：直流、过热、过载以及限幅，过压、欠压有效保护设备长期使用。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4.后面板拔动开关用于选择立体声模式、桥接模式、并接模式，三个工作模式。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1.立体声输出功率8Ω：≥400W×2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2.立体声输出功率4Ω：≥700W×2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3.桥接功率 8Ω：≥1100W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4.输入灵敏度：0.775V/1.4V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5.频率响应：20-20000Hz(±0.3dB)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6.转换速率：≥10V/µs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7.阻尼系数：﹥200:1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8.串音：&gt;70dB@1KHz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9.信噪比：﹥100dB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10.总谐波失真：＜0.5%，1KHz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11.互调失真：﹤0.35%8Ω,1KHz1W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96E79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C7A17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D32E1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D31A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D6158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71392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A253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BD89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设备支架</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57989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、名称:音箱壁挂支架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1.黑色、全钢制作、表面喷漆处理，坚固可靠；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2.满足您的需要可承重≥80kg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3.可安装KTV包房音箱、专业舞台音箱等；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4.可往左右上下方调节音箱的角度；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5.后方带以音箱深度来调节定位的横形压条；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6.下方倾斜角度：90-135度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7.左右转动角度：10-180度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D27DA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8CB0E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18D52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7C33E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4C815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17160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ABB4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D56B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AE297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、名称:音频处理器八进八出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1.最新音频处理器技术，40bitDSP浮点运算引擎处理芯片，24bitA/D及D/A转换，音频采样率达到48KHz；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2.提供8路平衡式话筒／线路输入，采用裸线接口端子，8路平衡式输出，采用裸线接口端子，4路GPIO逻辑接口；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3.内置USB声卡，支持播放USB音频文件，支持录播和远程会议；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4.输入：前级放大、信号发生器、扩展器、压缩器、参量均衡、自动增益、反馈抑制器等；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5.输出：参量均衡、高低通、延时器、限幅器、输出正反向、增益调节；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6.内置话筒自适应反馈消除（AFC）、数字矩阵、自动混音、回声消除、噪声抑制；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7.支持编组控制功能、多组场景预设、远程管理功能，支持通道拷贝、粘贴、联控功能；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8.设备支持APP控制，支持IOS、安卓、WINDOWS等，APP软件支持用户自定义，通过APP可实现对处理器进行控制，如音量大小、预设调用、外控第三方设备、矩阵切换等；（投标时需提供第三方检测机构出具的带有CMA、CNAS及国际互认的ilac-MRA标志的有效检测报告复印件并加盖企业公章，并提供软件自定义界面编程截图)</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9.系统集成中控功能，支持RS232、RS485、UDP控制，通过编程简单地控制投影、幕布、灯光、窗帘、电源时序器等第三方设备；（投标时需提供第三方检测机构出具的带有CMA、CNAS及国际互认的ilac-MRA标志的有效检测报告复印件并加盖厂家公章，并提供软件设定RS232、RS485、UDP协议选择及程序定制编程软件界面设置截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10.产品支持扩展外接控制面板功能，面板类型至少两种以上，可实现远端对处理器进行控制，如音量大小、预设调用、外控第三方设备(支持RS232、RS485、UDP等)、矩阵切换等；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4209B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62196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B1AE6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DC425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CC252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312A8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FF9F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C6346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12AC2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、名称:16路机架式调音台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1.16路低噪音通道；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2.8路单声道输入，4路立体声输入；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3.3路立体声返回，4个AUX效果输出；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4.1组立体声监听输出，4编组输出；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5.1组左右平衡主输出，1组主混音输出；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6.1个单声道输出，1个效果器脚踏板开关；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7.1组TAPE输入和1组TAPE输出；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8.具有通道哑音功能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9.产品配置USB声卡，可播放高清无损音乐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10.19〞机架式安装设计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C7A01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9F151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401E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C873B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7A16A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1F43E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1F0D4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6C71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8093F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、名称:真分集U段无线话筒（一台主机+两个无线话筒）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、类别：功能特点：                                                                                                                                                      1.使用UHF520-690MHz频段，避免干扰频率；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2.真分集U段话筒，一台主机+两个无线话筒；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3.全自动红外线对频，使发射机与接收机自动同步收发；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4.采用锁相环PLL频率合成稳定系统，提供200个通道；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5.≥4组独立的射频中频系统，配≥4支独立的高增益天线；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6.采用最新型高频滤波器，最大限度地滤除带外干扰信号；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7.采用二次变频的高频电路设计，具有极高的灵敏度；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8.多重静噪控制电路，拒绝外部干扰；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9.工作距离：室内大于≥100米.室外≥260米；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10.背面设有≥2个平衡输出和1≥个混合非平衡输出，适合连接各种外置设备；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11.接收机背面设置≥4条橡胶接收天线，增强接收的信号，外观大方得体。</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00A6D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84468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6E61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8A126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0986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DC40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D53EC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67C95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背景音乐系统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D656A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、名称:无线话筒天线放大器(室内)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功能特点：一款UHF有源无线指向型天线，具有双极化对数周期列阵。与1/2波长全向型天线对比，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1.新宽频分配器的载波范围由（500-950MHz），涵盖欧、美新电波法规频率范围。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2.提供2~4台各种自动选讯接收机共享一对天线系统，简化天线装配工程，提升接收距离及效能。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3.采用最新超高动态低噪声之主动组件与超宽带微带线路设计，具有超低内调失真及损耗的特性，提供多频道接收系统同时使用时能排除混频干扰，其输出增益约等于1。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4.具有两组天线输入、输出底座及两组四频道天线输出底座可以直接连到四台自动选讯接收机的天线输入座。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5.天线输入底座可以直接装置适用频带范围内的各种单竿天线、同轴天线或加装强波器后连接延长天线组及宽带对数定向天线组。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6.可以安装在话筒支架上、悬挂在天花板上或采用旋转式转接器托架安装在墙壁上。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7.天线输入底座具有供应强波器的电源，可直接连接具有天线强波器的延长天线组及内建强波器的对数定向天线组。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8.为补偿同轴电缆的信号损失，板载放大器提供给用户可选的3或10dB增益。增益设置有两个LED灯显示。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9.外置4组12V/1ADC电流（直流电源）。阻抗：50欧姆</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59B0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9BBC9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8C3E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15614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0A59E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396EE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9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F26D2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69557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B1F4C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、名称:8+2路智能编程带滤波电源时序管理器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1.配备14路220V/13A受控万能接口电源+250V/50A高端电源滤波器+紧急触发接口+副机级联接口+智能控制及定时编程模块等；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2.4.3寸屏可显示所有工作输出状态，当前电压、电流、当前功率、温度、系统时间、当时电源插座运行状态等；（投标时需提供第三方检测机构出具的带有CMA、CNAS及国际互认的ilac-MRA标志的有效检测报告复印件，提供产品软件功能截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3.可直接设置输出参数，单机可实现定时开定时关，每路输出可设12组时间定时开关模式，一共可设定168组定时程序；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4.可手动设置各路电源的开关输出状态，全部电源输出接通后，还可以用通道开关按键，选择任一一路输出即时关即时开；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5.系统具备网络控制功能及自我检测功能，可进行IP地址相关配置，可进行欠压、过压、温度设定检测功能，当超过案例设定值自动断开电源功能；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可设置机器地址，多台联机，只需设置一台为主机，其余都设置为副机，用控制信号线将主机与副机连接起来，就可实现多路顺序开关，多路定时开关，当需关机时，只需关主机电源开关就能控制副机关机；设定主副机，最大可级连10台副机，总控可达140路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7.具有程序断电记忆功能，当设定正常后，在使用过程中断电，再次开电可记忆之前设定状态；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8.为保证系统安全，产品自带漏电保护开关，当系统中有设备有漏电等情况时可自动切断电源起到设备保护及人员安全等问题；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9.设备具备音频输入及输出功能，可结合IP网络广播系统，可以做IP网络解码或编码终端来使用，可实现专业系统与广播系统的无缝对接功能；（投标时需提供第三方检测机构出具的带有CMA、CNAS及国际互认的ilac-MRA标志的有效检测报告复印件）</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10.系统具备RS232、IP网络等接口，可实现中控及第三方设备控制功能，达到多系统集成控制功能；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1.通道数：14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2.总输出功率：11kW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3.网络接口：RJ45（1个）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4.电源：AC 220V 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4.电源：AC 220V 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0FE6B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07F1C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060DD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A0509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0FE9B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04F51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458F6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26F78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背景音乐系统设备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7728D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、名称:有线和无线会议主机视频版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1.采用≥4.3英寸全彩触摸屏，能够实现对参数查看和设置，支持进行任意触摸操作。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2.支持普通模式、先进先出、声控模式、申请模式四种话筒管理模式。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3.支持单台会议主机实现≥16个会议室合并音频以及音频单独分区控制。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4.有≥1路RCA、≥1路卡侬接口、≥16路凤凰端子音频输出接口。每个输出通道都可以调节音量、EQ、延时器等参数。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5.可控制音量、EQ、话筒灵敏度等音频矩阵参数，控制开关话筒同步、≥16通道输出模式切换、控制角色分离主机。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6.支持≥16通道角色分离输出模式，有线或无线单元支持单独输出声音，通过录音软件可以实现每个单元独立录音，支持连接语音转写设备，实现角色分离。</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7.支持≥16通道相控输出模式，设备内置≥nx16音频矩阵处理器，可以实现≥16通道分组输出功能，可以进行任意音量比例输出到任意通道。（投标时需提供第三方检测机构出具的带有CMA、CNAS及国际互认的ilac-MRA标志的有效检测报告复印件）</w:t>
            </w:r>
            <w:r>
              <w:rPr>
                <w:rFonts w:hint="eastAsia" w:ascii="宋体" w:hAnsi="宋体" w:eastAsia="宋体" w:cs="宋体"/>
                <w:i w:val="0"/>
                <w:iCs w:val="0"/>
                <w:color w:val="FF0000"/>
                <w:kern w:val="0"/>
                <w:sz w:val="18"/>
                <w:szCs w:val="18"/>
                <w:u w:val="none"/>
                <w:lang w:val="en-US" w:eastAsia="zh-CN" w:bidi="ar"/>
              </w:rPr>
              <w:br w:type="textWrapping"/>
            </w:r>
            <w:r>
              <w:rPr>
                <w:rStyle w:val="479"/>
                <w:rFonts w:hint="eastAsia" w:ascii="宋体" w:hAnsi="宋体" w:eastAsia="宋体" w:cs="宋体"/>
                <w:sz w:val="18"/>
                <w:szCs w:val="18"/>
                <w:lang w:val="en-US" w:eastAsia="zh-CN" w:bidi="ar"/>
              </w:rPr>
              <w:t>8.支持≥16通道同传输出模式，能够把译员机的声音单独输出提供外部设备，给录音或者监听设备使用。</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9.支持不低于10段EQ调节功能，≥2路LINEOUT输出通道和≥16路多功能输出通道都具有不低于10段EQ调节功能。</w:t>
            </w:r>
            <w:r>
              <w:rPr>
                <w:rFonts w:hint="eastAsia" w:ascii="宋体" w:hAnsi="宋体" w:eastAsia="宋体" w:cs="宋体"/>
                <w:i w:val="0"/>
                <w:iCs w:val="0"/>
                <w:color w:val="FF0000"/>
                <w:kern w:val="0"/>
                <w:sz w:val="18"/>
                <w:szCs w:val="18"/>
                <w:u w:val="none"/>
                <w:lang w:val="en-US" w:eastAsia="zh-CN" w:bidi="ar"/>
              </w:rPr>
              <w:br w:type="textWrapping"/>
            </w:r>
            <w:r>
              <w:rPr>
                <w:rStyle w:val="479"/>
                <w:rFonts w:hint="eastAsia" w:ascii="宋体" w:hAnsi="宋体" w:eastAsia="宋体" w:cs="宋体"/>
                <w:sz w:val="18"/>
                <w:szCs w:val="18"/>
                <w:lang w:val="en-US" w:eastAsia="zh-CN" w:bidi="ar"/>
              </w:rPr>
              <w:t>10.系统最多支持≥300台无线会议单元与≥4096台有线会议单元。系统支持最多发言数量为≥6个无线话筒和≥8个有线话筒。</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★11.支持不低于四进四出HDMI无缝切换。（投标时需提供第三方检测机构出具的带有CMA、CNAS及国际互认的ilac-MRA标志的有效检测报告复印件）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1.触屏控制：≥4.3英寸全彩触摸屏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2.频率响应：80~16KHz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3.有线话筒连接方式：专用电缆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4.话筒容量：有线话筒≥4096；无线话筒≥300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5.同声传译通道：≥63+1通道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6.信噪比：≥80dB(A)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7.动态范围：≥80dB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8.总谐波失真：≥0.05%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9.EXTENSION口：连接会议系统扩展设备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10.WIFI网口：连接无线AP</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11.PC网口：连接电脑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12.主电源：100-240VAC</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13.静态功耗：≤30W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14.输出功耗：≤150W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F659F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CEAA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3F9AA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225EB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C5A8C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50701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513B5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0ACC5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6E67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、名称:全数字4寸表决无线鹅颈会议主席单元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1.精致时尚的≥4.0触摸屏用于显示会议进程信息，可显示以下信息：发言模式、发言计时、发言人信息、茶水服务等。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2.无线可移动桌面更整洁。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3.Ø3.5mm的立体声耳机插口可连接耳机，且音量可调。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4.驻极体心形指向性麦克风，并带有双色开启指示灯圈，内置麦克风防风罩。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5.Type-C接口，可给设备充电，同时程序升级功能。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6.主席机具有优先权功能，可以关闭所以正在发言的代表机。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7.采用不低于128位AES加密技术，支持WPA/WPA2无线安全技术，防止窃听和非授权访问，提供更高的会议系统机密性。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8.具有智能检测故障功能，提示用户AP故障、主机通信故障、信号强度过低等情况。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9.全数字音频技术，内置高性能CPU，处理速度更快，音质更佳。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10.支持不低于48kHz音频采样频率，频率响应不低于60Hz~18kHz。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11.会议单元之间、会议单元与主机之间均采用全数字音频传输技术。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12.具有按键签到功能。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13.会议单元有唯一的序列号，会议系统可以手动给会议单元分配ID。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14.配合摄像机、视频切换台，使用电脑预设后，可进行摄像机自动跟踪。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1.颜色：黑色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2.安装方式：桌面式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3.签到功能：按键签到、触摸屏签到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4.显示屏：≥4寸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5.麦克风类型：驻极体电容式传声器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6.频率响应：60Hz~18KHz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7.麦克风输入阻抗：1KΩ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8.灵敏度：－43±1dBv/Pa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9.最大SPL：≥100dB(THD&gt;3%)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10.信噪比：≥80dB(A)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11.串扰：≥70dB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12.动态范围：≥80dB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13.THD：≤0.1%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14.最大功耗：≤1.5W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15.供电方式：18650锂电池供电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16.充电方式：通过TYPE-C接口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17.无线频率范围：5.15GHz~5.85GHz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18.电池容量：≥5200mAh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19.发言工作时长：≥8小时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20.咪杆长度：≥420mm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 ，  含全数字会议系统音频传输内嵌软件</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779D9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BC58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355B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85E31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9FFED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6CC0F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C2FE6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C3F0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5EDBC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、名称:全数字4寸表决无线鹅颈会议代表单元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1.精致时尚的≥4.0触摸屏用于显示会议进程信息，可显示以下信息：发言模式、发言计时、发言人信息、茶水服务等。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2.Ø3.5mm的立体声耳机插口可连接耳机，且音量可调。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3.主席机具有优先权功能，可以关闭所以正在发言的代表机。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4.采用不低于128位AES加密技术，支持WPA/WPA2无线安全技术，防止窃听和非授权访问，提供更高的会议系统机密性。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5.具有智能检测故障功能，提示用户AP故障、主机通信故障、信号强度过低等情况。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6.全数字音频技术，内置高性能CPU，处理速度更快，音质更佳。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7.支持不低于48kHz音频采样频率，频率响应不低于60Hz~18kHz。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8.具有按键签到功能。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9.配合摄像机、视频切换台，使用电脑预设后，可进行摄像机自动跟踪。</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59042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CDCBD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B2B50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0C493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83E24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1E1DA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61902">
            <w:pPr>
              <w:keepNext w:val="0"/>
              <w:keepLines w:val="0"/>
              <w:pageBreakBefore w:val="0"/>
              <w:widowControl/>
              <w:kinsoku/>
              <w:wordWrap/>
              <w:overflowPunct/>
              <w:topLinePunct w:val="0"/>
              <w:autoSpaceDE/>
              <w:autoSpaceDN/>
              <w:bidi w:val="0"/>
              <w:adjustRightInd/>
              <w:snapToGrid/>
              <w:spacing w:line="300" w:lineRule="exact"/>
              <w:jc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35</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0896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AB0A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、名称:5G无线数字AP发射器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1.产品具有外观美观大方、安装便利的特点，适用于吸顶、壁挂、桌面放装。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2.上行链路采用不低于千兆以太网端口，有线口不再是无线接入的速率瓶颈。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3.支持PoE远程供电和本地供电，可依据用户的供电现场环境选择适合的供电方式。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4.兼容Wave 2、802.11a/ an / ac ，支持MU-MIMO，允许AP同时接收多个终端发送数据，整机最大传输速率可以达到≥1.601Gbps，能够有效地从接入密度、覆盖范围、流量吞吐等方面提供更高性能的无线接入服务。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5.支持≥1024QAM调制解调算法和空间复用技术，能够提供更大的无线覆盖范围和更快的无线上网，可以满足语音、文字等各种无线业务的承载使用。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6.支持WPA3安全协议，让会议内容保密性更强。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7.采用虚拟无线接入点技术，最多可以提供≥32个ESSID，这些不同SSID之间相互隔离，这样对于同一个VLAN下或使用相同SSID的子网进行终端二层隔离，保障用户数据安全性。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8.支持中文SSID和中英文混合的SSID，为使用用户提高识别度和提供个性化的SSID。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9.支持不低于80/160MHz的高带宽频段，有助于减少了网络拥堵，降低延迟，能够提供更高的性能。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1.状态指示灯：≥1*系统灯：Blue，正常上线：常亮；未激活：闪烁；设备上电异常：系统灯灭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2.以太网口：≥1个10/100/1000M电口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3.POE口：≥1个RJ45口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4.天线：内置矩阵式智能天线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5.PoE：支持802.3at/bt以太网供电标准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6.发射功率：≤20dBm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7.可调节功率粒度：≥1dBm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8.复位/恢复出厂设置：支持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9.可调功率范围：1dBm~相应国家规定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10.功耗：≤15W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11.工作/存储温度：0℃～45℃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12.工作/存储湿度：10%～90%RH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13.防护等级：不低于IP41</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885B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5B3D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2C82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B2DB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A1B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035A2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FBC56">
            <w:pPr>
              <w:keepNext w:val="0"/>
              <w:keepLines w:val="0"/>
              <w:pageBreakBefore w:val="0"/>
              <w:widowControl/>
              <w:kinsoku/>
              <w:wordWrap/>
              <w:overflowPunct/>
              <w:topLinePunct w:val="0"/>
              <w:autoSpaceDE/>
              <w:autoSpaceDN/>
              <w:bidi w:val="0"/>
              <w:adjustRightInd/>
              <w:snapToGrid/>
              <w:spacing w:line="300" w:lineRule="exact"/>
              <w:jc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36</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56E7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F183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、名称:千兆POE供电器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:48V2A千兆POE支持BT协议智能</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3079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6455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FE4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D4D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45E7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EAD5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A79F2">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BD0A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946A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、名称:无线20口充电箱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1.材质：铁质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2.充电口：≥20口USB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3.输入电压：AC220V  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4.输出电压：5V DC，输出电流：单口2A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5.总功率：≥200W 40A</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C6BF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6DBC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D915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F23A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EDCB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4B707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E997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37</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D6C5F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705D2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、名称:反馈抑制器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1.采用自适应环境啸叫抑制算法，采用高速浮点数字音频处理器和先进的自带降噪消除技术，可快速自动完全消除啸叫和背景噪声。</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★2.内置自适应动态噪声滤波器，可滤掉现场环境的背景噪声但不影响语音信号传送。（投标时需提供第三方检测机构出具的带有CMA、CNAS及国际互认的ilac-MRA标志的有效检测报告复印件）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3.系统智能AGC双向电平控制技术，可以获得到清晰、持续、大小均匀的语音输出，保持讲话声调的连贯和语音清楚，可以提升增益达6-8dB，话筒拾音距离0.5-1.2米。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4.内置≥24Bit A/D、D/A转换；≥24位DSP浮点运算处理器，≥96KHz高速采样。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★5.一键智能免人工调试，无论房间环境中位置、温度、湿度、装饰的改变，系统安装都无需进行声场调试。（投标时需提供第三方检测机构出具的带有CMA、CNAS及国际互认的ilac-MRA标志的有效检测报告复印件）</w:t>
            </w:r>
            <w:r>
              <w:rPr>
                <w:rFonts w:hint="eastAsia" w:ascii="宋体" w:hAnsi="宋体" w:eastAsia="宋体" w:cs="宋体"/>
                <w:i w:val="0"/>
                <w:iCs w:val="0"/>
                <w:color w:val="FF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6.键盘上锁功能：当管理员将设备调试完后，再将面板按键锁住，防止非管理员进行操作。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7.菜单可以中英文切换。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8.≥2寸彩色显示屏显示给参数状态。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9.≥2路可独立的48V幻象电源。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ED47D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55BF3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2B49E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D88C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FBF23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49E9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2F80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38</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C033A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 、机架</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05E27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、名称:42U机柜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、类别:尺寸：42U，600*600*2000mm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板材：采用优质SPCC冷轧钢板，立柱（方孔条）2.0mm、横梁（安装梁）\框架组件1.5mm 、侧门1.0mm、其余1.2mm；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表面：脱脂、酸洗、防锈磷化、纯水清洗、喷塑处理、外型美观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结构：可方便地安装机柜集中配电单元及设备；前单开后双开网孔门，具有良好的通风自然散热性能，通风率&gt;75%；可同时安装脚轮和支撑脚；可关闭的上部、下部多处走线通道，底部大走线孔尺寸可按需调整；可选配安装底座，达到固定机柜、底部过线、底部送冷风、防鼠的要求；高品质安全锁，锁具开启平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机柜承重：结构稳固，静载可达1000Kg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BA799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EDF47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9FD56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FDEFF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CF187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58263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D1808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39</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E0935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接插件等</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0A676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、名称:接插件及管线等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、类型:含接插件 、设备间连接线 、系统所需管线等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、备注:涉及管线 、音频跳线 、连接线 、各类接口等一次性报死。</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0184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173E9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F5578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FC26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A24EF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35C1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1CFBB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40</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65EFB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BD470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、名称:会议小阵列音箱（ 6.5寸 ，  120W）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一款两分频音柱音箱。单元采用了优质的原材料，对人声、音乐有还原真实的放大特性，音色清晰。精确的纵向单元排列，只产生平面波，基本没有向上和向下的扩散，不会产生倍数级衰减，令声音可以传得更远。具备更强的声能辐射力，可以轻松实现声场均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1.低音单元：LF:2×6.5",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2.高音单元：HF:1x1"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3.频响响应：80Hz-20KHz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4.阻抗：8Ω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5.承受功率：120WAES,400WPeak</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6.推荐功放：300-600Winto4ohms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7.灵敏度：90dB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8.最大声压级：106-112dB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9.箱体板材：铝合金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10.箱体喷漆工艺：烤漆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11.指向性:90°Hx60°V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4D351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4831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F0806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712A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F509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6733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945DF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41</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5EA71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264C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、名称:专业功放200W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1.立体声输出功率8Ω：≥200W×2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2.立体声输出功率4Ω：≥280W×2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3.输入灵敏度：≥0.775V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4.频率响应：20-20000Hz(±0.3dB)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5.转换速率：≥10V/µs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6.阻尼系数：﹥200:1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7.串音：&gt;-75dB@1KHz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8.信噪比：﹥100dB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9.总谐波失真：＜0.5%，1KHz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10.互调失真：﹤0.35%8Ω,1KHz1W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9850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8DA3E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CED71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7401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F655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67C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16065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42</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6B5C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F1994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1.最新音频处理器技术，40bitDSP浮点运算引擎处理芯片，24bitA/D及D/A转换，音频采样率达到48KHz；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2.提供8路平衡式话筒／线路输入，采用裸线接口端子，8路平衡式输出，采用裸线接口端子，4路GPIO逻辑接口；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3.内置USB声卡，支持播放USB音频文件，支持录播和远程会议；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4.输入：前级放大、信号发生器、扩展器、压缩器、参量均衡、自动增益、反馈抑制器等；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5.输出：参量均衡、高低通、延时器、限幅器、输出正反向、增益调节；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6.内置话筒自适应反馈消除（AFC）、数字矩阵、自动混音、回声消除、噪声抑制；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7.支持编组控制功能、多组场景预设、远程管理功能，支持通道拷贝、粘贴、联控功能；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8.设备支持APP控制，支持IOS、安卓、WINDOWS等，APP软件支持用户自定义，通过APP可实现对处理器进行控制，如音量大小、预设调用、外控第三方设备、矩阵切换等；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9.系统集成中控功能，支持RS232、RS485、UDP控制，通过编程简单地控制投影、幕布、灯光、窗帘、电源时序器等第三方设备；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10.产品支持扩展外接控制面板功能，面板类型至少两种以上，可实现远端对处理器进行控制，如音量大小、预设调用、外控第三方设备(支持RS232、RS485、UDP等)、矩阵切换等；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B54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2975A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CBA91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086A8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1144D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B13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ED95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43</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1EFE0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66130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1.≥6路单声道输入+≥1立体声道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2.具备蓝牙连接、USB播放/录音功能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3.最高支持24-bit/48kHz 规格的录音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4.LCD彩屏显示，具有99种DSP效果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5.USB独立播放通道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6.≥4路母线（BUS）：主输出+监听室输出+录音输出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7.≥1组辅助发送以及≥1组辅助返回</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8.≥60MM高精度对数式衰减推子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9.内置48V幻象供电，内置80V-240V宽电压工作电源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963E4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7D0BA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B50A5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599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6A1A6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4080F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2697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44</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5EDA0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63433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、名称:反馈抑制器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1.采用自适应环境啸叫抑制算法，采用高速浮点数字音频处理器和先进的自带降噪消除技术，可快速自动完全消除啸叫和背景噪声。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2.内置自适应动态噪声滤波器，可滤掉现场环境的背景噪声但不影响语音信号传送。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3.系统智能AGC双向电平控制技术，可以获得到清晰、持续、大小均匀的语音输出，保持讲话声调的连贯和语音清楚，可以提升增益达6-8dB，话筒拾音距离0.5-1.2米。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4.内置≥24Bit A/D、D/A转换；≥24位DSP浮点运算处理器，≥96KHz高速采样。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5.一键智能免人工调试，无论房间环境中位置、温度、湿度、装饰的改变，系统安装都无需进行声场调试。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6.键盘上锁功能：当管理员将设备调试完后，再将面板按键锁住，防止非管理员进行操作。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7.菜单可以中英文切换。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8.≥2寸彩色显示屏显示给参数状态。</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BB31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7AA6E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E891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FB0A6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B5B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3C091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D2BC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45</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08C7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扩声系统设备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B518B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、名称:U段红外对频一拖四会议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、类别:产品概述：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1.一台主机+四个无线方形话筒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1.使用UHF635-685MHz频段，应用PLL频率合成锁相环技术，频率可调。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2.集成中央处理器CPU的总控制，配合数字液晶界面显示，操作方便，性能出众。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3.全自动红外线对频，使发射机与接收机自动同步收发。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4.多重静噪控制电路，拒绝外部干扰。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5.设有回输啸叫抑制减弱功能，能有效减少回输啸叫。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6.接收机采用多级高频放大，具有极高的灵敏度。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7.多重噪音监测电路，特设单音锁定TONE-LOCKED系统，使之具有无与伦比的抗干扰特性。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8.同时设置≥4个平衡输出.≥1个混合非平衡输出，适合连接各种外置设备；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9.接收机背面设置4条橡胶接收天线，增强接收的信号，外观大方得体；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10.空阔最大使用距离100米，理想空间使用距离50米。                             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BF611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3EB1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AFA5F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SONBS昇博士，AVOWIT爱唯华、MVNZIZ美至尊</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9ED48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BB15C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76365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4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7197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46</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5B1D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 、机架</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A6162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、名称:42U机柜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、类别:尺寸：42U，600*600*2000mm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板材：采用优质SPCC冷轧钢板，立柱（方孔条）2.0mm、横梁（安装梁）\框架组件1.5mm 、侧门1.0mm、其余1.2mm；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表面：脱脂、酸洗、防锈磷化、纯水清洗、喷塑处理、外型美观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结构：可方便地安装机柜集中配电单元及设备；前单开后双开网孔门，具有良好的通风自然散热性能，通风率&gt;75%；可同时安装脚轮和支撑脚；可关闭的上部、下部多处走线通道，底部大走线孔尺寸可按需调整；可选配安装底座，达到固定机柜、底部过线、底部送冷风、防鼠的要求；高品质安全锁，锁具开启平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机柜承重：结构稳固，静载可达1000Kg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B2301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3FA5D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F119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AB2E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8DA7D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3632D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32E7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47</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1DBF5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接插件等</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090BF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、名称:接插件及管线等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、类型:含接插件 、设备间连接线 、系统所需管线等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、备注:涉及管线 、音频跳线 、连接线 、各类接口等一次性报死。</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5AE36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500C9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3A9AE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2E8B1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A104A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3C6AC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535F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48</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4F46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监控摄像设备</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FD05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、名称:400万高清半球网络摄像机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 : 内置GPU芯片，采用星光级400万像素1/2.7英寸CMOS图像传感器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最大可输出400万(2688×1520)@25fps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最低照度：0.002lux（彩色模式）；0.0002lux（黑白模式）；0lux（补光灯开启）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内置高效红外补光灯，最大红外监控距离50米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支持通用行为分析：绊线入侵，区域入侵（两项支持人车分类及精准检测），物品遗留，物品搬移，徘徊检测，人员聚集；支持SMD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1~10灵敏度等级设置;支持扰动过滤,当小动物、灯光、树叶、气球出现在检测区域时,不会触发报警；可对打伞、拎包、骑车的人员进行检测:可对目标大小(像素值)范围进行设置,使样机只对预设大小(像素值)范围内的人员及机动车辆进行检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支持对以下行为进行智能分析,并通过客户端软件或IE浏览器给出告警提示:a)拌线入侵;b)区域入侵;c)物品遗留:d)物品搬移;e)徘徊检测;f)停车检测:g)快速移动;h)人员聚集;设备支持行为分析触发后联动抓图、录像、目标跟踪、报警上传、发送邮件等多种报警联动方式。设备支持设置30组智能周界规则并进行独立布防,每组的布撤防时间可单独设置,目标在布防区域和布防时间段内出现会触发报警,并联动相关操作。（投标时提供公安部有效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ICR滤光片切换检验：样机可在白天、夜晚模式下自动切换滤光片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★视频水印功能检验：开启视频水印功能后，可通过专用播放软件检测到录像文件中的水印信息（投标时提供公安部有效检测报告复印件）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网络传输能力检验：相机与客户端之间以长度为200m的超五类非屏蔽网线直接连接，每次客户端连续发送2000个数据包，重复测试3次，每次丢包数不大于1个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网络适应能力检验：在丢包率设置为30%的网络环境下，可正常显示监视画面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断电保护功能检验：样机软件升级过程中断电，重新加电后可恢复到升级前的软件版本</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支持ROI，SMART H.264/H.265，AI H.264/H.265，灵活编码，适用不同带宽和存储环境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内置MIC</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支持DC12V/POE供电方式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支持IP67防护等级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BEB3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DBD5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A027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海康、大华、宇视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6CDB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9E2D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5BB65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429B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49</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87BF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监控摄像设备</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9C99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、名称:400万高清枪型网络摄像机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、类别:内置GPU芯片，支持两路码流功能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采用度400万像素1/2.7英寸CMOS图像传感器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最大可输出400万(2688×1520)@25fps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最低照度：0.002lux（彩色模式）；0.0002lux（黑白模式）；0lux（补光灯开启）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支持通用行为分析：绊线入侵，区域入侵（两项支持人车分类及精准检测），物品遗留，物品搬移，徘徊检测，人员聚集；支持SMD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内置高效红外补光灯，最大红外监控距离50米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★具有智能编码设置选项，在标准环境下，设备在H.264或H.265编码方式时，开启智能编码功能和不开启智能编码相比，码流节约9/10（投标时提供公安部有效检测报告复印件）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设备支持智能动态检测（SMD）分析触发后联动抓图、录像、目标跟踪、报警上传、发送邮件等多种报警触发方式 支持设置报警目标为人、机动车、全部（人或机动车）进行检测，支持灵敏度设置低、中、高三档，具备智能分析抗干扰功能，当小动物、灯光、树叶、气球等非人或机动车目标出现在画面时，不会触发报警。 支持人或机动车报警去重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FF0000"/>
                <w:kern w:val="0"/>
                <w:sz w:val="18"/>
                <w:szCs w:val="18"/>
                <w:u w:val="none"/>
                <w:lang w:val="en-US" w:eastAsia="zh-CN" w:bidi="ar"/>
              </w:rPr>
              <w:t>★当以下的智能分析行为进行智能分析，并通过客户端软件或IE浏览器给出报警提示。 a）拌线入侵； b）区域入侵； c）物品遗留； d）物品搬移； e）徘徊检测； f）停车检测； g）快速移动； h）人员聚集； 样机支持行为分析触发后联动抓图、录像、目标跟踪、报警上传、发送邮件等多种报警触发方式（投标提供公安部有效检测报告复印件）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支持智能方案无缝切换功能，可通过菜单进行各智能方案切换配置，切换过程无需重启设备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在分辨率设置为2688×1520、帧率设置为30fps、码率设置为1Mbps时，样机处于监看或录像状态，监视画面无明显缺损，物体移动时画面边缘无明显锯齿、拉毛现象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黑白名单功能检验：在白名单模式中，只有添加在白名单中的IP地址才允许访问样机，白名单中最多可添加10个IP地址。在黑名单模式中，只有添加在黑名单中的IP地址不允许访问样机，黑名单中最多可添加10个IP地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支持走廊模式，宽动态，3D降噪，强光抑制，背光补偿，数字水印，适用不同监控环境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支持ROI，SMART H.264/H.265，AI H.264/H.265，灵活编码，适用不同带宽和存储环境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内置MIC</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支持DC12V/POE供电方式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支持IP67防护等级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7E7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193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F887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海康、大华、宇视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520D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777D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6F3FB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7740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50</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3B0B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录像设备</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ABA4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、名称:网络视频录像机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具有2个HDMI接口、2个VGA接口、2个RJ45网络接口、2个USB2.0接口、2个USB3.0接口、1个RS232接口、2个RS485接口、1个eSata接口；具有1路音频输入接口、2路音频输出接口，16个SATA接口，16个报警输入接口、8个报警输出接口、2个DV12V输出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支持64路网络视频接入，支持384Mbps接入、384Mbps存储、384Mbps转发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同时正放或倒放16路H.265或H.264编码1920X1080P分辨率的视频图像；或者16路H.265或H.264编码、2560×1440分辨率的视频图像；或8路H.265或H.264编码、4096×2160分辨率的视频图像；或2路H.265或H.264编码、8192×3840分辨率的视频图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自适应接入H.265、H.264、MPEG4、MJPE、SmartH.264、SmartH.265、SVAC编码格式的网络视频并解码支持2路分辨率为8192×3840、帧率为25fps或5路分辨率为4000×3000、帧率为25fps或8路分辨率为4096×2160、帧率为25fps或16路分辨率为2560×1440、帧率为30fps或32路分辨率为1920*1080、帧率为30fps的视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支持2路H.265编码、25fps、8192×3840分辨率的拼接摄像机视频实时预览功能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支持2路后智能人脸检测比对； 不少于20个人脸库，不少于20000张人脸图片；4路后智能周界检测；8路后智能SMD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支持前智能：人脸检测比对、周界防范、视频结构化、通用行为分析、立体行为分析、人群分布、人数统计、热度图、车牌识别、SMD功能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支持32M/24M/16M/12M/8M/6M/5M/4M/3M/1080P/960P/720PIPC分辨率接入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支持按时间、按事件等多种方式进行录像的检索、回放、备份，支持图片本地回放与查询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支持本机硬盘、网络等存储方式，支持硬盘、外接USB存储设备备份方式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支持设备操作日志、报警日志、系统日志的记录与查询功能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支持断网续传功能，能对前端摄像机断网这段时间内SD卡中的录像回传到NVR</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支持即时回放功能，在预览画面下回放指定通道的录像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支持预览图像与回放图像的电子放大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支持远程管理IPC功能，支持对前端IPC远程升级，支持远程对IPC的编码配置修改等操作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支持远程零通道预览功能，可将接入的多路视频图像多画面显示在一路视频图像上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支持盘组管理功能，实现视频录像的定向存储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支持配额管理功能，实现按通道分配不同的录像天数进行存储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支持走廊模式功能，支持IPC画面旋转90°或270°，成9:16走廊模式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支持预览通道拖动保存、自定义布局（双目、三目、四目枪机接入）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SmartIPC接入、绊线入侵、区域入侵、场景变化、移动侦测、人脸检测、物品遗留和物品搬移时，可给出报警/联动/上传，同时支持SMD、人群分布、热度图、人数统计、车牌检测（支持卡口ITC、球机）、智能跟踪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支持人脸检测、人脸识别，系统将检测到的人脸与联动人脸库中的人脸图片进行匹配，当匹配相似度达到时，可给出报警提示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支持接入热成像相机 ，当触发 火情检测，冷点检测，热点检测，测温检测，温差检测，打电话检测，吸烟检测，烟雾检测等报警时，可联动录像、抓拍并保存图片、弹出报警画面、声音警告、上传中心、发送邮件、触发报警输出，并按通道、时间、类型检索报警图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接入带有火情检测、冷点检测、热点检测、温度/温差检测、打电话检测、吸烟检测、烟雾检测报警功能的网络摄像机，当触发报警时，可联动录像、抓拍并保存图片、弹出报警画面、声音警告、上传中心、发送邮件、触发报警输出，并按通道、时间、类型检索报警图片，录像搜索结果支持图片和列表2种展现形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搜索列表中的设备，不需要添加就可以通过点击预览按钮查看前端的视频画面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设备应自动记录与设备信息安全相关的日志信息，作为独立的安全日志,内容包括用户登录/登出、重要和敏感操作、安全事件等,并划分独立的记录空间存储安全日志,其它日志信息不能覆盖安全日志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支持CGI命令配置设备配置参数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D00B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F20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3842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海康、大华、宇视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9FE1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50E0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828D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E8F0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51</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B2493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存储设备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BF80C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、名称:企业级硬盘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、规格:容量 :8TB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接口类型 :SATA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尺寸 :3.5英寸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硬盘类型:企业级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转速 :7200RPM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缓存 :256MB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1FDE2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40E71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7663A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海康、大华、宇视</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FBE0F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6CC1E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58506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EDB31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52</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3F463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FFD77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、名称:显示器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、类别:21寸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5B655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A1388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C497A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65646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E6415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F06F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BBAD5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53</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79C4D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D2BD8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、名称:信息发布管理服务器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、配置不低于:8核 2.5GHZ以上；运行内存：8G；存储内存：1T；操作系统：server2016及以上 ；可使用虚拟服务机，系统必须64位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B33DB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63801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22A21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SONBS昇博士、德睿、视摩</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7B6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1D657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1BEA4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EBFCF">
            <w:pPr>
              <w:keepNext w:val="0"/>
              <w:keepLines w:val="0"/>
              <w:pageBreakBefore w:val="0"/>
              <w:widowControl/>
              <w:kinsoku/>
              <w:wordWrap/>
              <w:overflowPunct/>
              <w:topLinePunct w:val="0"/>
              <w:autoSpaceDE/>
              <w:autoSpaceDN/>
              <w:bidi w:val="0"/>
              <w:adjustRightInd/>
              <w:snapToGrid/>
              <w:spacing w:line="300" w:lineRule="exact"/>
              <w:jc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54</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9798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软件</w:t>
            </w:r>
          </w:p>
        </w:tc>
        <w:tc>
          <w:tcPr>
            <w:tcW w:w="3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647A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1、信息发布软件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类别：系统采用B/S架构，基于TCP/IP网络，能够通过网络管理终端设备，并可以高质量的完成各种播放任务，能够对文字、图象、音视、视频、网页等多种媒体进行编辑制作、网络传输和控制播出，同时向多个显示终端（如:电视机、显示器、LED全彩屏、拼接屏等）发布不同的多媒体信息。支持轮播任务、互动任务、插播任务；支持指定不同的设备发布不同而任务或发布同一任务；支持权限设置，设置不同的角色，设置不同的权限</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7F3B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2F64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C6D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SONBS昇博士、德睿、视摩</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134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63C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04B18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5E2F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55</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17642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视频控制设备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53D59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、名称:信息发布盒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、类别:Cortex-A17 四核，最高主频 1.8GHz；RAM  2GB；存储 16GB；分辨率 1920*1080；网络接口 RJ45,100M以上以太网接口，支持WIFI ； USB HOST*2； HDMI OUTPUT*1；1个标准TF卡接口，最大支持128G；国标3.5mm立体声接口；整机功率  5W ；嵌入式超高效率，高稳定性 免黑免病毒；通过网络连接，通过服务器集中控制与管理，实现播放内容和播放方式的统一管理；支持分屏显示，同一屏幕上可组合播放视频、图片、滚动字幕、时间、天气预报等内容；良好的硬件品质，保证长时间稳定工作；支持断电恢复，无需人工干涉；网络临时故障不影响当前播放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、备注:满足设计及使用需求</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AB065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A7C93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4974D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SONBS昇博士、德睿、视摩</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E41CD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EDCB5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6085E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B87FA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56</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CF5F2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DD471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、名称:100寸显示屏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、备注:含支架安装</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1CEC6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83B0B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EFEF7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0905E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1B56E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29AB7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C40B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57</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7036B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显示设备</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005F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、名称:32寸显示屏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、类别:分辨率不低于1920*1080，含安装支架</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A285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802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808B9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6AC2C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9F2F6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r w14:paraId="562B4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28636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58</w:t>
            </w:r>
          </w:p>
        </w:tc>
        <w:tc>
          <w:tcPr>
            <w:tcW w:w="12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22D8C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智能化系统工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程调试试运行</w:t>
            </w:r>
          </w:p>
        </w:tc>
        <w:tc>
          <w:tcPr>
            <w:tcW w:w="3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50EA2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、名称:智能化系统工程调试试运行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（含各系统的调试 、联调及与原系统的对接等）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、类别:系统调试及试运行为一次性包死价, 中标后一律不作调整</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57FF2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49256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FC4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国产优质</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92D6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E91D9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18"/>
                <w:szCs w:val="18"/>
                <w:u w:val="none"/>
                <w:lang w:val="en-US" w:eastAsia="zh-CN" w:bidi="ar"/>
              </w:rPr>
            </w:pPr>
          </w:p>
        </w:tc>
      </w:tr>
    </w:tbl>
    <w:p w14:paraId="785639FE">
      <w:pPr>
        <w:pStyle w:val="44"/>
        <w:spacing w:beforeAutospacing="0" w:afterAutospacing="0"/>
        <w:jc w:val="both"/>
        <w:rPr>
          <w:rFonts w:hint="eastAsia" w:ascii="宋体" w:hAnsi="宋体" w:eastAsia="宋体" w:cs="宋体"/>
          <w:color w:val="000000"/>
        </w:rPr>
      </w:pPr>
    </w:p>
    <w:p w14:paraId="36B18515">
      <w:pPr>
        <w:pStyle w:val="44"/>
        <w:spacing w:beforeAutospacing="0" w:afterAutospacing="0"/>
        <w:jc w:val="both"/>
        <w:rPr>
          <w:rFonts w:hint="eastAsia" w:ascii="宋体" w:hAnsi="宋体" w:eastAsia="宋体" w:cs="宋体"/>
          <w:color w:val="000000"/>
        </w:rPr>
      </w:pPr>
    </w:p>
    <w:p w14:paraId="4A2476C0">
      <w:pPr>
        <w:pStyle w:val="44"/>
        <w:spacing w:beforeAutospacing="0" w:afterAutospacing="0"/>
        <w:jc w:val="both"/>
        <w:rPr>
          <w:rFonts w:hint="eastAsia" w:ascii="宋体" w:hAnsi="宋体" w:eastAsia="宋体" w:cs="宋体"/>
          <w:color w:val="000000"/>
        </w:rPr>
      </w:pPr>
      <w:r>
        <w:rPr>
          <w:rFonts w:hint="eastAsia" w:ascii="宋体" w:hAnsi="宋体" w:eastAsia="宋体" w:cs="宋体"/>
          <w:color w:val="000000"/>
        </w:rPr>
        <w:t>备注：1. “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44CAB2D6">
      <w:pPr>
        <w:pStyle w:val="44"/>
        <w:spacing w:beforeAutospacing="0" w:afterAutospacing="0"/>
        <w:ind w:firstLine="720"/>
        <w:jc w:val="both"/>
        <w:rPr>
          <w:rFonts w:hint="eastAsia" w:ascii="宋体" w:hAnsi="宋体" w:eastAsia="宋体" w:cs="宋体"/>
        </w:rPr>
      </w:pPr>
      <w:r>
        <w:rPr>
          <w:rFonts w:hint="eastAsia" w:ascii="宋体" w:hAnsi="宋体" w:eastAsia="宋体" w:cs="宋体"/>
          <w:color w:val="000000"/>
        </w:rPr>
        <w:t>2.</w:t>
      </w:r>
      <w:r>
        <w:rPr>
          <w:rFonts w:hint="eastAsia" w:ascii="宋体" w:hAnsi="宋体" w:eastAsia="宋体" w:cs="宋体"/>
          <w:color w:val="000000"/>
          <w:sz w:val="21"/>
          <w:szCs w:val="21"/>
        </w:rPr>
        <w:t xml:space="preserve"> “</w:t>
      </w:r>
      <w:r>
        <w:rPr>
          <w:rFonts w:hint="eastAsia" w:ascii="宋体" w:hAnsi="宋体" w:eastAsia="宋体" w:cs="宋体"/>
          <w:color w:val="000000"/>
        </w:rPr>
        <w:t>投标分项报价表</w:t>
      </w:r>
      <w:r>
        <w:rPr>
          <w:rFonts w:hint="eastAsia" w:ascii="宋体" w:hAnsi="宋体" w:eastAsia="宋体" w:cs="宋体"/>
          <w:color w:val="000000"/>
          <w:sz w:val="21"/>
          <w:szCs w:val="21"/>
        </w:rPr>
        <w:t>”</w:t>
      </w:r>
      <w:r>
        <w:rPr>
          <w:rFonts w:hint="eastAsia" w:ascii="宋体" w:hAnsi="宋体" w:eastAsia="宋体" w:cs="宋体"/>
          <w:color w:val="000000"/>
        </w:rPr>
        <w:t>中“投标总报价”数额应当与“开标一览表”中“投标总报价”数额一致。</w:t>
      </w:r>
    </w:p>
    <w:p w14:paraId="22CC7A74">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65805814">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4558CAAE">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4B007314">
      <w:pPr>
        <w:pStyle w:val="44"/>
        <w:spacing w:beforeAutospacing="0" w:afterAutospacing="0"/>
        <w:jc w:val="both"/>
        <w:rPr>
          <w:rFonts w:hint="eastAsia" w:ascii="宋体" w:hAnsi="宋体" w:eastAsia="宋体" w:cs="宋体"/>
        </w:rPr>
      </w:pPr>
    </w:p>
    <w:p w14:paraId="4E3E0523">
      <w:pPr>
        <w:pStyle w:val="44"/>
        <w:spacing w:beforeAutospacing="0" w:afterAutospacing="0"/>
        <w:jc w:val="both"/>
        <w:rPr>
          <w:rFonts w:hint="eastAsia" w:ascii="宋体" w:hAnsi="宋体" w:eastAsia="宋体" w:cs="宋体"/>
        </w:rPr>
      </w:pPr>
    </w:p>
    <w:p w14:paraId="235CE6DD">
      <w:pPr>
        <w:pStyle w:val="44"/>
        <w:spacing w:beforeAutospacing="0" w:afterAutospacing="0"/>
        <w:jc w:val="center"/>
        <w:rPr>
          <w:rFonts w:hint="eastAsia" w:ascii="宋体" w:hAnsi="宋体" w:eastAsia="宋体" w:cs="宋体"/>
          <w:b/>
          <w:color w:val="000000"/>
          <w:sz w:val="32"/>
          <w:szCs w:val="32"/>
        </w:rPr>
      </w:pPr>
    </w:p>
    <w:p w14:paraId="737FCBAF">
      <w:pPr>
        <w:pStyle w:val="44"/>
        <w:spacing w:beforeAutospacing="0" w:afterAutospacing="0"/>
        <w:jc w:val="center"/>
        <w:rPr>
          <w:rFonts w:hint="eastAsia" w:ascii="宋体" w:hAnsi="宋体" w:eastAsia="宋体" w:cs="宋体"/>
        </w:rPr>
      </w:pPr>
      <w:bookmarkStart w:id="185" w:name="_Hlt26955054"/>
      <w:r>
        <w:rPr>
          <w:rFonts w:hint="eastAsia" w:ascii="宋体" w:hAnsi="宋体" w:eastAsia="宋体" w:cs="宋体"/>
          <w:b/>
          <w:color w:val="000000"/>
          <w:sz w:val="32"/>
          <w:szCs w:val="32"/>
          <w:lang w:val="en-US" w:eastAsia="zh-CN"/>
        </w:rPr>
        <w:t>十二</w:t>
      </w:r>
      <w:r>
        <w:rPr>
          <w:rFonts w:hint="eastAsia" w:ascii="宋体" w:hAnsi="宋体" w:eastAsia="宋体" w:cs="宋体"/>
          <w:b/>
          <w:color w:val="000000"/>
          <w:sz w:val="32"/>
          <w:szCs w:val="32"/>
        </w:rPr>
        <w:t>、商务要求响应及偏离表</w:t>
      </w:r>
    </w:p>
    <w:tbl>
      <w:tblPr>
        <w:tblStyle w:val="50"/>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
        <w:gridCol w:w="3026"/>
        <w:gridCol w:w="2608"/>
        <w:gridCol w:w="1247"/>
        <w:gridCol w:w="1101"/>
      </w:tblGrid>
      <w:tr w14:paraId="359B5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trPr>
        <w:tc>
          <w:tcPr>
            <w:tcW w:w="538" w:type="dxa"/>
            <w:shd w:val="clear" w:color="auto" w:fill="auto"/>
            <w:noWrap w:val="0"/>
            <w:vAlign w:val="center"/>
          </w:tcPr>
          <w:p w14:paraId="3A0DDB92">
            <w:pPr>
              <w:pStyle w:val="44"/>
              <w:spacing w:beforeAutospacing="0" w:afterAutospacing="0"/>
              <w:jc w:val="center"/>
              <w:rPr>
                <w:rFonts w:hint="eastAsia" w:ascii="宋体" w:hAnsi="宋体" w:eastAsia="宋体" w:cs="宋体"/>
              </w:rPr>
            </w:pPr>
            <w:bookmarkStart w:id="186" w:name="_Hlt26955056"/>
            <w:bookmarkStart w:id="187" w:name="_Hlt24879081"/>
            <w:bookmarkStart w:id="188" w:name="_Hlt26671372"/>
            <w:bookmarkStart w:id="189" w:name="_Hlt26580838"/>
            <w:bookmarkStart w:id="190" w:name="_Hlt26609391"/>
            <w:bookmarkStart w:id="191" w:name="_Hlt26955064"/>
            <w:bookmarkStart w:id="192" w:name="_Hlt26671343"/>
            <w:bookmarkStart w:id="193" w:name="_Hlt26782999"/>
            <w:r>
              <w:rPr>
                <w:rFonts w:hint="eastAsia" w:ascii="宋体" w:hAnsi="宋体" w:eastAsia="宋体" w:cs="宋体"/>
                <w:color w:val="000000"/>
              </w:rPr>
              <w:t>序号</w:t>
            </w:r>
            <w:bookmarkEnd w:id="186"/>
            <w:bookmarkEnd w:id="187"/>
            <w:bookmarkEnd w:id="188"/>
            <w:bookmarkEnd w:id="189"/>
            <w:bookmarkEnd w:id="190"/>
            <w:bookmarkEnd w:id="191"/>
            <w:bookmarkEnd w:id="192"/>
            <w:bookmarkEnd w:id="193"/>
          </w:p>
        </w:tc>
        <w:tc>
          <w:tcPr>
            <w:tcW w:w="3026" w:type="dxa"/>
            <w:shd w:val="clear" w:color="auto" w:fill="auto"/>
            <w:noWrap w:val="0"/>
            <w:vAlign w:val="center"/>
          </w:tcPr>
          <w:p w14:paraId="02EF3B6B">
            <w:pPr>
              <w:pStyle w:val="44"/>
              <w:spacing w:beforeAutospacing="0" w:afterAutospacing="0"/>
              <w:jc w:val="center"/>
              <w:rPr>
                <w:rFonts w:hint="eastAsia" w:ascii="宋体" w:hAnsi="宋体" w:eastAsia="宋体" w:cs="宋体"/>
              </w:rPr>
            </w:pPr>
            <w:r>
              <w:rPr>
                <w:rFonts w:hint="eastAsia" w:ascii="宋体" w:hAnsi="宋体" w:eastAsia="宋体" w:cs="宋体"/>
                <w:color w:val="000000"/>
              </w:rPr>
              <w:t>招标文件要求</w:t>
            </w:r>
          </w:p>
        </w:tc>
        <w:tc>
          <w:tcPr>
            <w:tcW w:w="2608" w:type="dxa"/>
            <w:shd w:val="clear" w:color="auto" w:fill="auto"/>
            <w:noWrap w:val="0"/>
            <w:vAlign w:val="center"/>
          </w:tcPr>
          <w:p w14:paraId="7B93D2A6">
            <w:pPr>
              <w:pStyle w:val="44"/>
              <w:spacing w:beforeAutospacing="0" w:afterAutospacing="0"/>
              <w:jc w:val="center"/>
              <w:rPr>
                <w:rFonts w:hint="eastAsia" w:ascii="宋体" w:hAnsi="宋体" w:eastAsia="宋体" w:cs="宋体"/>
              </w:rPr>
            </w:pPr>
            <w:r>
              <w:rPr>
                <w:rFonts w:hint="eastAsia" w:ascii="宋体" w:hAnsi="宋体" w:eastAsia="宋体" w:cs="宋体"/>
                <w:color w:val="000000"/>
              </w:rPr>
              <w:t>投标响应情况</w:t>
            </w:r>
          </w:p>
        </w:tc>
        <w:tc>
          <w:tcPr>
            <w:tcW w:w="1247" w:type="dxa"/>
            <w:shd w:val="clear" w:color="auto" w:fill="auto"/>
            <w:noWrap w:val="0"/>
            <w:vAlign w:val="center"/>
          </w:tcPr>
          <w:p w14:paraId="113C9474">
            <w:pPr>
              <w:pStyle w:val="44"/>
              <w:spacing w:beforeAutospacing="0" w:afterAutospacing="0"/>
              <w:jc w:val="center"/>
              <w:rPr>
                <w:rFonts w:hint="eastAsia" w:ascii="宋体" w:hAnsi="宋体" w:eastAsia="宋体" w:cs="宋体"/>
              </w:rPr>
            </w:pPr>
            <w:r>
              <w:rPr>
                <w:rFonts w:hint="eastAsia" w:ascii="宋体" w:hAnsi="宋体" w:eastAsia="宋体" w:cs="宋体"/>
                <w:color w:val="000000"/>
              </w:rPr>
              <w:t>超出、符合或负偏离</w:t>
            </w:r>
          </w:p>
        </w:tc>
        <w:tc>
          <w:tcPr>
            <w:tcW w:w="1101" w:type="dxa"/>
            <w:shd w:val="clear" w:color="auto" w:fill="auto"/>
            <w:noWrap w:val="0"/>
            <w:vAlign w:val="center"/>
          </w:tcPr>
          <w:p w14:paraId="66EF9FED">
            <w:pPr>
              <w:pStyle w:val="44"/>
              <w:spacing w:beforeAutospacing="0" w:afterAutospacing="0"/>
              <w:jc w:val="center"/>
              <w:rPr>
                <w:rFonts w:hint="eastAsia" w:ascii="宋体" w:hAnsi="宋体" w:eastAsia="宋体" w:cs="宋体"/>
              </w:rPr>
            </w:pPr>
            <w:r>
              <w:rPr>
                <w:rFonts w:hint="eastAsia" w:ascii="宋体" w:hAnsi="宋体" w:eastAsia="宋体" w:cs="宋体"/>
                <w:color w:val="000000"/>
              </w:rPr>
              <w:t>证明</w:t>
            </w:r>
          </w:p>
          <w:p w14:paraId="56D8FC25">
            <w:pPr>
              <w:pStyle w:val="44"/>
              <w:spacing w:beforeAutospacing="0" w:afterAutospacing="0"/>
              <w:jc w:val="center"/>
              <w:rPr>
                <w:rFonts w:hint="eastAsia" w:ascii="宋体" w:hAnsi="宋体" w:eastAsia="宋体" w:cs="宋体"/>
              </w:rPr>
            </w:pPr>
            <w:r>
              <w:rPr>
                <w:rFonts w:hint="eastAsia" w:ascii="宋体" w:hAnsi="宋体" w:eastAsia="宋体" w:cs="宋体"/>
                <w:color w:val="000000"/>
              </w:rPr>
              <w:t>材料</w:t>
            </w:r>
          </w:p>
        </w:tc>
      </w:tr>
      <w:tr w14:paraId="4016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noWrap w:val="0"/>
            <w:vAlign w:val="center"/>
          </w:tcPr>
          <w:p w14:paraId="585CBF0F">
            <w:pPr>
              <w:pStyle w:val="44"/>
              <w:spacing w:beforeAutospacing="0" w:afterAutospacing="0"/>
              <w:jc w:val="center"/>
              <w:rPr>
                <w:rFonts w:hint="eastAsia" w:ascii="宋体" w:hAnsi="宋体" w:eastAsia="宋体" w:cs="宋体"/>
              </w:rPr>
            </w:pPr>
            <w:r>
              <w:rPr>
                <w:rFonts w:hint="eastAsia" w:ascii="宋体" w:hAnsi="宋体" w:eastAsia="宋体" w:cs="宋体"/>
              </w:rPr>
              <w:t>1 </w:t>
            </w:r>
          </w:p>
        </w:tc>
        <w:tc>
          <w:tcPr>
            <w:tcW w:w="3026" w:type="dxa"/>
            <w:shd w:val="clear" w:color="auto" w:fill="auto"/>
            <w:noWrap w:val="0"/>
            <w:vAlign w:val="center"/>
          </w:tcPr>
          <w:p w14:paraId="576B1FC9">
            <w:pPr>
              <w:pStyle w:val="44"/>
              <w:spacing w:beforeAutospacing="0" w:afterAutospacing="0"/>
              <w:jc w:val="center"/>
              <w:rPr>
                <w:rFonts w:hint="eastAsia" w:ascii="宋体" w:hAnsi="宋体" w:eastAsia="宋体" w:cs="宋体"/>
              </w:rPr>
            </w:pPr>
            <w:r>
              <w:rPr>
                <w:rFonts w:hint="eastAsia" w:ascii="宋体" w:hAnsi="宋体" w:eastAsia="宋体" w:cs="宋体"/>
              </w:rPr>
              <w:t> 最高限价</w:t>
            </w:r>
          </w:p>
        </w:tc>
        <w:tc>
          <w:tcPr>
            <w:tcW w:w="2608" w:type="dxa"/>
            <w:shd w:val="clear" w:color="auto" w:fill="auto"/>
            <w:noWrap w:val="0"/>
            <w:vAlign w:val="center"/>
          </w:tcPr>
          <w:p w14:paraId="56A3A89E">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shd w:val="clear" w:color="auto" w:fill="auto"/>
            <w:noWrap w:val="0"/>
            <w:vAlign w:val="center"/>
          </w:tcPr>
          <w:p w14:paraId="1A750B72">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shd w:val="clear" w:color="auto" w:fill="auto"/>
            <w:noWrap w:val="0"/>
            <w:vAlign w:val="center"/>
          </w:tcPr>
          <w:p w14:paraId="64FC8871">
            <w:pPr>
              <w:pStyle w:val="44"/>
              <w:spacing w:beforeAutospacing="0" w:afterAutospacing="0"/>
              <w:jc w:val="center"/>
              <w:rPr>
                <w:rFonts w:hint="eastAsia" w:ascii="宋体" w:hAnsi="宋体" w:eastAsia="宋体" w:cs="宋体"/>
              </w:rPr>
            </w:pPr>
            <w:r>
              <w:rPr>
                <w:rFonts w:hint="eastAsia" w:ascii="宋体" w:hAnsi="宋体" w:eastAsia="宋体" w:cs="宋体"/>
              </w:rPr>
              <w:t> </w:t>
            </w:r>
          </w:p>
        </w:tc>
      </w:tr>
      <w:tr w14:paraId="2EE38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noWrap w:val="0"/>
            <w:vAlign w:val="center"/>
          </w:tcPr>
          <w:p w14:paraId="29FCC464">
            <w:pPr>
              <w:pStyle w:val="44"/>
              <w:spacing w:beforeAutospacing="0" w:afterAutospacing="0"/>
              <w:jc w:val="center"/>
              <w:rPr>
                <w:rFonts w:hint="eastAsia" w:ascii="宋体" w:hAnsi="宋体" w:eastAsia="宋体" w:cs="宋体"/>
              </w:rPr>
            </w:pPr>
            <w:r>
              <w:rPr>
                <w:rFonts w:hint="eastAsia" w:ascii="宋体" w:hAnsi="宋体" w:eastAsia="宋体" w:cs="宋体"/>
              </w:rPr>
              <w:t>2 </w:t>
            </w:r>
          </w:p>
        </w:tc>
        <w:tc>
          <w:tcPr>
            <w:tcW w:w="3026" w:type="dxa"/>
            <w:shd w:val="clear" w:color="auto" w:fill="auto"/>
            <w:noWrap w:val="0"/>
            <w:vAlign w:val="center"/>
          </w:tcPr>
          <w:p w14:paraId="15096AEB">
            <w:pPr>
              <w:pStyle w:val="44"/>
              <w:spacing w:beforeAutospacing="0" w:afterAutospacing="0"/>
              <w:jc w:val="center"/>
              <w:rPr>
                <w:rFonts w:hint="eastAsia" w:ascii="宋体" w:hAnsi="宋体" w:eastAsia="宋体" w:cs="宋体"/>
              </w:rPr>
            </w:pPr>
            <w:r>
              <w:rPr>
                <w:rFonts w:hint="eastAsia" w:ascii="宋体" w:hAnsi="宋体" w:eastAsia="宋体" w:cs="宋体"/>
              </w:rPr>
              <w:t> 法人授权书</w:t>
            </w:r>
          </w:p>
        </w:tc>
        <w:tc>
          <w:tcPr>
            <w:tcW w:w="2608" w:type="dxa"/>
            <w:shd w:val="clear" w:color="auto" w:fill="auto"/>
            <w:noWrap w:val="0"/>
            <w:vAlign w:val="center"/>
          </w:tcPr>
          <w:p w14:paraId="6D0F5825">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shd w:val="clear" w:color="auto" w:fill="auto"/>
            <w:noWrap w:val="0"/>
            <w:vAlign w:val="center"/>
          </w:tcPr>
          <w:p w14:paraId="58A68DAD">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shd w:val="clear" w:color="auto" w:fill="auto"/>
            <w:noWrap w:val="0"/>
            <w:vAlign w:val="center"/>
          </w:tcPr>
          <w:p w14:paraId="51C179FC">
            <w:pPr>
              <w:pStyle w:val="44"/>
              <w:spacing w:beforeAutospacing="0" w:afterAutospacing="0"/>
              <w:jc w:val="center"/>
              <w:rPr>
                <w:rFonts w:hint="eastAsia" w:ascii="宋体" w:hAnsi="宋体" w:eastAsia="宋体" w:cs="宋体"/>
              </w:rPr>
            </w:pPr>
            <w:r>
              <w:rPr>
                <w:rFonts w:hint="eastAsia" w:ascii="宋体" w:hAnsi="宋体" w:eastAsia="宋体" w:cs="宋体"/>
              </w:rPr>
              <w:t> </w:t>
            </w:r>
          </w:p>
        </w:tc>
      </w:tr>
      <w:tr w14:paraId="7A5E4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noWrap w:val="0"/>
            <w:vAlign w:val="center"/>
          </w:tcPr>
          <w:p w14:paraId="7BCD552C">
            <w:pPr>
              <w:pStyle w:val="44"/>
              <w:spacing w:beforeAutospacing="0" w:afterAutospacing="0"/>
              <w:jc w:val="center"/>
              <w:rPr>
                <w:rFonts w:hint="eastAsia" w:ascii="宋体" w:hAnsi="宋体" w:eastAsia="宋体" w:cs="宋体"/>
              </w:rPr>
            </w:pPr>
            <w:r>
              <w:rPr>
                <w:rFonts w:hint="eastAsia" w:ascii="宋体" w:hAnsi="宋体" w:eastAsia="宋体" w:cs="宋体"/>
              </w:rPr>
              <w:t> 3</w:t>
            </w:r>
          </w:p>
        </w:tc>
        <w:tc>
          <w:tcPr>
            <w:tcW w:w="3026" w:type="dxa"/>
            <w:shd w:val="clear" w:color="auto" w:fill="auto"/>
            <w:noWrap w:val="0"/>
            <w:vAlign w:val="center"/>
          </w:tcPr>
          <w:p w14:paraId="5FD0BC47">
            <w:pPr>
              <w:pStyle w:val="44"/>
              <w:spacing w:beforeAutospacing="0" w:afterAutospacing="0"/>
              <w:jc w:val="center"/>
              <w:rPr>
                <w:rFonts w:hint="eastAsia" w:ascii="宋体" w:hAnsi="宋体" w:eastAsia="宋体" w:cs="宋体"/>
              </w:rPr>
            </w:pPr>
            <w:r>
              <w:rPr>
                <w:rFonts w:hint="eastAsia" w:ascii="宋体" w:hAnsi="宋体" w:eastAsia="宋体" w:cs="宋体"/>
              </w:rPr>
              <w:t> 投标函</w:t>
            </w:r>
          </w:p>
        </w:tc>
        <w:tc>
          <w:tcPr>
            <w:tcW w:w="2608" w:type="dxa"/>
            <w:shd w:val="clear" w:color="auto" w:fill="auto"/>
            <w:noWrap w:val="0"/>
            <w:vAlign w:val="center"/>
          </w:tcPr>
          <w:p w14:paraId="6C070F2F">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shd w:val="clear" w:color="auto" w:fill="auto"/>
            <w:noWrap w:val="0"/>
            <w:vAlign w:val="center"/>
          </w:tcPr>
          <w:p w14:paraId="21AD35A3">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shd w:val="clear" w:color="auto" w:fill="auto"/>
            <w:noWrap w:val="0"/>
            <w:vAlign w:val="center"/>
          </w:tcPr>
          <w:p w14:paraId="7A31632A">
            <w:pPr>
              <w:pStyle w:val="44"/>
              <w:spacing w:beforeAutospacing="0" w:afterAutospacing="0"/>
              <w:jc w:val="center"/>
              <w:rPr>
                <w:rFonts w:hint="eastAsia" w:ascii="宋体" w:hAnsi="宋体" w:eastAsia="宋体" w:cs="宋体"/>
              </w:rPr>
            </w:pPr>
            <w:r>
              <w:rPr>
                <w:rFonts w:hint="eastAsia" w:ascii="宋体" w:hAnsi="宋体" w:eastAsia="宋体" w:cs="宋体"/>
              </w:rPr>
              <w:t> </w:t>
            </w:r>
          </w:p>
        </w:tc>
      </w:tr>
      <w:tr w14:paraId="5F8DC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noWrap w:val="0"/>
            <w:vAlign w:val="center"/>
          </w:tcPr>
          <w:p w14:paraId="1BDD8999">
            <w:pPr>
              <w:pStyle w:val="44"/>
              <w:spacing w:beforeAutospacing="0" w:afterAutospacing="0"/>
              <w:jc w:val="center"/>
              <w:rPr>
                <w:rFonts w:hint="eastAsia" w:ascii="宋体" w:hAnsi="宋体" w:eastAsia="宋体" w:cs="宋体"/>
              </w:rPr>
            </w:pPr>
            <w:r>
              <w:rPr>
                <w:rFonts w:hint="eastAsia" w:ascii="宋体" w:hAnsi="宋体" w:eastAsia="宋体" w:cs="宋体"/>
              </w:rPr>
              <w:t> 4</w:t>
            </w:r>
          </w:p>
        </w:tc>
        <w:tc>
          <w:tcPr>
            <w:tcW w:w="3026" w:type="dxa"/>
            <w:shd w:val="clear" w:color="auto" w:fill="auto"/>
            <w:noWrap w:val="0"/>
            <w:vAlign w:val="center"/>
          </w:tcPr>
          <w:p w14:paraId="64328B07">
            <w:pPr>
              <w:pStyle w:val="44"/>
              <w:spacing w:beforeAutospacing="0" w:afterAutospacing="0"/>
              <w:jc w:val="center"/>
              <w:rPr>
                <w:rFonts w:hint="eastAsia" w:ascii="宋体" w:hAnsi="宋体" w:eastAsia="宋体" w:cs="宋体"/>
              </w:rPr>
            </w:pPr>
            <w:r>
              <w:rPr>
                <w:rFonts w:hint="eastAsia" w:ascii="宋体" w:hAnsi="宋体" w:eastAsia="宋体" w:cs="宋体"/>
              </w:rPr>
              <w:t>开标一览表 </w:t>
            </w:r>
          </w:p>
        </w:tc>
        <w:tc>
          <w:tcPr>
            <w:tcW w:w="2608" w:type="dxa"/>
            <w:shd w:val="clear" w:color="auto" w:fill="auto"/>
            <w:noWrap w:val="0"/>
            <w:vAlign w:val="center"/>
          </w:tcPr>
          <w:p w14:paraId="570BDA7B">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shd w:val="clear" w:color="auto" w:fill="auto"/>
            <w:noWrap w:val="0"/>
            <w:vAlign w:val="center"/>
          </w:tcPr>
          <w:p w14:paraId="38B6A7C9">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shd w:val="clear" w:color="auto" w:fill="auto"/>
            <w:noWrap w:val="0"/>
            <w:vAlign w:val="center"/>
          </w:tcPr>
          <w:p w14:paraId="37311689">
            <w:pPr>
              <w:pStyle w:val="44"/>
              <w:spacing w:beforeAutospacing="0" w:afterAutospacing="0"/>
              <w:jc w:val="center"/>
              <w:rPr>
                <w:rFonts w:hint="eastAsia" w:ascii="宋体" w:hAnsi="宋体" w:eastAsia="宋体" w:cs="宋体"/>
              </w:rPr>
            </w:pPr>
            <w:r>
              <w:rPr>
                <w:rFonts w:hint="eastAsia" w:ascii="宋体" w:hAnsi="宋体" w:eastAsia="宋体" w:cs="宋体"/>
              </w:rPr>
              <w:t> </w:t>
            </w:r>
          </w:p>
        </w:tc>
      </w:tr>
      <w:tr w14:paraId="41330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noWrap w:val="0"/>
            <w:vAlign w:val="center"/>
          </w:tcPr>
          <w:p w14:paraId="57C17F90">
            <w:pPr>
              <w:pStyle w:val="44"/>
              <w:spacing w:beforeAutospacing="0" w:afterAutospacing="0"/>
              <w:jc w:val="center"/>
              <w:rPr>
                <w:rFonts w:hint="eastAsia" w:ascii="宋体" w:hAnsi="宋体" w:eastAsia="宋体" w:cs="宋体"/>
              </w:rPr>
            </w:pPr>
            <w:r>
              <w:rPr>
                <w:rFonts w:hint="eastAsia" w:ascii="宋体" w:hAnsi="宋体" w:eastAsia="宋体" w:cs="宋体"/>
              </w:rPr>
              <w:t> 5</w:t>
            </w:r>
          </w:p>
        </w:tc>
        <w:tc>
          <w:tcPr>
            <w:tcW w:w="3026" w:type="dxa"/>
            <w:shd w:val="clear" w:color="auto" w:fill="auto"/>
            <w:noWrap w:val="0"/>
            <w:vAlign w:val="center"/>
          </w:tcPr>
          <w:p w14:paraId="4ED91558">
            <w:pPr>
              <w:pStyle w:val="44"/>
              <w:spacing w:beforeAutospacing="0" w:afterAutospacing="0"/>
              <w:jc w:val="center"/>
              <w:rPr>
                <w:rFonts w:hint="eastAsia" w:ascii="宋体" w:hAnsi="宋体" w:eastAsia="宋体" w:cs="宋体"/>
              </w:rPr>
            </w:pPr>
            <w:r>
              <w:rPr>
                <w:rFonts w:hint="eastAsia" w:ascii="宋体" w:hAnsi="宋体" w:eastAsia="宋体" w:cs="宋体"/>
              </w:rPr>
              <w:t> 所有产品免费质量保修期</w:t>
            </w:r>
          </w:p>
        </w:tc>
        <w:tc>
          <w:tcPr>
            <w:tcW w:w="2608" w:type="dxa"/>
            <w:shd w:val="clear" w:color="auto" w:fill="auto"/>
            <w:noWrap w:val="0"/>
            <w:vAlign w:val="center"/>
          </w:tcPr>
          <w:p w14:paraId="0C5C6DD5">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shd w:val="clear" w:color="auto" w:fill="auto"/>
            <w:noWrap w:val="0"/>
            <w:vAlign w:val="center"/>
          </w:tcPr>
          <w:p w14:paraId="4F5849F6">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shd w:val="clear" w:color="auto" w:fill="auto"/>
            <w:noWrap w:val="0"/>
            <w:vAlign w:val="center"/>
          </w:tcPr>
          <w:p w14:paraId="6CC5AB30">
            <w:pPr>
              <w:pStyle w:val="44"/>
              <w:spacing w:beforeAutospacing="0" w:afterAutospacing="0"/>
              <w:jc w:val="center"/>
              <w:rPr>
                <w:rFonts w:hint="eastAsia" w:ascii="宋体" w:hAnsi="宋体" w:eastAsia="宋体" w:cs="宋体"/>
              </w:rPr>
            </w:pPr>
            <w:r>
              <w:rPr>
                <w:rFonts w:hint="eastAsia" w:ascii="宋体" w:hAnsi="宋体" w:eastAsia="宋体" w:cs="宋体"/>
              </w:rPr>
              <w:t> </w:t>
            </w:r>
          </w:p>
        </w:tc>
      </w:tr>
      <w:tr w14:paraId="22962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noWrap w:val="0"/>
            <w:vAlign w:val="center"/>
          </w:tcPr>
          <w:p w14:paraId="3E680335">
            <w:pPr>
              <w:pStyle w:val="44"/>
              <w:spacing w:beforeAutospacing="0" w:afterAutospacing="0"/>
              <w:jc w:val="center"/>
              <w:rPr>
                <w:rFonts w:hint="eastAsia" w:ascii="宋体" w:hAnsi="宋体" w:eastAsia="宋体" w:cs="宋体"/>
              </w:rPr>
            </w:pPr>
            <w:r>
              <w:rPr>
                <w:rFonts w:hint="eastAsia" w:ascii="宋体" w:hAnsi="宋体" w:eastAsia="宋体" w:cs="宋体"/>
              </w:rPr>
              <w:t> 6</w:t>
            </w:r>
          </w:p>
        </w:tc>
        <w:tc>
          <w:tcPr>
            <w:tcW w:w="3026" w:type="dxa"/>
            <w:shd w:val="clear" w:color="auto" w:fill="auto"/>
            <w:noWrap w:val="0"/>
            <w:vAlign w:val="center"/>
          </w:tcPr>
          <w:p w14:paraId="12E80E11">
            <w:pPr>
              <w:pStyle w:val="44"/>
              <w:spacing w:beforeAutospacing="0" w:afterAutospacing="0"/>
              <w:jc w:val="center"/>
              <w:rPr>
                <w:rFonts w:hint="eastAsia" w:ascii="宋体" w:hAnsi="宋体" w:eastAsia="宋体" w:cs="宋体"/>
              </w:rPr>
            </w:pPr>
            <w:r>
              <w:rPr>
                <w:rFonts w:hint="eastAsia" w:ascii="宋体" w:hAnsi="宋体" w:eastAsia="宋体" w:cs="宋体"/>
              </w:rPr>
              <w:t> 合同履行期限</w:t>
            </w:r>
          </w:p>
        </w:tc>
        <w:tc>
          <w:tcPr>
            <w:tcW w:w="2608" w:type="dxa"/>
            <w:shd w:val="clear" w:color="auto" w:fill="auto"/>
            <w:noWrap w:val="0"/>
            <w:vAlign w:val="center"/>
          </w:tcPr>
          <w:p w14:paraId="0AA1D935">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shd w:val="clear" w:color="auto" w:fill="auto"/>
            <w:noWrap w:val="0"/>
            <w:vAlign w:val="center"/>
          </w:tcPr>
          <w:p w14:paraId="1A7C73DB">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shd w:val="clear" w:color="auto" w:fill="auto"/>
            <w:noWrap w:val="0"/>
            <w:vAlign w:val="center"/>
          </w:tcPr>
          <w:p w14:paraId="50A5541A">
            <w:pPr>
              <w:pStyle w:val="44"/>
              <w:spacing w:beforeAutospacing="0" w:afterAutospacing="0"/>
              <w:jc w:val="center"/>
              <w:rPr>
                <w:rFonts w:hint="eastAsia" w:ascii="宋体" w:hAnsi="宋体" w:eastAsia="宋体" w:cs="宋体"/>
              </w:rPr>
            </w:pPr>
            <w:r>
              <w:rPr>
                <w:rFonts w:hint="eastAsia" w:ascii="宋体" w:hAnsi="宋体" w:eastAsia="宋体" w:cs="宋体"/>
              </w:rPr>
              <w:t> </w:t>
            </w:r>
          </w:p>
        </w:tc>
      </w:tr>
      <w:tr w14:paraId="62D60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noWrap w:val="0"/>
            <w:vAlign w:val="center"/>
          </w:tcPr>
          <w:p w14:paraId="391EDB44">
            <w:pPr>
              <w:pStyle w:val="44"/>
              <w:spacing w:beforeAutospacing="0" w:afterAutospacing="0"/>
              <w:jc w:val="center"/>
              <w:rPr>
                <w:rFonts w:hint="eastAsia" w:ascii="宋体" w:hAnsi="宋体" w:eastAsia="宋体" w:cs="宋体"/>
                <w:lang w:val="en-US" w:eastAsia="zh-CN"/>
              </w:rPr>
            </w:pPr>
            <w:r>
              <w:rPr>
                <w:rFonts w:hint="eastAsia" w:ascii="宋体" w:hAnsi="宋体" w:eastAsia="宋体" w:cs="宋体"/>
              </w:rPr>
              <w:t> </w:t>
            </w:r>
            <w:r>
              <w:rPr>
                <w:rFonts w:hint="eastAsia" w:ascii="宋体" w:hAnsi="宋体" w:eastAsia="宋体" w:cs="宋体"/>
                <w:lang w:val="en-US" w:eastAsia="zh-CN"/>
              </w:rPr>
              <w:t>7</w:t>
            </w:r>
          </w:p>
        </w:tc>
        <w:tc>
          <w:tcPr>
            <w:tcW w:w="3026" w:type="dxa"/>
            <w:shd w:val="clear" w:color="auto" w:fill="auto"/>
            <w:noWrap w:val="0"/>
            <w:vAlign w:val="center"/>
          </w:tcPr>
          <w:p w14:paraId="31949203">
            <w:pPr>
              <w:pStyle w:val="44"/>
              <w:spacing w:beforeAutospacing="0" w:afterAutospacing="0"/>
              <w:jc w:val="center"/>
              <w:rPr>
                <w:rFonts w:hint="eastAsia" w:ascii="宋体" w:hAnsi="宋体" w:eastAsia="宋体" w:cs="宋体"/>
              </w:rPr>
            </w:pPr>
            <w:r>
              <w:rPr>
                <w:rFonts w:hint="eastAsia" w:ascii="宋体" w:hAnsi="宋体" w:eastAsia="宋体" w:cs="宋体"/>
              </w:rPr>
              <w:t> </w:t>
            </w:r>
            <w:r>
              <w:rPr>
                <w:rFonts w:hint="eastAsia" w:ascii="宋体" w:hAnsi="宋体" w:eastAsia="宋体" w:cs="宋体"/>
                <w:lang w:val="en-US" w:eastAsia="zh-CN"/>
              </w:rPr>
              <w:t>付款方式</w:t>
            </w:r>
          </w:p>
        </w:tc>
        <w:tc>
          <w:tcPr>
            <w:tcW w:w="2608" w:type="dxa"/>
            <w:shd w:val="clear" w:color="auto" w:fill="auto"/>
            <w:noWrap w:val="0"/>
            <w:vAlign w:val="center"/>
          </w:tcPr>
          <w:p w14:paraId="4678E4C5">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shd w:val="clear" w:color="auto" w:fill="auto"/>
            <w:noWrap w:val="0"/>
            <w:vAlign w:val="center"/>
          </w:tcPr>
          <w:p w14:paraId="5A337CD4">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shd w:val="clear" w:color="auto" w:fill="auto"/>
            <w:noWrap w:val="0"/>
            <w:vAlign w:val="center"/>
          </w:tcPr>
          <w:p w14:paraId="6E42B8BB">
            <w:pPr>
              <w:pStyle w:val="44"/>
              <w:spacing w:beforeAutospacing="0" w:afterAutospacing="0"/>
              <w:jc w:val="center"/>
              <w:rPr>
                <w:rFonts w:hint="eastAsia" w:ascii="宋体" w:hAnsi="宋体" w:eastAsia="宋体" w:cs="宋体"/>
              </w:rPr>
            </w:pPr>
            <w:r>
              <w:rPr>
                <w:rFonts w:hint="eastAsia" w:ascii="宋体" w:hAnsi="宋体" w:eastAsia="宋体" w:cs="宋体"/>
              </w:rPr>
              <w:t> </w:t>
            </w:r>
          </w:p>
        </w:tc>
      </w:tr>
      <w:tr w14:paraId="2A5BA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noWrap w:val="0"/>
            <w:vAlign w:val="center"/>
          </w:tcPr>
          <w:p w14:paraId="5DC01410">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shd w:val="clear" w:color="auto" w:fill="auto"/>
            <w:noWrap w:val="0"/>
            <w:vAlign w:val="center"/>
          </w:tcPr>
          <w:p w14:paraId="34092FCC">
            <w:pPr>
              <w:pStyle w:val="44"/>
              <w:spacing w:beforeAutospacing="0" w:afterAutospacing="0"/>
              <w:jc w:val="center"/>
              <w:rPr>
                <w:rFonts w:hint="eastAsia" w:ascii="宋体" w:hAnsi="宋体" w:eastAsia="宋体" w:cs="宋体"/>
              </w:rPr>
            </w:pPr>
            <w:r>
              <w:rPr>
                <w:rFonts w:hint="eastAsia" w:ascii="宋体" w:hAnsi="宋体" w:eastAsia="宋体" w:cs="宋体"/>
                <w:color w:val="000000"/>
              </w:rPr>
              <w:t>……</w:t>
            </w:r>
          </w:p>
        </w:tc>
        <w:tc>
          <w:tcPr>
            <w:tcW w:w="2608" w:type="dxa"/>
            <w:shd w:val="clear" w:color="auto" w:fill="auto"/>
            <w:noWrap w:val="0"/>
            <w:vAlign w:val="center"/>
          </w:tcPr>
          <w:p w14:paraId="1FC2CF9A">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shd w:val="clear" w:color="auto" w:fill="auto"/>
            <w:noWrap w:val="0"/>
            <w:vAlign w:val="center"/>
          </w:tcPr>
          <w:p w14:paraId="0B06BDB8">
            <w:pPr>
              <w:pStyle w:val="44"/>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shd w:val="clear" w:color="auto" w:fill="auto"/>
            <w:noWrap w:val="0"/>
            <w:vAlign w:val="center"/>
          </w:tcPr>
          <w:p w14:paraId="15812B16">
            <w:pPr>
              <w:pStyle w:val="44"/>
              <w:spacing w:beforeAutospacing="0" w:afterAutospacing="0"/>
              <w:jc w:val="center"/>
              <w:rPr>
                <w:rFonts w:hint="eastAsia" w:ascii="宋体" w:hAnsi="宋体" w:eastAsia="宋体" w:cs="宋体"/>
              </w:rPr>
            </w:pPr>
            <w:r>
              <w:rPr>
                <w:rFonts w:hint="eastAsia" w:ascii="宋体" w:hAnsi="宋体" w:eastAsia="宋体" w:cs="宋体"/>
              </w:rPr>
              <w:t> </w:t>
            </w:r>
          </w:p>
        </w:tc>
      </w:tr>
    </w:tbl>
    <w:p w14:paraId="2CCB1898">
      <w:pPr>
        <w:pStyle w:val="44"/>
        <w:spacing w:beforeAutospacing="0" w:afterAutospacing="0"/>
        <w:jc w:val="both"/>
        <w:rPr>
          <w:rFonts w:hint="eastAsia" w:ascii="宋体" w:hAnsi="宋体" w:eastAsia="宋体" w:cs="宋体"/>
        </w:rPr>
      </w:pPr>
      <w:r>
        <w:rPr>
          <w:rFonts w:hint="eastAsia" w:ascii="宋体" w:hAnsi="宋体" w:eastAsia="宋体" w:cs="宋体"/>
          <w:color w:val="000000"/>
        </w:rPr>
        <w:t>注： 行数不够，可自行添加。</w:t>
      </w:r>
    </w:p>
    <w:p w14:paraId="1AC2F9ED">
      <w:pPr>
        <w:pStyle w:val="44"/>
        <w:spacing w:beforeAutospacing="0" w:afterAutospacing="0" w:line="480" w:lineRule="auto"/>
        <w:jc w:val="both"/>
        <w:rPr>
          <w:rFonts w:hint="eastAsia" w:ascii="宋体" w:hAnsi="宋体" w:eastAsia="宋体" w:cs="宋体"/>
        </w:rPr>
      </w:pPr>
      <w:r>
        <w:rPr>
          <w:rFonts w:hint="eastAsia" w:ascii="宋体" w:hAnsi="宋体" w:eastAsia="宋体" w:cs="宋体"/>
        </w:rPr>
        <w:t> </w:t>
      </w:r>
    </w:p>
    <w:p w14:paraId="6FA41C9B">
      <w:pPr>
        <w:pStyle w:val="44"/>
        <w:spacing w:beforeAutospacing="0" w:afterAutospacing="0" w:line="480" w:lineRule="auto"/>
        <w:jc w:val="both"/>
        <w:rPr>
          <w:rFonts w:hint="eastAsia" w:ascii="宋体" w:hAnsi="宋体" w:eastAsia="宋体" w:cs="宋体"/>
        </w:rPr>
      </w:pPr>
      <w:r>
        <w:rPr>
          <w:rFonts w:hint="eastAsia" w:ascii="宋体" w:hAnsi="宋体" w:eastAsia="宋体" w:cs="宋体"/>
        </w:rPr>
        <w:t> </w:t>
      </w:r>
    </w:p>
    <w:p w14:paraId="01E8E208">
      <w:pPr>
        <w:pStyle w:val="44"/>
        <w:spacing w:beforeAutospacing="0" w:afterAutospacing="0"/>
        <w:jc w:val="center"/>
        <w:rPr>
          <w:rFonts w:hint="eastAsia" w:ascii="宋体" w:hAnsi="宋体" w:eastAsia="宋体" w:cs="宋体"/>
        </w:rPr>
      </w:pPr>
      <w:bookmarkStart w:id="194" w:name="_格式2__法定代表人授权书"/>
      <w:bookmarkStart w:id="195" w:name="_Hlt26955066"/>
      <w:bookmarkStart w:id="196" w:name="_Hlt26671374"/>
      <w:bookmarkStart w:id="197" w:name="_Toc462564146"/>
      <w:bookmarkStart w:id="198" w:name="_Hlt26609389"/>
      <w:r>
        <w:rPr>
          <w:rFonts w:hint="eastAsia" w:ascii="宋体" w:hAnsi="宋体" w:eastAsia="宋体" w:cs="宋体"/>
        </w:rPr>
        <w:t> </w:t>
      </w:r>
    </w:p>
    <w:p w14:paraId="2D8BEA65">
      <w:pPr>
        <w:pStyle w:val="44"/>
        <w:spacing w:beforeAutospacing="0" w:afterAutospacing="0"/>
        <w:jc w:val="center"/>
        <w:rPr>
          <w:rFonts w:hint="eastAsia" w:ascii="宋体" w:hAnsi="宋体" w:eastAsia="宋体" w:cs="宋体"/>
        </w:rPr>
      </w:pPr>
      <w:r>
        <w:rPr>
          <w:rFonts w:hint="eastAsia" w:ascii="宋体" w:hAnsi="宋体" w:eastAsia="宋体" w:cs="宋体"/>
        </w:rPr>
        <w:t> </w:t>
      </w:r>
    </w:p>
    <w:p w14:paraId="0E591F12">
      <w:pPr>
        <w:pStyle w:val="44"/>
        <w:spacing w:beforeAutospacing="0" w:afterAutospacing="0"/>
        <w:jc w:val="center"/>
        <w:rPr>
          <w:rFonts w:hint="eastAsia" w:ascii="宋体" w:hAnsi="宋体" w:eastAsia="宋体" w:cs="宋体"/>
        </w:rPr>
      </w:pPr>
      <w:r>
        <w:rPr>
          <w:rFonts w:hint="eastAsia" w:ascii="宋体" w:hAnsi="宋体" w:eastAsia="宋体" w:cs="宋体"/>
        </w:rPr>
        <w:t> </w:t>
      </w:r>
    </w:p>
    <w:p w14:paraId="48B2BFF7">
      <w:pPr>
        <w:pStyle w:val="44"/>
        <w:spacing w:beforeAutospacing="0" w:afterAutospacing="0"/>
        <w:jc w:val="center"/>
        <w:rPr>
          <w:rFonts w:hint="eastAsia" w:ascii="宋体" w:hAnsi="宋体" w:eastAsia="宋体" w:cs="宋体"/>
        </w:rPr>
      </w:pPr>
      <w:r>
        <w:rPr>
          <w:rFonts w:hint="eastAsia" w:ascii="宋体" w:hAnsi="宋体" w:eastAsia="宋体" w:cs="宋体"/>
        </w:rPr>
        <w:t> </w:t>
      </w:r>
    </w:p>
    <w:p w14:paraId="531990BE">
      <w:pPr>
        <w:pStyle w:val="44"/>
        <w:spacing w:beforeAutospacing="0" w:afterAutospacing="0"/>
        <w:jc w:val="center"/>
        <w:rPr>
          <w:rFonts w:hint="eastAsia" w:ascii="宋体" w:hAnsi="宋体" w:eastAsia="宋体" w:cs="宋体"/>
        </w:rPr>
      </w:pPr>
      <w:r>
        <w:rPr>
          <w:rFonts w:hint="eastAsia" w:ascii="宋体" w:hAnsi="宋体" w:eastAsia="宋体" w:cs="宋体"/>
        </w:rPr>
        <w:t> </w:t>
      </w:r>
    </w:p>
    <w:p w14:paraId="33C2DA29">
      <w:pPr>
        <w:pStyle w:val="44"/>
        <w:spacing w:beforeAutospacing="0" w:afterAutospacing="0"/>
        <w:jc w:val="center"/>
        <w:rPr>
          <w:rFonts w:hint="eastAsia" w:ascii="宋体" w:hAnsi="宋体" w:eastAsia="宋体" w:cs="宋体"/>
        </w:rPr>
      </w:pPr>
      <w:r>
        <w:rPr>
          <w:rFonts w:hint="eastAsia" w:ascii="宋体" w:hAnsi="宋体" w:eastAsia="宋体" w:cs="宋体"/>
        </w:rPr>
        <w:t> </w:t>
      </w:r>
    </w:p>
    <w:p w14:paraId="4DA85C90">
      <w:pPr>
        <w:pStyle w:val="44"/>
        <w:spacing w:beforeAutospacing="0" w:afterAutospacing="0"/>
        <w:jc w:val="center"/>
        <w:rPr>
          <w:rFonts w:hint="eastAsia" w:ascii="宋体" w:hAnsi="宋体" w:eastAsia="宋体" w:cs="宋体"/>
        </w:rPr>
      </w:pPr>
    </w:p>
    <w:p w14:paraId="03312210">
      <w:pPr>
        <w:pStyle w:val="44"/>
        <w:spacing w:beforeAutospacing="0" w:afterAutospacing="0"/>
        <w:jc w:val="center"/>
        <w:rPr>
          <w:rFonts w:hint="eastAsia" w:ascii="宋体" w:hAnsi="宋体" w:eastAsia="宋体" w:cs="宋体"/>
        </w:rPr>
      </w:pPr>
    </w:p>
    <w:p w14:paraId="6B672105">
      <w:pPr>
        <w:pStyle w:val="44"/>
        <w:spacing w:beforeAutospacing="0" w:afterAutospacing="0"/>
        <w:jc w:val="center"/>
        <w:rPr>
          <w:rFonts w:hint="eastAsia" w:ascii="宋体" w:hAnsi="宋体" w:eastAsia="宋体" w:cs="宋体"/>
        </w:rPr>
      </w:pPr>
    </w:p>
    <w:p w14:paraId="1F21DDFF">
      <w:pPr>
        <w:pStyle w:val="44"/>
        <w:spacing w:beforeAutospacing="0" w:afterAutospacing="0"/>
        <w:jc w:val="center"/>
        <w:rPr>
          <w:rFonts w:hint="eastAsia" w:ascii="宋体" w:hAnsi="宋体" w:eastAsia="宋体" w:cs="宋体"/>
        </w:rPr>
      </w:pPr>
    </w:p>
    <w:p w14:paraId="60DD9C3E">
      <w:pPr>
        <w:pStyle w:val="44"/>
        <w:spacing w:beforeAutospacing="0" w:afterAutospacing="0"/>
        <w:jc w:val="center"/>
        <w:rPr>
          <w:rFonts w:hint="eastAsia" w:ascii="宋体" w:hAnsi="宋体" w:eastAsia="宋体" w:cs="宋体"/>
        </w:rPr>
      </w:pPr>
    </w:p>
    <w:p w14:paraId="093C49EE">
      <w:pPr>
        <w:pStyle w:val="44"/>
        <w:spacing w:beforeAutospacing="0" w:afterAutospacing="0"/>
        <w:jc w:val="center"/>
        <w:rPr>
          <w:rFonts w:hint="eastAsia" w:ascii="宋体" w:hAnsi="宋体" w:eastAsia="宋体" w:cs="宋体"/>
        </w:rPr>
      </w:pPr>
    </w:p>
    <w:p w14:paraId="3402690A">
      <w:pPr>
        <w:pStyle w:val="44"/>
        <w:spacing w:beforeAutospacing="0" w:afterAutospacing="0"/>
        <w:jc w:val="center"/>
        <w:rPr>
          <w:rFonts w:hint="eastAsia" w:ascii="宋体" w:hAnsi="宋体" w:eastAsia="宋体" w:cs="宋体"/>
        </w:rPr>
      </w:pPr>
    </w:p>
    <w:p w14:paraId="27BA57D3">
      <w:pPr>
        <w:pStyle w:val="44"/>
        <w:spacing w:beforeAutospacing="0" w:afterAutospacing="0"/>
        <w:jc w:val="center"/>
        <w:rPr>
          <w:rFonts w:hint="eastAsia" w:ascii="宋体" w:hAnsi="宋体" w:eastAsia="宋体" w:cs="宋体"/>
        </w:rPr>
      </w:pPr>
    </w:p>
    <w:p w14:paraId="222DD888">
      <w:pPr>
        <w:pStyle w:val="44"/>
        <w:spacing w:beforeAutospacing="0" w:afterAutospacing="0"/>
        <w:jc w:val="center"/>
        <w:rPr>
          <w:rFonts w:hint="eastAsia" w:ascii="宋体" w:hAnsi="宋体" w:eastAsia="宋体" w:cs="宋体"/>
        </w:rPr>
      </w:pPr>
    </w:p>
    <w:p w14:paraId="017CEF85">
      <w:pPr>
        <w:pStyle w:val="44"/>
        <w:spacing w:beforeAutospacing="0" w:afterAutospacing="0"/>
        <w:jc w:val="center"/>
        <w:rPr>
          <w:rFonts w:hint="eastAsia" w:ascii="宋体" w:hAnsi="宋体" w:eastAsia="宋体" w:cs="宋体"/>
        </w:rPr>
      </w:pPr>
    </w:p>
    <w:p w14:paraId="728B8580">
      <w:pPr>
        <w:pStyle w:val="44"/>
        <w:spacing w:beforeAutospacing="0" w:afterAutospacing="0"/>
        <w:jc w:val="center"/>
        <w:rPr>
          <w:rFonts w:hint="eastAsia" w:ascii="宋体" w:hAnsi="宋体" w:eastAsia="宋体" w:cs="宋体"/>
        </w:rPr>
      </w:pPr>
    </w:p>
    <w:p w14:paraId="28CF3F30">
      <w:pPr>
        <w:pStyle w:val="44"/>
        <w:spacing w:beforeAutospacing="0" w:afterAutospacing="0"/>
        <w:rPr>
          <w:rFonts w:hint="eastAsia" w:ascii="宋体" w:hAnsi="宋体" w:eastAsia="宋体" w:cs="宋体"/>
        </w:rPr>
      </w:pPr>
    </w:p>
    <w:p w14:paraId="1AFB46D6">
      <w:pPr>
        <w:pStyle w:val="44"/>
        <w:spacing w:beforeAutospacing="0" w:afterAutospacing="0"/>
        <w:jc w:val="center"/>
        <w:rPr>
          <w:rFonts w:hint="eastAsia" w:ascii="宋体" w:hAnsi="宋体" w:eastAsia="宋体" w:cs="宋体"/>
          <w:u w:val="none"/>
        </w:rPr>
      </w:pPr>
      <w:r>
        <w:rPr>
          <w:rFonts w:hint="eastAsia" w:ascii="宋体" w:hAnsi="宋体" w:eastAsia="宋体" w:cs="宋体"/>
          <w:b/>
          <w:color w:val="000000"/>
          <w:sz w:val="32"/>
          <w:szCs w:val="32"/>
          <w:u w:val="none"/>
        </w:rPr>
        <w:t>十</w:t>
      </w:r>
      <w:r>
        <w:rPr>
          <w:rFonts w:hint="eastAsia" w:ascii="宋体" w:hAnsi="宋体" w:eastAsia="宋体" w:cs="宋体"/>
          <w:b/>
          <w:color w:val="000000"/>
          <w:sz w:val="32"/>
          <w:szCs w:val="32"/>
          <w:u w:val="none"/>
          <w:lang w:val="en-US" w:eastAsia="zh-CN"/>
        </w:rPr>
        <w:t>三</w:t>
      </w:r>
      <w:r>
        <w:rPr>
          <w:rFonts w:hint="eastAsia" w:ascii="宋体" w:hAnsi="宋体" w:eastAsia="宋体" w:cs="宋体"/>
          <w:b/>
          <w:color w:val="000000"/>
          <w:sz w:val="32"/>
          <w:szCs w:val="32"/>
          <w:u w:val="none"/>
        </w:rPr>
        <w:t>、开标一览表</w:t>
      </w:r>
    </w:p>
    <w:p w14:paraId="7E79FA52">
      <w:pPr>
        <w:pStyle w:val="44"/>
        <w:keepNext w:val="0"/>
        <w:keepLines w:val="0"/>
        <w:pageBreakBefore w:val="0"/>
        <w:widowControl w:val="0"/>
        <w:kinsoku/>
        <w:wordWrap/>
        <w:overflowPunct/>
        <w:topLinePunct w:val="0"/>
        <w:autoSpaceDE/>
        <w:autoSpaceDN/>
        <w:bidi w:val="0"/>
        <w:adjustRightInd/>
        <w:snapToGrid/>
        <w:spacing w:before="541" w:beforeLines="150" w:beforeAutospacing="0" w:afterAutospacing="0" w:line="360" w:lineRule="auto"/>
        <w:ind w:firstLine="482"/>
        <w:jc w:val="both"/>
        <w:textAlignment w:val="auto"/>
        <w:rPr>
          <w:rFonts w:hint="eastAsia" w:ascii="宋体" w:hAnsi="宋体" w:eastAsia="宋体" w:cs="宋体"/>
        </w:rPr>
      </w:pPr>
      <w:r>
        <w:rPr>
          <w:rFonts w:hint="eastAsia" w:ascii="宋体" w:hAnsi="宋体" w:eastAsia="宋体" w:cs="宋体"/>
          <w:color w:val="000000"/>
        </w:rPr>
        <w:t>投标人全称（加盖CA电子签章）：</w:t>
      </w:r>
    </w:p>
    <w:p w14:paraId="25984AFF">
      <w:pPr>
        <w:pStyle w:val="44"/>
        <w:keepNext w:val="0"/>
        <w:keepLines w:val="0"/>
        <w:pageBreakBefore w:val="0"/>
        <w:widowControl w:val="0"/>
        <w:kinsoku/>
        <w:wordWrap/>
        <w:overflowPunct/>
        <w:topLinePunct w:val="0"/>
        <w:autoSpaceDE/>
        <w:autoSpaceDN/>
        <w:bidi w:val="0"/>
        <w:adjustRightInd/>
        <w:snapToGrid/>
        <w:spacing w:before="181" w:beforeLines="50" w:beforeAutospacing="0" w:afterAutospacing="0" w:line="360" w:lineRule="auto"/>
        <w:ind w:firstLine="482"/>
        <w:jc w:val="both"/>
        <w:textAlignment w:val="auto"/>
        <w:rPr>
          <w:rFonts w:hint="eastAsia" w:ascii="宋体" w:hAnsi="宋体" w:eastAsia="宋体" w:cs="宋体"/>
        </w:rPr>
      </w:pPr>
      <w:r>
        <w:rPr>
          <w:rFonts w:hint="eastAsia" w:ascii="宋体" w:hAnsi="宋体" w:eastAsia="宋体" w:cs="宋体"/>
          <w:color w:val="000000"/>
        </w:rPr>
        <w:t>项目名称：</w:t>
      </w:r>
    </w:p>
    <w:p w14:paraId="709E8CC2">
      <w:pPr>
        <w:pStyle w:val="44"/>
        <w:keepNext w:val="0"/>
        <w:keepLines w:val="0"/>
        <w:pageBreakBefore w:val="0"/>
        <w:widowControl w:val="0"/>
        <w:kinsoku/>
        <w:wordWrap/>
        <w:overflowPunct/>
        <w:topLinePunct w:val="0"/>
        <w:autoSpaceDE/>
        <w:autoSpaceDN/>
        <w:bidi w:val="0"/>
        <w:adjustRightInd/>
        <w:snapToGrid/>
        <w:spacing w:before="181" w:beforeLines="50" w:beforeAutospacing="0" w:afterAutospacing="0" w:line="360" w:lineRule="auto"/>
        <w:ind w:firstLine="482"/>
        <w:textAlignment w:val="auto"/>
        <w:rPr>
          <w:rFonts w:hint="eastAsia" w:ascii="宋体" w:hAnsi="宋体" w:eastAsia="宋体" w:cs="宋体"/>
          <w:color w:val="000000"/>
        </w:rPr>
      </w:pPr>
      <w:r>
        <w:rPr>
          <w:rFonts w:hint="eastAsia" w:ascii="宋体" w:hAnsi="宋体" w:eastAsia="宋体" w:cs="宋体"/>
          <w:color w:val="000000"/>
          <w:lang w:val="en-US" w:eastAsia="zh-CN"/>
        </w:rPr>
        <w:t>项目</w:t>
      </w:r>
      <w:r>
        <w:rPr>
          <w:rFonts w:hint="eastAsia" w:ascii="宋体" w:hAnsi="宋体" w:eastAsia="宋体" w:cs="宋体"/>
          <w:color w:val="000000"/>
        </w:rPr>
        <w:t>编号</w:t>
      </w:r>
      <w:r>
        <w:rPr>
          <w:rFonts w:hint="eastAsia" w:ascii="宋体" w:hAnsi="宋体" w:eastAsia="宋体" w:cs="宋体"/>
          <w:color w:val="000000"/>
          <w:lang w:eastAsia="zh-CN"/>
        </w:rPr>
        <w:t>：</w:t>
      </w:r>
      <w:r>
        <w:rPr>
          <w:rFonts w:hint="eastAsia" w:ascii="宋体" w:hAnsi="宋体" w:eastAsia="宋体" w:cs="宋体"/>
          <w:color w:val="000000"/>
        </w:rPr>
        <w:t>                     </w:t>
      </w:r>
    </w:p>
    <w:tbl>
      <w:tblPr>
        <w:tblStyle w:val="50"/>
        <w:tblW w:w="8413" w:type="dxa"/>
        <w:tblCellSpacing w:w="0" w:type="dxa"/>
        <w:tblInd w:w="118" w:type="dxa"/>
        <w:tblLayout w:type="fixed"/>
        <w:tblCellMar>
          <w:top w:w="0" w:type="dxa"/>
          <w:left w:w="108" w:type="dxa"/>
          <w:bottom w:w="0" w:type="dxa"/>
          <w:right w:w="108" w:type="dxa"/>
        </w:tblCellMar>
      </w:tblPr>
      <w:tblGrid>
        <w:gridCol w:w="2349"/>
        <w:gridCol w:w="6064"/>
      </w:tblGrid>
      <w:tr w14:paraId="4CE94E18">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D98AE">
            <w:pPr>
              <w:pStyle w:val="44"/>
              <w:spacing w:beforeAutospacing="0" w:afterAutospacing="0"/>
              <w:jc w:val="both"/>
              <w:rPr>
                <w:rFonts w:hint="eastAsia" w:ascii="宋体" w:hAnsi="宋体" w:eastAsia="宋体" w:cs="宋体"/>
              </w:rPr>
            </w:pPr>
            <w:r>
              <w:rPr>
                <w:rFonts w:hint="eastAsia" w:ascii="宋体" w:hAnsi="宋体" w:eastAsia="宋体" w:cs="宋体"/>
                <w:color w:val="000000"/>
              </w:rPr>
              <w:t>                 投标总报价</w:t>
            </w:r>
          </w:p>
        </w:tc>
      </w:tr>
      <w:tr w14:paraId="51B536FC">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412825">
            <w:pPr>
              <w:pStyle w:val="44"/>
              <w:spacing w:beforeAutospacing="0" w:afterAutospacing="0" w:line="0" w:lineRule="atLeast"/>
              <w:rPr>
                <w:rFonts w:hint="eastAsia" w:ascii="宋体" w:hAnsi="宋体" w:eastAsia="宋体" w:cs="宋体"/>
              </w:rPr>
            </w:pPr>
            <w:r>
              <w:rPr>
                <w:rFonts w:hint="eastAsia" w:ascii="宋体" w:hAnsi="宋体" w:eastAsia="宋体" w:cs="宋体"/>
                <w:color w:val="000000"/>
              </w:rPr>
              <w:t>小写：                      （人民币：元）</w:t>
            </w:r>
          </w:p>
        </w:tc>
      </w:tr>
      <w:tr w14:paraId="7D9E9FE1">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6CD6B8">
            <w:pPr>
              <w:pStyle w:val="44"/>
              <w:spacing w:beforeAutospacing="0" w:afterAutospacing="0" w:line="300" w:lineRule="auto"/>
              <w:jc w:val="center"/>
              <w:rPr>
                <w:rFonts w:hint="eastAsia" w:ascii="宋体" w:hAnsi="宋体" w:eastAsia="宋体" w:cs="宋体"/>
              </w:rPr>
            </w:pPr>
            <w:r>
              <w:rPr>
                <w:rFonts w:hint="eastAsia" w:ascii="宋体" w:hAnsi="宋体" w:eastAsia="宋体" w:cs="宋体"/>
                <w:color w:val="000000"/>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0E40E9">
            <w:pPr>
              <w:pStyle w:val="44"/>
              <w:spacing w:beforeAutospacing="0" w:afterAutospacing="0" w:line="0" w:lineRule="atLeast"/>
              <w:rPr>
                <w:rFonts w:hint="eastAsia" w:ascii="宋体" w:hAnsi="宋体" w:eastAsia="宋体" w:cs="宋体"/>
              </w:rPr>
            </w:pPr>
            <w:r>
              <w:rPr>
                <w:rFonts w:hint="eastAsia" w:ascii="宋体" w:hAnsi="宋体" w:eastAsia="宋体" w:cs="宋体"/>
              </w:rPr>
              <w:t> </w:t>
            </w:r>
            <w:r>
              <w:rPr>
                <w:rFonts w:hint="eastAsia" w:ascii="宋体" w:hAnsi="宋体" w:eastAsia="宋体" w:cs="宋体"/>
                <w:b w:val="0"/>
                <w:bCs w:val="0"/>
                <w:color w:val="auto"/>
                <w:sz w:val="24"/>
                <w:szCs w:val="24"/>
                <w:highlight w:val="none"/>
                <w:u w:val="none"/>
                <w:lang w:val="en-US" w:eastAsia="zh-CN"/>
              </w:rPr>
              <w:t xml:space="preserve">扩声系统设备 </w:t>
            </w:r>
          </w:p>
        </w:tc>
      </w:tr>
    </w:tbl>
    <w:p w14:paraId="4C3AA523">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2FFAECF5">
      <w:pPr>
        <w:pStyle w:val="44"/>
        <w:spacing w:beforeAutospacing="0" w:afterAutospacing="0"/>
        <w:ind w:firstLine="480"/>
        <w:jc w:val="both"/>
        <w:rPr>
          <w:rFonts w:hint="eastAsia" w:ascii="宋体" w:hAnsi="宋体" w:eastAsia="宋体" w:cs="宋体"/>
        </w:rPr>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年</w:t>
      </w:r>
      <w:r>
        <w:rPr>
          <w:rFonts w:hint="eastAsia" w:ascii="宋体" w:hAnsi="宋体" w:eastAsia="宋体" w:cs="宋体"/>
          <w:color w:val="000000"/>
          <w:u w:val="single"/>
        </w:rPr>
        <w:t xml:space="preserve">   </w:t>
      </w:r>
      <w:r>
        <w:rPr>
          <w:rFonts w:hint="eastAsia" w:ascii="宋体" w:hAnsi="宋体" w:eastAsia="宋体" w:cs="宋体"/>
          <w:color w:val="000000"/>
        </w:rPr>
        <w:t>月</w:t>
      </w:r>
      <w:r>
        <w:rPr>
          <w:rFonts w:hint="eastAsia" w:ascii="宋体" w:hAnsi="宋体" w:eastAsia="宋体" w:cs="宋体"/>
          <w:color w:val="000000"/>
          <w:u w:val="single"/>
        </w:rPr>
        <w:t xml:space="preserve">   </w:t>
      </w:r>
      <w:r>
        <w:rPr>
          <w:rFonts w:hint="eastAsia" w:ascii="宋体" w:hAnsi="宋体" w:eastAsia="宋体" w:cs="宋体"/>
          <w:color w:val="000000"/>
        </w:rPr>
        <w:t>日</w:t>
      </w:r>
    </w:p>
    <w:p w14:paraId="3B5BC861">
      <w:pPr>
        <w:pStyle w:val="44"/>
        <w:spacing w:beforeAutospacing="0" w:afterAutospacing="0"/>
        <w:jc w:val="both"/>
        <w:rPr>
          <w:rFonts w:hint="eastAsia" w:ascii="宋体" w:hAnsi="宋体" w:eastAsia="宋体" w:cs="宋体"/>
        </w:rPr>
      </w:pPr>
      <w:r>
        <w:rPr>
          <w:rFonts w:hint="eastAsia" w:ascii="宋体" w:hAnsi="宋体" w:eastAsia="宋体" w:cs="宋体"/>
        </w:rPr>
        <w:t> </w:t>
      </w:r>
    </w:p>
    <w:p w14:paraId="19D4C865">
      <w:pPr>
        <w:pStyle w:val="44"/>
        <w:spacing w:beforeAutospacing="0" w:afterAutospacing="0"/>
        <w:ind w:firstLine="480"/>
        <w:jc w:val="both"/>
        <w:rPr>
          <w:rFonts w:hint="eastAsia" w:ascii="宋体" w:hAnsi="宋体" w:eastAsia="宋体" w:cs="宋体"/>
        </w:rPr>
      </w:pPr>
    </w:p>
    <w:p w14:paraId="34C5A29E">
      <w:pPr>
        <w:pStyle w:val="44"/>
        <w:spacing w:beforeAutospacing="0" w:afterAutospacing="0"/>
        <w:ind w:firstLine="480"/>
        <w:jc w:val="both"/>
        <w:rPr>
          <w:rFonts w:hint="eastAsia" w:ascii="宋体" w:hAnsi="宋体" w:eastAsia="宋体" w:cs="宋体"/>
        </w:rPr>
      </w:pPr>
    </w:p>
    <w:p w14:paraId="2BC1BCFC">
      <w:pPr>
        <w:pStyle w:val="44"/>
        <w:spacing w:beforeAutospacing="0" w:afterAutospacing="0"/>
        <w:ind w:firstLine="480"/>
        <w:jc w:val="both"/>
        <w:rPr>
          <w:rFonts w:hint="eastAsia" w:ascii="宋体" w:hAnsi="宋体" w:eastAsia="宋体" w:cs="宋体"/>
        </w:rPr>
      </w:pPr>
    </w:p>
    <w:p w14:paraId="68E89BA8">
      <w:pPr>
        <w:pStyle w:val="44"/>
        <w:spacing w:beforeAutospacing="0" w:afterAutospacing="0"/>
        <w:ind w:firstLine="480"/>
        <w:jc w:val="both"/>
        <w:rPr>
          <w:rFonts w:hint="eastAsia" w:ascii="宋体" w:hAnsi="宋体" w:eastAsia="宋体" w:cs="宋体"/>
        </w:rPr>
      </w:pPr>
    </w:p>
    <w:p w14:paraId="7567B9AA">
      <w:pPr>
        <w:pStyle w:val="44"/>
        <w:spacing w:beforeAutospacing="0" w:afterAutospacing="0"/>
        <w:ind w:firstLine="480"/>
        <w:jc w:val="both"/>
        <w:rPr>
          <w:rFonts w:hint="eastAsia" w:ascii="宋体" w:hAnsi="宋体" w:eastAsia="宋体" w:cs="宋体"/>
        </w:rPr>
      </w:pPr>
    </w:p>
    <w:p w14:paraId="4A8ADDFE">
      <w:pPr>
        <w:pStyle w:val="44"/>
        <w:spacing w:beforeAutospacing="0" w:afterAutospacing="0"/>
        <w:ind w:firstLine="480"/>
        <w:jc w:val="both"/>
        <w:rPr>
          <w:rFonts w:hint="eastAsia" w:ascii="宋体" w:hAnsi="宋体" w:eastAsia="宋体" w:cs="宋体"/>
        </w:rPr>
      </w:pPr>
    </w:p>
    <w:p w14:paraId="28D4A34F">
      <w:pPr>
        <w:pStyle w:val="44"/>
        <w:spacing w:beforeAutospacing="0" w:afterAutospacing="0"/>
        <w:ind w:firstLine="480"/>
        <w:jc w:val="both"/>
        <w:rPr>
          <w:rFonts w:hint="eastAsia" w:ascii="宋体" w:hAnsi="宋体" w:eastAsia="宋体" w:cs="宋体"/>
        </w:rPr>
      </w:pPr>
    </w:p>
    <w:p w14:paraId="6ABC64CD">
      <w:pPr>
        <w:pStyle w:val="44"/>
        <w:spacing w:beforeAutospacing="0" w:afterAutospacing="0"/>
        <w:ind w:firstLine="480"/>
        <w:jc w:val="both"/>
        <w:rPr>
          <w:rFonts w:hint="eastAsia" w:ascii="宋体" w:hAnsi="宋体" w:eastAsia="宋体" w:cs="宋体"/>
        </w:rPr>
      </w:pPr>
    </w:p>
    <w:p w14:paraId="50C04E04">
      <w:pPr>
        <w:pStyle w:val="44"/>
        <w:spacing w:beforeAutospacing="0" w:afterAutospacing="0"/>
        <w:ind w:firstLine="480"/>
        <w:jc w:val="both"/>
        <w:rPr>
          <w:rFonts w:hint="eastAsia" w:ascii="宋体" w:hAnsi="宋体" w:eastAsia="宋体" w:cs="宋体"/>
        </w:rPr>
      </w:pPr>
    </w:p>
    <w:p w14:paraId="282E7904">
      <w:pPr>
        <w:pStyle w:val="44"/>
        <w:spacing w:beforeAutospacing="0" w:afterAutospacing="0"/>
        <w:ind w:firstLine="480"/>
        <w:jc w:val="both"/>
        <w:rPr>
          <w:rFonts w:hint="eastAsia" w:ascii="宋体" w:hAnsi="宋体" w:eastAsia="宋体" w:cs="宋体"/>
        </w:rPr>
      </w:pPr>
    </w:p>
    <w:p w14:paraId="70FA7B2B">
      <w:pPr>
        <w:pStyle w:val="44"/>
        <w:spacing w:beforeAutospacing="0" w:afterAutospacing="0"/>
        <w:ind w:firstLine="480"/>
        <w:jc w:val="both"/>
        <w:rPr>
          <w:rFonts w:hint="eastAsia" w:ascii="宋体" w:hAnsi="宋体" w:eastAsia="宋体" w:cs="宋体"/>
        </w:rPr>
      </w:pPr>
    </w:p>
    <w:p w14:paraId="628652A7">
      <w:pPr>
        <w:pStyle w:val="44"/>
        <w:spacing w:beforeAutospacing="0" w:afterAutospacing="0"/>
        <w:ind w:firstLine="480"/>
        <w:jc w:val="both"/>
        <w:rPr>
          <w:rFonts w:hint="eastAsia" w:ascii="宋体" w:hAnsi="宋体" w:eastAsia="宋体" w:cs="宋体"/>
        </w:rPr>
      </w:pPr>
    </w:p>
    <w:p w14:paraId="49FB02A0">
      <w:pPr>
        <w:pStyle w:val="44"/>
        <w:spacing w:beforeAutospacing="0" w:afterAutospacing="0"/>
        <w:ind w:firstLine="480"/>
        <w:jc w:val="both"/>
        <w:rPr>
          <w:rFonts w:hint="eastAsia" w:ascii="宋体" w:hAnsi="宋体" w:eastAsia="宋体" w:cs="宋体"/>
        </w:rPr>
      </w:pPr>
    </w:p>
    <w:p w14:paraId="0752D3FF">
      <w:pPr>
        <w:pStyle w:val="44"/>
        <w:spacing w:beforeAutospacing="0" w:afterAutospacing="0"/>
        <w:ind w:firstLine="480"/>
        <w:jc w:val="both"/>
        <w:rPr>
          <w:rFonts w:hint="eastAsia" w:ascii="宋体" w:hAnsi="宋体" w:eastAsia="宋体" w:cs="宋体"/>
        </w:rPr>
      </w:pPr>
    </w:p>
    <w:p w14:paraId="1683F62B">
      <w:pPr>
        <w:pStyle w:val="44"/>
        <w:spacing w:beforeAutospacing="0" w:afterAutospacing="0"/>
        <w:ind w:firstLine="480"/>
        <w:jc w:val="both"/>
        <w:rPr>
          <w:rFonts w:hint="eastAsia" w:ascii="宋体" w:hAnsi="宋体" w:eastAsia="宋体" w:cs="宋体"/>
        </w:rPr>
      </w:pPr>
    </w:p>
    <w:p w14:paraId="3897B450">
      <w:pPr>
        <w:pStyle w:val="44"/>
        <w:spacing w:beforeAutospacing="0" w:afterAutospacing="0"/>
        <w:ind w:firstLine="480"/>
        <w:jc w:val="both"/>
        <w:rPr>
          <w:rFonts w:hint="eastAsia" w:ascii="宋体" w:hAnsi="宋体" w:eastAsia="宋体" w:cs="宋体"/>
        </w:rPr>
      </w:pPr>
    </w:p>
    <w:p w14:paraId="50526127">
      <w:pPr>
        <w:pStyle w:val="44"/>
        <w:spacing w:beforeAutospacing="0" w:afterAutospacing="0"/>
        <w:ind w:firstLine="480"/>
        <w:jc w:val="both"/>
        <w:rPr>
          <w:rFonts w:hint="eastAsia" w:ascii="宋体" w:hAnsi="宋体" w:eastAsia="宋体" w:cs="宋体"/>
        </w:rPr>
      </w:pPr>
    </w:p>
    <w:p w14:paraId="6C9C9B36">
      <w:pPr>
        <w:pStyle w:val="44"/>
        <w:spacing w:beforeAutospacing="0" w:afterAutospacing="0"/>
        <w:ind w:firstLine="480"/>
        <w:jc w:val="both"/>
        <w:rPr>
          <w:rFonts w:hint="eastAsia" w:ascii="宋体" w:hAnsi="宋体" w:eastAsia="宋体" w:cs="宋体"/>
        </w:rPr>
      </w:pPr>
    </w:p>
    <w:p w14:paraId="0984D9D8">
      <w:pPr>
        <w:pStyle w:val="44"/>
        <w:spacing w:beforeAutospacing="0" w:afterAutospacing="0"/>
        <w:ind w:firstLine="480"/>
        <w:jc w:val="both"/>
        <w:rPr>
          <w:rFonts w:hint="eastAsia" w:ascii="宋体" w:hAnsi="宋体" w:eastAsia="宋体" w:cs="宋体"/>
        </w:rPr>
      </w:pPr>
    </w:p>
    <w:p w14:paraId="624BEBE4">
      <w:pPr>
        <w:pStyle w:val="44"/>
        <w:spacing w:beforeAutospacing="0" w:afterAutospacing="0"/>
        <w:ind w:firstLine="480"/>
        <w:jc w:val="both"/>
        <w:rPr>
          <w:rFonts w:hint="eastAsia" w:ascii="宋体" w:hAnsi="宋体" w:eastAsia="宋体" w:cs="宋体"/>
        </w:rPr>
      </w:pPr>
    </w:p>
    <w:p w14:paraId="4DE34D69">
      <w:pPr>
        <w:pStyle w:val="44"/>
        <w:spacing w:beforeAutospacing="0" w:afterAutospacing="0"/>
        <w:ind w:firstLine="480"/>
        <w:jc w:val="both"/>
        <w:rPr>
          <w:rFonts w:hint="eastAsia" w:ascii="宋体" w:hAnsi="宋体" w:eastAsia="宋体" w:cs="宋体"/>
        </w:rPr>
      </w:pPr>
    </w:p>
    <w:p w14:paraId="0971FEF6">
      <w:pPr>
        <w:pStyle w:val="44"/>
        <w:spacing w:beforeAutospacing="0" w:afterAutospacing="0"/>
        <w:ind w:firstLine="480"/>
        <w:jc w:val="both"/>
        <w:rPr>
          <w:rFonts w:hint="eastAsia" w:ascii="宋体" w:hAnsi="宋体" w:eastAsia="宋体" w:cs="宋体"/>
        </w:rPr>
      </w:pPr>
      <w:r>
        <w:rPr>
          <w:rFonts w:hint="eastAsia" w:ascii="宋体" w:hAnsi="宋体" w:eastAsia="宋体" w:cs="宋体"/>
        </w:rPr>
        <w:t> </w:t>
      </w:r>
    </w:p>
    <w:p w14:paraId="649BDFF5">
      <w:pPr>
        <w:pStyle w:val="44"/>
        <w:spacing w:beforeAutospacing="0" w:afterAutospacing="0"/>
        <w:ind w:firstLine="480"/>
        <w:jc w:val="both"/>
        <w:rPr>
          <w:rFonts w:hint="eastAsia" w:ascii="宋体" w:hAnsi="宋体" w:eastAsia="宋体" w:cs="宋体"/>
        </w:rPr>
      </w:pPr>
      <w:r>
        <w:rPr>
          <w:rFonts w:hint="eastAsia" w:ascii="宋体" w:hAnsi="宋体" w:eastAsia="宋体" w:cs="宋体"/>
        </w:rPr>
        <w:t> </w:t>
      </w:r>
    </w:p>
    <w:p w14:paraId="610C1331">
      <w:pPr>
        <w:pStyle w:val="44"/>
        <w:spacing w:beforeAutospacing="0" w:afterAutospacing="0"/>
        <w:ind w:firstLine="480"/>
        <w:jc w:val="both"/>
        <w:rPr>
          <w:rFonts w:hint="eastAsia" w:ascii="宋体" w:hAnsi="宋体" w:eastAsia="宋体" w:cs="宋体"/>
        </w:rPr>
      </w:pPr>
      <w:r>
        <w:rPr>
          <w:rFonts w:hint="eastAsia" w:ascii="宋体" w:hAnsi="宋体" w:eastAsia="宋体" w:cs="宋体"/>
        </w:rPr>
        <w:t> </w:t>
      </w:r>
    </w:p>
    <w:p w14:paraId="4691909C">
      <w:pPr>
        <w:pStyle w:val="44"/>
        <w:spacing w:beforeAutospacing="0" w:afterAutospacing="0"/>
        <w:ind w:firstLine="480"/>
        <w:jc w:val="both"/>
        <w:rPr>
          <w:rFonts w:hint="eastAsia" w:ascii="宋体" w:hAnsi="宋体" w:eastAsia="宋体" w:cs="宋体"/>
        </w:rPr>
      </w:pPr>
    </w:p>
    <w:p w14:paraId="2AB4DCC8">
      <w:pPr>
        <w:pStyle w:val="44"/>
        <w:spacing w:beforeAutospacing="0" w:afterAutospacing="0"/>
        <w:ind w:firstLine="480"/>
        <w:jc w:val="both"/>
        <w:rPr>
          <w:rFonts w:hint="eastAsia" w:ascii="宋体" w:hAnsi="宋体" w:eastAsia="宋体" w:cs="宋体"/>
        </w:rPr>
      </w:pPr>
    </w:p>
    <w:p w14:paraId="7C31E1D0">
      <w:pPr>
        <w:widowControl/>
        <w:spacing w:line="499" w:lineRule="atLeast"/>
        <w:ind w:firstLine="1600"/>
        <w:rPr>
          <w:rFonts w:hint="eastAsia" w:ascii="宋体" w:hAnsi="宋体" w:eastAsia="宋体" w:cs="宋体"/>
          <w:sz w:val="24"/>
        </w:rPr>
      </w:pPr>
      <w:r>
        <w:rPr>
          <w:rFonts w:hint="eastAsia" w:ascii="宋体" w:hAnsi="宋体" w:eastAsia="宋体" w:cs="宋体"/>
          <w:color w:val="000000"/>
          <w:sz w:val="32"/>
          <w:szCs w:val="32"/>
        </w:rPr>
        <w:t>十</w:t>
      </w:r>
      <w:r>
        <w:rPr>
          <w:rFonts w:hint="eastAsia" w:ascii="宋体" w:hAnsi="宋体" w:eastAsia="宋体" w:cs="宋体"/>
          <w:color w:val="000000"/>
          <w:sz w:val="32"/>
          <w:szCs w:val="32"/>
          <w:lang w:val="en-US" w:eastAsia="zh-CN"/>
        </w:rPr>
        <w:t>四</w:t>
      </w:r>
      <w:r>
        <w:rPr>
          <w:rFonts w:hint="eastAsia" w:ascii="宋体" w:hAnsi="宋体" w:eastAsia="宋体" w:cs="宋体"/>
          <w:color w:val="000000"/>
          <w:sz w:val="32"/>
          <w:szCs w:val="32"/>
        </w:rPr>
        <w:t>、盐城市政府采购事前信用承诺书</w:t>
      </w:r>
    </w:p>
    <w:p w14:paraId="670B2A1F">
      <w:pPr>
        <w:widowControl/>
        <w:spacing w:line="499" w:lineRule="atLeast"/>
        <w:ind w:firstLine="640"/>
        <w:jc w:val="left"/>
        <w:rPr>
          <w:rFonts w:hint="eastAsia" w:ascii="宋体" w:hAnsi="宋体" w:eastAsia="宋体" w:cs="宋体"/>
          <w:sz w:val="24"/>
        </w:rPr>
      </w:pPr>
      <w:r>
        <w:rPr>
          <w:rFonts w:hint="eastAsia" w:ascii="宋体" w:hAnsi="宋体" w:eastAsia="宋体" w:cs="宋体"/>
          <w:color w:val="000000"/>
          <w:sz w:val="32"/>
          <w:szCs w:val="32"/>
        </w:rPr>
        <w:t> </w:t>
      </w:r>
    </w:p>
    <w:p w14:paraId="1C25ED38">
      <w:pPr>
        <w:widowControl/>
        <w:spacing w:line="499" w:lineRule="atLeast"/>
        <w:ind w:firstLine="480"/>
        <w:jc w:val="left"/>
        <w:rPr>
          <w:rFonts w:hint="eastAsia"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14F47E15">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49F6DB0">
      <w:pPr>
        <w:widowControl/>
        <w:spacing w:line="499" w:lineRule="atLeast"/>
        <w:ind w:firstLine="480"/>
        <w:jc w:val="left"/>
        <w:rPr>
          <w:rFonts w:hint="eastAsia"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7E669E6">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69DD9B1D">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（四）严格遵守即时信息公示规定，及时维护和更新维护和更新盐城市政府采购网中与本单位相关的信息；</w:t>
      </w:r>
    </w:p>
    <w:p w14:paraId="3AF7BAB1">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943E135">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530A00F1">
      <w:pPr>
        <w:widowControl/>
        <w:spacing w:line="499" w:lineRule="atLeast"/>
        <w:ind w:firstLine="480"/>
        <w:jc w:val="left"/>
        <w:rPr>
          <w:rFonts w:hint="eastAsia"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2199EA6">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109DC21B">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                  法定代表人签名：</w:t>
      </w:r>
    </w:p>
    <w:p w14:paraId="158BC9AB">
      <w:pPr>
        <w:widowControl/>
        <w:spacing w:line="499" w:lineRule="atLeast"/>
        <w:jc w:val="center"/>
        <w:rPr>
          <w:rFonts w:hint="eastAsia" w:ascii="宋体" w:hAnsi="宋体" w:eastAsia="宋体" w:cs="宋体"/>
          <w:sz w:val="24"/>
        </w:rPr>
      </w:pPr>
      <w:r>
        <w:rPr>
          <w:rFonts w:hint="eastAsia" w:ascii="宋体" w:hAnsi="宋体" w:eastAsia="宋体" w:cs="宋体"/>
          <w:color w:val="000000"/>
          <w:sz w:val="24"/>
        </w:rPr>
        <w:t>                   单位名称（盖章）：</w:t>
      </w:r>
    </w:p>
    <w:p w14:paraId="3762061B">
      <w:pPr>
        <w:widowControl/>
        <w:spacing w:line="499" w:lineRule="atLeast"/>
        <w:jc w:val="center"/>
        <w:rPr>
          <w:rFonts w:hint="eastAsia" w:ascii="宋体" w:hAnsi="宋体" w:eastAsia="宋体" w:cs="宋体"/>
          <w:sz w:val="24"/>
        </w:rPr>
      </w:pPr>
      <w:r>
        <w:rPr>
          <w:rFonts w:hint="eastAsia" w:ascii="宋体" w:hAnsi="宋体" w:eastAsia="宋体" w:cs="宋体"/>
          <w:color w:val="000000"/>
          <w:sz w:val="24"/>
        </w:rPr>
        <w:t>                      年   月   日</w:t>
      </w:r>
    </w:p>
    <w:p w14:paraId="08BC2925">
      <w:pPr>
        <w:pStyle w:val="44"/>
        <w:spacing w:beforeAutospacing="0" w:afterAutospacing="0"/>
        <w:jc w:val="center"/>
        <w:rPr>
          <w:rFonts w:hint="eastAsia" w:ascii="宋体" w:hAnsi="宋体" w:eastAsia="宋体" w:cs="宋体"/>
          <w:b/>
          <w:color w:val="000000"/>
          <w:sz w:val="32"/>
          <w:szCs w:val="32"/>
        </w:rPr>
      </w:pPr>
    </w:p>
    <w:p w14:paraId="3CD4BDFB">
      <w:pPr>
        <w:pStyle w:val="44"/>
        <w:spacing w:beforeAutospacing="0" w:afterAutospacing="0"/>
        <w:jc w:val="center"/>
        <w:rPr>
          <w:rFonts w:hint="eastAsia" w:ascii="宋体" w:hAnsi="宋体" w:eastAsia="宋体" w:cs="宋体"/>
          <w:b/>
          <w:color w:val="000000"/>
          <w:sz w:val="32"/>
          <w:szCs w:val="32"/>
        </w:rPr>
      </w:pPr>
    </w:p>
    <w:p w14:paraId="25D4C1D4">
      <w:pPr>
        <w:pStyle w:val="44"/>
        <w:spacing w:beforeAutospacing="0" w:afterAutospacing="0"/>
        <w:jc w:val="center"/>
        <w:rPr>
          <w:rFonts w:hint="eastAsia" w:ascii="宋体" w:hAnsi="宋体" w:eastAsia="宋体" w:cs="宋体"/>
          <w:b/>
        </w:rPr>
      </w:pPr>
      <w:r>
        <w:rPr>
          <w:rFonts w:hint="eastAsia" w:ascii="宋体" w:hAnsi="宋体" w:eastAsia="宋体" w:cs="宋体"/>
          <w:b/>
          <w:color w:val="000000"/>
          <w:sz w:val="32"/>
          <w:szCs w:val="32"/>
        </w:rPr>
        <w:t>十</w:t>
      </w:r>
      <w:r>
        <w:rPr>
          <w:rFonts w:hint="eastAsia" w:ascii="宋体" w:hAnsi="宋体" w:eastAsia="宋体" w:cs="宋体"/>
          <w:b/>
          <w:color w:val="000000"/>
          <w:sz w:val="32"/>
          <w:szCs w:val="32"/>
          <w:lang w:val="en-US" w:eastAsia="zh-CN"/>
        </w:rPr>
        <w:t>五</w:t>
      </w:r>
      <w:r>
        <w:rPr>
          <w:rFonts w:hint="eastAsia" w:ascii="宋体" w:hAnsi="宋体" w:eastAsia="宋体" w:cs="宋体"/>
          <w:b/>
          <w:color w:val="000000"/>
          <w:sz w:val="32"/>
          <w:szCs w:val="32"/>
        </w:rPr>
        <w:t>、其他材料（如有）</w:t>
      </w:r>
    </w:p>
    <w:p w14:paraId="62E8AC49">
      <w:pPr>
        <w:pStyle w:val="44"/>
        <w:spacing w:beforeAutospacing="0" w:afterAutospacing="0"/>
        <w:rPr>
          <w:rFonts w:hint="eastAsia" w:ascii="宋体" w:hAnsi="宋体" w:eastAsia="宋体" w:cs="宋体"/>
        </w:rPr>
      </w:pPr>
    </w:p>
    <w:p w14:paraId="1CE0E540">
      <w:pPr>
        <w:pStyle w:val="44"/>
        <w:spacing w:beforeAutospacing="0" w:afterAutospacing="0"/>
        <w:rPr>
          <w:rFonts w:hint="eastAsia" w:ascii="宋体" w:hAnsi="宋体" w:eastAsia="宋体" w:cs="宋体"/>
        </w:rPr>
      </w:pPr>
    </w:p>
    <w:p w14:paraId="7DDA2276">
      <w:pPr>
        <w:pStyle w:val="44"/>
        <w:spacing w:beforeAutospacing="0" w:afterAutospacing="0"/>
        <w:rPr>
          <w:rFonts w:hint="eastAsia" w:ascii="宋体" w:hAnsi="宋体" w:eastAsia="宋体" w:cs="宋体"/>
        </w:rPr>
      </w:pPr>
    </w:p>
    <w:p w14:paraId="24C4D5A6">
      <w:pPr>
        <w:pStyle w:val="44"/>
        <w:spacing w:beforeAutospacing="0" w:afterAutospacing="0"/>
        <w:rPr>
          <w:rFonts w:hint="eastAsia" w:ascii="宋体" w:hAnsi="宋体" w:eastAsia="宋体" w:cs="宋体"/>
        </w:rPr>
      </w:pPr>
    </w:p>
    <w:p w14:paraId="39B05977">
      <w:pPr>
        <w:pStyle w:val="44"/>
        <w:spacing w:beforeAutospacing="0" w:afterAutospacing="0"/>
        <w:rPr>
          <w:rFonts w:hint="eastAsia" w:ascii="宋体" w:hAnsi="宋体" w:eastAsia="宋体" w:cs="宋体"/>
        </w:rPr>
      </w:pPr>
    </w:p>
    <w:p w14:paraId="7D39A754">
      <w:pPr>
        <w:pStyle w:val="44"/>
        <w:spacing w:beforeAutospacing="0" w:afterAutospacing="0"/>
        <w:rPr>
          <w:rFonts w:hint="eastAsia" w:ascii="宋体" w:hAnsi="宋体" w:eastAsia="宋体" w:cs="宋体"/>
        </w:rPr>
      </w:pPr>
    </w:p>
    <w:p w14:paraId="11A99515">
      <w:pPr>
        <w:pStyle w:val="44"/>
        <w:spacing w:beforeAutospacing="0" w:afterAutospacing="0"/>
        <w:rPr>
          <w:rFonts w:hint="eastAsia" w:ascii="宋体" w:hAnsi="宋体" w:eastAsia="宋体" w:cs="宋体"/>
        </w:rPr>
      </w:pPr>
    </w:p>
    <w:p w14:paraId="598524FE">
      <w:pPr>
        <w:pStyle w:val="44"/>
        <w:spacing w:beforeAutospacing="0" w:afterAutospacing="0"/>
        <w:rPr>
          <w:rFonts w:hint="eastAsia" w:ascii="宋体" w:hAnsi="宋体" w:eastAsia="宋体" w:cs="宋体"/>
        </w:rPr>
      </w:pPr>
    </w:p>
    <w:p w14:paraId="6B51A9B5">
      <w:pPr>
        <w:pStyle w:val="44"/>
        <w:spacing w:beforeAutospacing="0" w:afterAutospacing="0"/>
        <w:rPr>
          <w:rFonts w:hint="eastAsia" w:ascii="宋体" w:hAnsi="宋体" w:eastAsia="宋体" w:cs="宋体"/>
        </w:rPr>
      </w:pPr>
    </w:p>
    <w:p w14:paraId="3B3905BA">
      <w:pPr>
        <w:pStyle w:val="44"/>
        <w:spacing w:beforeAutospacing="0" w:afterAutospacing="0"/>
        <w:rPr>
          <w:rFonts w:hint="eastAsia" w:ascii="宋体" w:hAnsi="宋体" w:eastAsia="宋体" w:cs="宋体"/>
        </w:rPr>
      </w:pPr>
    </w:p>
    <w:p w14:paraId="28EBA41F">
      <w:pPr>
        <w:pStyle w:val="44"/>
        <w:spacing w:beforeAutospacing="0" w:afterAutospacing="0"/>
        <w:rPr>
          <w:rFonts w:hint="eastAsia" w:ascii="宋体" w:hAnsi="宋体" w:eastAsia="宋体" w:cs="宋体"/>
        </w:rPr>
      </w:pPr>
    </w:p>
    <w:p w14:paraId="104F930C">
      <w:pPr>
        <w:pStyle w:val="44"/>
        <w:spacing w:beforeAutospacing="0" w:afterAutospacing="0"/>
        <w:rPr>
          <w:rFonts w:hint="eastAsia" w:ascii="宋体" w:hAnsi="宋体" w:eastAsia="宋体" w:cs="宋体"/>
        </w:rPr>
      </w:pPr>
    </w:p>
    <w:p w14:paraId="3577D65E">
      <w:pPr>
        <w:pStyle w:val="44"/>
        <w:spacing w:beforeAutospacing="0" w:afterAutospacing="0"/>
        <w:rPr>
          <w:rFonts w:hint="eastAsia" w:ascii="宋体" w:hAnsi="宋体" w:eastAsia="宋体" w:cs="宋体"/>
        </w:rPr>
      </w:pPr>
    </w:p>
    <w:p w14:paraId="227F6E71">
      <w:pPr>
        <w:pStyle w:val="44"/>
        <w:spacing w:beforeAutospacing="0" w:afterAutospacing="0"/>
        <w:rPr>
          <w:rFonts w:hint="eastAsia" w:ascii="宋体" w:hAnsi="宋体" w:eastAsia="宋体" w:cs="宋体"/>
        </w:rPr>
      </w:pPr>
    </w:p>
    <w:p w14:paraId="369E0503">
      <w:pPr>
        <w:pStyle w:val="44"/>
        <w:spacing w:beforeAutospacing="0" w:afterAutospacing="0"/>
        <w:rPr>
          <w:rFonts w:hint="eastAsia" w:ascii="宋体" w:hAnsi="宋体" w:eastAsia="宋体" w:cs="宋体"/>
        </w:rPr>
      </w:pPr>
    </w:p>
    <w:p w14:paraId="45328415">
      <w:pPr>
        <w:pStyle w:val="44"/>
        <w:spacing w:beforeAutospacing="0" w:afterAutospacing="0"/>
        <w:rPr>
          <w:rFonts w:hint="eastAsia" w:ascii="宋体" w:hAnsi="宋体" w:eastAsia="宋体" w:cs="宋体"/>
        </w:rPr>
      </w:pPr>
    </w:p>
    <w:p w14:paraId="29E78151">
      <w:pPr>
        <w:pStyle w:val="44"/>
        <w:spacing w:beforeAutospacing="0" w:afterAutospacing="0"/>
        <w:rPr>
          <w:rFonts w:hint="eastAsia" w:ascii="宋体" w:hAnsi="宋体" w:eastAsia="宋体" w:cs="宋体"/>
        </w:rPr>
      </w:pPr>
    </w:p>
    <w:p w14:paraId="0EE87233">
      <w:pPr>
        <w:pStyle w:val="44"/>
        <w:spacing w:beforeAutospacing="0" w:afterAutospacing="0"/>
        <w:rPr>
          <w:rFonts w:hint="eastAsia" w:ascii="宋体" w:hAnsi="宋体" w:eastAsia="宋体" w:cs="宋体"/>
        </w:rPr>
      </w:pPr>
    </w:p>
    <w:p w14:paraId="35E5D673">
      <w:pPr>
        <w:pStyle w:val="44"/>
        <w:spacing w:beforeAutospacing="0" w:afterAutospacing="0"/>
        <w:rPr>
          <w:rFonts w:hint="eastAsia" w:ascii="宋体" w:hAnsi="宋体" w:eastAsia="宋体" w:cs="宋体"/>
        </w:rPr>
      </w:pPr>
    </w:p>
    <w:p w14:paraId="63AA05B2">
      <w:pPr>
        <w:pStyle w:val="44"/>
        <w:spacing w:beforeAutospacing="0" w:afterAutospacing="0"/>
        <w:rPr>
          <w:rFonts w:hint="eastAsia" w:ascii="宋体" w:hAnsi="宋体" w:eastAsia="宋体" w:cs="宋体"/>
        </w:rPr>
      </w:pPr>
    </w:p>
    <w:p w14:paraId="1159BDA6">
      <w:pPr>
        <w:pStyle w:val="44"/>
        <w:spacing w:beforeAutospacing="0" w:afterAutospacing="0"/>
        <w:rPr>
          <w:rFonts w:hint="eastAsia" w:ascii="宋体" w:hAnsi="宋体" w:eastAsia="宋体" w:cs="宋体"/>
        </w:rPr>
      </w:pPr>
    </w:p>
    <w:p w14:paraId="5BEB1CF4">
      <w:pPr>
        <w:pStyle w:val="44"/>
        <w:spacing w:beforeAutospacing="0" w:afterAutospacing="0"/>
        <w:rPr>
          <w:rFonts w:hint="eastAsia" w:ascii="宋体" w:hAnsi="宋体" w:eastAsia="宋体" w:cs="宋体"/>
        </w:rPr>
      </w:pPr>
    </w:p>
    <w:p w14:paraId="438EB91C">
      <w:pPr>
        <w:pStyle w:val="44"/>
        <w:spacing w:beforeAutospacing="0" w:afterAutospacing="0"/>
        <w:rPr>
          <w:rFonts w:hint="eastAsia" w:ascii="宋体" w:hAnsi="宋体" w:eastAsia="宋体" w:cs="宋体"/>
        </w:rPr>
      </w:pPr>
    </w:p>
    <w:p w14:paraId="13FD2418">
      <w:pPr>
        <w:pStyle w:val="44"/>
        <w:spacing w:beforeAutospacing="0" w:afterAutospacing="0"/>
        <w:rPr>
          <w:rFonts w:hint="eastAsia" w:ascii="宋体" w:hAnsi="宋体" w:eastAsia="宋体" w:cs="宋体"/>
        </w:rPr>
      </w:pPr>
    </w:p>
    <w:p w14:paraId="4C5161CB">
      <w:pPr>
        <w:pStyle w:val="44"/>
        <w:spacing w:beforeAutospacing="0" w:afterAutospacing="0"/>
        <w:rPr>
          <w:rFonts w:hint="eastAsia" w:ascii="宋体" w:hAnsi="宋体" w:eastAsia="宋体" w:cs="宋体"/>
        </w:rPr>
      </w:pPr>
    </w:p>
    <w:p w14:paraId="3A7C80C8">
      <w:pPr>
        <w:pStyle w:val="44"/>
        <w:spacing w:beforeAutospacing="0" w:afterAutospacing="0"/>
        <w:rPr>
          <w:rFonts w:hint="eastAsia" w:ascii="宋体" w:hAnsi="宋体" w:eastAsia="宋体" w:cs="宋体"/>
        </w:rPr>
      </w:pPr>
    </w:p>
    <w:p w14:paraId="3A9BB55E">
      <w:pPr>
        <w:pStyle w:val="44"/>
        <w:spacing w:beforeAutospacing="0" w:afterAutospacing="0"/>
        <w:rPr>
          <w:rFonts w:hint="eastAsia" w:ascii="宋体" w:hAnsi="宋体" w:eastAsia="宋体" w:cs="宋体"/>
        </w:rPr>
      </w:pPr>
    </w:p>
    <w:p w14:paraId="2833C163">
      <w:pPr>
        <w:pStyle w:val="44"/>
        <w:spacing w:beforeAutospacing="0" w:afterAutospacing="0"/>
        <w:rPr>
          <w:rFonts w:hint="eastAsia" w:ascii="宋体" w:hAnsi="宋体" w:eastAsia="宋体" w:cs="宋体"/>
        </w:rPr>
      </w:pPr>
    </w:p>
    <w:p w14:paraId="7644FA7A">
      <w:pPr>
        <w:pStyle w:val="44"/>
        <w:spacing w:beforeAutospacing="0" w:afterAutospacing="0"/>
        <w:rPr>
          <w:rFonts w:hint="eastAsia" w:ascii="宋体" w:hAnsi="宋体" w:eastAsia="宋体" w:cs="宋体"/>
        </w:rPr>
      </w:pPr>
    </w:p>
    <w:p w14:paraId="4CE9E7A7">
      <w:pPr>
        <w:pStyle w:val="44"/>
        <w:spacing w:beforeAutospacing="0" w:afterAutospacing="0"/>
        <w:rPr>
          <w:rFonts w:hint="eastAsia" w:ascii="宋体" w:hAnsi="宋体" w:eastAsia="宋体" w:cs="宋体"/>
        </w:rPr>
      </w:pPr>
    </w:p>
    <w:p w14:paraId="6B81EC9F">
      <w:pPr>
        <w:pStyle w:val="44"/>
        <w:spacing w:beforeAutospacing="0" w:afterAutospacing="0"/>
        <w:rPr>
          <w:rFonts w:hint="eastAsia" w:ascii="宋体" w:hAnsi="宋体" w:eastAsia="宋体" w:cs="宋体"/>
        </w:rPr>
      </w:pPr>
    </w:p>
    <w:p w14:paraId="26DA6CFF">
      <w:pPr>
        <w:pStyle w:val="44"/>
        <w:spacing w:beforeAutospacing="0" w:afterAutospacing="0"/>
        <w:rPr>
          <w:rFonts w:hint="eastAsia" w:ascii="宋体" w:hAnsi="宋体" w:eastAsia="宋体" w:cs="宋体"/>
        </w:rPr>
      </w:pPr>
    </w:p>
    <w:p w14:paraId="21B91843">
      <w:pPr>
        <w:pStyle w:val="44"/>
        <w:spacing w:beforeAutospacing="0" w:afterAutospacing="0"/>
        <w:rPr>
          <w:rFonts w:hint="eastAsia" w:ascii="宋体" w:hAnsi="宋体" w:eastAsia="宋体" w:cs="宋体"/>
        </w:rPr>
      </w:pPr>
    </w:p>
    <w:p w14:paraId="1454331F">
      <w:pPr>
        <w:pStyle w:val="44"/>
        <w:spacing w:beforeAutospacing="0" w:afterAutospacing="0"/>
        <w:rPr>
          <w:rFonts w:hint="eastAsia" w:ascii="宋体" w:hAnsi="宋体" w:eastAsia="宋体" w:cs="宋体"/>
        </w:rPr>
      </w:pPr>
    </w:p>
    <w:p w14:paraId="37792673">
      <w:pPr>
        <w:pStyle w:val="44"/>
        <w:spacing w:beforeAutospacing="0" w:afterAutospacing="0"/>
        <w:rPr>
          <w:rFonts w:hint="eastAsia" w:ascii="宋体" w:hAnsi="宋体" w:eastAsia="宋体" w:cs="宋体"/>
        </w:rPr>
      </w:pPr>
    </w:p>
    <w:p w14:paraId="47F3F824">
      <w:pPr>
        <w:pStyle w:val="44"/>
        <w:spacing w:beforeAutospacing="0" w:afterAutospacing="0"/>
        <w:rPr>
          <w:rFonts w:hint="eastAsia" w:ascii="宋体" w:hAnsi="宋体" w:eastAsia="宋体" w:cs="宋体"/>
        </w:rPr>
      </w:pPr>
    </w:p>
    <w:p w14:paraId="5FA483A3">
      <w:pPr>
        <w:pStyle w:val="44"/>
        <w:spacing w:beforeAutospacing="0" w:afterAutospacing="0"/>
        <w:rPr>
          <w:rFonts w:hint="eastAsia" w:ascii="宋体" w:hAnsi="宋体" w:eastAsia="宋体" w:cs="宋体"/>
        </w:rPr>
      </w:pPr>
    </w:p>
    <w:p w14:paraId="0AA5A642">
      <w:pPr>
        <w:pStyle w:val="44"/>
        <w:spacing w:beforeAutospacing="0" w:afterAutospacing="0"/>
        <w:rPr>
          <w:rFonts w:hint="eastAsia" w:ascii="宋体" w:hAnsi="宋体" w:eastAsia="宋体" w:cs="宋体"/>
        </w:rPr>
      </w:pPr>
    </w:p>
    <w:p w14:paraId="4D08C303">
      <w:pPr>
        <w:pStyle w:val="44"/>
        <w:spacing w:beforeAutospacing="0" w:afterAutospacing="0"/>
        <w:rPr>
          <w:rFonts w:hint="eastAsia" w:ascii="宋体" w:hAnsi="宋体" w:eastAsia="宋体" w:cs="宋体"/>
        </w:rPr>
      </w:pPr>
    </w:p>
    <w:p w14:paraId="6B3E1E5E">
      <w:pPr>
        <w:pStyle w:val="44"/>
        <w:spacing w:beforeAutospacing="0" w:afterAutospacing="0"/>
        <w:rPr>
          <w:rFonts w:hint="eastAsia" w:ascii="宋体" w:hAnsi="宋体" w:eastAsia="宋体" w:cs="宋体"/>
        </w:rPr>
      </w:pPr>
    </w:p>
    <w:p w14:paraId="15D2BE5A">
      <w:pPr>
        <w:pStyle w:val="44"/>
        <w:spacing w:beforeAutospacing="0" w:afterAutospacing="0"/>
        <w:rPr>
          <w:rFonts w:hint="eastAsia" w:ascii="宋体" w:hAnsi="宋体" w:eastAsia="宋体" w:cs="宋体"/>
        </w:rPr>
      </w:pPr>
    </w:p>
    <w:bookmarkEnd w:id="181"/>
    <w:bookmarkEnd w:id="182"/>
    <w:bookmarkEnd w:id="183"/>
    <w:bookmarkEnd w:id="184"/>
    <w:bookmarkEnd w:id="185"/>
    <w:bookmarkEnd w:id="194"/>
    <w:bookmarkEnd w:id="195"/>
    <w:bookmarkEnd w:id="196"/>
    <w:bookmarkEnd w:id="197"/>
    <w:bookmarkEnd w:id="198"/>
    <w:p w14:paraId="487A6FDC">
      <w:pPr>
        <w:pStyle w:val="44"/>
        <w:spacing w:beforeAutospacing="0" w:afterAutospacing="0"/>
        <w:rPr>
          <w:rFonts w:hint="eastAsia" w:ascii="宋体" w:hAnsi="宋体" w:eastAsia="宋体" w:cs="宋体"/>
        </w:rPr>
      </w:pPr>
    </w:p>
    <w:p w14:paraId="408CD2AD">
      <w:pPr>
        <w:pStyle w:val="44"/>
        <w:spacing w:beforeAutospacing="0" w:afterAutospacing="0"/>
        <w:rPr>
          <w:rFonts w:hint="eastAsia" w:ascii="宋体" w:hAnsi="宋体" w:eastAsia="宋体" w:cs="宋体"/>
        </w:rPr>
      </w:pPr>
    </w:p>
    <w:p w14:paraId="490D4360">
      <w:pPr>
        <w:pStyle w:val="44"/>
        <w:spacing w:beforeAutospacing="0" w:afterAutospacing="0"/>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质疑函范本</w:t>
      </w:r>
    </w:p>
    <w:p w14:paraId="1A165C12">
      <w:pPr>
        <w:pStyle w:val="44"/>
        <w:spacing w:before="290" w:beforeAutospacing="0" w:afterAutospacing="0" w:line="360" w:lineRule="auto"/>
        <w:jc w:val="both"/>
        <w:rPr>
          <w:rFonts w:hint="eastAsia" w:ascii="宋体" w:hAnsi="宋体" w:eastAsia="宋体" w:cs="宋体"/>
        </w:rPr>
      </w:pPr>
      <w:r>
        <w:rPr>
          <w:rFonts w:hint="eastAsia" w:ascii="宋体" w:hAnsi="宋体" w:eastAsia="宋体" w:cs="宋体"/>
          <w:color w:val="000000"/>
        </w:rPr>
        <w:t>一、质疑供应商基本信息</w:t>
      </w:r>
    </w:p>
    <w:p w14:paraId="1078FCF6">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A5235E5">
      <w:pPr>
        <w:pStyle w:val="44"/>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47385987">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1815C74">
      <w:pPr>
        <w:pStyle w:val="44"/>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BFE4203">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6B01EB0C">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3ABE589">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ACEA087">
      <w:pPr>
        <w:pStyle w:val="44"/>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5CB9EECD">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22BDACCD">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二、质疑项目基本情况</w:t>
      </w:r>
    </w:p>
    <w:p w14:paraId="4AC39F0C">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19BDC013">
      <w:pPr>
        <w:pStyle w:val="44"/>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2AC04B2C">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79FEB724">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2BE1730F">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xml:space="preserve">                             </w:t>
      </w:r>
    </w:p>
    <w:p w14:paraId="38C527C0">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三、质疑事项具体内容</w:t>
      </w:r>
    </w:p>
    <w:p w14:paraId="277E98A1">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4268BC8B">
      <w:pPr>
        <w:pStyle w:val="44"/>
        <w:spacing w:beforeAutospacing="0" w:afterAutospacing="0" w:line="360" w:lineRule="auto"/>
        <w:rPr>
          <w:rFonts w:hint="eastAsia"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0530CDF4">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0EC071EE">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质疑事项2</w:t>
      </w:r>
    </w:p>
    <w:p w14:paraId="1BB1D9F0">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w:t>
      </w:r>
    </w:p>
    <w:p w14:paraId="505D6CE4">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四、与质疑事项相关的质疑请求</w:t>
      </w:r>
    </w:p>
    <w:p w14:paraId="7FE650ED">
      <w:pPr>
        <w:pStyle w:val="44"/>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44CB3330">
      <w:pPr>
        <w:pStyle w:val="44"/>
        <w:spacing w:beforeAutospacing="0" w:afterAutospacing="0"/>
        <w:jc w:val="both"/>
        <w:rPr>
          <w:rFonts w:hint="eastAsia" w:ascii="宋体" w:hAnsi="宋体" w:eastAsia="宋体" w:cs="宋体"/>
        </w:rPr>
      </w:pPr>
      <w:r>
        <w:rPr>
          <w:rFonts w:hint="eastAsia" w:ascii="宋体" w:hAnsi="宋体" w:eastAsia="宋体" w:cs="宋体"/>
          <w:color w:val="000000"/>
        </w:rPr>
        <w:t xml:space="preserve">签字(签章)：                 公章：               日期：    </w:t>
      </w:r>
    </w:p>
    <w:p w14:paraId="7CBA3B45">
      <w:pPr>
        <w:pStyle w:val="44"/>
        <w:spacing w:beforeAutospacing="0" w:afterAutospacing="0" w:line="0" w:lineRule="atLeast"/>
        <w:jc w:val="both"/>
        <w:rPr>
          <w:rFonts w:hint="eastAsia" w:ascii="宋体" w:hAnsi="宋体" w:eastAsia="宋体" w:cs="宋体"/>
        </w:rPr>
      </w:pPr>
      <w:r>
        <w:rPr>
          <w:rFonts w:hint="eastAsia" w:ascii="宋体" w:hAnsi="宋体" w:eastAsia="宋体" w:cs="宋体"/>
          <w:b/>
          <w:color w:val="000000"/>
        </w:rPr>
        <w:t>质疑函制作说明：</w:t>
      </w:r>
    </w:p>
    <w:p w14:paraId="1F87FCCF">
      <w:pPr>
        <w:pStyle w:val="44"/>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1.供应商提出质疑时，应提交质疑函和必要的证明材料。</w:t>
      </w:r>
    </w:p>
    <w:p w14:paraId="79C2BB9D">
      <w:pPr>
        <w:pStyle w:val="44"/>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B2E3E06">
      <w:pPr>
        <w:pStyle w:val="44"/>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5D5EFE22">
      <w:pPr>
        <w:pStyle w:val="44"/>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4.质疑函的质疑事项应具体、明确，并有必要的事实依据和法律依据。</w:t>
      </w:r>
    </w:p>
    <w:p w14:paraId="32BA47C2">
      <w:pPr>
        <w:pStyle w:val="44"/>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5.质疑函的质疑请求应与质疑事项相关。</w:t>
      </w:r>
    </w:p>
    <w:p w14:paraId="4C0EA51B">
      <w:pPr>
        <w:pStyle w:val="44"/>
        <w:widowControl/>
        <w:spacing w:beforeAutospacing="0" w:afterAutospacing="0" w:line="0" w:lineRule="atLeast"/>
        <w:ind w:firstLine="480"/>
        <w:rPr>
          <w:rFonts w:hint="eastAsia"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65DBABCB">
      <w:pPr>
        <w:pStyle w:val="44"/>
        <w:spacing w:beforeAutospacing="0" w:afterAutospacing="0" w:line="0" w:lineRule="atLeast"/>
        <w:jc w:val="center"/>
        <w:rPr>
          <w:rFonts w:hint="eastAsia" w:ascii="宋体" w:hAnsi="宋体" w:eastAsia="宋体" w:cs="宋体"/>
        </w:rPr>
      </w:pPr>
    </w:p>
    <w:sectPr>
      <w:footerReference r:id="rId3" w:type="default"/>
      <w:pgSz w:w="11906" w:h="16838"/>
      <w:pgMar w:top="1440" w:right="1266" w:bottom="1440" w:left="1600" w:header="851" w:footer="992" w:gutter="0"/>
      <w:pgBorders>
        <w:top w:val="none" w:sz="0" w:space="0"/>
        <w:left w:val="none" w:sz="0" w:space="0"/>
        <w:bottom w:val="none" w:sz="0" w:space="0"/>
        <w:right w:val="none" w:sz="0" w:space="0"/>
      </w:pgBorders>
      <w:pgNumType w:fmt="decimal"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auto"/>
    <w:pitch w:val="default"/>
    <w:sig w:usb0="800001E3" w:usb1="1200FFEF" w:usb2="00040000" w:usb3="04000000" w:csb0="00000001" w:csb1="4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AA86C">
    <w:pPr>
      <w:pStyle w:val="3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45E20">
                          <w:pPr>
                            <w:pStyle w:val="3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68B45E20">
                    <w:pPr>
                      <w:pStyle w:val="32"/>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7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2">
    <w:nsid w:val="464AAC23"/>
    <w:multiLevelType w:val="singleLevel"/>
    <w:tmpl w:val="464AAC23"/>
    <w:lvl w:ilvl="0" w:tentative="0">
      <w:start w:val="1"/>
      <w:numFmt w:val="chineseCounting"/>
      <w:suff w:val="nothing"/>
      <w:lvlText w:val="%1、"/>
      <w:lvlJc w:val="left"/>
      <w:rPr>
        <w:rFonts w:hint="eastAsia"/>
      </w:rPr>
    </w:lvl>
  </w:abstractNum>
  <w:abstractNum w:abstractNumId="3">
    <w:nsid w:val="4A030C16"/>
    <w:multiLevelType w:val="singleLevel"/>
    <w:tmpl w:val="4A030C16"/>
    <w:lvl w:ilvl="0" w:tentative="0">
      <w:start w:val="2"/>
      <w:numFmt w:val="decimal"/>
      <w:lvlText w:val="%1."/>
      <w:lvlJc w:val="left"/>
      <w:pPr>
        <w:tabs>
          <w:tab w:val="left" w:pos="312"/>
        </w:tabs>
      </w:pPr>
    </w:lvl>
  </w:abstractNum>
  <w:abstractNum w:abstractNumId="4">
    <w:nsid w:val="59ADCABA"/>
    <w:multiLevelType w:val="multilevel"/>
    <w:tmpl w:val="59ADCABA"/>
    <w:lvl w:ilvl="0" w:tentative="0">
      <w:start w:val="1"/>
      <w:numFmt w:val="decimal"/>
      <w:pStyle w:val="28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5YWZkMmI5MGFkY2U2ZjQ4Y2E5ODk2Mzg4ZDdmYTUifQ=="/>
  </w:docVars>
  <w:rsids>
    <w:rsidRoot w:val="00000000"/>
    <w:rsid w:val="005F65CD"/>
    <w:rsid w:val="018A1427"/>
    <w:rsid w:val="01ED4312"/>
    <w:rsid w:val="032A4C70"/>
    <w:rsid w:val="05BE78F1"/>
    <w:rsid w:val="05D84E57"/>
    <w:rsid w:val="06053772"/>
    <w:rsid w:val="078B24C0"/>
    <w:rsid w:val="0B2B3C7B"/>
    <w:rsid w:val="10802373"/>
    <w:rsid w:val="10FB37AB"/>
    <w:rsid w:val="111725AC"/>
    <w:rsid w:val="1166107A"/>
    <w:rsid w:val="12301B77"/>
    <w:rsid w:val="14236AF5"/>
    <w:rsid w:val="146124BC"/>
    <w:rsid w:val="16832BBD"/>
    <w:rsid w:val="19566367"/>
    <w:rsid w:val="19C07C84"/>
    <w:rsid w:val="1BAF6202"/>
    <w:rsid w:val="20FD79C8"/>
    <w:rsid w:val="25AF5E9D"/>
    <w:rsid w:val="27914A0E"/>
    <w:rsid w:val="2B2636BF"/>
    <w:rsid w:val="2DC7118A"/>
    <w:rsid w:val="31053DAD"/>
    <w:rsid w:val="325D3E6B"/>
    <w:rsid w:val="344F3C87"/>
    <w:rsid w:val="348B29AD"/>
    <w:rsid w:val="34F31199"/>
    <w:rsid w:val="357F2005"/>
    <w:rsid w:val="363A296F"/>
    <w:rsid w:val="3A2C7423"/>
    <w:rsid w:val="3BC16B8D"/>
    <w:rsid w:val="3F0B4016"/>
    <w:rsid w:val="41EF0857"/>
    <w:rsid w:val="43000F6E"/>
    <w:rsid w:val="4530540F"/>
    <w:rsid w:val="45FF4460"/>
    <w:rsid w:val="4B01195E"/>
    <w:rsid w:val="4B321EE0"/>
    <w:rsid w:val="4B3D0608"/>
    <w:rsid w:val="515E0C76"/>
    <w:rsid w:val="521F2A93"/>
    <w:rsid w:val="587E5D39"/>
    <w:rsid w:val="5932754F"/>
    <w:rsid w:val="5F803EA4"/>
    <w:rsid w:val="62363AAF"/>
    <w:rsid w:val="63CD67F3"/>
    <w:rsid w:val="663A29F4"/>
    <w:rsid w:val="66A11C31"/>
    <w:rsid w:val="67277FC8"/>
    <w:rsid w:val="68936B49"/>
    <w:rsid w:val="68A1311C"/>
    <w:rsid w:val="68D20407"/>
    <w:rsid w:val="6B710E0B"/>
    <w:rsid w:val="70001CFE"/>
    <w:rsid w:val="722515A8"/>
    <w:rsid w:val="73C1148A"/>
    <w:rsid w:val="773B057D"/>
    <w:rsid w:val="792B1DBD"/>
    <w:rsid w:val="7C1C3364"/>
    <w:rsid w:val="7C6D42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rPr>
  </w:style>
  <w:style w:type="paragraph" w:styleId="2">
    <w:name w:val="heading 1"/>
    <w:basedOn w:val="1"/>
    <w:next w:val="1"/>
    <w:link w:val="88"/>
    <w:qFormat/>
    <w:uiPriority w:val="0"/>
    <w:pPr>
      <w:keepNext/>
      <w:jc w:val="center"/>
      <w:outlineLvl w:val="0"/>
    </w:pPr>
    <w:rPr>
      <w:rFonts w:ascii="楷体_GB2312" w:hAnsi="Times New Roman" w:eastAsia="楷体_GB2312" w:cs="Times New Roman"/>
      <w:sz w:val="28"/>
      <w:szCs w:val="28"/>
      <w:lang w:eastAsia="en-US"/>
    </w:rPr>
  </w:style>
  <w:style w:type="paragraph" w:styleId="3">
    <w:name w:val="heading 2"/>
    <w:basedOn w:val="1"/>
    <w:next w:val="1"/>
    <w:link w:val="100"/>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5"/>
    <w:link w:val="97"/>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6">
    <w:name w:val="heading 4"/>
    <w:basedOn w:val="1"/>
    <w:next w:val="1"/>
    <w:link w:val="90"/>
    <w:qFormat/>
    <w:uiPriority w:val="0"/>
    <w:pPr>
      <w:keepNext/>
      <w:keepLines/>
      <w:spacing w:before="280" w:after="290" w:line="376" w:lineRule="auto"/>
      <w:outlineLvl w:val="3"/>
    </w:pPr>
    <w:rPr>
      <w:rFonts w:ascii="Arial" w:hAnsi="Arial" w:eastAsia="黑体" w:cs="Times New Roman"/>
      <w:b/>
      <w:bCs/>
      <w:sz w:val="28"/>
      <w:szCs w:val="28"/>
      <w:lang w:eastAsia="en-US"/>
    </w:rPr>
  </w:style>
  <w:style w:type="paragraph" w:styleId="7">
    <w:name w:val="heading 5"/>
    <w:basedOn w:val="1"/>
    <w:next w:val="5"/>
    <w:link w:val="91"/>
    <w:qFormat/>
    <w:uiPriority w:val="0"/>
    <w:pPr>
      <w:keepNext/>
      <w:outlineLvl w:val="4"/>
    </w:pPr>
    <w:rPr>
      <w:rFonts w:ascii="宋体" w:hAnsi="Times New Roman" w:eastAsia="宋体" w:cs="Times New Roman"/>
      <w:color w:val="000000"/>
      <w:sz w:val="28"/>
      <w:szCs w:val="28"/>
      <w:lang w:eastAsia="en-US"/>
    </w:rPr>
  </w:style>
  <w:style w:type="paragraph" w:styleId="8">
    <w:name w:val="heading 6"/>
    <w:basedOn w:val="1"/>
    <w:next w:val="1"/>
    <w:link w:val="92"/>
    <w:qFormat/>
    <w:uiPriority w:val="0"/>
    <w:pPr>
      <w:keepNext/>
      <w:keepLines/>
      <w:numPr>
        <w:ilvl w:val="5"/>
        <w:numId w:val="1"/>
      </w:numPr>
      <w:spacing w:before="240" w:after="64" w:line="320" w:lineRule="auto"/>
      <w:outlineLvl w:val="5"/>
    </w:pPr>
    <w:rPr>
      <w:rFonts w:ascii="Arial" w:hAnsi="Arial" w:eastAsia="黑体" w:cs="Times New Roman"/>
      <w:b/>
      <w:bCs/>
      <w:sz w:val="24"/>
      <w:lang w:eastAsia="en-US"/>
    </w:rPr>
  </w:style>
  <w:style w:type="paragraph" w:styleId="9">
    <w:name w:val="heading 7"/>
    <w:basedOn w:val="1"/>
    <w:next w:val="1"/>
    <w:link w:val="93"/>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lang w:eastAsia="en-US"/>
    </w:rPr>
  </w:style>
  <w:style w:type="paragraph" w:styleId="10">
    <w:name w:val="heading 8"/>
    <w:basedOn w:val="1"/>
    <w:next w:val="1"/>
    <w:link w:val="94"/>
    <w:qFormat/>
    <w:uiPriority w:val="0"/>
    <w:pPr>
      <w:keepNext/>
      <w:keepLines/>
      <w:numPr>
        <w:ilvl w:val="7"/>
        <w:numId w:val="1"/>
      </w:numPr>
      <w:spacing w:before="240" w:after="64" w:line="320" w:lineRule="auto"/>
      <w:outlineLvl w:val="7"/>
    </w:pPr>
    <w:rPr>
      <w:rFonts w:ascii="Arial" w:hAnsi="Arial" w:eastAsia="黑体" w:cs="Times New Roman"/>
      <w:sz w:val="24"/>
      <w:lang w:eastAsia="en-US"/>
    </w:rPr>
  </w:style>
  <w:style w:type="paragraph" w:styleId="11">
    <w:name w:val="heading 9"/>
    <w:basedOn w:val="1"/>
    <w:next w:val="1"/>
    <w:link w:val="95"/>
    <w:qFormat/>
    <w:uiPriority w:val="0"/>
    <w:pPr>
      <w:keepNext/>
      <w:keepLines/>
      <w:numPr>
        <w:ilvl w:val="8"/>
        <w:numId w:val="1"/>
      </w:numPr>
      <w:spacing w:before="240" w:after="64" w:line="320" w:lineRule="auto"/>
      <w:outlineLvl w:val="8"/>
    </w:pPr>
    <w:rPr>
      <w:rFonts w:ascii="Arial" w:hAnsi="Arial" w:eastAsia="黑体" w:cs="Times New Roman"/>
      <w:szCs w:val="21"/>
      <w:lang w:eastAsia="en-US"/>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48"/>
    <w:qFormat/>
    <w:uiPriority w:val="0"/>
    <w:pPr>
      <w:ind w:firstLine="420"/>
    </w:pPr>
  </w:style>
  <w:style w:type="paragraph" w:styleId="12">
    <w:name w:val="List 3"/>
    <w:basedOn w:val="1"/>
    <w:qFormat/>
    <w:uiPriority w:val="0"/>
    <w:pPr>
      <w:ind w:left="100" w:hanging="200"/>
    </w:pPr>
    <w:rPr>
      <w:rFonts w:ascii="Times New Roman" w:hAnsi="Times New Roman" w:eastAsia="宋体" w:cs="Times New Roman"/>
      <w:szCs w:val="21"/>
    </w:rPr>
  </w:style>
  <w:style w:type="paragraph" w:styleId="13">
    <w:name w:val="toc 7"/>
    <w:basedOn w:val="1"/>
    <w:next w:val="1"/>
    <w:qFormat/>
    <w:uiPriority w:val="0"/>
    <w:pPr>
      <w:ind w:left="1260"/>
      <w:jc w:val="left"/>
    </w:pPr>
    <w:rPr>
      <w:rFonts w:ascii="Times New Roman" w:hAnsi="Times New Roman" w:eastAsia="宋体" w:cs="Times New Roman"/>
      <w:szCs w:val="21"/>
    </w:rPr>
  </w:style>
  <w:style w:type="paragraph" w:styleId="14">
    <w:name w:val="caption"/>
    <w:basedOn w:val="1"/>
    <w:next w:val="1"/>
    <w:semiHidden/>
    <w:unhideWhenUsed/>
    <w:qFormat/>
    <w:uiPriority w:val="35"/>
    <w:pPr>
      <w:spacing w:line="276" w:lineRule="auto"/>
    </w:pPr>
    <w:rPr>
      <w:rFonts w:ascii="Times New Roman" w:hAnsi="Times New Roman" w:eastAsia="宋体" w:cs="Times New Roman"/>
      <w:b/>
      <w:bCs/>
      <w:color w:val="5B9BD5" w:themeColor="accent1"/>
      <w:sz w:val="18"/>
      <w:szCs w:val="18"/>
      <w14:textFill>
        <w14:solidFill>
          <w14:schemeClr w14:val="accent1"/>
        </w14:solidFill>
      </w14:textFill>
    </w:rPr>
  </w:style>
  <w:style w:type="paragraph" w:styleId="15">
    <w:name w:val="Document Map"/>
    <w:basedOn w:val="1"/>
    <w:link w:val="250"/>
    <w:qFormat/>
    <w:uiPriority w:val="0"/>
    <w:pPr>
      <w:shd w:val="clear" w:color="auto" w:fill="000080"/>
    </w:pPr>
    <w:rPr>
      <w:rFonts w:ascii="Times New Roman" w:hAnsi="Times New Roman" w:eastAsia="宋体" w:cs="Times New Roman"/>
      <w:szCs w:val="21"/>
    </w:rPr>
  </w:style>
  <w:style w:type="paragraph" w:styleId="16">
    <w:name w:val="annotation text"/>
    <w:basedOn w:val="1"/>
    <w:link w:val="251"/>
    <w:qFormat/>
    <w:uiPriority w:val="0"/>
    <w:pPr>
      <w:jc w:val="left"/>
    </w:pPr>
    <w:rPr>
      <w:rFonts w:ascii="Times New Roman" w:hAnsi="Times New Roman" w:eastAsia="宋体" w:cs="Times New Roman"/>
      <w:szCs w:val="21"/>
      <w:lang w:eastAsia="en-US"/>
    </w:rPr>
  </w:style>
  <w:style w:type="paragraph" w:styleId="17">
    <w:name w:val="Body Text 3"/>
    <w:basedOn w:val="1"/>
    <w:link w:val="252"/>
    <w:qFormat/>
    <w:uiPriority w:val="0"/>
    <w:rPr>
      <w:rFonts w:ascii="仿宋_GB2312" w:hAnsi="Arial" w:eastAsia="仿宋_GB2312" w:cs="Times New Roman"/>
      <w:sz w:val="32"/>
      <w:szCs w:val="32"/>
      <w:lang w:eastAsia="en-US"/>
    </w:rPr>
  </w:style>
  <w:style w:type="paragraph" w:styleId="18">
    <w:name w:val="Body Text"/>
    <w:basedOn w:val="1"/>
    <w:next w:val="19"/>
    <w:link w:val="253"/>
    <w:qFormat/>
    <w:uiPriority w:val="0"/>
    <w:rPr>
      <w:rFonts w:ascii="楷体_GB2312" w:hAnsi="Arial" w:eastAsia="楷体_GB2312" w:cs="Times New Roman"/>
      <w:sz w:val="28"/>
      <w:szCs w:val="28"/>
      <w:lang w:eastAsia="en-US"/>
    </w:rPr>
  </w:style>
  <w:style w:type="paragraph" w:styleId="19">
    <w:name w:val="toc 2"/>
    <w:basedOn w:val="1"/>
    <w:next w:val="1"/>
    <w:qFormat/>
    <w:uiPriority w:val="0"/>
    <w:pPr>
      <w:ind w:left="210"/>
      <w:jc w:val="left"/>
    </w:pPr>
    <w:rPr>
      <w:rFonts w:ascii="Times New Roman" w:hAnsi="Times New Roman" w:eastAsia="宋体" w:cs="Times New Roman"/>
      <w:smallCaps/>
    </w:rPr>
  </w:style>
  <w:style w:type="paragraph" w:styleId="20">
    <w:name w:val="Body Text Indent"/>
    <w:basedOn w:val="1"/>
    <w:next w:val="21"/>
    <w:link w:val="254"/>
    <w:qFormat/>
    <w:uiPriority w:val="0"/>
    <w:pPr>
      <w:ind w:firstLine="645"/>
    </w:pPr>
    <w:rPr>
      <w:rFonts w:ascii="楷体_GB2312" w:hAnsi="Times New Roman" w:eastAsia="楷体_GB2312" w:cs="Times New Roman"/>
      <w:sz w:val="32"/>
      <w:szCs w:val="32"/>
      <w:lang w:eastAsia="en-US"/>
    </w:rPr>
  </w:style>
  <w:style w:type="paragraph" w:styleId="21">
    <w:name w:val="envelope return"/>
    <w:basedOn w:val="1"/>
    <w:qFormat/>
    <w:uiPriority w:val="0"/>
    <w:rPr>
      <w:rFonts w:ascii="Arial" w:hAnsi="Arial" w:cs="宋体"/>
    </w:rPr>
  </w:style>
  <w:style w:type="paragraph" w:styleId="22">
    <w:name w:val="List 2"/>
    <w:basedOn w:val="1"/>
    <w:qFormat/>
    <w:uiPriority w:val="0"/>
    <w:pPr>
      <w:ind w:left="100" w:hanging="200"/>
    </w:pPr>
    <w:rPr>
      <w:rFonts w:ascii="Times New Roman" w:hAnsi="Times New Roman" w:eastAsia="宋体" w:cs="Times New Roman"/>
      <w:szCs w:val="21"/>
    </w:rPr>
  </w:style>
  <w:style w:type="paragraph" w:styleId="23">
    <w:name w:val="Block Text"/>
    <w:basedOn w:val="1"/>
    <w:unhideWhenUsed/>
    <w:qFormat/>
    <w:uiPriority w:val="0"/>
    <w:pPr>
      <w:spacing w:after="120"/>
      <w:ind w:left="1440"/>
    </w:pPr>
    <w:rPr>
      <w:rFonts w:hint="eastAsia" w:ascii="Times New Roman" w:hAnsi="Times New Roman" w:eastAsia="宋体" w:cs="Times New Roman"/>
      <w:szCs w:val="21"/>
    </w:rPr>
  </w:style>
  <w:style w:type="paragraph" w:styleId="24">
    <w:name w:val="toc 5"/>
    <w:basedOn w:val="1"/>
    <w:next w:val="1"/>
    <w:qFormat/>
    <w:uiPriority w:val="0"/>
    <w:pPr>
      <w:ind w:left="840"/>
      <w:jc w:val="left"/>
    </w:pPr>
    <w:rPr>
      <w:rFonts w:ascii="Times New Roman" w:hAnsi="Times New Roman" w:eastAsia="宋体" w:cs="Times New Roman"/>
      <w:szCs w:val="21"/>
    </w:rPr>
  </w:style>
  <w:style w:type="paragraph" w:styleId="25">
    <w:name w:val="toc 3"/>
    <w:basedOn w:val="1"/>
    <w:next w:val="1"/>
    <w:qFormat/>
    <w:uiPriority w:val="0"/>
    <w:pPr>
      <w:ind w:left="420"/>
      <w:jc w:val="left"/>
    </w:pPr>
    <w:rPr>
      <w:rFonts w:ascii="Times New Roman" w:hAnsi="Times New Roman" w:eastAsia="宋体" w:cs="Times New Roman"/>
      <w:i/>
      <w:iCs/>
    </w:rPr>
  </w:style>
  <w:style w:type="paragraph" w:styleId="26">
    <w:name w:val="Plain Text"/>
    <w:basedOn w:val="1"/>
    <w:link w:val="256"/>
    <w:qFormat/>
    <w:uiPriority w:val="0"/>
    <w:rPr>
      <w:rFonts w:ascii="宋体" w:hAnsi="Courier New" w:eastAsia="宋体" w:cs="Times New Roman"/>
      <w:szCs w:val="21"/>
      <w:lang w:eastAsia="en-US"/>
    </w:rPr>
  </w:style>
  <w:style w:type="paragraph" w:styleId="27">
    <w:name w:val="toc 8"/>
    <w:basedOn w:val="1"/>
    <w:next w:val="1"/>
    <w:qFormat/>
    <w:uiPriority w:val="0"/>
    <w:pPr>
      <w:ind w:left="1470"/>
      <w:jc w:val="left"/>
    </w:pPr>
    <w:rPr>
      <w:rFonts w:ascii="Times New Roman" w:hAnsi="Times New Roman" w:eastAsia="宋体" w:cs="Times New Roman"/>
      <w:szCs w:val="21"/>
    </w:rPr>
  </w:style>
  <w:style w:type="paragraph" w:styleId="28">
    <w:name w:val="Date"/>
    <w:basedOn w:val="1"/>
    <w:next w:val="1"/>
    <w:link w:val="257"/>
    <w:qFormat/>
    <w:uiPriority w:val="0"/>
    <w:rPr>
      <w:rFonts w:ascii="Times New Roman" w:hAnsi="Times New Roman" w:eastAsia="宋体" w:cs="Times New Roman"/>
      <w:sz w:val="24"/>
      <w:lang w:eastAsia="en-US"/>
    </w:rPr>
  </w:style>
  <w:style w:type="paragraph" w:styleId="29">
    <w:name w:val="Body Text Indent 2"/>
    <w:basedOn w:val="1"/>
    <w:link w:val="258"/>
    <w:qFormat/>
    <w:uiPriority w:val="0"/>
    <w:pPr>
      <w:ind w:left="630" w:firstLine="645"/>
    </w:pPr>
    <w:rPr>
      <w:rFonts w:ascii="Arial" w:hAnsi="Arial" w:eastAsia="仿宋_GB2312" w:cs="Times New Roman"/>
      <w:sz w:val="32"/>
      <w:szCs w:val="32"/>
      <w:lang w:eastAsia="en-US"/>
    </w:rPr>
  </w:style>
  <w:style w:type="paragraph" w:styleId="30">
    <w:name w:val="endnote text"/>
    <w:basedOn w:val="1"/>
    <w:link w:val="246"/>
    <w:unhideWhenUsed/>
    <w:qFormat/>
    <w:uiPriority w:val="99"/>
    <w:rPr>
      <w:rFonts w:ascii="Times New Roman" w:hAnsi="Times New Roman" w:eastAsia="宋体" w:cs="Times New Roman"/>
      <w:sz w:val="20"/>
      <w:szCs w:val="21"/>
    </w:rPr>
  </w:style>
  <w:style w:type="paragraph" w:styleId="31">
    <w:name w:val="Balloon Text"/>
    <w:basedOn w:val="1"/>
    <w:link w:val="259"/>
    <w:qFormat/>
    <w:uiPriority w:val="99"/>
    <w:rPr>
      <w:rFonts w:ascii="Times New Roman" w:hAnsi="Times New Roman" w:eastAsia="宋体" w:cs="Times New Roman"/>
      <w:sz w:val="18"/>
      <w:szCs w:val="18"/>
      <w:lang w:eastAsia="en-US"/>
    </w:rPr>
  </w:style>
  <w:style w:type="paragraph" w:styleId="32">
    <w:name w:val="footer"/>
    <w:basedOn w:val="1"/>
    <w:link w:val="87"/>
    <w:qFormat/>
    <w:uiPriority w:val="99"/>
    <w:pPr>
      <w:tabs>
        <w:tab w:val="center" w:pos="4153"/>
        <w:tab w:val="right" w:pos="8306"/>
      </w:tabs>
      <w:jc w:val="left"/>
    </w:pPr>
    <w:rPr>
      <w:sz w:val="18"/>
      <w:szCs w:val="18"/>
    </w:rPr>
  </w:style>
  <w:style w:type="paragraph" w:styleId="33">
    <w:name w:val="header"/>
    <w:basedOn w:val="1"/>
    <w:link w:val="86"/>
    <w:qFormat/>
    <w:uiPriority w:val="99"/>
    <w:pPr>
      <w:pBdr>
        <w:bottom w:val="single" w:color="auto" w:sz="6" w:space="1"/>
      </w:pBdr>
      <w:tabs>
        <w:tab w:val="center" w:pos="4153"/>
        <w:tab w:val="right" w:pos="8306"/>
      </w:tabs>
      <w:jc w:val="center"/>
    </w:pPr>
    <w:rPr>
      <w:sz w:val="18"/>
      <w:szCs w:val="18"/>
    </w:rPr>
  </w:style>
  <w:style w:type="paragraph" w:styleId="34">
    <w:name w:val="toc 1"/>
    <w:basedOn w:val="1"/>
    <w:next w:val="1"/>
    <w:qFormat/>
    <w:uiPriority w:val="0"/>
    <w:pPr>
      <w:tabs>
        <w:tab w:val="right" w:leader="dot" w:pos="8720"/>
      </w:tabs>
      <w:spacing w:before="120" w:after="120" w:line="400" w:lineRule="exact"/>
      <w:jc w:val="left"/>
    </w:pPr>
    <w:rPr>
      <w:rFonts w:ascii="宋体" w:hAnsi="宋体" w:eastAsia="宋体" w:cs="Times New Roman"/>
      <w:caps/>
      <w:sz w:val="24"/>
    </w:rPr>
  </w:style>
  <w:style w:type="paragraph" w:styleId="35">
    <w:name w:val="toc 4"/>
    <w:basedOn w:val="1"/>
    <w:next w:val="1"/>
    <w:qFormat/>
    <w:uiPriority w:val="0"/>
    <w:pPr>
      <w:ind w:left="630"/>
      <w:jc w:val="left"/>
    </w:pPr>
    <w:rPr>
      <w:rFonts w:ascii="Times New Roman" w:hAnsi="Times New Roman" w:eastAsia="宋体" w:cs="Times New Roman"/>
      <w:szCs w:val="21"/>
    </w:rPr>
  </w:style>
  <w:style w:type="paragraph" w:styleId="36">
    <w:name w:val="Subtitle"/>
    <w:basedOn w:val="1"/>
    <w:next w:val="1"/>
    <w:link w:val="112"/>
    <w:qFormat/>
    <w:uiPriority w:val="11"/>
    <w:pPr>
      <w:spacing w:before="200" w:after="200"/>
    </w:pPr>
    <w:rPr>
      <w:rFonts w:ascii="Times New Roman" w:hAnsi="Times New Roman" w:eastAsia="宋体" w:cs="Times New Roman"/>
      <w:sz w:val="24"/>
    </w:rPr>
  </w:style>
  <w:style w:type="paragraph" w:styleId="37">
    <w:name w:val="List"/>
    <w:basedOn w:val="1"/>
    <w:qFormat/>
    <w:uiPriority w:val="0"/>
    <w:pPr>
      <w:ind w:left="200" w:hanging="200"/>
    </w:pPr>
    <w:rPr>
      <w:rFonts w:ascii="Times New Roman" w:hAnsi="Times New Roman" w:eastAsia="宋体" w:cs="Times New Roman"/>
      <w:szCs w:val="21"/>
    </w:rPr>
  </w:style>
  <w:style w:type="paragraph" w:styleId="38">
    <w:name w:val="footnote text"/>
    <w:basedOn w:val="1"/>
    <w:link w:val="245"/>
    <w:unhideWhenUsed/>
    <w:qFormat/>
    <w:uiPriority w:val="99"/>
    <w:pPr>
      <w:spacing w:after="40"/>
    </w:pPr>
    <w:rPr>
      <w:rFonts w:ascii="Times New Roman" w:hAnsi="Times New Roman" w:eastAsia="宋体" w:cs="Times New Roman"/>
      <w:sz w:val="18"/>
      <w:szCs w:val="21"/>
    </w:rPr>
  </w:style>
  <w:style w:type="paragraph" w:styleId="39">
    <w:name w:val="toc 6"/>
    <w:basedOn w:val="1"/>
    <w:next w:val="1"/>
    <w:qFormat/>
    <w:uiPriority w:val="0"/>
    <w:pPr>
      <w:ind w:left="1050"/>
      <w:jc w:val="left"/>
    </w:pPr>
    <w:rPr>
      <w:rFonts w:ascii="Times New Roman" w:hAnsi="Times New Roman" w:eastAsia="宋体" w:cs="Times New Roman"/>
      <w:szCs w:val="21"/>
    </w:rPr>
  </w:style>
  <w:style w:type="paragraph" w:styleId="40">
    <w:name w:val="Body Text Indent 3"/>
    <w:basedOn w:val="1"/>
    <w:link w:val="260"/>
    <w:qFormat/>
    <w:uiPriority w:val="0"/>
    <w:pPr>
      <w:ind w:left="645" w:firstLine="645"/>
    </w:pPr>
    <w:rPr>
      <w:rFonts w:ascii="Arial" w:hAnsi="Arial" w:eastAsia="仿宋_GB2312" w:cs="Times New Roman"/>
      <w:color w:val="FFFF00"/>
      <w:sz w:val="32"/>
      <w:szCs w:val="32"/>
      <w:lang w:eastAsia="en-US"/>
    </w:rPr>
  </w:style>
  <w:style w:type="paragraph" w:styleId="41">
    <w:name w:val="table of figures"/>
    <w:basedOn w:val="1"/>
    <w:next w:val="1"/>
    <w:qFormat/>
    <w:uiPriority w:val="0"/>
    <w:pPr>
      <w:ind w:left="840" w:hanging="420"/>
    </w:pPr>
    <w:rPr>
      <w:rFonts w:ascii="Times New Roman" w:hAnsi="Times New Roman" w:eastAsia="宋体" w:cs="Times New Roman"/>
      <w:szCs w:val="21"/>
    </w:rPr>
  </w:style>
  <w:style w:type="paragraph" w:styleId="42">
    <w:name w:val="toc 9"/>
    <w:basedOn w:val="1"/>
    <w:next w:val="1"/>
    <w:qFormat/>
    <w:uiPriority w:val="0"/>
    <w:pPr>
      <w:ind w:left="1680"/>
      <w:jc w:val="left"/>
    </w:pPr>
    <w:rPr>
      <w:rFonts w:ascii="Times New Roman" w:hAnsi="Times New Roman" w:eastAsia="宋体" w:cs="Times New Roman"/>
      <w:szCs w:val="21"/>
    </w:rPr>
  </w:style>
  <w:style w:type="paragraph" w:styleId="43">
    <w:name w:val="Body Text 2"/>
    <w:basedOn w:val="1"/>
    <w:link w:val="261"/>
    <w:qFormat/>
    <w:uiPriority w:val="0"/>
    <w:pPr>
      <w:widowControl/>
      <w:jc w:val="center"/>
    </w:pPr>
    <w:rPr>
      <w:rFonts w:ascii="楷体_GB2312" w:hAnsi="Times New Roman" w:eastAsia="楷体_GB2312" w:cs="Times New Roman"/>
      <w:sz w:val="28"/>
      <w:szCs w:val="28"/>
      <w:lang w:eastAsia="en-US"/>
    </w:rPr>
  </w:style>
  <w:style w:type="paragraph" w:styleId="44">
    <w:name w:val="Normal (Web)"/>
    <w:basedOn w:val="1"/>
    <w:qFormat/>
    <w:uiPriority w:val="0"/>
    <w:pPr>
      <w:spacing w:beforeAutospacing="1" w:afterAutospacing="1"/>
      <w:jc w:val="left"/>
    </w:pPr>
    <w:rPr>
      <w:rFonts w:cs="Times New Roman"/>
      <w:sz w:val="24"/>
    </w:rPr>
  </w:style>
  <w:style w:type="paragraph" w:styleId="45">
    <w:name w:val="index 1"/>
    <w:basedOn w:val="1"/>
    <w:next w:val="1"/>
    <w:qFormat/>
    <w:uiPriority w:val="0"/>
    <w:pPr>
      <w:spacing w:line="240" w:lineRule="atLeast"/>
    </w:pPr>
    <w:rPr>
      <w:rFonts w:ascii="Times New Roman" w:hAnsi="Times New Roman" w:eastAsia="宋体" w:cs="Times New Roman"/>
      <w:b/>
      <w:bCs/>
      <w:szCs w:val="21"/>
    </w:rPr>
  </w:style>
  <w:style w:type="paragraph" w:styleId="46">
    <w:name w:val="Title"/>
    <w:basedOn w:val="1"/>
    <w:next w:val="1"/>
    <w:link w:val="111"/>
    <w:qFormat/>
    <w:uiPriority w:val="10"/>
    <w:pPr>
      <w:spacing w:before="300" w:after="200"/>
      <w:contextualSpacing/>
    </w:pPr>
    <w:rPr>
      <w:rFonts w:ascii="Times New Roman" w:hAnsi="Times New Roman" w:eastAsia="宋体" w:cs="Times New Roman"/>
      <w:sz w:val="48"/>
      <w:szCs w:val="48"/>
    </w:rPr>
  </w:style>
  <w:style w:type="paragraph" w:styleId="47">
    <w:name w:val="annotation subject"/>
    <w:basedOn w:val="16"/>
    <w:next w:val="16"/>
    <w:link w:val="262"/>
    <w:qFormat/>
    <w:uiPriority w:val="0"/>
    <w:rPr>
      <w:b/>
      <w:bCs/>
    </w:rPr>
  </w:style>
  <w:style w:type="paragraph" w:styleId="48">
    <w:name w:val="Body Text First Indent"/>
    <w:basedOn w:val="18"/>
    <w:next w:val="39"/>
    <w:unhideWhenUsed/>
    <w:qFormat/>
    <w:uiPriority w:val="99"/>
    <w:pPr>
      <w:ind w:firstLine="420" w:firstLineChars="100"/>
    </w:pPr>
  </w:style>
  <w:style w:type="paragraph" w:styleId="49">
    <w:name w:val="Body Text First Indent 2"/>
    <w:basedOn w:val="20"/>
    <w:next w:val="1"/>
    <w:qFormat/>
    <w:uiPriority w:val="99"/>
    <w:pPr>
      <w:ind w:firstLine="420"/>
    </w:pPr>
  </w:style>
  <w:style w:type="table" w:styleId="51">
    <w:name w:val="Table Grid"/>
    <w:basedOn w:val="5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0"/>
    <w:rPr>
      <w:b/>
      <w:bCs/>
    </w:rPr>
  </w:style>
  <w:style w:type="character" w:styleId="54">
    <w:name w:val="endnote reference"/>
    <w:unhideWhenUsed/>
    <w:qFormat/>
    <w:uiPriority w:val="99"/>
    <w:rPr>
      <w:vertAlign w:val="superscript"/>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Hyperlink"/>
    <w:qFormat/>
    <w:uiPriority w:val="99"/>
    <w:rPr>
      <w:color w:val="0000FF"/>
      <w:u w:val="single"/>
    </w:rPr>
  </w:style>
  <w:style w:type="character" w:styleId="58">
    <w:name w:val="annotation reference"/>
    <w:qFormat/>
    <w:uiPriority w:val="0"/>
    <w:rPr>
      <w:sz w:val="21"/>
      <w:szCs w:val="21"/>
    </w:rPr>
  </w:style>
  <w:style w:type="character" w:styleId="59">
    <w:name w:val="footnote reference"/>
    <w:unhideWhenUsed/>
    <w:qFormat/>
    <w:uiPriority w:val="99"/>
    <w:rPr>
      <w:vertAlign w:val="superscript"/>
    </w:rPr>
  </w:style>
  <w:style w:type="table" w:customStyle="1" w:styleId="60">
    <w:name w:val="Plain Table 1"/>
    <w:basedOn w:val="5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5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5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5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5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5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5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5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5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5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5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5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5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5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9">
    <w:name w:val="Title Char"/>
    <w:basedOn w:val="52"/>
    <w:qFormat/>
    <w:uiPriority w:val="10"/>
    <w:rPr>
      <w:sz w:val="48"/>
      <w:szCs w:val="48"/>
    </w:rPr>
  </w:style>
  <w:style w:type="character" w:customStyle="1" w:styleId="80">
    <w:name w:val="Subtitle Char"/>
    <w:basedOn w:val="52"/>
    <w:qFormat/>
    <w:uiPriority w:val="11"/>
    <w:rPr>
      <w:sz w:val="24"/>
      <w:szCs w:val="24"/>
    </w:rPr>
  </w:style>
  <w:style w:type="character" w:customStyle="1" w:styleId="81">
    <w:name w:val="Quote Char"/>
    <w:qFormat/>
    <w:uiPriority w:val="29"/>
    <w:rPr>
      <w:i/>
    </w:rPr>
  </w:style>
  <w:style w:type="character" w:customStyle="1" w:styleId="82">
    <w:name w:val="Intense Quote Char"/>
    <w:qFormat/>
    <w:uiPriority w:val="30"/>
    <w:rPr>
      <w:i/>
    </w:rPr>
  </w:style>
  <w:style w:type="character" w:customStyle="1" w:styleId="83">
    <w:name w:val="Footnote Text Char"/>
    <w:qFormat/>
    <w:uiPriority w:val="99"/>
    <w:rPr>
      <w:sz w:val="18"/>
    </w:rPr>
  </w:style>
  <w:style w:type="character" w:customStyle="1" w:styleId="84">
    <w:name w:val="Endnote Text Char"/>
    <w:qFormat/>
    <w:uiPriority w:val="99"/>
    <w:rPr>
      <w:sz w:val="20"/>
    </w:rPr>
  </w:style>
  <w:style w:type="paragraph" w:customStyle="1" w:styleId="85">
    <w:name w:val="TOC Heading"/>
    <w:unhideWhenUsed/>
    <w:qFormat/>
    <w:uiPriority w:val="39"/>
    <w:rPr>
      <w:rFonts w:hint="default" w:ascii="Times New Roman" w:hAnsi="Times New Roman" w:eastAsia="宋体" w:cs="Times New Roman"/>
    </w:rPr>
  </w:style>
  <w:style w:type="character" w:customStyle="1" w:styleId="86">
    <w:name w:val="页眉 字符1"/>
    <w:basedOn w:val="52"/>
    <w:link w:val="33"/>
    <w:qFormat/>
    <w:uiPriority w:val="99"/>
    <w:rPr>
      <w:rFonts w:asciiTheme="minorHAnsi" w:hAnsiTheme="minorHAnsi" w:eastAsiaTheme="minorEastAsia" w:cstheme="minorBidi"/>
      <w:sz w:val="18"/>
      <w:szCs w:val="18"/>
    </w:rPr>
  </w:style>
  <w:style w:type="character" w:customStyle="1" w:styleId="87">
    <w:name w:val="页脚 字符1"/>
    <w:basedOn w:val="52"/>
    <w:link w:val="32"/>
    <w:qFormat/>
    <w:uiPriority w:val="99"/>
    <w:rPr>
      <w:rFonts w:asciiTheme="minorHAnsi" w:hAnsiTheme="minorHAnsi" w:eastAsiaTheme="minorEastAsia" w:cstheme="minorBidi"/>
      <w:sz w:val="18"/>
      <w:szCs w:val="18"/>
    </w:rPr>
  </w:style>
  <w:style w:type="character" w:customStyle="1" w:styleId="88">
    <w:name w:val="标题 1 字符1"/>
    <w:basedOn w:val="52"/>
    <w:link w:val="2"/>
    <w:qFormat/>
    <w:uiPriority w:val="0"/>
    <w:rPr>
      <w:rFonts w:ascii="楷体_GB2312" w:eastAsia="楷体_GB2312"/>
      <w:sz w:val="28"/>
      <w:szCs w:val="28"/>
      <w:lang w:eastAsia="en-US"/>
    </w:rPr>
  </w:style>
  <w:style w:type="character" w:customStyle="1" w:styleId="89">
    <w:name w:val="标题 3 Char"/>
    <w:basedOn w:val="52"/>
    <w:qFormat/>
    <w:uiPriority w:val="0"/>
    <w:rPr>
      <w:rFonts w:asciiTheme="minorHAnsi" w:hAnsiTheme="minorHAnsi" w:eastAsiaTheme="minorEastAsia" w:cstheme="minorBidi"/>
      <w:b/>
      <w:bCs/>
      <w:sz w:val="32"/>
      <w:szCs w:val="32"/>
    </w:rPr>
  </w:style>
  <w:style w:type="character" w:customStyle="1" w:styleId="90">
    <w:name w:val="标题 4 字符1"/>
    <w:basedOn w:val="52"/>
    <w:link w:val="6"/>
    <w:qFormat/>
    <w:uiPriority w:val="0"/>
    <w:rPr>
      <w:rFonts w:ascii="Arial" w:hAnsi="Arial" w:eastAsia="黑体"/>
      <w:b/>
      <w:bCs/>
      <w:sz w:val="28"/>
      <w:szCs w:val="28"/>
      <w:lang w:eastAsia="en-US"/>
    </w:rPr>
  </w:style>
  <w:style w:type="character" w:customStyle="1" w:styleId="91">
    <w:name w:val="标题 5 字符1"/>
    <w:basedOn w:val="52"/>
    <w:link w:val="7"/>
    <w:qFormat/>
    <w:uiPriority w:val="0"/>
    <w:rPr>
      <w:rFonts w:ascii="宋体"/>
      <w:color w:val="000000"/>
      <w:sz w:val="28"/>
      <w:szCs w:val="28"/>
      <w:lang w:eastAsia="en-US"/>
    </w:rPr>
  </w:style>
  <w:style w:type="character" w:customStyle="1" w:styleId="92">
    <w:name w:val="标题 6 字符1"/>
    <w:basedOn w:val="52"/>
    <w:link w:val="8"/>
    <w:qFormat/>
    <w:uiPriority w:val="0"/>
    <w:rPr>
      <w:rFonts w:ascii="Arial" w:hAnsi="Arial" w:eastAsia="黑体"/>
      <w:b/>
      <w:bCs/>
      <w:sz w:val="24"/>
      <w:szCs w:val="24"/>
      <w:lang w:eastAsia="en-US"/>
    </w:rPr>
  </w:style>
  <w:style w:type="character" w:customStyle="1" w:styleId="93">
    <w:name w:val="标题 7 字符1"/>
    <w:basedOn w:val="52"/>
    <w:link w:val="9"/>
    <w:qFormat/>
    <w:uiPriority w:val="0"/>
    <w:rPr>
      <w:b/>
      <w:bCs/>
      <w:sz w:val="24"/>
      <w:szCs w:val="24"/>
      <w:lang w:eastAsia="en-US"/>
    </w:rPr>
  </w:style>
  <w:style w:type="character" w:customStyle="1" w:styleId="94">
    <w:name w:val="标题 8 字符1"/>
    <w:basedOn w:val="52"/>
    <w:link w:val="10"/>
    <w:qFormat/>
    <w:uiPriority w:val="0"/>
    <w:rPr>
      <w:rFonts w:ascii="Arial" w:hAnsi="Arial" w:eastAsia="黑体"/>
      <w:sz w:val="24"/>
      <w:szCs w:val="24"/>
      <w:lang w:eastAsia="en-US"/>
    </w:rPr>
  </w:style>
  <w:style w:type="character" w:customStyle="1" w:styleId="95">
    <w:name w:val="标题 9 字符1"/>
    <w:basedOn w:val="52"/>
    <w:link w:val="11"/>
    <w:qFormat/>
    <w:uiPriority w:val="0"/>
    <w:rPr>
      <w:rFonts w:ascii="Arial" w:hAnsi="Arial" w:eastAsia="黑体"/>
      <w:sz w:val="21"/>
      <w:szCs w:val="21"/>
      <w:lang w:eastAsia="en-US"/>
    </w:rPr>
  </w:style>
  <w:style w:type="character" w:customStyle="1" w:styleId="96">
    <w:name w:val="Heading 3 Char"/>
    <w:qFormat/>
    <w:uiPriority w:val="9"/>
    <w:rPr>
      <w:rFonts w:ascii="Arial" w:hAnsi="Arial" w:eastAsia="Arial" w:cs="Arial"/>
      <w:sz w:val="30"/>
      <w:szCs w:val="30"/>
    </w:rPr>
  </w:style>
  <w:style w:type="character" w:customStyle="1" w:styleId="97">
    <w:name w:val="标题 3 字符"/>
    <w:link w:val="4"/>
    <w:qFormat/>
    <w:uiPriority w:val="0"/>
    <w:rPr>
      <w:b/>
      <w:bCs/>
      <w:sz w:val="32"/>
      <w:szCs w:val="32"/>
    </w:rPr>
  </w:style>
  <w:style w:type="character" w:customStyle="1" w:styleId="98">
    <w:name w:val="普通正文 Char"/>
    <w:link w:val="99"/>
    <w:qFormat/>
    <w:uiPriority w:val="0"/>
    <w:rPr>
      <w:rFonts w:ascii="Arial" w:hAnsi="Arial"/>
      <w:sz w:val="24"/>
      <w:szCs w:val="24"/>
    </w:rPr>
  </w:style>
  <w:style w:type="paragraph" w:customStyle="1" w:styleId="99">
    <w:name w:val="普通正文"/>
    <w:basedOn w:val="1"/>
    <w:link w:val="98"/>
    <w:qFormat/>
    <w:uiPriority w:val="0"/>
    <w:pPr>
      <w:spacing w:before="120" w:after="120" w:line="360" w:lineRule="auto"/>
      <w:ind w:firstLine="480"/>
      <w:jc w:val="left"/>
    </w:pPr>
    <w:rPr>
      <w:rFonts w:ascii="Arial" w:hAnsi="Arial" w:eastAsia="宋体" w:cs="Times New Roman"/>
      <w:sz w:val="24"/>
    </w:rPr>
  </w:style>
  <w:style w:type="character" w:customStyle="1" w:styleId="100">
    <w:name w:val="标题 2 字符1"/>
    <w:basedOn w:val="52"/>
    <w:link w:val="3"/>
    <w:qFormat/>
    <w:uiPriority w:val="0"/>
    <w:rPr>
      <w:rFonts w:ascii="宋体" w:hAnsi="宋体"/>
      <w:b/>
      <w:bCs/>
      <w:sz w:val="36"/>
      <w:szCs w:val="36"/>
    </w:rPr>
  </w:style>
  <w:style w:type="character" w:customStyle="1" w:styleId="101">
    <w:name w:val="Heading 1 Char"/>
    <w:qFormat/>
    <w:uiPriority w:val="9"/>
    <w:rPr>
      <w:rFonts w:ascii="Arial" w:hAnsi="Arial" w:eastAsia="Arial" w:cs="Arial"/>
      <w:sz w:val="40"/>
      <w:szCs w:val="40"/>
    </w:rPr>
  </w:style>
  <w:style w:type="character" w:customStyle="1" w:styleId="102">
    <w:name w:val="Heading 2 Char"/>
    <w:qFormat/>
    <w:uiPriority w:val="9"/>
    <w:rPr>
      <w:rFonts w:ascii="Arial" w:hAnsi="Arial" w:eastAsia="Arial" w:cs="Arial"/>
      <w:sz w:val="34"/>
    </w:rPr>
  </w:style>
  <w:style w:type="character" w:customStyle="1" w:styleId="103">
    <w:name w:val="Heading 4 Char"/>
    <w:qFormat/>
    <w:uiPriority w:val="9"/>
    <w:rPr>
      <w:rFonts w:ascii="Arial" w:hAnsi="Arial" w:eastAsia="Arial" w:cs="Arial"/>
      <w:b/>
      <w:bCs/>
      <w:sz w:val="26"/>
      <w:szCs w:val="26"/>
    </w:rPr>
  </w:style>
  <w:style w:type="character" w:customStyle="1" w:styleId="104">
    <w:name w:val="Heading 5 Char"/>
    <w:qFormat/>
    <w:uiPriority w:val="9"/>
    <w:rPr>
      <w:rFonts w:ascii="Arial" w:hAnsi="Arial" w:eastAsia="Arial" w:cs="Arial"/>
      <w:b/>
      <w:bCs/>
      <w:sz w:val="24"/>
      <w:szCs w:val="24"/>
    </w:rPr>
  </w:style>
  <w:style w:type="character" w:customStyle="1" w:styleId="105">
    <w:name w:val="Heading 6 Char"/>
    <w:qFormat/>
    <w:uiPriority w:val="9"/>
    <w:rPr>
      <w:rFonts w:ascii="Arial" w:hAnsi="Arial" w:eastAsia="Arial" w:cs="Arial"/>
      <w:b/>
      <w:bCs/>
      <w:sz w:val="22"/>
      <w:szCs w:val="22"/>
    </w:rPr>
  </w:style>
  <w:style w:type="character" w:customStyle="1" w:styleId="106">
    <w:name w:val="Heading 7 Char"/>
    <w:qFormat/>
    <w:uiPriority w:val="9"/>
    <w:rPr>
      <w:rFonts w:ascii="Arial" w:hAnsi="Arial" w:eastAsia="Arial" w:cs="Arial"/>
      <w:b/>
      <w:bCs/>
      <w:i/>
      <w:iCs/>
      <w:sz w:val="22"/>
      <w:szCs w:val="22"/>
    </w:rPr>
  </w:style>
  <w:style w:type="character" w:customStyle="1" w:styleId="107">
    <w:name w:val="Heading 8 Char"/>
    <w:qFormat/>
    <w:uiPriority w:val="9"/>
    <w:rPr>
      <w:rFonts w:ascii="Arial" w:hAnsi="Arial" w:eastAsia="Arial" w:cs="Arial"/>
      <w:i/>
      <w:iCs/>
      <w:sz w:val="22"/>
      <w:szCs w:val="22"/>
    </w:rPr>
  </w:style>
  <w:style w:type="character" w:customStyle="1" w:styleId="108">
    <w:name w:val="Heading 9 Char"/>
    <w:qFormat/>
    <w:uiPriority w:val="9"/>
    <w:rPr>
      <w:rFonts w:ascii="Arial" w:hAnsi="Arial" w:eastAsia="Arial" w:cs="Arial"/>
      <w:i/>
      <w:iCs/>
      <w:sz w:val="21"/>
      <w:szCs w:val="21"/>
    </w:rPr>
  </w:style>
  <w:style w:type="paragraph" w:styleId="109">
    <w:name w:val="List Paragraph"/>
    <w:basedOn w:val="1"/>
    <w:qFormat/>
    <w:uiPriority w:val="99"/>
    <w:pPr>
      <w:ind w:left="720"/>
      <w:contextualSpacing/>
    </w:pPr>
    <w:rPr>
      <w:rFonts w:ascii="Times New Roman" w:hAnsi="Times New Roman" w:eastAsia="宋体" w:cs="Times New Roman"/>
      <w:szCs w:val="21"/>
    </w:rPr>
  </w:style>
  <w:style w:type="paragraph" w:styleId="110">
    <w:name w:val="No Spacing"/>
    <w:qFormat/>
    <w:uiPriority w:val="1"/>
    <w:rPr>
      <w:rFonts w:hint="default" w:ascii="Times New Roman" w:hAnsi="Times New Roman" w:eastAsia="宋体" w:cs="Times New Roman"/>
    </w:rPr>
  </w:style>
  <w:style w:type="character" w:customStyle="1" w:styleId="111">
    <w:name w:val="标题 字符"/>
    <w:basedOn w:val="52"/>
    <w:link w:val="46"/>
    <w:qFormat/>
    <w:uiPriority w:val="10"/>
    <w:rPr>
      <w:sz w:val="48"/>
      <w:szCs w:val="48"/>
    </w:rPr>
  </w:style>
  <w:style w:type="character" w:customStyle="1" w:styleId="112">
    <w:name w:val="副标题 字符"/>
    <w:basedOn w:val="52"/>
    <w:link w:val="36"/>
    <w:qFormat/>
    <w:uiPriority w:val="11"/>
    <w:rPr>
      <w:sz w:val="24"/>
      <w:szCs w:val="24"/>
    </w:rPr>
  </w:style>
  <w:style w:type="paragraph" w:styleId="113">
    <w:name w:val="Quote"/>
    <w:basedOn w:val="1"/>
    <w:next w:val="1"/>
    <w:link w:val="114"/>
    <w:qFormat/>
    <w:uiPriority w:val="29"/>
    <w:pPr>
      <w:ind w:left="720" w:right="720"/>
    </w:pPr>
    <w:rPr>
      <w:rFonts w:ascii="Times New Roman" w:hAnsi="Times New Roman" w:eastAsia="宋体" w:cs="Times New Roman"/>
      <w:i/>
      <w:szCs w:val="21"/>
    </w:rPr>
  </w:style>
  <w:style w:type="character" w:customStyle="1" w:styleId="114">
    <w:name w:val="引用 字符"/>
    <w:basedOn w:val="52"/>
    <w:link w:val="113"/>
    <w:qFormat/>
    <w:uiPriority w:val="29"/>
    <w:rPr>
      <w:i/>
      <w:sz w:val="21"/>
      <w:szCs w:val="21"/>
    </w:rPr>
  </w:style>
  <w:style w:type="paragraph" w:styleId="115">
    <w:name w:val="Intense Quote"/>
    <w:basedOn w:val="1"/>
    <w:next w:val="1"/>
    <w:link w:val="11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116">
    <w:name w:val="明显引用 字符"/>
    <w:basedOn w:val="52"/>
    <w:link w:val="115"/>
    <w:qFormat/>
    <w:uiPriority w:val="30"/>
    <w:rPr>
      <w:i/>
      <w:sz w:val="21"/>
      <w:szCs w:val="21"/>
      <w:shd w:val="clear" w:color="auto" w:fill="F2F2F2"/>
    </w:rPr>
  </w:style>
  <w:style w:type="character" w:customStyle="1" w:styleId="117">
    <w:name w:val="Header Char"/>
    <w:qFormat/>
    <w:uiPriority w:val="99"/>
  </w:style>
  <w:style w:type="character" w:customStyle="1" w:styleId="118">
    <w:name w:val="Footer Char"/>
    <w:qFormat/>
    <w:uiPriority w:val="99"/>
  </w:style>
  <w:style w:type="character" w:customStyle="1" w:styleId="119">
    <w:name w:val="Caption Char"/>
    <w:qFormat/>
    <w:uiPriority w:val="99"/>
  </w:style>
  <w:style w:type="table" w:customStyle="1" w:styleId="12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1">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2">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6">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7">
    <w:name w:val="Grid Table 1 Light - Accent 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0" w:type="dxa"/>
        <w:bottom w:w="0" w:type="dxa"/>
        <w:right w:w="0"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28">
    <w:name w:val="Grid Table 1 Light - Accent 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0" w:type="dxa"/>
        <w:bottom w:w="0" w:type="dxa"/>
        <w:right w:w="0"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9">
    <w:name w:val="Grid Table 1 Light - Accent 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0" w:type="dxa"/>
        <w:bottom w:w="0" w:type="dxa"/>
        <w:right w:w="0"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30">
    <w:name w:val="Grid Table 1 Light - Accent 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0" w:type="dxa"/>
        <w:bottom w:w="0" w:type="dxa"/>
        <w:right w:w="0"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31">
    <w:name w:val="Grid Table 1 Light - Accent 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0" w:type="dxa"/>
        <w:bottom w:w="0" w:type="dxa"/>
        <w:right w:w="0"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32">
    <w:name w:val="Grid Table 1 Light - Accent 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0" w:type="dxa"/>
        <w:bottom w:w="0" w:type="dxa"/>
        <w:right w:w="0"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3">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4">
    <w:name w:val="Grid Table 2 - Accent 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5">
    <w:name w:val="Grid Table 2 - Accent 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6">
    <w:name w:val="Grid Table 2 - Accent 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7">
    <w:name w:val="Grid Table 2 - Accent 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8">
    <w:name w:val="Grid Table 2 - Accent 5"/>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9">
    <w:name w:val="Grid Table 2 - Accent 6"/>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0">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1">
    <w:name w:val="Grid Table 3 - Accent 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42">
    <w:name w:val="Grid Table 3 - Accent 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3">
    <w:name w:val="Grid Table 3 - Accent 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4">
    <w:name w:val="Grid Table 3 - Accent 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5">
    <w:name w:val="Grid Table 3 - Accent 5"/>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6">
    <w:name w:val="Grid Table 3 - Accent 6"/>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7">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8">
    <w:name w:val="Grid Table 4 - Accent 1"/>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49">
    <w:name w:val="Grid Table 4 - Accent 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50">
    <w:name w:val="Grid Table 4 - Accent 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51">
    <w:name w:val="Grid Table 4 - Accent 4"/>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52">
    <w:name w:val="Grid Table 4 - Accent 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53">
    <w:name w:val="Grid Table 4 - Accent 6"/>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4">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5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6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61">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Grid Table 6 Colorful - Accent 1"/>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0" w:type="dxa"/>
        <w:bottom w:w="0" w:type="dxa"/>
        <w:right w:w="0"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3">
    <w:name w:val="Grid Table 6 Colorful - Accent 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4">
    <w:name w:val="Grid Table 6 Colorful - Accent 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5">
    <w:name w:val="Grid Table 6 Colorful - Accent 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6">
    <w:name w:val="Grid Table 6 Colorful - Accent 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0" w:type="dxa"/>
        <w:bottom w:w="0" w:type="dxa"/>
        <w:right w:w="0"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7">
    <w:name w:val="Grid Table 6 Colorful - Accent 6"/>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68">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Grid Table 7 Colorful - Accent 1"/>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0" w:type="dxa"/>
        <w:bottom w:w="0" w:type="dxa"/>
        <w:right w:w="0"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70">
    <w:name w:val="Grid Table 7 Colorful - Accent 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1">
    <w:name w:val="Grid Table 7 Colorful - Accent 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72">
    <w:name w:val="Grid Table 7 Colorful - Accent 4"/>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3">
    <w:name w:val="Grid Table 7 Colorful - Accent 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0" w:type="dxa"/>
        <w:bottom w:w="0" w:type="dxa"/>
        <w:right w:w="0"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74">
    <w:name w:val="Grid Table 7 Colorful - Accent 6"/>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0" w:type="dxa"/>
        <w:bottom w:w="0" w:type="dxa"/>
        <w:right w:w="0"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7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7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7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8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8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82">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3">
    <w:name w:val="List Table 2 - Accent 1"/>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4">
    <w:name w:val="List Table 2 - Accent 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5">
    <w:name w:val="List Table 2 - Accent 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6">
    <w:name w:val="List Table 2 - Accent 4"/>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7">
    <w:name w:val="List Table 2 - Accent 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8">
    <w:name w:val="List Table 2 - Accent 6"/>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9">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90">
    <w:name w:val="List Table 3 - Accent 1"/>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91">
    <w:name w:val="List Table 3 - Accent 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92">
    <w:name w:val="List Table 3 - Accent 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93">
    <w:name w:val="List Table 3 - Accent 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94">
    <w:name w:val="List Table 3 - Accent 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95">
    <w:name w:val="List Table 3 - Accent 6"/>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96">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7">
    <w:name w:val="List Table 4 - Accent 1"/>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98">
    <w:name w:val="List Table 4 - Accent 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99">
    <w:name w:val="List Table 4 - Accent 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200">
    <w:name w:val="List Table 4 - Accent 4"/>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201">
    <w:name w:val="List Table 4 - Accent 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202">
    <w:name w:val="List Table 4 - Accent 6"/>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203">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4">
    <w:name w:val="List Table 5 Dark - Accent 1"/>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205">
    <w:name w:val="List Table 5 Dark - Accent 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206">
    <w:name w:val="List Table 5 Dark - Accent 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207">
    <w:name w:val="List Table 5 Dark - Accent 4"/>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208">
    <w:name w:val="List Table 5 Dark - Accent 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209">
    <w:name w:val="List Table 5 Dark - Accent 6"/>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10">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11">
    <w:name w:val="List Table 6 Colorful - Accent 1"/>
    <w:qFormat/>
    <w:uiPriority w:val="99"/>
    <w:tblPr>
      <w:tblBorders>
        <w:top w:val="single" w:color="5B9BD5" w:themeColor="accent1" w:sz="4" w:space="0"/>
        <w:bottom w:val="single" w:color="5B9BD5" w:themeColor="accent1" w:sz="4" w:space="0"/>
      </w:tblBorders>
      <w:tblCellMar>
        <w:top w:w="0" w:type="dxa"/>
        <w:left w:w="0" w:type="dxa"/>
        <w:bottom w:w="0" w:type="dxa"/>
        <w:right w:w="0"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12">
    <w:name w:val="List Table 6 Colorful - Accent 2"/>
    <w:qFormat/>
    <w:uiPriority w:val="99"/>
    <w:tblPr>
      <w:tblBorders>
        <w:top w:val="single" w:color="F4B285" w:themeColor="accent2" w:themeTint="97" w:sz="4" w:space="0"/>
        <w:bottom w:val="single" w:color="F4B285" w:themeColor="accent2" w:themeTint="97" w:sz="4" w:space="0"/>
      </w:tblBorders>
      <w:tblCellMar>
        <w:top w:w="0" w:type="dxa"/>
        <w:left w:w="0" w:type="dxa"/>
        <w:bottom w:w="0" w:type="dxa"/>
        <w:right w:w="0"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3">
    <w:name w:val="List Table 6 Colorful - Accent 3"/>
    <w:qFormat/>
    <w:uiPriority w:val="99"/>
    <w:tblPr>
      <w:tblBorders>
        <w:top w:val="single" w:color="C9C9C9" w:themeColor="accent3" w:themeTint="98" w:sz="4" w:space="0"/>
        <w:bottom w:val="single" w:color="C9C9C9" w:themeColor="accent3" w:themeTint="98" w:sz="4" w:space="0"/>
      </w:tblBorders>
      <w:tblCellMar>
        <w:top w:w="0" w:type="dxa"/>
        <w:left w:w="0" w:type="dxa"/>
        <w:bottom w:w="0" w:type="dxa"/>
        <w:right w:w="0"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4">
    <w:name w:val="List Table 6 Colorful - Accent 4"/>
    <w:qFormat/>
    <w:uiPriority w:val="99"/>
    <w:tblPr>
      <w:tblBorders>
        <w:top w:val="single" w:color="FFD864" w:themeColor="accent4" w:themeTint="9A" w:sz="4" w:space="0"/>
        <w:bottom w:val="single" w:color="FFD864" w:themeColor="accent4" w:themeTint="9A" w:sz="4" w:space="0"/>
      </w:tblBorders>
      <w:tblCellMar>
        <w:top w:w="0" w:type="dxa"/>
        <w:left w:w="0" w:type="dxa"/>
        <w:bottom w:w="0" w:type="dxa"/>
        <w:right w:w="0"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5">
    <w:name w:val="List Table 6 Colorful - Accent 5"/>
    <w:qFormat/>
    <w:uiPriority w:val="99"/>
    <w:tblPr>
      <w:tblBorders>
        <w:top w:val="single" w:color="8EA9DB" w:themeColor="accent5" w:themeTint="9A" w:sz="4" w:space="0"/>
        <w:bottom w:val="single" w:color="8EA9DB" w:themeColor="accent5" w:themeTint="9A" w:sz="4" w:space="0"/>
      </w:tblBorders>
      <w:tblCellMar>
        <w:top w:w="0" w:type="dxa"/>
        <w:left w:w="0" w:type="dxa"/>
        <w:bottom w:w="0" w:type="dxa"/>
        <w:right w:w="0"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16">
    <w:name w:val="List Table 6 Colorful - Accent 6"/>
    <w:qFormat/>
    <w:uiPriority w:val="99"/>
    <w:tblPr>
      <w:tblBorders>
        <w:top w:val="single" w:color="A9D08E" w:themeColor="accent6" w:themeTint="98" w:sz="4" w:space="0"/>
        <w:bottom w:val="single" w:color="A9D08E" w:themeColor="accent6" w:themeTint="98" w:sz="4" w:space="0"/>
      </w:tblBorders>
      <w:tblCellMar>
        <w:top w:w="0" w:type="dxa"/>
        <w:left w:w="0" w:type="dxa"/>
        <w:bottom w:w="0" w:type="dxa"/>
        <w:right w:w="0"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7">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8">
    <w:name w:val="List Table 7 Colorful - Accent 1"/>
    <w:qFormat/>
    <w:uiPriority w:val="99"/>
    <w:tblPr>
      <w:tblBorders>
        <w:right w:val="single" w:color="5B9BD5" w:themeColor="accent1" w:sz="4" w:space="0"/>
      </w:tblBorders>
      <w:tblCellMar>
        <w:top w:w="0" w:type="dxa"/>
        <w:left w:w="0" w:type="dxa"/>
        <w:bottom w:w="0" w:type="dxa"/>
        <w:right w:w="0"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19">
    <w:name w:val="List Table 7 Colorful - Accent 2"/>
    <w:qFormat/>
    <w:uiPriority w:val="99"/>
    <w:tblPr>
      <w:tblBorders>
        <w:right w:val="single" w:color="F4B285" w:themeColor="accent2" w:themeTint="97" w:sz="4" w:space="0"/>
      </w:tblBorders>
      <w:tblCellMar>
        <w:top w:w="0" w:type="dxa"/>
        <w:left w:w="0" w:type="dxa"/>
        <w:bottom w:w="0" w:type="dxa"/>
        <w:right w:w="0"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20">
    <w:name w:val="List Table 7 Colorful - Accent 3"/>
    <w:qFormat/>
    <w:uiPriority w:val="99"/>
    <w:tblPr>
      <w:tblBorders>
        <w:right w:val="single" w:color="C9C9C9" w:themeColor="accent3" w:themeTint="98" w:sz="4" w:space="0"/>
      </w:tblBorders>
      <w:tblCellMar>
        <w:top w:w="0" w:type="dxa"/>
        <w:left w:w="0" w:type="dxa"/>
        <w:bottom w:w="0" w:type="dxa"/>
        <w:right w:w="0"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21">
    <w:name w:val="List Table 7 Colorful - Accent 4"/>
    <w:qFormat/>
    <w:uiPriority w:val="99"/>
    <w:tblPr>
      <w:tblBorders>
        <w:right w:val="single" w:color="FFD864" w:themeColor="accent4" w:themeTint="9A" w:sz="4" w:space="0"/>
      </w:tblBorders>
      <w:tblCellMar>
        <w:top w:w="0" w:type="dxa"/>
        <w:left w:w="0" w:type="dxa"/>
        <w:bottom w:w="0" w:type="dxa"/>
        <w:right w:w="0"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22">
    <w:name w:val="List Table 7 Colorful - Accent 5"/>
    <w:qFormat/>
    <w:uiPriority w:val="99"/>
    <w:tblPr>
      <w:tblBorders>
        <w:right w:val="single" w:color="8EA9DB" w:themeColor="accent5" w:themeTint="9A" w:sz="4" w:space="0"/>
      </w:tblBorders>
      <w:tblCellMar>
        <w:top w:w="0" w:type="dxa"/>
        <w:left w:w="0" w:type="dxa"/>
        <w:bottom w:w="0" w:type="dxa"/>
        <w:right w:w="0"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23">
    <w:name w:val="List Table 7 Colorful - Accent 6"/>
    <w:qFormat/>
    <w:uiPriority w:val="99"/>
    <w:tblPr>
      <w:tblBorders>
        <w:right w:val="single" w:color="A9D08E" w:themeColor="accent6" w:themeTint="98" w:sz="4" w:space="0"/>
      </w:tblBorders>
      <w:tblCellMar>
        <w:top w:w="0" w:type="dxa"/>
        <w:left w:w="0" w:type="dxa"/>
        <w:bottom w:w="0" w:type="dxa"/>
        <w:right w:w="0"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2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3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3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2">
    <w:name w:val="Bordered &amp; Lined - Accent 1"/>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33">
    <w:name w:val="Bordered &amp; Lined - Accent 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34">
    <w:name w:val="Bordered &amp; Lined - Accent 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35">
    <w:name w:val="Bordered &amp; Lined - Accent 4"/>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36">
    <w:name w:val="Bordered &amp; Lined - Accent 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37">
    <w:name w:val="Bordered &amp; Lined - Accent 6"/>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3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9">
    <w:name w:val="Bordered - Accent 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40">
    <w:name w:val="Bordered - Accent 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41">
    <w:name w:val="Bordered - Accent 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42">
    <w:name w:val="Bordered - Accent 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43">
    <w:name w:val="Bordered - Accent 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44">
    <w:name w:val="Bordered - Accent 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45">
    <w:name w:val="脚注文本 字符"/>
    <w:basedOn w:val="52"/>
    <w:link w:val="38"/>
    <w:qFormat/>
    <w:uiPriority w:val="99"/>
    <w:rPr>
      <w:sz w:val="18"/>
      <w:szCs w:val="21"/>
    </w:rPr>
  </w:style>
  <w:style w:type="character" w:customStyle="1" w:styleId="246">
    <w:name w:val="尾注文本 字符"/>
    <w:basedOn w:val="52"/>
    <w:link w:val="30"/>
    <w:qFormat/>
    <w:uiPriority w:val="99"/>
    <w:rPr>
      <w:szCs w:val="21"/>
    </w:rPr>
  </w:style>
  <w:style w:type="paragraph" w:customStyle="1" w:styleId="247">
    <w:name w:val="TOC 标题1"/>
    <w:unhideWhenUsed/>
    <w:qFormat/>
    <w:uiPriority w:val="39"/>
    <w:rPr>
      <w:rFonts w:hint="default" w:ascii="Times New Roman" w:hAnsi="Times New Roman" w:eastAsia="宋体" w:cs="Times New Roman"/>
    </w:rPr>
  </w:style>
  <w:style w:type="character" w:customStyle="1" w:styleId="248">
    <w:name w:val="正文缩进 字符"/>
    <w:link w:val="5"/>
    <w:qFormat/>
    <w:uiPriority w:val="0"/>
    <w:rPr>
      <w:rFonts w:asciiTheme="minorHAnsi" w:hAnsiTheme="minorHAnsi" w:eastAsiaTheme="minorEastAsia" w:cstheme="minorBidi"/>
      <w:sz w:val="21"/>
      <w:szCs w:val="24"/>
    </w:rPr>
  </w:style>
  <w:style w:type="character" w:customStyle="1" w:styleId="249">
    <w:name w:val="文档结构图 Char"/>
    <w:basedOn w:val="52"/>
    <w:qFormat/>
    <w:uiPriority w:val="0"/>
    <w:rPr>
      <w:rFonts w:ascii="宋体" w:hAnsiTheme="minorHAnsi" w:cstheme="minorBidi"/>
      <w:sz w:val="18"/>
      <w:szCs w:val="18"/>
    </w:rPr>
  </w:style>
  <w:style w:type="character" w:customStyle="1" w:styleId="250">
    <w:name w:val="文档结构图 字符"/>
    <w:link w:val="15"/>
    <w:qFormat/>
    <w:uiPriority w:val="0"/>
    <w:rPr>
      <w:sz w:val="21"/>
      <w:szCs w:val="21"/>
      <w:shd w:val="clear" w:color="auto" w:fill="000080"/>
    </w:rPr>
  </w:style>
  <w:style w:type="character" w:customStyle="1" w:styleId="251">
    <w:name w:val="批注文字 字符1"/>
    <w:basedOn w:val="52"/>
    <w:link w:val="16"/>
    <w:qFormat/>
    <w:uiPriority w:val="0"/>
    <w:rPr>
      <w:sz w:val="21"/>
      <w:szCs w:val="21"/>
      <w:lang w:eastAsia="en-US"/>
    </w:rPr>
  </w:style>
  <w:style w:type="character" w:customStyle="1" w:styleId="252">
    <w:name w:val="正文文本 3 字符1"/>
    <w:basedOn w:val="52"/>
    <w:link w:val="17"/>
    <w:qFormat/>
    <w:uiPriority w:val="0"/>
    <w:rPr>
      <w:rFonts w:ascii="仿宋_GB2312" w:hAnsi="Arial" w:eastAsia="仿宋_GB2312"/>
      <w:sz w:val="32"/>
      <w:szCs w:val="32"/>
      <w:lang w:eastAsia="en-US"/>
    </w:rPr>
  </w:style>
  <w:style w:type="character" w:customStyle="1" w:styleId="253">
    <w:name w:val="正文文本 字符1"/>
    <w:basedOn w:val="52"/>
    <w:link w:val="18"/>
    <w:qFormat/>
    <w:uiPriority w:val="0"/>
    <w:rPr>
      <w:rFonts w:ascii="楷体_GB2312" w:hAnsi="Arial" w:eastAsia="楷体_GB2312"/>
      <w:sz w:val="28"/>
      <w:szCs w:val="28"/>
      <w:lang w:eastAsia="en-US"/>
    </w:rPr>
  </w:style>
  <w:style w:type="character" w:customStyle="1" w:styleId="254">
    <w:name w:val="正文文本缩进 字符1"/>
    <w:basedOn w:val="52"/>
    <w:link w:val="20"/>
    <w:qFormat/>
    <w:uiPriority w:val="0"/>
    <w:rPr>
      <w:rFonts w:ascii="楷体_GB2312" w:eastAsia="楷体_GB2312"/>
      <w:sz w:val="32"/>
      <w:szCs w:val="32"/>
      <w:lang w:eastAsia="en-US"/>
    </w:rPr>
  </w:style>
  <w:style w:type="character" w:customStyle="1" w:styleId="255">
    <w:name w:val="纯文本 Char"/>
    <w:basedOn w:val="52"/>
    <w:qFormat/>
    <w:uiPriority w:val="99"/>
    <w:rPr>
      <w:rFonts w:ascii="宋体" w:hAnsi="Courier New" w:cs="Courier New"/>
      <w:sz w:val="21"/>
      <w:szCs w:val="21"/>
    </w:rPr>
  </w:style>
  <w:style w:type="character" w:customStyle="1" w:styleId="256">
    <w:name w:val="纯文本 字符"/>
    <w:link w:val="26"/>
    <w:qFormat/>
    <w:uiPriority w:val="0"/>
    <w:rPr>
      <w:rFonts w:ascii="宋体" w:hAnsi="Courier New"/>
      <w:sz w:val="21"/>
      <w:szCs w:val="21"/>
      <w:lang w:eastAsia="en-US"/>
    </w:rPr>
  </w:style>
  <w:style w:type="character" w:customStyle="1" w:styleId="257">
    <w:name w:val="日期 字符1"/>
    <w:basedOn w:val="52"/>
    <w:link w:val="28"/>
    <w:qFormat/>
    <w:uiPriority w:val="0"/>
    <w:rPr>
      <w:sz w:val="24"/>
      <w:szCs w:val="24"/>
      <w:lang w:eastAsia="en-US"/>
    </w:rPr>
  </w:style>
  <w:style w:type="character" w:customStyle="1" w:styleId="258">
    <w:name w:val="正文文本缩进 2 字符1"/>
    <w:basedOn w:val="52"/>
    <w:link w:val="29"/>
    <w:qFormat/>
    <w:uiPriority w:val="0"/>
    <w:rPr>
      <w:rFonts w:ascii="Arial" w:hAnsi="Arial" w:eastAsia="仿宋_GB2312"/>
      <w:sz w:val="32"/>
      <w:szCs w:val="32"/>
      <w:lang w:eastAsia="en-US"/>
    </w:rPr>
  </w:style>
  <w:style w:type="character" w:customStyle="1" w:styleId="259">
    <w:name w:val="批注框文本 字符1"/>
    <w:basedOn w:val="52"/>
    <w:link w:val="31"/>
    <w:qFormat/>
    <w:uiPriority w:val="99"/>
    <w:rPr>
      <w:sz w:val="18"/>
      <w:szCs w:val="18"/>
      <w:lang w:eastAsia="en-US"/>
    </w:rPr>
  </w:style>
  <w:style w:type="character" w:customStyle="1" w:styleId="260">
    <w:name w:val="正文文本缩进 3 字符1"/>
    <w:basedOn w:val="52"/>
    <w:link w:val="40"/>
    <w:qFormat/>
    <w:uiPriority w:val="0"/>
    <w:rPr>
      <w:rFonts w:ascii="Arial" w:hAnsi="Arial" w:eastAsia="仿宋_GB2312"/>
      <w:color w:val="FFFF00"/>
      <w:sz w:val="32"/>
      <w:szCs w:val="32"/>
      <w:lang w:eastAsia="en-US"/>
    </w:rPr>
  </w:style>
  <w:style w:type="character" w:customStyle="1" w:styleId="261">
    <w:name w:val="正文文本 2 字符1"/>
    <w:basedOn w:val="52"/>
    <w:link w:val="43"/>
    <w:qFormat/>
    <w:uiPriority w:val="0"/>
    <w:rPr>
      <w:rFonts w:ascii="楷体_GB2312" w:eastAsia="楷体_GB2312"/>
      <w:sz w:val="28"/>
      <w:szCs w:val="28"/>
      <w:lang w:eastAsia="en-US"/>
    </w:rPr>
  </w:style>
  <w:style w:type="character" w:customStyle="1" w:styleId="262">
    <w:name w:val="批注主题 字符1"/>
    <w:basedOn w:val="251"/>
    <w:link w:val="47"/>
    <w:qFormat/>
    <w:uiPriority w:val="0"/>
    <w:rPr>
      <w:b/>
      <w:bCs/>
      <w:sz w:val="21"/>
      <w:szCs w:val="21"/>
      <w:lang w:eastAsia="en-US"/>
    </w:rPr>
  </w:style>
  <w:style w:type="paragraph" w:customStyle="1" w:styleId="263">
    <w:name w:val="正文文本首行缩进1"/>
    <w:basedOn w:val="1"/>
    <w:link w:val="264"/>
    <w:qFormat/>
    <w:uiPriority w:val="99"/>
    <w:pPr>
      <w:spacing w:line="360" w:lineRule="auto"/>
      <w:ind w:firstLine="200"/>
    </w:pPr>
    <w:rPr>
      <w:rFonts w:ascii="仿宋_GB2312" w:hAnsi="Times New Roman" w:eastAsia="仿宋_GB2312" w:cs="Times New Roman"/>
      <w:sz w:val="30"/>
      <w:szCs w:val="30"/>
      <w:lang w:eastAsia="en-US"/>
    </w:rPr>
  </w:style>
  <w:style w:type="character" w:customStyle="1" w:styleId="264">
    <w:name w:val="正文首行缩进 Char"/>
    <w:link w:val="263"/>
    <w:qFormat/>
    <w:uiPriority w:val="99"/>
    <w:rPr>
      <w:rFonts w:ascii="仿宋_GB2312" w:eastAsia="仿宋_GB2312"/>
      <w:sz w:val="30"/>
      <w:szCs w:val="30"/>
      <w:lang w:eastAsia="en-US"/>
    </w:rPr>
  </w:style>
  <w:style w:type="paragraph" w:customStyle="1" w:styleId="265">
    <w:name w:val="正文文本首行缩进 21"/>
    <w:basedOn w:val="20"/>
    <w:link w:val="266"/>
    <w:qFormat/>
    <w:uiPriority w:val="99"/>
    <w:pPr>
      <w:spacing w:line="360" w:lineRule="auto"/>
      <w:ind w:firstLine="420"/>
    </w:pPr>
    <w:rPr>
      <w:rFonts w:ascii="宋体" w:hAnsi="宋体" w:eastAsia="宋体"/>
      <w:sz w:val="21"/>
      <w:szCs w:val="20"/>
    </w:rPr>
  </w:style>
  <w:style w:type="character" w:customStyle="1" w:styleId="266">
    <w:name w:val="正文首行缩进 2 Char"/>
    <w:link w:val="265"/>
    <w:qFormat/>
    <w:uiPriority w:val="99"/>
    <w:rPr>
      <w:rFonts w:ascii="宋体" w:hAnsi="宋体"/>
      <w:sz w:val="21"/>
      <w:lang w:eastAsia="en-US"/>
    </w:rPr>
  </w:style>
  <w:style w:type="paragraph" w:customStyle="1" w:styleId="267">
    <w:name w:val="Default"/>
    <w:unhideWhenUsed/>
    <w:qFormat/>
    <w:uiPriority w:val="99"/>
    <w:pPr>
      <w:widowControl w:val="0"/>
    </w:pPr>
    <w:rPr>
      <w:rFonts w:hint="eastAsia" w:ascii="仿宋_GB2312" w:hAnsi="仿宋_GB2312" w:eastAsia="仿宋_GB2312" w:cs="Times New Roman"/>
      <w:color w:val="000000"/>
      <w:sz w:val="24"/>
    </w:rPr>
  </w:style>
  <w:style w:type="character" w:customStyle="1" w:styleId="268">
    <w:name w:val="font5 Char"/>
    <w:qFormat/>
    <w:uiPriority w:val="0"/>
    <w:rPr>
      <w:rFonts w:ascii="宋体" w:hAnsi="宋体" w:eastAsia="宋体"/>
      <w:sz w:val="28"/>
      <w:szCs w:val="28"/>
      <w:lang w:val="en-US" w:eastAsia="zh-CN" w:bidi="ar-SA"/>
    </w:rPr>
  </w:style>
  <w:style w:type="character" w:customStyle="1" w:styleId="269">
    <w:name w:val="apple-converted-space"/>
    <w:qFormat/>
    <w:uiPriority w:val="99"/>
  </w:style>
  <w:style w:type="character" w:customStyle="1" w:styleId="270">
    <w:name w:val="列出段落 Char"/>
    <w:link w:val="271"/>
    <w:qFormat/>
    <w:uiPriority w:val="0"/>
    <w:rPr>
      <w:rFonts w:ascii="Calibri" w:hAnsi="Calibri"/>
      <w:sz w:val="24"/>
      <w:szCs w:val="24"/>
      <w:lang w:eastAsia="en-US" w:bidi="en-US"/>
    </w:rPr>
  </w:style>
  <w:style w:type="paragraph" w:customStyle="1" w:styleId="271">
    <w:name w:val="列出段落1"/>
    <w:basedOn w:val="1"/>
    <w:link w:val="270"/>
    <w:qFormat/>
    <w:uiPriority w:val="0"/>
    <w:pPr>
      <w:widowControl/>
      <w:ind w:left="720"/>
      <w:contextualSpacing/>
      <w:jc w:val="left"/>
    </w:pPr>
    <w:rPr>
      <w:rFonts w:ascii="Calibri" w:hAnsi="Calibri" w:eastAsia="宋体" w:cs="Times New Roman"/>
      <w:sz w:val="24"/>
      <w:lang w:eastAsia="en-US" w:bidi="en-US"/>
    </w:rPr>
  </w:style>
  <w:style w:type="character" w:customStyle="1" w:styleId="272">
    <w:name w:val="Char Char Char Char Char"/>
    <w:link w:val="273"/>
    <w:qFormat/>
    <w:uiPriority w:val="0"/>
    <w:rPr>
      <w:rFonts w:ascii="Tahoma" w:hAnsi="Tahoma"/>
      <w:sz w:val="24"/>
      <w:szCs w:val="24"/>
      <w:shd w:val="clear" w:color="auto" w:fill="000080"/>
    </w:rPr>
  </w:style>
  <w:style w:type="paragraph" w:customStyle="1" w:styleId="273">
    <w:name w:val="Char Char Char Char"/>
    <w:basedOn w:val="15"/>
    <w:link w:val="272"/>
    <w:qFormat/>
    <w:uiPriority w:val="0"/>
    <w:pPr>
      <w:spacing w:line="360" w:lineRule="auto"/>
    </w:pPr>
    <w:rPr>
      <w:rFonts w:ascii="Tahoma" w:hAnsi="Tahoma"/>
      <w:sz w:val="24"/>
      <w:szCs w:val="24"/>
    </w:rPr>
  </w:style>
  <w:style w:type="character" w:customStyle="1" w:styleId="274">
    <w:name w:val="二级目录 Char"/>
    <w:link w:val="275"/>
    <w:qFormat/>
    <w:uiPriority w:val="0"/>
    <w:rPr>
      <w:b/>
      <w:sz w:val="30"/>
      <w:szCs w:val="28"/>
    </w:rPr>
  </w:style>
  <w:style w:type="paragraph" w:customStyle="1" w:styleId="275">
    <w:name w:val="二级目录"/>
    <w:next w:val="1"/>
    <w:link w:val="274"/>
    <w:qFormat/>
    <w:uiPriority w:val="0"/>
    <w:pPr>
      <w:numPr>
        <w:ilvl w:val="0"/>
        <w:numId w:val="2"/>
      </w:numPr>
      <w:tabs>
        <w:tab w:val="left" w:pos="1145"/>
      </w:tabs>
      <w:outlineLvl w:val="1"/>
    </w:pPr>
    <w:rPr>
      <w:rFonts w:hint="default" w:ascii="Times New Roman" w:hAnsi="Times New Roman" w:eastAsia="宋体" w:cs="Times New Roman"/>
      <w:b/>
      <w:sz w:val="30"/>
      <w:szCs w:val="28"/>
    </w:rPr>
  </w:style>
  <w:style w:type="paragraph" w:customStyle="1" w:styleId="276">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77">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78">
    <w:name w:val="Body Text(ch)"/>
    <w:basedOn w:val="1"/>
    <w:next w:val="18"/>
    <w:qFormat/>
    <w:uiPriority w:val="0"/>
    <w:pPr>
      <w:spacing w:after="120"/>
    </w:pPr>
    <w:rPr>
      <w:rFonts w:ascii="宋体" w:hAnsi="Arial" w:eastAsia="宋体" w:cs="Times New Roman"/>
      <w:bCs/>
      <w:iCs/>
    </w:rPr>
  </w:style>
  <w:style w:type="paragraph" w:customStyle="1" w:styleId="279">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280">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8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28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83">
    <w:name w:val="普通 (Web)"/>
    <w:basedOn w:val="1"/>
    <w:qFormat/>
    <w:uiPriority w:val="0"/>
    <w:pPr>
      <w:widowControl/>
      <w:spacing w:before="100" w:beforeAutospacing="1" w:after="100" w:afterAutospacing="1"/>
      <w:jc w:val="left"/>
    </w:pPr>
    <w:rPr>
      <w:rFonts w:ascii="宋体" w:hAnsi="宋体" w:eastAsia="宋体" w:cs="Times New Roman"/>
      <w:sz w:val="24"/>
    </w:rPr>
  </w:style>
  <w:style w:type="paragraph" w:customStyle="1" w:styleId="284">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85">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86">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87">
    <w:name w:val="列表段落1"/>
    <w:basedOn w:val="1"/>
    <w:qFormat/>
    <w:uiPriority w:val="34"/>
    <w:pPr>
      <w:widowControl/>
      <w:ind w:left="720"/>
      <w:contextualSpacing/>
      <w:jc w:val="left"/>
    </w:pPr>
    <w:rPr>
      <w:rFonts w:ascii="Calibri" w:hAnsi="Calibri" w:eastAsia="宋体" w:cs="Times New Roman"/>
      <w:sz w:val="24"/>
      <w:lang w:eastAsia="en-US" w:bidi="en-US"/>
    </w:rPr>
  </w:style>
  <w:style w:type="paragraph" w:customStyle="1" w:styleId="288">
    <w:name w:val="样式1"/>
    <w:basedOn w:val="1"/>
    <w:qFormat/>
    <w:uiPriority w:val="0"/>
    <w:pPr>
      <w:numPr>
        <w:ilvl w:val="0"/>
        <w:numId w:val="3"/>
      </w:numPr>
    </w:pPr>
    <w:rPr>
      <w:rFonts w:ascii="宋体" w:hAnsi="宋体" w:eastAsia="宋体" w:cs="Times New Roman"/>
      <w:szCs w:val="21"/>
    </w:rPr>
  </w:style>
  <w:style w:type="paragraph" w:customStyle="1" w:styleId="289">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9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9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rPr>
  </w:style>
  <w:style w:type="paragraph" w:customStyle="1" w:styleId="29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293">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4">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95">
    <w:name w:val="4"/>
    <w:basedOn w:val="1"/>
    <w:next w:val="40"/>
    <w:qFormat/>
    <w:uiPriority w:val="99"/>
    <w:pPr>
      <w:spacing w:line="360" w:lineRule="auto"/>
      <w:ind w:firstLine="420"/>
    </w:pPr>
    <w:rPr>
      <w:rFonts w:ascii="Times New Roman" w:hAnsi="Times New Roman" w:eastAsia="宋体" w:cs="Times New Roman"/>
      <w:color w:val="FF0000"/>
      <w:sz w:val="24"/>
    </w:rPr>
  </w:style>
  <w:style w:type="paragraph" w:customStyle="1" w:styleId="296">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9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29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rPr>
  </w:style>
  <w:style w:type="paragraph" w:customStyle="1" w:styleId="29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rPr>
  </w:style>
  <w:style w:type="paragraph" w:customStyle="1" w:styleId="300">
    <w:name w:val="_Style 3"/>
    <w:next w:val="40"/>
    <w:qFormat/>
    <w:uiPriority w:val="99"/>
    <w:pPr>
      <w:widowControl w:val="0"/>
      <w:jc w:val="both"/>
    </w:pPr>
    <w:rPr>
      <w:rFonts w:hint="default" w:ascii="Times New Roman" w:hAnsi="Times New Roman" w:eastAsia="宋体" w:cs="Times New Roman"/>
      <w:sz w:val="21"/>
      <w:szCs w:val="22"/>
    </w:rPr>
  </w:style>
  <w:style w:type="character" w:customStyle="1" w:styleId="301">
    <w:name w:val="未处理的提及1"/>
    <w:semiHidden/>
    <w:unhideWhenUsed/>
    <w:qFormat/>
    <w:uiPriority w:val="99"/>
    <w:rPr>
      <w:color w:val="605E5C"/>
      <w:shd w:val="clear" w:color="auto" w:fill="E1DFDD"/>
    </w:rPr>
  </w:style>
  <w:style w:type="paragraph" w:customStyle="1" w:styleId="302">
    <w:name w:val="msonormal"/>
    <w:basedOn w:val="1"/>
    <w:qFormat/>
    <w:uiPriority w:val="0"/>
    <w:pPr>
      <w:widowControl/>
      <w:spacing w:before="100" w:beforeAutospacing="1" w:after="100" w:afterAutospacing="1"/>
      <w:jc w:val="left"/>
    </w:pPr>
    <w:rPr>
      <w:rFonts w:ascii="宋体" w:hAnsi="宋体" w:eastAsia="宋体" w:cs="宋体"/>
      <w:sz w:val="24"/>
    </w:rPr>
  </w:style>
  <w:style w:type="paragraph" w:customStyle="1" w:styleId="303">
    <w:name w:val="font0"/>
    <w:basedOn w:val="1"/>
    <w:qFormat/>
    <w:uiPriority w:val="0"/>
    <w:pPr>
      <w:widowControl/>
      <w:spacing w:before="100" w:beforeAutospacing="1" w:after="100" w:afterAutospacing="1"/>
      <w:jc w:val="left"/>
    </w:pPr>
    <w:rPr>
      <w:rFonts w:ascii="宋体" w:hAnsi="宋体" w:eastAsia="宋体" w:cs="宋体"/>
      <w:color w:val="000000"/>
      <w:sz w:val="22"/>
      <w:szCs w:val="22"/>
    </w:rPr>
  </w:style>
  <w:style w:type="paragraph" w:customStyle="1" w:styleId="304">
    <w:name w:val="font1"/>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305">
    <w:name w:val="font2"/>
    <w:basedOn w:val="1"/>
    <w:qFormat/>
    <w:uiPriority w:val="0"/>
    <w:pPr>
      <w:widowControl/>
      <w:spacing w:before="100" w:beforeAutospacing="1" w:after="100" w:afterAutospacing="1"/>
      <w:jc w:val="left"/>
    </w:pPr>
    <w:rPr>
      <w:rFonts w:ascii="宋体" w:hAnsi="宋体" w:eastAsia="宋体" w:cs="宋体"/>
      <w:color w:val="FF0000"/>
      <w:sz w:val="18"/>
      <w:szCs w:val="18"/>
    </w:rPr>
  </w:style>
  <w:style w:type="paragraph" w:customStyle="1" w:styleId="306">
    <w:name w:val="font3"/>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307">
    <w:name w:val="font4"/>
    <w:basedOn w:val="1"/>
    <w:qFormat/>
    <w:uiPriority w:val="0"/>
    <w:pPr>
      <w:widowControl/>
      <w:spacing w:before="100" w:beforeAutospacing="1" w:after="100" w:afterAutospacing="1"/>
      <w:jc w:val="left"/>
    </w:pPr>
    <w:rPr>
      <w:rFonts w:ascii="宋体" w:hAnsi="宋体" w:eastAsia="宋体" w:cs="宋体"/>
      <w:b/>
      <w:bCs/>
      <w:color w:val="000000"/>
      <w:sz w:val="18"/>
      <w:szCs w:val="18"/>
    </w:rPr>
  </w:style>
  <w:style w:type="paragraph" w:customStyle="1" w:styleId="308">
    <w:name w:val="font8"/>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309">
    <w:name w:val="font9"/>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310">
    <w:name w:val="font10"/>
    <w:basedOn w:val="1"/>
    <w:qFormat/>
    <w:uiPriority w:val="0"/>
    <w:pPr>
      <w:widowControl/>
      <w:spacing w:before="100" w:beforeAutospacing="1" w:after="100" w:afterAutospacing="1"/>
      <w:jc w:val="left"/>
    </w:pPr>
    <w:rPr>
      <w:rFonts w:ascii="宋体" w:hAnsi="宋体" w:eastAsia="宋体" w:cs="宋体"/>
      <w:color w:val="000000"/>
      <w:sz w:val="28"/>
      <w:szCs w:val="28"/>
    </w:rPr>
  </w:style>
  <w:style w:type="paragraph" w:customStyle="1" w:styleId="311">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312">
    <w:name w:val="font12"/>
    <w:basedOn w:val="1"/>
    <w:qFormat/>
    <w:uiPriority w:val="0"/>
    <w:pPr>
      <w:widowControl/>
      <w:spacing w:before="100" w:beforeAutospacing="1" w:after="100" w:afterAutospacing="1"/>
      <w:jc w:val="left"/>
    </w:pPr>
    <w:rPr>
      <w:rFonts w:ascii="宋体" w:hAnsi="宋体" w:eastAsia="宋体" w:cs="宋体"/>
      <w:color w:val="000000"/>
      <w:sz w:val="24"/>
    </w:rPr>
  </w:style>
  <w:style w:type="paragraph" w:customStyle="1" w:styleId="313">
    <w:name w:val="font13"/>
    <w:basedOn w:val="1"/>
    <w:qFormat/>
    <w:uiPriority w:val="0"/>
    <w:pPr>
      <w:widowControl/>
      <w:spacing w:before="100" w:beforeAutospacing="1" w:after="100" w:afterAutospacing="1"/>
      <w:jc w:val="left"/>
    </w:pPr>
    <w:rPr>
      <w:rFonts w:ascii="Times New Roman" w:hAnsi="Times New Roman" w:eastAsia="宋体" w:cs="Times New Roman"/>
      <w:color w:val="000000"/>
      <w:sz w:val="24"/>
    </w:rPr>
  </w:style>
  <w:style w:type="paragraph" w:customStyle="1" w:styleId="314">
    <w:name w:val="font14"/>
    <w:basedOn w:val="1"/>
    <w:qFormat/>
    <w:uiPriority w:val="0"/>
    <w:pPr>
      <w:widowControl/>
      <w:spacing w:before="100" w:beforeAutospacing="1" w:after="100" w:afterAutospacing="1"/>
      <w:jc w:val="left"/>
    </w:pPr>
    <w:rPr>
      <w:rFonts w:ascii="宋体" w:hAnsi="宋体" w:eastAsia="宋体" w:cs="宋体"/>
      <w:color w:val="000000"/>
      <w:sz w:val="22"/>
      <w:szCs w:val="22"/>
    </w:rPr>
  </w:style>
  <w:style w:type="paragraph" w:customStyle="1" w:styleId="315">
    <w:name w:val="font15"/>
    <w:basedOn w:val="1"/>
    <w:qFormat/>
    <w:uiPriority w:val="0"/>
    <w:pPr>
      <w:widowControl/>
      <w:spacing w:before="100" w:beforeAutospacing="1" w:after="100" w:afterAutospacing="1"/>
      <w:jc w:val="left"/>
    </w:pPr>
    <w:rPr>
      <w:rFonts w:ascii="宋体" w:hAnsi="宋体" w:eastAsia="宋体" w:cs="宋体"/>
      <w:color w:val="000000"/>
      <w:sz w:val="22"/>
      <w:szCs w:val="22"/>
    </w:rPr>
  </w:style>
  <w:style w:type="paragraph" w:customStyle="1" w:styleId="316">
    <w:name w:val="font16"/>
    <w:basedOn w:val="1"/>
    <w:qFormat/>
    <w:uiPriority w:val="0"/>
    <w:pPr>
      <w:widowControl/>
      <w:spacing w:before="100" w:beforeAutospacing="1" w:after="100" w:afterAutospacing="1"/>
      <w:jc w:val="left"/>
    </w:pPr>
    <w:rPr>
      <w:rFonts w:ascii="宋体" w:hAnsi="宋体" w:eastAsia="宋体" w:cs="宋体"/>
      <w:b/>
      <w:bCs/>
      <w:color w:val="FA7D00"/>
      <w:sz w:val="22"/>
      <w:szCs w:val="22"/>
    </w:rPr>
  </w:style>
  <w:style w:type="paragraph" w:customStyle="1" w:styleId="317">
    <w:name w:val="font17"/>
    <w:basedOn w:val="1"/>
    <w:qFormat/>
    <w:uiPriority w:val="0"/>
    <w:pPr>
      <w:widowControl/>
      <w:spacing w:before="100" w:beforeAutospacing="1" w:after="100" w:afterAutospacing="1"/>
      <w:jc w:val="left"/>
    </w:pPr>
    <w:rPr>
      <w:rFonts w:ascii="Calibri" w:hAnsi="Calibri" w:eastAsia="宋体" w:cs="Calibri"/>
      <w:color w:val="000000"/>
      <w:sz w:val="18"/>
      <w:szCs w:val="18"/>
    </w:rPr>
  </w:style>
  <w:style w:type="paragraph" w:customStyle="1" w:styleId="318">
    <w:name w:val="font18"/>
    <w:basedOn w:val="1"/>
    <w:qFormat/>
    <w:uiPriority w:val="0"/>
    <w:pPr>
      <w:widowControl/>
      <w:spacing w:before="100" w:beforeAutospacing="1" w:after="100" w:afterAutospacing="1"/>
      <w:jc w:val="left"/>
    </w:pPr>
    <w:rPr>
      <w:rFonts w:ascii="宋体" w:hAnsi="宋体" w:eastAsia="宋体" w:cs="宋体"/>
      <w:color w:val="000000"/>
      <w:sz w:val="18"/>
      <w:szCs w:val="18"/>
      <w:vertAlign w:val="superscript"/>
    </w:rPr>
  </w:style>
  <w:style w:type="paragraph" w:customStyle="1" w:styleId="319">
    <w:name w:val="font19"/>
    <w:basedOn w:val="1"/>
    <w:qFormat/>
    <w:uiPriority w:val="0"/>
    <w:pPr>
      <w:widowControl/>
      <w:spacing w:before="100" w:beforeAutospacing="1" w:after="100" w:afterAutospacing="1"/>
      <w:jc w:val="left"/>
    </w:pPr>
    <w:rPr>
      <w:rFonts w:ascii="Times New Roman" w:hAnsi="Times New Roman" w:eastAsia="宋体" w:cs="Times New Roman"/>
      <w:color w:val="000000"/>
      <w:sz w:val="18"/>
      <w:szCs w:val="18"/>
    </w:rPr>
  </w:style>
  <w:style w:type="paragraph" w:customStyle="1" w:styleId="320">
    <w:name w:val="font20"/>
    <w:basedOn w:val="1"/>
    <w:qFormat/>
    <w:uiPriority w:val="0"/>
    <w:pPr>
      <w:widowControl/>
      <w:spacing w:before="100" w:beforeAutospacing="1" w:after="100" w:afterAutospacing="1"/>
      <w:jc w:val="left"/>
    </w:pPr>
    <w:rPr>
      <w:rFonts w:ascii="Calibri" w:hAnsi="Calibri" w:eastAsia="宋体" w:cs="Calibri"/>
      <w:color w:val="000000"/>
      <w:sz w:val="18"/>
      <w:szCs w:val="18"/>
    </w:rPr>
  </w:style>
  <w:style w:type="paragraph" w:customStyle="1" w:styleId="321">
    <w:name w:val="font21"/>
    <w:basedOn w:val="1"/>
    <w:qFormat/>
    <w:uiPriority w:val="0"/>
    <w:pPr>
      <w:widowControl/>
      <w:spacing w:before="100" w:beforeAutospacing="1" w:after="100" w:afterAutospacing="1"/>
      <w:jc w:val="left"/>
    </w:pPr>
    <w:rPr>
      <w:rFonts w:ascii="等线" w:hAnsi="等线" w:eastAsia="等线" w:cs="宋体"/>
      <w:color w:val="000000"/>
      <w:sz w:val="18"/>
      <w:szCs w:val="18"/>
    </w:rPr>
  </w:style>
  <w:style w:type="paragraph" w:customStyle="1" w:styleId="322">
    <w:name w:val="font22"/>
    <w:basedOn w:val="1"/>
    <w:qFormat/>
    <w:uiPriority w:val="0"/>
    <w:pPr>
      <w:widowControl/>
      <w:spacing w:before="100" w:beforeAutospacing="1" w:after="100" w:afterAutospacing="1"/>
      <w:jc w:val="left"/>
    </w:pPr>
    <w:rPr>
      <w:rFonts w:ascii="Segoe UI Symbol" w:hAnsi="Segoe UI Symbol" w:eastAsia="宋体" w:cs="宋体"/>
      <w:color w:val="000000"/>
      <w:sz w:val="20"/>
      <w:szCs w:val="20"/>
    </w:rPr>
  </w:style>
  <w:style w:type="paragraph" w:customStyle="1" w:styleId="323">
    <w:name w:val="font23"/>
    <w:basedOn w:val="1"/>
    <w:qFormat/>
    <w:uiPriority w:val="0"/>
    <w:pPr>
      <w:widowControl/>
      <w:spacing w:before="100" w:beforeAutospacing="1" w:after="100" w:afterAutospacing="1"/>
      <w:jc w:val="left"/>
    </w:pPr>
    <w:rPr>
      <w:rFonts w:ascii="Segoe UI Symbol" w:hAnsi="Segoe UI Symbol" w:eastAsia="宋体" w:cs="宋体"/>
      <w:color w:val="000000"/>
      <w:sz w:val="18"/>
      <w:szCs w:val="18"/>
    </w:rPr>
  </w:style>
  <w:style w:type="paragraph" w:customStyle="1" w:styleId="324">
    <w:name w:val="et14"/>
    <w:basedOn w:val="1"/>
    <w:qFormat/>
    <w:uiPriority w:val="0"/>
    <w:pPr>
      <w:widowControl/>
      <w:spacing w:before="100" w:beforeAutospacing="1" w:after="100" w:afterAutospacing="1"/>
      <w:jc w:val="center"/>
    </w:pPr>
    <w:rPr>
      <w:rFonts w:ascii="宋体" w:hAnsi="宋体" w:eastAsia="宋体" w:cs="宋体"/>
      <w:color w:val="000000"/>
      <w:sz w:val="18"/>
      <w:szCs w:val="18"/>
    </w:rPr>
  </w:style>
  <w:style w:type="paragraph" w:customStyle="1" w:styleId="325">
    <w:name w:val="et15"/>
    <w:basedOn w:val="1"/>
    <w:qFormat/>
    <w:uiPriority w:val="0"/>
    <w:pPr>
      <w:widowControl/>
      <w:spacing w:before="100" w:beforeAutospacing="1" w:after="100" w:afterAutospacing="1"/>
      <w:jc w:val="center"/>
    </w:pPr>
    <w:rPr>
      <w:rFonts w:ascii="宋体" w:hAnsi="宋体" w:eastAsia="宋体" w:cs="宋体"/>
      <w:color w:val="000000"/>
      <w:sz w:val="18"/>
      <w:szCs w:val="18"/>
    </w:rPr>
  </w:style>
  <w:style w:type="paragraph" w:customStyle="1" w:styleId="326">
    <w:name w:val="et16"/>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327">
    <w:name w:val="et17"/>
    <w:basedOn w:val="1"/>
    <w:qFormat/>
    <w:uiPriority w:val="0"/>
    <w:pPr>
      <w:widowControl/>
      <w:spacing w:before="100" w:beforeAutospacing="1" w:after="100" w:afterAutospacing="1"/>
      <w:jc w:val="center"/>
    </w:pPr>
    <w:rPr>
      <w:rFonts w:ascii="宋体" w:hAnsi="宋体" w:eastAsia="宋体" w:cs="宋体"/>
      <w:color w:val="000000"/>
      <w:sz w:val="18"/>
      <w:szCs w:val="18"/>
    </w:rPr>
  </w:style>
  <w:style w:type="paragraph" w:customStyle="1" w:styleId="328">
    <w:name w:val="et18"/>
    <w:basedOn w:val="1"/>
    <w:qFormat/>
    <w:uiPriority w:val="0"/>
    <w:pPr>
      <w:widowControl/>
      <w:spacing w:before="100" w:beforeAutospacing="1" w:after="100" w:afterAutospacing="1"/>
      <w:jc w:val="left"/>
    </w:pPr>
    <w:rPr>
      <w:rFonts w:ascii="宋体" w:hAnsi="宋体" w:eastAsia="宋体" w:cs="宋体"/>
      <w:color w:val="FF0000"/>
      <w:sz w:val="18"/>
      <w:szCs w:val="18"/>
    </w:rPr>
  </w:style>
  <w:style w:type="paragraph" w:customStyle="1" w:styleId="329">
    <w:name w:val="et19"/>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330">
    <w:name w:val="et20"/>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331">
    <w:name w:val="et21"/>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32">
    <w:name w:val="et22"/>
    <w:basedOn w:val="1"/>
    <w:qFormat/>
    <w:uiPriority w:val="0"/>
    <w:pPr>
      <w:widowControl/>
      <w:pBdr>
        <w:bottom w:val="single" w:color="000000" w:sz="4" w:space="0"/>
      </w:pBdr>
      <w:spacing w:before="100" w:beforeAutospacing="1" w:after="100" w:afterAutospacing="1"/>
      <w:jc w:val="center"/>
    </w:pPr>
    <w:rPr>
      <w:rFonts w:ascii="宋体" w:hAnsi="宋体" w:eastAsia="宋体" w:cs="宋体"/>
      <w:b/>
      <w:bCs/>
      <w:color w:val="000000"/>
      <w:sz w:val="18"/>
      <w:szCs w:val="18"/>
    </w:rPr>
  </w:style>
  <w:style w:type="paragraph" w:customStyle="1" w:styleId="333">
    <w:name w:val="et23"/>
    <w:basedOn w:val="1"/>
    <w:qFormat/>
    <w:uiPriority w:val="0"/>
    <w:pPr>
      <w:widowControl/>
      <w:pBdr>
        <w:bottom w:val="single" w:color="000000" w:sz="4" w:space="0"/>
      </w:pBdr>
      <w:spacing w:before="100" w:beforeAutospacing="1" w:after="100" w:afterAutospacing="1"/>
      <w:jc w:val="center"/>
    </w:pPr>
    <w:rPr>
      <w:rFonts w:ascii="宋体" w:hAnsi="宋体" w:eastAsia="宋体" w:cs="宋体"/>
      <w:b/>
      <w:bCs/>
      <w:color w:val="000000"/>
      <w:sz w:val="18"/>
      <w:szCs w:val="18"/>
    </w:rPr>
  </w:style>
  <w:style w:type="paragraph" w:customStyle="1" w:styleId="334">
    <w:name w:val="et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35">
    <w:name w:val="et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color w:val="000000"/>
      <w:sz w:val="18"/>
      <w:szCs w:val="18"/>
    </w:rPr>
  </w:style>
  <w:style w:type="paragraph" w:customStyle="1" w:styleId="336">
    <w:name w:val="et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color w:val="000000"/>
      <w:sz w:val="18"/>
      <w:szCs w:val="18"/>
    </w:rPr>
  </w:style>
  <w:style w:type="paragraph" w:customStyle="1" w:styleId="337">
    <w:name w:val="et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color w:val="000000"/>
      <w:sz w:val="18"/>
      <w:szCs w:val="18"/>
    </w:rPr>
  </w:style>
  <w:style w:type="paragraph" w:customStyle="1" w:styleId="338">
    <w:name w:val="et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39">
    <w:name w:val="et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340">
    <w:name w:val="et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341">
    <w:name w:val="et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42">
    <w:name w:val="et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43">
    <w:name w:val="et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344">
    <w:name w:val="et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45">
    <w:name w:val="et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346">
    <w:name w:val="et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47">
    <w:name w:val="et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48">
    <w:name w:val="et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349">
    <w:name w:val="et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50">
    <w:name w:val="et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18"/>
      <w:szCs w:val="18"/>
    </w:rPr>
  </w:style>
  <w:style w:type="paragraph" w:customStyle="1" w:styleId="351">
    <w:name w:val="et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18"/>
      <w:szCs w:val="18"/>
    </w:rPr>
  </w:style>
  <w:style w:type="paragraph" w:customStyle="1" w:styleId="352">
    <w:name w:val="et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FF0000"/>
      <w:sz w:val="18"/>
      <w:szCs w:val="18"/>
    </w:rPr>
  </w:style>
  <w:style w:type="paragraph" w:customStyle="1" w:styleId="353">
    <w:name w:val="et4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18"/>
      <w:szCs w:val="18"/>
    </w:rPr>
  </w:style>
  <w:style w:type="paragraph" w:customStyle="1" w:styleId="354">
    <w:name w:val="et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18"/>
      <w:szCs w:val="18"/>
    </w:rPr>
  </w:style>
  <w:style w:type="paragraph" w:customStyle="1" w:styleId="355">
    <w:name w:val="et4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18"/>
      <w:szCs w:val="18"/>
    </w:rPr>
  </w:style>
  <w:style w:type="paragraph" w:customStyle="1" w:styleId="356">
    <w:name w:val="et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357">
    <w:name w:val="et4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left"/>
    </w:pPr>
    <w:rPr>
      <w:rFonts w:ascii="宋体" w:hAnsi="宋体" w:eastAsia="宋体" w:cs="宋体"/>
      <w:color w:val="FF0000"/>
      <w:sz w:val="18"/>
      <w:szCs w:val="18"/>
    </w:rPr>
  </w:style>
  <w:style w:type="paragraph" w:customStyle="1" w:styleId="358">
    <w:name w:val="et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FF0000"/>
      <w:sz w:val="18"/>
      <w:szCs w:val="18"/>
    </w:rPr>
  </w:style>
  <w:style w:type="paragraph" w:customStyle="1" w:styleId="359">
    <w:name w:val="et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360">
    <w:name w:val="et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FF0000"/>
      <w:sz w:val="18"/>
      <w:szCs w:val="18"/>
    </w:rPr>
  </w:style>
  <w:style w:type="paragraph" w:customStyle="1" w:styleId="361">
    <w:name w:val="et5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color w:val="000000"/>
      <w:sz w:val="18"/>
      <w:szCs w:val="18"/>
    </w:rPr>
  </w:style>
  <w:style w:type="paragraph" w:customStyle="1" w:styleId="362">
    <w:name w:val="et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color w:val="000000"/>
      <w:sz w:val="18"/>
      <w:szCs w:val="18"/>
    </w:rPr>
  </w:style>
  <w:style w:type="paragraph" w:customStyle="1" w:styleId="363">
    <w:name w:val="et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364">
    <w:name w:val="et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65">
    <w:name w:val="et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66">
    <w:name w:val="et5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67">
    <w:name w:val="et5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color w:val="000000"/>
      <w:sz w:val="18"/>
      <w:szCs w:val="18"/>
    </w:rPr>
  </w:style>
  <w:style w:type="paragraph" w:customStyle="1" w:styleId="368">
    <w:name w:val="et5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color w:val="000000"/>
      <w:sz w:val="18"/>
      <w:szCs w:val="18"/>
    </w:rPr>
  </w:style>
  <w:style w:type="paragraph" w:customStyle="1" w:styleId="369">
    <w:name w:val="et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color w:val="000000"/>
      <w:sz w:val="18"/>
      <w:szCs w:val="18"/>
    </w:rPr>
  </w:style>
  <w:style w:type="paragraph" w:customStyle="1" w:styleId="370">
    <w:name w:val="et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371">
    <w:name w:val="et6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color w:val="000000"/>
      <w:sz w:val="18"/>
      <w:szCs w:val="18"/>
    </w:rPr>
  </w:style>
  <w:style w:type="paragraph" w:customStyle="1" w:styleId="372">
    <w:name w:val="et62"/>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73">
    <w:name w:val="et63"/>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74">
    <w:name w:val="et6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color w:val="000000"/>
      <w:sz w:val="18"/>
      <w:szCs w:val="18"/>
    </w:rPr>
  </w:style>
  <w:style w:type="paragraph" w:customStyle="1" w:styleId="375">
    <w:name w:val="et6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color w:val="000000"/>
      <w:sz w:val="18"/>
      <w:szCs w:val="18"/>
    </w:rPr>
  </w:style>
  <w:style w:type="paragraph" w:customStyle="1" w:styleId="376">
    <w:name w:val="et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18"/>
      <w:szCs w:val="18"/>
    </w:rPr>
  </w:style>
  <w:style w:type="paragraph" w:customStyle="1" w:styleId="377">
    <w:name w:val="et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78">
    <w:name w:val="et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24"/>
    </w:rPr>
  </w:style>
  <w:style w:type="paragraph" w:customStyle="1" w:styleId="379">
    <w:name w:val="et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80">
    <w:name w:val="et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FF0000"/>
      <w:sz w:val="18"/>
      <w:szCs w:val="18"/>
    </w:rPr>
  </w:style>
  <w:style w:type="paragraph" w:customStyle="1" w:styleId="381">
    <w:name w:val="et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382">
    <w:name w:val="et72"/>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83">
    <w:name w:val="et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84">
    <w:name w:val="et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18"/>
      <w:szCs w:val="18"/>
    </w:rPr>
  </w:style>
  <w:style w:type="paragraph" w:customStyle="1" w:styleId="385">
    <w:name w:val="et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18"/>
      <w:szCs w:val="18"/>
    </w:rPr>
  </w:style>
  <w:style w:type="paragraph" w:customStyle="1" w:styleId="386">
    <w:name w:val="et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8"/>
      <w:szCs w:val="18"/>
    </w:rPr>
  </w:style>
  <w:style w:type="paragraph" w:customStyle="1" w:styleId="387">
    <w:name w:val="et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18"/>
      <w:szCs w:val="18"/>
    </w:rPr>
  </w:style>
  <w:style w:type="paragraph" w:customStyle="1" w:styleId="388">
    <w:name w:val="et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18"/>
      <w:szCs w:val="18"/>
    </w:rPr>
  </w:style>
  <w:style w:type="paragraph" w:customStyle="1" w:styleId="389">
    <w:name w:val="et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90">
    <w:name w:val="et8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91">
    <w:name w:val="et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92">
    <w:name w:val="et82"/>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93">
    <w:name w:val="et8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394">
    <w:name w:val="et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20"/>
      <w:szCs w:val="20"/>
    </w:rPr>
  </w:style>
  <w:style w:type="paragraph" w:customStyle="1" w:styleId="395">
    <w:name w:val="et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396">
    <w:name w:val="et8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397">
    <w:name w:val="et8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color w:val="000000"/>
      <w:sz w:val="18"/>
      <w:szCs w:val="18"/>
    </w:rPr>
  </w:style>
  <w:style w:type="paragraph" w:customStyle="1" w:styleId="398">
    <w:name w:val="et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399">
    <w:name w:val="et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400">
    <w:name w:val="et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401">
    <w:name w:val="et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402">
    <w:name w:val="et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403">
    <w:name w:val="et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404">
    <w:name w:val="et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405">
    <w:name w:val="et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406">
    <w:name w:val="et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407">
    <w:name w:val="et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408">
    <w:name w:val="et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409">
    <w:name w:val="et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410">
    <w:name w:val="et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411">
    <w:name w:val="et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412">
    <w:name w:val="et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413">
    <w:name w:val="et103"/>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414">
    <w:name w:val="et10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415">
    <w:name w:val="et10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416">
    <w:name w:val="et10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417">
    <w:name w:val="et10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418">
    <w:name w:val="et10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419">
    <w:name w:val="et10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8"/>
      <w:szCs w:val="28"/>
    </w:rPr>
  </w:style>
  <w:style w:type="paragraph" w:customStyle="1" w:styleId="420">
    <w:name w:val="et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8"/>
      <w:szCs w:val="28"/>
    </w:rPr>
  </w:style>
  <w:style w:type="paragraph" w:customStyle="1" w:styleId="421">
    <w:name w:val="et111"/>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color w:val="000000"/>
      <w:sz w:val="18"/>
      <w:szCs w:val="18"/>
    </w:rPr>
  </w:style>
  <w:style w:type="paragraph" w:customStyle="1" w:styleId="422">
    <w:name w:val="et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423">
    <w:name w:val="et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424">
    <w:name w:val="et11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425">
    <w:name w:val="et11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426">
    <w:name w:val="et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427">
    <w:name w:val="et11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eastAsia="宋体" w:cs="宋体"/>
      <w:color w:val="000000"/>
      <w:sz w:val="20"/>
      <w:szCs w:val="20"/>
    </w:rPr>
  </w:style>
  <w:style w:type="paragraph" w:customStyle="1" w:styleId="428">
    <w:name w:val="et11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eastAsia="宋体" w:cs="宋体"/>
      <w:color w:val="000000"/>
      <w:sz w:val="20"/>
      <w:szCs w:val="20"/>
    </w:rPr>
  </w:style>
  <w:style w:type="paragraph" w:customStyle="1" w:styleId="429">
    <w:name w:val="et11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430">
    <w:name w:val="et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31">
    <w:name w:val="et12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432">
    <w:name w:val="et122"/>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33">
    <w:name w:val="et12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eastAsia="宋体" w:cs="宋体"/>
      <w:color w:val="000000"/>
      <w:sz w:val="20"/>
      <w:szCs w:val="20"/>
    </w:rPr>
  </w:style>
  <w:style w:type="paragraph" w:customStyle="1" w:styleId="434">
    <w:name w:val="et12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435">
    <w:name w:val="et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rPr>
  </w:style>
  <w:style w:type="paragraph" w:customStyle="1" w:styleId="436">
    <w:name w:val="et12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color w:val="000000"/>
      <w:sz w:val="18"/>
      <w:szCs w:val="18"/>
    </w:rPr>
  </w:style>
  <w:style w:type="paragraph" w:customStyle="1" w:styleId="437">
    <w:name w:val="et127"/>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color w:val="000000"/>
      <w:sz w:val="18"/>
      <w:szCs w:val="18"/>
    </w:rPr>
  </w:style>
  <w:style w:type="paragraph" w:customStyle="1" w:styleId="438">
    <w:name w:val="et1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character" w:customStyle="1" w:styleId="439">
    <w:name w:val="font110"/>
    <w:qFormat/>
    <w:uiPriority w:val="0"/>
    <w:rPr>
      <w:rFonts w:hint="eastAsia" w:ascii="宋体" w:hAnsi="宋体" w:eastAsia="宋体"/>
      <w:color w:val="000000"/>
      <w:sz w:val="18"/>
      <w:szCs w:val="18"/>
      <w:u w:val="none"/>
    </w:rPr>
  </w:style>
  <w:style w:type="character" w:customStyle="1" w:styleId="440">
    <w:name w:val="font171"/>
    <w:qFormat/>
    <w:uiPriority w:val="0"/>
    <w:rPr>
      <w:rFonts w:ascii="Calibri" w:hAnsi="Calibri" w:cs="Calibri"/>
      <w:color w:val="000000"/>
      <w:sz w:val="18"/>
      <w:szCs w:val="18"/>
      <w:u w:val="none"/>
    </w:rPr>
  </w:style>
  <w:style w:type="character" w:customStyle="1" w:styleId="441">
    <w:name w:val="font181"/>
    <w:qFormat/>
    <w:uiPriority w:val="0"/>
    <w:rPr>
      <w:rFonts w:hint="eastAsia" w:ascii="宋体" w:hAnsi="宋体" w:eastAsia="宋体"/>
      <w:color w:val="000000"/>
      <w:sz w:val="18"/>
      <w:szCs w:val="18"/>
      <w:u w:val="none"/>
      <w:vertAlign w:val="superscript"/>
    </w:rPr>
  </w:style>
  <w:style w:type="character" w:customStyle="1" w:styleId="442">
    <w:name w:val="font191"/>
    <w:qFormat/>
    <w:uiPriority w:val="0"/>
    <w:rPr>
      <w:rFonts w:ascii="Times New Roman" w:hAnsi="Times New Roman" w:cs="Times New Roman"/>
      <w:color w:val="000000"/>
      <w:sz w:val="18"/>
      <w:szCs w:val="18"/>
      <w:u w:val="none"/>
    </w:rPr>
  </w:style>
  <w:style w:type="character" w:customStyle="1" w:styleId="443">
    <w:name w:val="font201"/>
    <w:qFormat/>
    <w:uiPriority w:val="0"/>
    <w:rPr>
      <w:rFonts w:ascii="Calibri" w:hAnsi="Calibri" w:cs="Calibri"/>
      <w:color w:val="000000"/>
      <w:sz w:val="18"/>
      <w:szCs w:val="18"/>
      <w:u w:val="none"/>
    </w:rPr>
  </w:style>
  <w:style w:type="character" w:customStyle="1" w:styleId="444">
    <w:name w:val="font24"/>
    <w:qFormat/>
    <w:uiPriority w:val="0"/>
    <w:rPr>
      <w:rFonts w:hint="eastAsia" w:ascii="宋体" w:hAnsi="宋体" w:eastAsia="宋体"/>
      <w:color w:val="FF0000"/>
      <w:sz w:val="18"/>
      <w:szCs w:val="18"/>
      <w:u w:val="none"/>
    </w:rPr>
  </w:style>
  <w:style w:type="character" w:customStyle="1" w:styleId="445">
    <w:name w:val="font211"/>
    <w:qFormat/>
    <w:uiPriority w:val="0"/>
    <w:rPr>
      <w:rFonts w:hint="eastAsia" w:ascii="等线" w:hAnsi="等线" w:eastAsia="等线"/>
      <w:color w:val="000000"/>
      <w:sz w:val="18"/>
      <w:szCs w:val="18"/>
      <w:u w:val="none"/>
    </w:rPr>
  </w:style>
  <w:style w:type="character" w:customStyle="1" w:styleId="446">
    <w:name w:val="font81"/>
    <w:qFormat/>
    <w:uiPriority w:val="0"/>
    <w:rPr>
      <w:rFonts w:hint="eastAsia" w:ascii="宋体" w:hAnsi="宋体" w:eastAsia="宋体"/>
      <w:color w:val="000000"/>
      <w:sz w:val="20"/>
      <w:szCs w:val="20"/>
      <w:u w:val="none"/>
    </w:rPr>
  </w:style>
  <w:style w:type="character" w:customStyle="1" w:styleId="447">
    <w:name w:val="font221"/>
    <w:qFormat/>
    <w:uiPriority w:val="0"/>
    <w:rPr>
      <w:rFonts w:ascii="Segoe UI Symbol" w:hAnsi="Segoe UI Symbol"/>
      <w:color w:val="000000"/>
      <w:sz w:val="20"/>
      <w:szCs w:val="20"/>
      <w:u w:val="none"/>
    </w:rPr>
  </w:style>
  <w:style w:type="character" w:customStyle="1" w:styleId="448">
    <w:name w:val="font231"/>
    <w:qFormat/>
    <w:uiPriority w:val="0"/>
    <w:rPr>
      <w:rFonts w:ascii="Segoe UI Symbol" w:hAnsi="Segoe UI Symbol"/>
      <w:color w:val="000000"/>
      <w:sz w:val="18"/>
      <w:szCs w:val="18"/>
      <w:u w:val="none"/>
    </w:rPr>
  </w:style>
  <w:style w:type="paragraph" w:customStyle="1" w:styleId="449">
    <w:name w:val="Normal_1"/>
    <w:next w:val="1"/>
    <w:qFormat/>
    <w:uiPriority w:val="0"/>
    <w:pPr>
      <w:widowControl w:val="0"/>
      <w:jc w:val="both"/>
    </w:pPr>
    <w:rPr>
      <w:rFonts w:hint="default" w:ascii="Times New Roman" w:hAnsi="Times New Roman" w:eastAsia="宋体" w:cs="Times New Roman"/>
      <w:sz w:val="21"/>
    </w:rPr>
  </w:style>
  <w:style w:type="character" w:customStyle="1" w:styleId="450">
    <w:name w:val="正文缩进 Char"/>
    <w:qFormat/>
    <w:uiPriority w:val="0"/>
    <w:rPr>
      <w:rFonts w:ascii="Times New Roman" w:hAnsi="Times New Roman" w:eastAsia="宋体" w:cs="Times New Roman"/>
      <w:szCs w:val="21"/>
    </w:rPr>
  </w:style>
  <w:style w:type="character" w:customStyle="1" w:styleId="451">
    <w:name w:val="纯文本 Char1"/>
    <w:qFormat/>
    <w:uiPriority w:val="99"/>
    <w:rPr>
      <w:rFonts w:ascii="宋体" w:hAnsi="Courier New" w:eastAsia="宋体" w:cs="Times New Roman"/>
      <w:szCs w:val="21"/>
    </w:rPr>
  </w:style>
  <w:style w:type="character" w:customStyle="1" w:styleId="452">
    <w:name w:val="标题 1 字符"/>
    <w:qFormat/>
    <w:uiPriority w:val="9"/>
    <w:rPr>
      <w:rFonts w:ascii="Times New Roman" w:hAnsi="Times New Roman" w:eastAsia="宋体" w:cs="Times New Roman"/>
      <w:b/>
      <w:bCs/>
      <w:sz w:val="44"/>
      <w:szCs w:val="44"/>
    </w:rPr>
  </w:style>
  <w:style w:type="character" w:customStyle="1" w:styleId="453">
    <w:name w:val="标题 2 字符"/>
    <w:semiHidden/>
    <w:qFormat/>
    <w:uiPriority w:val="9"/>
    <w:rPr>
      <w:rFonts w:ascii="等线 Light" w:hAnsi="等线 Light" w:eastAsia="等线 Light" w:cs="Times New Roman"/>
      <w:b/>
      <w:bCs/>
      <w:sz w:val="32"/>
      <w:szCs w:val="32"/>
    </w:rPr>
  </w:style>
  <w:style w:type="character" w:customStyle="1" w:styleId="454">
    <w:name w:val="标题 3 Char1"/>
    <w:qFormat/>
    <w:uiPriority w:val="0"/>
    <w:rPr>
      <w:rFonts w:ascii="Times New Roman" w:hAnsi="Times New Roman" w:eastAsia="宋体" w:cs="Times New Roman"/>
      <w:b/>
      <w:bCs/>
      <w:sz w:val="32"/>
      <w:szCs w:val="32"/>
    </w:rPr>
  </w:style>
  <w:style w:type="character" w:customStyle="1" w:styleId="455">
    <w:name w:val="标题 4 字符"/>
    <w:semiHidden/>
    <w:qFormat/>
    <w:uiPriority w:val="9"/>
    <w:rPr>
      <w:rFonts w:ascii="等线 Light" w:hAnsi="等线 Light" w:eastAsia="等线 Light" w:cs="Times New Roman"/>
      <w:b/>
      <w:bCs/>
      <w:sz w:val="28"/>
      <w:szCs w:val="28"/>
    </w:rPr>
  </w:style>
  <w:style w:type="character" w:customStyle="1" w:styleId="456">
    <w:name w:val="标题 5 字符"/>
    <w:semiHidden/>
    <w:qFormat/>
    <w:uiPriority w:val="9"/>
    <w:rPr>
      <w:rFonts w:ascii="Times New Roman" w:hAnsi="Times New Roman" w:eastAsia="宋体" w:cs="Times New Roman"/>
      <w:b/>
      <w:bCs/>
      <w:sz w:val="28"/>
      <w:szCs w:val="28"/>
    </w:rPr>
  </w:style>
  <w:style w:type="character" w:customStyle="1" w:styleId="457">
    <w:name w:val="标题 6 字符"/>
    <w:semiHidden/>
    <w:qFormat/>
    <w:uiPriority w:val="9"/>
    <w:rPr>
      <w:rFonts w:ascii="等线 Light" w:hAnsi="等线 Light" w:eastAsia="等线 Light" w:cs="Times New Roman"/>
      <w:b/>
      <w:bCs/>
      <w:sz w:val="24"/>
      <w:szCs w:val="24"/>
    </w:rPr>
  </w:style>
  <w:style w:type="character" w:customStyle="1" w:styleId="458">
    <w:name w:val="标题 7 字符"/>
    <w:semiHidden/>
    <w:qFormat/>
    <w:uiPriority w:val="9"/>
    <w:rPr>
      <w:rFonts w:ascii="Times New Roman" w:hAnsi="Times New Roman" w:eastAsia="宋体" w:cs="Times New Roman"/>
      <w:b/>
      <w:bCs/>
      <w:sz w:val="24"/>
      <w:szCs w:val="24"/>
    </w:rPr>
  </w:style>
  <w:style w:type="character" w:customStyle="1" w:styleId="459">
    <w:name w:val="标题 8 字符"/>
    <w:semiHidden/>
    <w:qFormat/>
    <w:uiPriority w:val="9"/>
    <w:rPr>
      <w:rFonts w:ascii="等线 Light" w:hAnsi="等线 Light" w:eastAsia="等线 Light" w:cs="Times New Roman"/>
      <w:sz w:val="24"/>
      <w:szCs w:val="24"/>
    </w:rPr>
  </w:style>
  <w:style w:type="character" w:customStyle="1" w:styleId="460">
    <w:name w:val="标题 9 字符"/>
    <w:semiHidden/>
    <w:qFormat/>
    <w:uiPriority w:val="9"/>
    <w:rPr>
      <w:rFonts w:ascii="等线 Light" w:hAnsi="等线 Light" w:eastAsia="等线 Light" w:cs="Times New Roman"/>
      <w:szCs w:val="21"/>
    </w:rPr>
  </w:style>
  <w:style w:type="character" w:customStyle="1" w:styleId="461">
    <w:name w:val="正文缩进 Char1"/>
    <w:qFormat/>
    <w:uiPriority w:val="0"/>
    <w:rPr>
      <w:rFonts w:ascii="Times New Roman" w:hAnsi="Times New Roman" w:eastAsia="宋体" w:cs="Times New Roman"/>
      <w:szCs w:val="21"/>
      <w:lang w:val="en-US" w:eastAsia="en-US"/>
    </w:rPr>
  </w:style>
  <w:style w:type="character" w:customStyle="1" w:styleId="462">
    <w:name w:val="批注文字 字符"/>
    <w:semiHidden/>
    <w:qFormat/>
    <w:uiPriority w:val="99"/>
    <w:rPr>
      <w:rFonts w:ascii="Times New Roman" w:hAnsi="Times New Roman" w:eastAsia="宋体" w:cs="Times New Roman"/>
      <w:szCs w:val="21"/>
    </w:rPr>
  </w:style>
  <w:style w:type="character" w:customStyle="1" w:styleId="463">
    <w:name w:val="正文文本 3 字符"/>
    <w:semiHidden/>
    <w:qFormat/>
    <w:uiPriority w:val="99"/>
    <w:rPr>
      <w:rFonts w:ascii="Times New Roman" w:hAnsi="Times New Roman" w:eastAsia="宋体" w:cs="Times New Roman"/>
      <w:sz w:val="16"/>
      <w:szCs w:val="16"/>
    </w:rPr>
  </w:style>
  <w:style w:type="character" w:customStyle="1" w:styleId="464">
    <w:name w:val="正文文本 字符"/>
    <w:semiHidden/>
    <w:qFormat/>
    <w:uiPriority w:val="99"/>
    <w:rPr>
      <w:rFonts w:ascii="Times New Roman" w:hAnsi="Times New Roman" w:eastAsia="宋体" w:cs="Times New Roman"/>
      <w:szCs w:val="21"/>
    </w:rPr>
  </w:style>
  <w:style w:type="character" w:customStyle="1" w:styleId="465">
    <w:name w:val="正文文本缩进 字符"/>
    <w:semiHidden/>
    <w:qFormat/>
    <w:uiPriority w:val="99"/>
    <w:rPr>
      <w:rFonts w:ascii="Times New Roman" w:hAnsi="Times New Roman" w:eastAsia="宋体" w:cs="Times New Roman"/>
      <w:szCs w:val="21"/>
    </w:rPr>
  </w:style>
  <w:style w:type="character" w:customStyle="1" w:styleId="466">
    <w:name w:val="纯文本 Char2"/>
    <w:qFormat/>
    <w:uiPriority w:val="0"/>
    <w:rPr>
      <w:rFonts w:ascii="宋体" w:hAnsi="Courier New" w:eastAsia="宋体" w:cs="Times New Roman"/>
      <w:szCs w:val="21"/>
      <w:lang w:val="en-US" w:eastAsia="en-US"/>
    </w:rPr>
  </w:style>
  <w:style w:type="character" w:customStyle="1" w:styleId="467">
    <w:name w:val="日期 字符"/>
    <w:semiHidden/>
    <w:qFormat/>
    <w:uiPriority w:val="99"/>
    <w:rPr>
      <w:rFonts w:ascii="Times New Roman" w:hAnsi="Times New Roman" w:eastAsia="宋体" w:cs="Times New Roman"/>
      <w:szCs w:val="21"/>
    </w:rPr>
  </w:style>
  <w:style w:type="character" w:customStyle="1" w:styleId="468">
    <w:name w:val="正文文本缩进 2 字符"/>
    <w:semiHidden/>
    <w:qFormat/>
    <w:uiPriority w:val="99"/>
    <w:rPr>
      <w:rFonts w:ascii="Times New Roman" w:hAnsi="Times New Roman" w:eastAsia="宋体" w:cs="Times New Roman"/>
      <w:szCs w:val="21"/>
    </w:rPr>
  </w:style>
  <w:style w:type="character" w:customStyle="1" w:styleId="469">
    <w:name w:val="批注框文本 字符"/>
    <w:semiHidden/>
    <w:qFormat/>
    <w:uiPriority w:val="99"/>
    <w:rPr>
      <w:rFonts w:ascii="Times New Roman" w:hAnsi="Times New Roman" w:eastAsia="宋体" w:cs="Times New Roman"/>
      <w:sz w:val="18"/>
      <w:szCs w:val="18"/>
    </w:rPr>
  </w:style>
  <w:style w:type="character" w:customStyle="1" w:styleId="470">
    <w:name w:val="页脚 字符"/>
    <w:semiHidden/>
    <w:qFormat/>
    <w:uiPriority w:val="99"/>
    <w:rPr>
      <w:rFonts w:ascii="Times New Roman" w:hAnsi="Times New Roman" w:eastAsia="宋体" w:cs="Times New Roman"/>
      <w:sz w:val="18"/>
      <w:szCs w:val="18"/>
    </w:rPr>
  </w:style>
  <w:style w:type="character" w:customStyle="1" w:styleId="471">
    <w:name w:val="页眉 字符"/>
    <w:semiHidden/>
    <w:qFormat/>
    <w:uiPriority w:val="99"/>
    <w:rPr>
      <w:rFonts w:ascii="Times New Roman" w:hAnsi="Times New Roman" w:eastAsia="宋体" w:cs="Times New Roman"/>
      <w:sz w:val="18"/>
      <w:szCs w:val="18"/>
    </w:rPr>
  </w:style>
  <w:style w:type="character" w:customStyle="1" w:styleId="472">
    <w:name w:val="正文文本缩进 3 字符"/>
    <w:semiHidden/>
    <w:qFormat/>
    <w:uiPriority w:val="99"/>
    <w:rPr>
      <w:rFonts w:ascii="Times New Roman" w:hAnsi="Times New Roman" w:eastAsia="宋体" w:cs="Times New Roman"/>
      <w:sz w:val="16"/>
      <w:szCs w:val="16"/>
    </w:rPr>
  </w:style>
  <w:style w:type="character" w:customStyle="1" w:styleId="473">
    <w:name w:val="正文文本 2 字符"/>
    <w:semiHidden/>
    <w:qFormat/>
    <w:uiPriority w:val="99"/>
    <w:rPr>
      <w:rFonts w:ascii="Times New Roman" w:hAnsi="Times New Roman" w:eastAsia="宋体" w:cs="Times New Roman"/>
      <w:szCs w:val="21"/>
    </w:rPr>
  </w:style>
  <w:style w:type="character" w:customStyle="1" w:styleId="474">
    <w:name w:val="批注主题 字符"/>
    <w:semiHidden/>
    <w:qFormat/>
    <w:uiPriority w:val="99"/>
    <w:rPr>
      <w:rFonts w:ascii="Times New Roman" w:hAnsi="Times New Roman" w:eastAsia="宋体" w:cs="Times New Roman"/>
      <w:b/>
      <w:bCs/>
      <w:szCs w:val="21"/>
    </w:rPr>
  </w:style>
  <w:style w:type="character" w:customStyle="1" w:styleId="475">
    <w:name w:val="未处理的提及11"/>
    <w:semiHidden/>
    <w:unhideWhenUsed/>
    <w:qFormat/>
    <w:uiPriority w:val="99"/>
    <w:rPr>
      <w:color w:val="605E5C"/>
      <w:shd w:val="clear" w:color="auto" w:fill="E1DFDD"/>
    </w:rPr>
  </w:style>
  <w:style w:type="character" w:customStyle="1" w:styleId="476">
    <w:name w:val="正文首行缩进 Char1"/>
    <w:semiHidden/>
    <w:qFormat/>
    <w:uiPriority w:val="99"/>
    <w:rPr>
      <w:rFonts w:ascii="Times New Roman" w:hAnsi="Times New Roman" w:eastAsia="宋体" w:cs="Times New Roman"/>
      <w:sz w:val="28"/>
      <w:szCs w:val="21"/>
      <w:lang w:val="en-US" w:eastAsia="en-US"/>
    </w:rPr>
  </w:style>
  <w:style w:type="character" w:customStyle="1" w:styleId="477">
    <w:name w:val="正文首行缩进 2 Char1"/>
    <w:semiHidden/>
    <w:qFormat/>
    <w:uiPriority w:val="99"/>
    <w:rPr>
      <w:rFonts w:ascii="Times New Roman" w:hAnsi="Times New Roman" w:eastAsia="宋体" w:cs="Times New Roman"/>
      <w:sz w:val="32"/>
      <w:szCs w:val="21"/>
      <w:lang w:val="en-US" w:eastAsia="en-US"/>
    </w:rPr>
  </w:style>
  <w:style w:type="paragraph" w:customStyle="1" w:styleId="478">
    <w:name w:val="修订1"/>
    <w:hidden/>
    <w:semiHidden/>
    <w:qFormat/>
    <w:uiPriority w:val="99"/>
    <w:rPr>
      <w:rFonts w:hint="default" w:ascii="Times New Roman" w:hAnsi="Times New Roman" w:eastAsia="宋体" w:cs="Times New Roman"/>
      <w:sz w:val="21"/>
      <w:szCs w:val="21"/>
    </w:rPr>
  </w:style>
  <w:style w:type="character" w:customStyle="1" w:styleId="479">
    <w:name w:val="font31"/>
    <w:basedOn w:val="52"/>
    <w:qFormat/>
    <w:uiPriority w:val="0"/>
    <w:rPr>
      <w:rFonts w:hint="eastAsia" w:ascii="宋体" w:hAnsi="宋体" w:eastAsia="宋体" w:cs="宋体"/>
      <w:color w:val="000000"/>
      <w:sz w:val="18"/>
      <w:szCs w:val="18"/>
      <w:u w:val="none"/>
    </w:rPr>
  </w:style>
  <w:style w:type="character" w:customStyle="1" w:styleId="480">
    <w:name w:val="font41"/>
    <w:basedOn w:val="52"/>
    <w:qFormat/>
    <w:uiPriority w:val="0"/>
    <w:rPr>
      <w:rFonts w:hint="eastAsia" w:ascii="宋体" w:hAnsi="宋体" w:eastAsia="宋体" w:cs="宋体"/>
      <w:color w:val="FF0000"/>
      <w:sz w:val="18"/>
      <w:szCs w:val="18"/>
      <w:u w:val="none"/>
    </w:rPr>
  </w:style>
  <w:style w:type="character" w:customStyle="1" w:styleId="481">
    <w:name w:val="font51"/>
    <w:basedOn w:val="52"/>
    <w:qFormat/>
    <w:uiPriority w:val="0"/>
    <w:rPr>
      <w:rFonts w:hint="eastAsia" w:ascii="宋体" w:hAnsi="宋体" w:eastAsia="宋体" w:cs="宋体"/>
      <w:strike/>
      <w:color w:val="FF0000"/>
      <w:sz w:val="18"/>
      <w:szCs w:val="18"/>
    </w:rPr>
  </w:style>
  <w:style w:type="character" w:customStyle="1" w:styleId="482">
    <w:name w:val="font61"/>
    <w:basedOn w:val="52"/>
    <w:qFormat/>
    <w:uiPriority w:val="0"/>
    <w:rPr>
      <w:rFonts w:hint="eastAsia" w:ascii="宋体" w:hAnsi="宋体" w:eastAsia="宋体" w:cs="宋体"/>
      <w:color w:val="000000"/>
      <w:sz w:val="18"/>
      <w:szCs w:val="18"/>
      <w:u w:val="none"/>
    </w:rPr>
  </w:style>
  <w:style w:type="character" w:customStyle="1" w:styleId="483">
    <w:name w:val="font71"/>
    <w:basedOn w:val="52"/>
    <w:qFormat/>
    <w:uiPriority w:val="0"/>
    <w:rPr>
      <w:rFonts w:hint="eastAsia" w:ascii="宋体" w:hAnsi="宋体" w:eastAsia="宋体" w:cs="宋体"/>
      <w:color w:val="4BACC6"/>
      <w:sz w:val="18"/>
      <w:szCs w:val="18"/>
      <w:u w:val="none"/>
    </w:rPr>
  </w:style>
  <w:style w:type="paragraph" w:customStyle="1" w:styleId="484">
    <w:name w:val="正文空2格  1."/>
    <w:basedOn w:val="1"/>
    <w:qFormat/>
    <w:uiPriority w:val="0"/>
    <w:pPr>
      <w:ind w:firstLine="480"/>
    </w:pPr>
    <w:rPr>
      <w:rFonts w:cs="宋体"/>
      <w:szCs w:val="20"/>
    </w:rPr>
  </w:style>
  <w:style w:type="paragraph" w:customStyle="1" w:styleId="485">
    <w:name w:val="xl67"/>
    <w:basedOn w:val="1"/>
    <w:qFormat/>
    <w:uiPriority w:val="0"/>
    <w:pPr>
      <w:widowControl/>
      <w:spacing w:before="100" w:beforeAutospacing="1" w:after="100" w:afterAutospacing="1"/>
      <w:jc w:val="left"/>
    </w:pPr>
    <w:rPr>
      <w:rFonts w:ascii="宋体" w:hAnsi="宋体" w:eastAsia="宋体" w:cs="宋体"/>
      <w:sz w:val="22"/>
      <w:szCs w:val="22"/>
    </w:rPr>
  </w:style>
  <w:style w:type="paragraph" w:customStyle="1" w:styleId="486">
    <w:name w:val="xl68"/>
    <w:basedOn w:val="1"/>
    <w:qFormat/>
    <w:uiPriority w:val="0"/>
    <w:pPr>
      <w:widowControl/>
      <w:spacing w:before="100" w:beforeAutospacing="1" w:after="100" w:afterAutospacing="1"/>
      <w:jc w:val="center"/>
    </w:pPr>
    <w:rPr>
      <w:rFonts w:ascii="宋体" w:hAnsi="宋体" w:eastAsia="宋体" w:cs="宋体"/>
      <w:sz w:val="24"/>
    </w:rPr>
  </w:style>
  <w:style w:type="paragraph" w:customStyle="1" w:styleId="487">
    <w:name w:val="xl69"/>
    <w:basedOn w:val="1"/>
    <w:qFormat/>
    <w:uiPriority w:val="0"/>
    <w:pPr>
      <w:widowControl/>
      <w:spacing w:before="100" w:beforeAutospacing="1" w:after="100" w:afterAutospacing="1"/>
      <w:jc w:val="center"/>
    </w:pPr>
    <w:rPr>
      <w:rFonts w:ascii="宋体" w:hAnsi="宋体" w:eastAsia="宋体" w:cs="宋体"/>
      <w:sz w:val="24"/>
    </w:rPr>
  </w:style>
  <w:style w:type="paragraph" w:customStyle="1" w:styleId="488">
    <w:name w:val="xl70"/>
    <w:basedOn w:val="1"/>
    <w:qFormat/>
    <w:uiPriority w:val="0"/>
    <w:pPr>
      <w:widowControl/>
      <w:spacing w:before="100" w:beforeAutospacing="1" w:after="100" w:afterAutospacing="1"/>
      <w:jc w:val="left"/>
    </w:pPr>
    <w:rPr>
      <w:rFonts w:ascii="宋体" w:hAnsi="宋体" w:eastAsia="宋体" w:cs="宋体"/>
      <w:sz w:val="24"/>
    </w:rPr>
  </w:style>
  <w:style w:type="paragraph" w:customStyle="1" w:styleId="48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8"/>
      <w:szCs w:val="28"/>
    </w:rPr>
  </w:style>
  <w:style w:type="paragraph" w:customStyle="1" w:styleId="49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8"/>
      <w:szCs w:val="28"/>
    </w:rPr>
  </w:style>
  <w:style w:type="paragraph" w:customStyle="1" w:styleId="49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8"/>
      <w:szCs w:val="28"/>
    </w:rPr>
  </w:style>
  <w:style w:type="paragraph" w:customStyle="1" w:styleId="492">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szCs w:val="22"/>
    </w:rPr>
  </w:style>
  <w:style w:type="paragraph" w:customStyle="1" w:styleId="49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szCs w:val="22"/>
    </w:rPr>
  </w:style>
  <w:style w:type="paragraph" w:customStyle="1" w:styleId="494">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szCs w:val="22"/>
    </w:rPr>
  </w:style>
  <w:style w:type="paragraph" w:customStyle="1" w:styleId="495">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sz w:val="22"/>
      <w:szCs w:val="22"/>
    </w:rPr>
  </w:style>
  <w:style w:type="paragraph" w:customStyle="1" w:styleId="496">
    <w:name w:val="xl7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szCs w:val="22"/>
    </w:rPr>
  </w:style>
  <w:style w:type="paragraph" w:customStyle="1" w:styleId="497">
    <w:name w:val="xl79"/>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szCs w:val="22"/>
    </w:rPr>
  </w:style>
  <w:style w:type="paragraph" w:customStyle="1" w:styleId="498">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color w:val="000000"/>
      <w:sz w:val="22"/>
      <w:szCs w:val="22"/>
    </w:rPr>
  </w:style>
  <w:style w:type="paragraph" w:customStyle="1" w:styleId="49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sz w:val="22"/>
      <w:szCs w:val="22"/>
    </w:rPr>
  </w:style>
  <w:style w:type="paragraph" w:customStyle="1" w:styleId="500">
    <w:name w:val="xl8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szCs w:val="22"/>
    </w:rPr>
  </w:style>
  <w:style w:type="paragraph" w:customStyle="1" w:styleId="50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szCs w:val="22"/>
    </w:rPr>
  </w:style>
  <w:style w:type="paragraph" w:customStyle="1" w:styleId="50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sz w:val="22"/>
      <w:szCs w:val="22"/>
    </w:rPr>
  </w:style>
  <w:style w:type="paragraph" w:customStyle="1" w:styleId="50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szCs w:val="22"/>
    </w:rPr>
  </w:style>
  <w:style w:type="paragraph" w:customStyle="1" w:styleId="504">
    <w:name w:val="xl8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2"/>
      <w:szCs w:val="22"/>
    </w:rPr>
  </w:style>
  <w:style w:type="paragraph" w:customStyle="1" w:styleId="505">
    <w:name w:val="xl8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szCs w:val="22"/>
    </w:rPr>
  </w:style>
  <w:style w:type="paragraph" w:customStyle="1" w:styleId="506">
    <w:name w:val="xl8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szCs w:val="22"/>
    </w:rPr>
  </w:style>
  <w:style w:type="paragraph" w:customStyle="1" w:styleId="50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2"/>
      <w:szCs w:val="22"/>
    </w:rPr>
  </w:style>
  <w:style w:type="paragraph" w:customStyle="1" w:styleId="508">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2"/>
      <w:szCs w:val="22"/>
    </w:rPr>
  </w:style>
  <w:style w:type="paragraph" w:customStyle="1" w:styleId="50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2"/>
      <w:szCs w:val="22"/>
    </w:rPr>
  </w:style>
  <w:style w:type="paragraph" w:customStyle="1" w:styleId="510">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2"/>
      <w:szCs w:val="22"/>
    </w:rPr>
  </w:style>
  <w:style w:type="paragraph" w:customStyle="1" w:styleId="511">
    <w:name w:val="xl93"/>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eastAsia="宋体" w:cs="宋体"/>
      <w:sz w:val="22"/>
      <w:szCs w:val="22"/>
    </w:rPr>
  </w:style>
  <w:style w:type="paragraph" w:customStyle="1" w:styleId="512">
    <w:name w:val="xl9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eastAsia="宋体" w:cs="宋体"/>
      <w:sz w:val="22"/>
      <w:szCs w:val="22"/>
    </w:rPr>
  </w:style>
  <w:style w:type="paragraph" w:customStyle="1" w:styleId="513">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2"/>
      <w:szCs w:val="22"/>
    </w:rPr>
  </w:style>
  <w:style w:type="paragraph" w:customStyle="1" w:styleId="514">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color w:val="000000"/>
      <w:sz w:val="22"/>
      <w:szCs w:val="22"/>
    </w:rPr>
  </w:style>
  <w:style w:type="paragraph" w:customStyle="1" w:styleId="51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eastAsia="宋体" w:cs="宋体"/>
      <w:sz w:val="22"/>
      <w:szCs w:val="22"/>
    </w:rPr>
  </w:style>
  <w:style w:type="paragraph" w:customStyle="1" w:styleId="516">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2"/>
      <w:szCs w:val="22"/>
    </w:rPr>
  </w:style>
  <w:style w:type="paragraph" w:customStyle="1" w:styleId="517">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color w:val="000000"/>
      <w:sz w:val="22"/>
      <w:szCs w:val="22"/>
    </w:rPr>
  </w:style>
  <w:style w:type="paragraph" w:customStyle="1" w:styleId="51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eastAsia="宋体" w:cs="宋体"/>
      <w:color w:val="000000"/>
      <w:sz w:val="22"/>
      <w:szCs w:val="22"/>
    </w:rPr>
  </w:style>
  <w:style w:type="paragraph" w:customStyle="1" w:styleId="519">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szCs w:val="22"/>
    </w:rPr>
  </w:style>
  <w:style w:type="paragraph" w:customStyle="1" w:styleId="520">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sz w:val="22"/>
      <w:szCs w:val="22"/>
    </w:rPr>
  </w:style>
  <w:style w:type="paragraph" w:customStyle="1" w:styleId="521">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2"/>
      <w:szCs w:val="22"/>
    </w:rPr>
  </w:style>
  <w:style w:type="paragraph" w:customStyle="1" w:styleId="522">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szCs w:val="22"/>
    </w:rPr>
  </w:style>
  <w:style w:type="paragraph" w:customStyle="1" w:styleId="523">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color w:val="000000"/>
      <w:sz w:val="22"/>
      <w:szCs w:val="22"/>
    </w:rPr>
  </w:style>
  <w:style w:type="paragraph" w:customStyle="1" w:styleId="524">
    <w:name w:val="xl106"/>
    <w:basedOn w:val="1"/>
    <w:qFormat/>
    <w:uiPriority w:val="0"/>
    <w:pPr>
      <w:widowControl/>
      <w:pBdr>
        <w:top w:val="single" w:color="auto" w:sz="4" w:space="0"/>
        <w:left w:val="single" w:color="auto" w:sz="4" w:space="0"/>
        <w:bottom w:val="single" w:color="000000"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szCs w:val="22"/>
    </w:rPr>
  </w:style>
  <w:style w:type="paragraph" w:customStyle="1" w:styleId="525">
    <w:name w:val="xl107"/>
    <w:basedOn w:val="1"/>
    <w:qFormat/>
    <w:uiPriority w:val="0"/>
    <w:pPr>
      <w:widowControl/>
      <w:pBdr>
        <w:top w:val="single" w:color="auto" w:sz="4" w:space="0"/>
        <w:left w:val="single" w:color="auto" w:sz="4" w:space="0"/>
        <w:bottom w:val="single" w:color="000000"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szCs w:val="22"/>
    </w:rPr>
  </w:style>
  <w:style w:type="paragraph" w:customStyle="1" w:styleId="526">
    <w:name w:val="xl108"/>
    <w:basedOn w:val="1"/>
    <w:qFormat/>
    <w:uiPriority w:val="0"/>
    <w:pPr>
      <w:widowControl/>
      <w:pBdr>
        <w:left w:val="single" w:color="auto" w:sz="4" w:space="0"/>
        <w:bottom w:val="single" w:color="000000"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szCs w:val="22"/>
    </w:rPr>
  </w:style>
  <w:style w:type="paragraph" w:customStyle="1" w:styleId="527">
    <w:name w:val="xl10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color w:val="000000"/>
      <w:sz w:val="22"/>
      <w:szCs w:val="22"/>
    </w:rPr>
  </w:style>
  <w:style w:type="paragraph" w:customStyle="1" w:styleId="528">
    <w:name w:val="xl110"/>
    <w:basedOn w:val="1"/>
    <w:qFormat/>
    <w:uiPriority w:val="0"/>
    <w:pPr>
      <w:widowControl/>
      <w:pBdr>
        <w:left w:val="single" w:color="auto" w:sz="4" w:space="0"/>
        <w:bottom w:val="single" w:color="000000"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szCs w:val="22"/>
    </w:rPr>
  </w:style>
  <w:style w:type="paragraph" w:customStyle="1" w:styleId="529">
    <w:name w:val="xl11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sz w:val="22"/>
      <w:szCs w:val="22"/>
    </w:rPr>
  </w:style>
  <w:style w:type="paragraph" w:customStyle="1" w:styleId="530">
    <w:name w:val="xl11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eastAsia="宋体" w:cs="Arial"/>
      <w:color w:val="000000"/>
      <w:sz w:val="22"/>
      <w:szCs w:val="22"/>
    </w:rPr>
  </w:style>
  <w:style w:type="paragraph" w:customStyle="1" w:styleId="531">
    <w:name w:val="xl113"/>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sz w:val="22"/>
      <w:szCs w:val="22"/>
    </w:rPr>
  </w:style>
  <w:style w:type="paragraph" w:customStyle="1" w:styleId="532">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eastAsia="宋体" w:cs="Arial"/>
      <w:color w:val="000000"/>
      <w:sz w:val="22"/>
      <w:szCs w:val="22"/>
    </w:rPr>
  </w:style>
  <w:style w:type="paragraph" w:customStyle="1" w:styleId="533">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eastAsia="宋体" w:cs="Arial"/>
      <w:color w:val="000000"/>
      <w:sz w:val="22"/>
      <w:szCs w:val="22"/>
    </w:rPr>
  </w:style>
  <w:style w:type="paragraph" w:customStyle="1" w:styleId="534">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sz w:val="22"/>
      <w:szCs w:val="22"/>
    </w:rPr>
  </w:style>
  <w:style w:type="paragraph" w:customStyle="1" w:styleId="535">
    <w:name w:val="xl117"/>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eastAsia="宋体" w:cs="Arial"/>
      <w:color w:val="000000"/>
      <w:sz w:val="22"/>
      <w:szCs w:val="22"/>
    </w:rPr>
  </w:style>
  <w:style w:type="paragraph" w:customStyle="1" w:styleId="536">
    <w:name w:val="xl118"/>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szCs w:val="22"/>
    </w:rPr>
  </w:style>
  <w:style w:type="paragraph" w:customStyle="1" w:styleId="537">
    <w:name w:val="xl119"/>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sz w:val="22"/>
      <w:szCs w:val="22"/>
    </w:rPr>
  </w:style>
  <w:style w:type="paragraph" w:customStyle="1" w:styleId="538">
    <w:name w:val="xl120"/>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eastAsia="宋体" w:cs="Arial"/>
      <w:color w:val="000000"/>
      <w:sz w:val="20"/>
      <w:szCs w:val="20"/>
    </w:rPr>
  </w:style>
  <w:style w:type="paragraph" w:customStyle="1" w:styleId="539">
    <w:name w:val="xl1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eastAsia="宋体" w:cs="Arial"/>
      <w:color w:val="000000"/>
      <w:sz w:val="22"/>
      <w:szCs w:val="22"/>
    </w:rPr>
  </w:style>
  <w:style w:type="paragraph" w:customStyle="1" w:styleId="540">
    <w:name w:val="xl1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eastAsia="宋体" w:cs="Arial"/>
      <w:color w:val="000000"/>
      <w:sz w:val="20"/>
      <w:szCs w:val="20"/>
    </w:rPr>
  </w:style>
  <w:style w:type="paragraph" w:customStyle="1" w:styleId="541">
    <w:name w:val="xl1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eastAsia="宋体" w:cs="Arial"/>
      <w:color w:val="000000"/>
      <w:sz w:val="20"/>
      <w:szCs w:val="20"/>
    </w:rPr>
  </w:style>
  <w:style w:type="paragraph" w:customStyle="1" w:styleId="542">
    <w:name w:val="xl1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0"/>
      <w:szCs w:val="20"/>
    </w:rPr>
  </w:style>
  <w:style w:type="paragraph" w:customStyle="1" w:styleId="543">
    <w:name w:val="xl12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2"/>
      <w:szCs w:val="22"/>
    </w:rPr>
  </w:style>
  <w:style w:type="paragraph" w:customStyle="1" w:styleId="544">
    <w:name w:val="xl12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Arial" w:hAnsi="Arial" w:eastAsia="宋体" w:cs="Arial"/>
      <w:color w:val="000000"/>
      <w:sz w:val="20"/>
      <w:szCs w:val="20"/>
    </w:rPr>
  </w:style>
  <w:style w:type="paragraph" w:customStyle="1" w:styleId="545">
    <w:name w:val="xl1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0"/>
      <w:szCs w:val="20"/>
    </w:rPr>
  </w:style>
  <w:style w:type="paragraph" w:customStyle="1" w:styleId="546">
    <w:name w:val="xl12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0"/>
      <w:szCs w:val="20"/>
    </w:rPr>
  </w:style>
  <w:style w:type="paragraph" w:customStyle="1" w:styleId="547">
    <w:name w:val="xl12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eastAsia="宋体" w:cs="Arial"/>
      <w:color w:val="000000"/>
      <w:sz w:val="20"/>
      <w:szCs w:val="20"/>
    </w:rPr>
  </w:style>
  <w:style w:type="paragraph" w:customStyle="1" w:styleId="548">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eastAsia="宋体" w:cs="Arial"/>
      <w:color w:val="000000"/>
      <w:sz w:val="20"/>
      <w:szCs w:val="20"/>
    </w:rPr>
  </w:style>
  <w:style w:type="paragraph" w:customStyle="1" w:styleId="549">
    <w:name w:val="xl13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eastAsia="宋体" w:cs="Arial"/>
      <w:color w:val="000000"/>
      <w:sz w:val="20"/>
      <w:szCs w:val="20"/>
    </w:rPr>
  </w:style>
  <w:style w:type="paragraph" w:customStyle="1" w:styleId="550">
    <w:name w:val="xl132"/>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0"/>
      <w:szCs w:val="20"/>
    </w:rPr>
  </w:style>
  <w:style w:type="paragraph" w:customStyle="1" w:styleId="551">
    <w:name w:val="xl13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eastAsia="宋体" w:cs="Arial"/>
      <w:color w:val="000000"/>
      <w:sz w:val="20"/>
      <w:szCs w:val="20"/>
    </w:rPr>
  </w:style>
  <w:style w:type="paragraph" w:customStyle="1" w:styleId="552">
    <w:name w:val="xl134"/>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0"/>
      <w:szCs w:val="20"/>
    </w:rPr>
  </w:style>
  <w:style w:type="paragraph" w:customStyle="1" w:styleId="553">
    <w:name w:val="xl135"/>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Arial" w:hAnsi="Arial" w:eastAsia="宋体" w:cs="Arial"/>
      <w:color w:val="000000"/>
      <w:sz w:val="20"/>
      <w:szCs w:val="20"/>
    </w:rPr>
  </w:style>
  <w:style w:type="paragraph" w:customStyle="1" w:styleId="554">
    <w:name w:val="xl13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szCs w:val="22"/>
    </w:rPr>
  </w:style>
  <w:style w:type="paragraph" w:customStyle="1" w:styleId="555">
    <w:name w:val="xl137"/>
    <w:basedOn w:val="1"/>
    <w:qFormat/>
    <w:uiPriority w:val="0"/>
    <w:pPr>
      <w:widowControl/>
      <w:pBdr>
        <w:top w:val="single" w:color="auto" w:sz="4" w:space="0"/>
        <w:left w:val="single" w:color="auto" w:sz="4" w:space="0"/>
        <w:bottom w:val="single" w:color="auto" w:sz="4" w:space="0"/>
      </w:pBdr>
      <w:shd w:val="clear" w:color="000000" w:fill="FFFF00"/>
      <w:spacing w:before="100" w:beforeAutospacing="1" w:after="100" w:afterAutospacing="1"/>
      <w:jc w:val="center"/>
    </w:pPr>
    <w:rPr>
      <w:rFonts w:ascii="宋体" w:hAnsi="宋体" w:eastAsia="宋体" w:cs="宋体"/>
      <w:sz w:val="22"/>
      <w:szCs w:val="22"/>
    </w:rPr>
  </w:style>
  <w:style w:type="paragraph" w:customStyle="1" w:styleId="556">
    <w:name w:val="xl138"/>
    <w:basedOn w:val="1"/>
    <w:qFormat/>
    <w:uiPriority w:val="0"/>
    <w:pPr>
      <w:widowControl/>
      <w:pBdr>
        <w:top w:val="single" w:color="auto" w:sz="4" w:space="0"/>
        <w:bottom w:val="single" w:color="auto" w:sz="4" w:space="0"/>
      </w:pBdr>
      <w:shd w:val="clear" w:color="000000" w:fill="FFFF00"/>
      <w:spacing w:before="100" w:beforeAutospacing="1" w:after="100" w:afterAutospacing="1"/>
      <w:jc w:val="center"/>
    </w:pPr>
    <w:rPr>
      <w:rFonts w:ascii="宋体" w:hAnsi="宋体" w:eastAsia="宋体" w:cs="宋体"/>
      <w:sz w:val="22"/>
      <w:szCs w:val="22"/>
    </w:rPr>
  </w:style>
  <w:style w:type="paragraph" w:customStyle="1" w:styleId="557">
    <w:name w:val="xl139"/>
    <w:basedOn w:val="1"/>
    <w:qFormat/>
    <w:uiPriority w:val="0"/>
    <w:pPr>
      <w:widowControl/>
      <w:pBdr>
        <w:top w:val="single" w:color="auto" w:sz="4" w:space="0"/>
        <w:bottom w:val="single" w:color="auto" w:sz="4" w:space="0"/>
      </w:pBdr>
      <w:shd w:val="clear" w:color="000000" w:fill="FFFF00"/>
      <w:spacing w:before="100" w:beforeAutospacing="1" w:after="100" w:afterAutospacing="1"/>
      <w:jc w:val="left"/>
    </w:pPr>
    <w:rPr>
      <w:rFonts w:ascii="宋体" w:hAnsi="宋体" w:eastAsia="宋体" w:cs="宋体"/>
      <w:sz w:val="22"/>
      <w:szCs w:val="22"/>
    </w:rPr>
  </w:style>
  <w:style w:type="paragraph" w:customStyle="1" w:styleId="558">
    <w:name w:val="xl140"/>
    <w:basedOn w:val="1"/>
    <w:qFormat/>
    <w:uiPriority w:val="0"/>
    <w:pPr>
      <w:widowControl/>
      <w:pBdr>
        <w:top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sz w:val="22"/>
      <w:szCs w:val="22"/>
    </w:rPr>
  </w:style>
  <w:style w:type="paragraph" w:customStyle="1" w:styleId="559">
    <w:name w:val="xl141"/>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szCs w:val="22"/>
    </w:rPr>
  </w:style>
  <w:style w:type="paragraph" w:customStyle="1" w:styleId="560">
    <w:name w:val="xl14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szCs w:val="22"/>
    </w:rPr>
  </w:style>
  <w:style w:type="paragraph" w:customStyle="1" w:styleId="561">
    <w:name w:val="xl143"/>
    <w:basedOn w:val="1"/>
    <w:qFormat/>
    <w:uiPriority w:val="0"/>
    <w:pPr>
      <w:widowControl/>
      <w:pBdr>
        <w:top w:val="single" w:color="000000"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0"/>
      <w:szCs w:val="20"/>
    </w:rPr>
  </w:style>
  <w:style w:type="paragraph" w:customStyle="1" w:styleId="562">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eastAsia="宋体" w:cs="宋体"/>
      <w:color w:val="000000"/>
      <w:sz w:val="22"/>
      <w:szCs w:val="22"/>
    </w:rPr>
  </w:style>
  <w:style w:type="paragraph" w:customStyle="1" w:styleId="563">
    <w:name w:val="xl145"/>
    <w:basedOn w:val="1"/>
    <w:qFormat/>
    <w:uiPriority w:val="0"/>
    <w:pPr>
      <w:widowControl/>
      <w:pBdr>
        <w:left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sz w:val="22"/>
      <w:szCs w:val="22"/>
    </w:rPr>
  </w:style>
  <w:style w:type="paragraph" w:customStyle="1" w:styleId="564">
    <w:name w:val="xl14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sz w:val="22"/>
      <w:szCs w:val="22"/>
    </w:rPr>
  </w:style>
  <w:style w:type="paragraph" w:customStyle="1" w:styleId="565">
    <w:name w:val="xl14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Arial" w:hAnsi="Arial" w:eastAsia="宋体" w:cs="Arial"/>
      <w:color w:val="000000"/>
      <w:sz w:val="20"/>
      <w:szCs w:val="20"/>
    </w:rPr>
  </w:style>
  <w:style w:type="paragraph" w:customStyle="1" w:styleId="566">
    <w:name w:val="xl148"/>
    <w:basedOn w:val="1"/>
    <w:qFormat/>
    <w:uiPriority w:val="0"/>
    <w:pPr>
      <w:widowControl/>
      <w:pBdr>
        <w:left w:val="single" w:color="auto" w:sz="4" w:space="0"/>
        <w:right w:val="single" w:color="auto" w:sz="4" w:space="0"/>
      </w:pBdr>
      <w:shd w:val="clear" w:color="000000" w:fill="FFFFFF"/>
      <w:spacing w:before="100" w:beforeAutospacing="1" w:after="100" w:afterAutospacing="1"/>
      <w:jc w:val="left"/>
    </w:pPr>
    <w:rPr>
      <w:rFonts w:ascii="Arial" w:hAnsi="Arial" w:eastAsia="宋体" w:cs="Arial"/>
      <w:color w:val="000000"/>
      <w:sz w:val="20"/>
      <w:szCs w:val="20"/>
    </w:rPr>
  </w:style>
  <w:style w:type="paragraph" w:customStyle="1" w:styleId="567">
    <w:name w:val="xl149"/>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eastAsia="宋体" w:cs="Arial"/>
      <w:color w:val="000000"/>
      <w:sz w:val="20"/>
      <w:szCs w:val="20"/>
    </w:rPr>
  </w:style>
  <w:style w:type="character" w:customStyle="1" w:styleId="568">
    <w:name w:val="Unresolved Mention"/>
    <w:basedOn w:val="52"/>
    <w:semiHidden/>
    <w:unhideWhenUsed/>
    <w:qFormat/>
    <w:uiPriority w:val="99"/>
    <w:rPr>
      <w:color w:val="605E5C"/>
      <w:shd w:val="clear" w:color="auto" w:fill="E1DFDD"/>
    </w:rPr>
  </w:style>
  <w:style w:type="paragraph" w:customStyle="1" w:styleId="569">
    <w:name w:val="xl66"/>
    <w:basedOn w:val="1"/>
    <w:qFormat/>
    <w:uiPriority w:val="0"/>
    <w:pPr>
      <w:widowControl/>
      <w:spacing w:before="100" w:beforeAutospacing="1" w:after="100" w:afterAutospacing="1"/>
      <w:jc w:val="left"/>
    </w:pPr>
    <w:rPr>
      <w:rFonts w:ascii="宋体" w:hAnsi="宋体" w:eastAsia="宋体" w:cs="宋体"/>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97</Pages>
  <Words>13651</Words>
  <Characters>14742</Characters>
  <TotalTime>4</TotalTime>
  <ScaleCrop>false</ScaleCrop>
  <LinksUpToDate>false</LinksUpToDate>
  <CharactersWithSpaces>15239</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2024-11-13T06:00:00Z</dcterms:created>
  <dc:creator>正式环境陈艳测试账号</dc:creator>
  <cp:lastModifiedBy>随心 随性</cp:lastModifiedBy>
  <cp:lastPrinted>2024-12-01T14:36:00Z</cp:lastPrinted>
  <dcterms:modified xsi:type="dcterms:W3CDTF">2024-12-02T09:38:31Z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F52889863A3649BCB74663716472AFD0_13</vt:lpwstr>
  </property>
</Properties>
</file>