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rPr>
          <w:highlight w:val="none"/>
        </w:rPr>
      </w:r>
      <w:r/>
    </w:p>
    <w:p>
      <w:pPr>
        <w:pStyle w:val="740"/>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rPr>
          <w:highlight w:val="none"/>
        </w:rPr>
      </w:r>
      <w:r/>
    </w:p>
    <w:p>
      <w:pPr>
        <w:pStyle w:val="740"/>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rPr>
          <w:highlight w:val="none"/>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highlight w:val="none"/>
        </w:rPr>
      </w:r>
      <w:r/>
    </w:p>
    <w:p>
      <w:pPr>
        <w:jc w:val="center"/>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w:t>
      </w:r>
      <w:r>
        <w:rPr>
          <w:rFonts w:hint="eastAsia" w:ascii="Arial" w:hAnsi="Arial" w:eastAsia="宋体" w:cs="Times New Roman"/>
          <w:b/>
          <w:bCs/>
          <w:color w:val="000000"/>
          <w:sz w:val="32"/>
          <w:szCs w:val="24"/>
          <w:highlight w:val="none"/>
        </w:rPr>
        <w:t xml:space="preserve">称：江苏警官学院算力和存储空间升级以及安全设施与服务</w:t>
      </w:r>
      <w:r>
        <w:rPr>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项目编号：JSZC-320000-SCZX-G2024-0641</w:t>
      </w:r>
      <w:r>
        <w:rPr>
          <w:highlight w:val="none"/>
        </w:rPr>
      </w:r>
      <w:r/>
    </w:p>
    <w:p>
      <w:pPr>
        <w:ind w:left="2800" w:hanging="2800"/>
        <w:rPr>
          <w:rFonts w:ascii="Times New Roman" w:hAnsi="Times New Roman"/>
          <w:b/>
          <w:color w:val="000000"/>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b/>
          <w:color w:val="000000"/>
          <w:sz w:val="28"/>
          <w:szCs w:val="28"/>
          <w:highlight w:val="none"/>
        </w:rPr>
        <w:t xml:space="preserve"> </w:t>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rPr>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2024</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12</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日</w:t>
      </w:r>
      <w:r>
        <w:rPr>
          <w:highlight w:val="none"/>
        </w:rPr>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rPr>
          <w:highlight w:val="none"/>
        </w:rPr>
      </w:r>
      <w:bookmarkStart w:id="1" w:name="_Toc16938516"/>
      <w:r>
        <w:rPr>
          <w:highlight w:val="none"/>
        </w:rPr>
      </w:r>
      <w:bookmarkStart w:id="2" w:name="_Toc20823272"/>
      <w:r>
        <w:rPr>
          <w:highlight w:val="none"/>
        </w:rPr>
      </w:r>
      <w:bookmarkStart w:id="3" w:name="_Toc479757206"/>
      <w:r>
        <w:rPr>
          <w:highlight w:val="none"/>
        </w:rPr>
      </w:r>
      <w:bookmarkStart w:id="4" w:name="_Toc513029200"/>
      <w:r>
        <w:rPr>
          <w:highlight w:val="none"/>
        </w:rPr>
      </w:r>
      <w:bookmarkStart w:id="5" w:name="_Toc523127445"/>
      <w:r>
        <w:rPr>
          <w:rFonts w:hint="eastAsia" w:ascii="黑体" w:hAnsi="Arial" w:eastAsia="黑体"/>
          <w:b/>
          <w:color w:val="000000"/>
          <w:sz w:val="44"/>
          <w:szCs w:val="21"/>
          <w:highlight w:val="none"/>
        </w:rPr>
        <w:t xml:space="preserve">总  目  录</w:t>
      </w:r>
      <w:r>
        <w:rPr>
          <w:highlight w:val="none"/>
        </w:rPr>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rPr>
          <w:highlight w:val="none"/>
        </w:rPr>
      </w:r>
      <w:r/>
    </w:p>
    <w:p>
      <w:pPr>
        <w:numPr>
          <w:ilvl w:val="0"/>
          <w:numId w:val="5"/>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w:t>
      </w:r>
      <w:r>
        <w:rPr>
          <w:rFonts w:hint="eastAsia" w:ascii="黑体" w:hAnsi="Showcard Gothic" w:eastAsia="黑体"/>
          <w:color w:val="000000"/>
          <w:sz w:val="36"/>
          <w:szCs w:val="21"/>
          <w:highlight w:val="none"/>
        </w:rPr>
        <w:t xml:space="preserve"> </w:t>
      </w:r>
      <w:r>
        <w:rPr>
          <w:highlight w:val="none"/>
        </w:rPr>
      </w:r>
      <w:r/>
    </w:p>
    <w:p>
      <w:pPr>
        <w:numPr>
          <w:ilvl w:val="0"/>
          <w:numId w:val="5"/>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w:t>
      </w:r>
      <w:r>
        <w:rPr>
          <w:rFonts w:hint="eastAsia" w:ascii="黑体" w:hAnsi="Showcard Gothic" w:eastAsia="黑体"/>
          <w:color w:val="000000"/>
          <w:sz w:val="36"/>
          <w:szCs w:val="21"/>
          <w:highlight w:val="none"/>
        </w:rPr>
        <w:t xml:space="preserve">  </w:t>
      </w:r>
      <w:r>
        <w:rPr>
          <w:highlight w:val="none"/>
        </w:rPr>
      </w:r>
      <w:r/>
    </w:p>
    <w:p>
      <w:pPr>
        <w:numPr>
          <w:ilvl w:val="0"/>
          <w:numId w:val="5"/>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16</w:t>
      </w:r>
      <w:r>
        <w:rPr>
          <w:highlight w:val="none"/>
        </w:rPr>
      </w:r>
      <w:r/>
    </w:p>
    <w:p>
      <w:pPr>
        <w:numPr>
          <w:ilvl w:val="0"/>
          <w:numId w:val="5"/>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32</w:t>
      </w:r>
      <w:r>
        <w:rPr>
          <w:highlight w:val="none"/>
        </w:rPr>
      </w:r>
      <w:r/>
    </w:p>
    <w:p>
      <w:pPr>
        <w:numPr>
          <w:ilvl w:val="0"/>
          <w:numId w:val="5"/>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47</w:t>
      </w:r>
      <w:r>
        <w:rPr>
          <w:highlight w:val="none"/>
        </w:rPr>
      </w:r>
      <w:r/>
    </w:p>
    <w:p>
      <w:pPr>
        <w:numPr>
          <w:ilvl w:val="0"/>
          <w:numId w:val="5"/>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50</w:t>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受江苏警官学院的委托，江苏省政府采购中心就江苏警官学院算力和存储空间升级以及安全设施与服务(JSZC-320000-SCZX-G2024-0641)项目进行公开招标采购，欢迎符合条件的供应商投标。</w:t>
      </w:r>
      <w:r>
        <w:rPr>
          <w:highlight w:val="none"/>
        </w:rPr>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highlight w:val="none"/>
        </w:rPr>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江苏警官学院算力和存储空间升级以及安全设施与服务</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2024</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rPr>
        <w:t xml:space="preserve">12月31日9    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highlight w:val="none"/>
        </w:rPr>
      </w:r>
      <w:r/>
    </w:p>
    <w:p>
      <w:pPr>
        <w:ind w:firstLine="496"/>
        <w:keepLines/>
        <w:keepNext/>
        <w:spacing w:before="156" w:after="156" w:line="400" w:lineRule="exact"/>
        <w:rPr>
          <w:rFonts w:ascii="Times New Roman" w:hAnsi="Times New Roman"/>
          <w:b/>
          <w:bCs/>
          <w:color w:val="000000"/>
          <w:sz w:val="32"/>
          <w:szCs w:val="32"/>
          <w:highlight w:val="none"/>
        </w:rPr>
        <w:outlineLvl w:val="2"/>
      </w:pPr>
      <w:r>
        <w:rPr>
          <w:highlight w:val="none"/>
        </w:rPr>
      </w:r>
      <w:bookmarkStart w:id="6" w:name="_Toc35393790"/>
      <w:r>
        <w:rPr>
          <w:highlight w:val="none"/>
        </w:rPr>
      </w:r>
      <w:bookmarkStart w:id="7" w:name="_Toc28359002"/>
      <w:r>
        <w:rPr>
          <w:highlight w:val="none"/>
        </w:rPr>
      </w:r>
      <w:bookmarkStart w:id="8" w:name="_Toc38985263"/>
      <w:r>
        <w:rPr>
          <w:highlight w:val="none"/>
        </w:rPr>
      </w:r>
      <w:bookmarkStart w:id="9" w:name="_Toc35393621"/>
      <w:r>
        <w:rPr>
          <w:highlight w:val="none"/>
        </w:rPr>
      </w:r>
      <w:bookmarkStart w:id="10" w:name="_Toc28359079"/>
      <w:r>
        <w:rPr>
          <w:highlight w:val="none"/>
        </w:rPr>
      </w:r>
      <w:bookmarkStart w:id="11" w:name="_Hlk24379207"/>
      <w:r>
        <w:rPr>
          <w:rFonts w:hint="eastAsia" w:ascii="Times New Roman" w:hAnsi="Times New Roman"/>
          <w:b/>
          <w:bCs/>
          <w:color w:val="000000"/>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1.项目编号：JSZC-320000-SCZX-G2024-0641</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2.项目名称：江苏警官学院算力和存储空间升级以及安全设施与服务</w:t>
      </w:r>
      <w:bookmarkEnd w:id="11"/>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包号</w:t>
            </w:r>
            <w:r>
              <w:rPr>
                <w:highlight w:val="none"/>
              </w:rPr>
            </w:r>
            <w:r/>
          </w:p>
        </w:tc>
        <w:tc>
          <w:tcPr>
            <w:tcW w:w="2800"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highlight w:val="none"/>
              </w:rPr>
            </w:r>
            <w:r/>
          </w:p>
        </w:tc>
      </w:tr>
      <w:tr>
        <w:trPr/>
        <w:tc>
          <w:tcPr>
            <w:tcW w:w="1148"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2800" w:type="dxa"/>
            <w:vAlign w:val="top"/>
            <w:textDirection w:val="lrTb"/>
            <w:noWrap w:val="false"/>
          </w:tcPr>
          <w:p>
            <w:pPr>
              <w:jc w:val="center"/>
              <w:spacing w:line="0" w:lineRule="atLeast"/>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460</w:t>
            </w:r>
            <w:r>
              <w:rPr>
                <w:highlight w:val="none"/>
              </w:rPr>
            </w:r>
            <w:r/>
          </w:p>
        </w:tc>
      </w:tr>
    </w:tbl>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包号</w:t>
            </w:r>
            <w:r>
              <w:rPr>
                <w:highlight w:val="none"/>
              </w:rPr>
            </w:r>
            <w:r/>
          </w:p>
        </w:tc>
        <w:tc>
          <w:tcPr>
            <w:tcW w:w="2800"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rPr>
                <w:highlight w:val="none"/>
              </w:rPr>
            </w:r>
            <w:r/>
          </w:p>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rPr>
                <w:highlight w:val="none"/>
              </w:rPr>
            </w:r>
            <w:r/>
          </w:p>
        </w:tc>
        <w:tc>
          <w:tcPr>
            <w:tcW w:w="3135"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highlight w:val="none"/>
              </w:rPr>
            </w:r>
            <w:r/>
          </w:p>
        </w:tc>
      </w:tr>
      <w:tr>
        <w:trPr/>
        <w:tc>
          <w:tcPr>
            <w:tcW w:w="1148"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2800"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rPr>
                <w:highlight w:val="none"/>
              </w:rPr>
            </w:r>
            <w:r/>
          </w:p>
        </w:tc>
        <w:tc>
          <w:tcPr>
            <w:tcW w:w="3135" w:type="dxa"/>
            <w:vAlign w:val="top"/>
            <w:textDirection w:val="lrTb"/>
            <w:noWrap w:val="false"/>
          </w:tcPr>
          <w:p>
            <w:pPr>
              <w:jc w:val="center"/>
              <w:spacing w:line="0" w:lineRule="atLeast"/>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460</w:t>
            </w:r>
            <w:r>
              <w:rPr>
                <w:highlight w:val="none"/>
              </w:rPr>
            </w:r>
            <w:r/>
          </w:p>
        </w:tc>
      </w:tr>
    </w:tbl>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次项目旨在充分保护原有投资基础上，充分发挥设备的使用价值，通过增添新设备以及服务在数据中心算力、存储、网络安全、综合服务等多维度多层次方式为学院完善整体校园基础支撑平台的建设体系，建立健全的算力平台以及网络安全运营体系，强化学院信息化系统安全运营流程，为江苏警官学院全体师生搭建一个良好、平稳的学习及工作环境。（详细内容见本招标文件第四章）</w:t>
      </w:r>
      <w:r>
        <w:rPr>
          <w:highlight w:val="none"/>
        </w:rPr>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6.合同履行期限：合同签订后30个自然日内完成所有设备的到货、安装、集成并交付使用。</w:t>
      </w:r>
      <w:r>
        <w:rPr>
          <w:highlight w:val="none"/>
        </w:rPr>
      </w:r>
      <w:r/>
    </w:p>
    <w:p>
      <w:pPr>
        <w:ind w:firstLine="496"/>
        <w:keepLines/>
        <w:keepNext/>
        <w:spacing w:before="156" w:after="156" w:line="360" w:lineRule="auto"/>
        <w:rPr>
          <w:rFonts w:ascii="Times New Roman" w:hAnsi="Times New Roman"/>
          <w:b/>
          <w:bCs/>
          <w:color w:val="000000"/>
          <w:sz w:val="32"/>
          <w:szCs w:val="32"/>
          <w:highlight w:val="none"/>
        </w:rPr>
        <w:outlineLvl w:val="2"/>
      </w:pPr>
      <w:r>
        <w:rPr>
          <w:highlight w:val="none"/>
        </w:rPr>
      </w:r>
      <w:bookmarkStart w:id="12" w:name="_Toc28359080"/>
      <w:r>
        <w:rPr>
          <w:highlight w:val="none"/>
        </w:rPr>
      </w:r>
      <w:bookmarkStart w:id="13" w:name="_Toc38985264"/>
      <w:r>
        <w:rPr>
          <w:highlight w:val="none"/>
        </w:rPr>
      </w:r>
      <w:bookmarkStart w:id="14" w:name="_Toc35393791"/>
      <w:r>
        <w:rPr>
          <w:highlight w:val="none"/>
        </w:rPr>
      </w:r>
      <w:bookmarkStart w:id="15" w:name="_Toc28359003"/>
      <w:r>
        <w:rPr>
          <w:highlight w:val="none"/>
        </w:rPr>
      </w:r>
      <w:bookmarkStart w:id="16" w:name="_Toc35393622"/>
      <w:r>
        <w:rPr>
          <w:rFonts w:hint="eastAsia" w:ascii="Times New Roman" w:hAnsi="Times New Roman"/>
          <w:b/>
          <w:bCs/>
          <w:color w:val="000000"/>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ind w:firstLine="560"/>
        <w:spacing w:line="400" w:lineRule="exact"/>
        <w:rPr>
          <w:rFonts w:hint="eastAsia" w:ascii="宋体" w:hAnsi="宋体"/>
          <w:color w:val="000000"/>
          <w:sz w:val="28"/>
          <w:szCs w:val="28"/>
          <w:highlight w:val="none"/>
        </w:rPr>
      </w:pPr>
      <w:r>
        <w:rPr>
          <w:highlight w:val="none"/>
        </w:rPr>
      </w:r>
      <w:bookmarkStart w:id="17" w:name="_Toc28359004"/>
      <w:r>
        <w:rPr>
          <w:highlight w:val="none"/>
        </w:rPr>
      </w:r>
      <w:bookmarkStart w:id="18" w:name="_Toc35393623"/>
      <w:r>
        <w:rPr>
          <w:highlight w:val="none"/>
        </w:rPr>
      </w:r>
      <w:bookmarkStart w:id="19" w:name="_Toc38985265"/>
      <w:r>
        <w:rPr>
          <w:highlight w:val="none"/>
        </w:rPr>
      </w:r>
      <w:bookmarkStart w:id="20" w:name="_Toc35393792"/>
      <w:r>
        <w:rPr>
          <w:highlight w:val="none"/>
        </w:rPr>
      </w:r>
      <w:bookmarkStart w:id="21" w:name="_Toc28359081"/>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highlight w:val="none"/>
        </w:rPr>
      </w:r>
      <w:r/>
    </w:p>
    <w:p>
      <w:pPr>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rPr>
                <w:highlight w:val="none"/>
              </w:rPr>
            </w:r>
            <w:r/>
          </w:p>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包号</w:t>
            </w:r>
            <w:r>
              <w:rPr>
                <w:highlight w:val="none"/>
              </w:rPr>
            </w:r>
            <w:r/>
          </w:p>
        </w:tc>
        <w:tc>
          <w:tcPr>
            <w:tcW w:w="2968"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是否接受联合体</w:t>
            </w:r>
            <w:r>
              <w:rPr>
                <w:rFonts w:ascii="宋体" w:hAnsi="宋体"/>
                <w:color w:val="000000"/>
                <w:sz w:val="24"/>
                <w:szCs w:val="24"/>
                <w:highlight w:val="none"/>
              </w:rPr>
              <w:t xml:space="preserve">投标</w:t>
            </w:r>
            <w:r>
              <w:rPr>
                <w:highlight w:val="none"/>
              </w:rPr>
            </w:r>
            <w:r/>
          </w:p>
          <w:p>
            <w:pPr>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rPr>
                <w:highlight w:val="none"/>
              </w:rPr>
            </w:r>
            <w:r/>
          </w:p>
        </w:tc>
        <w:tc>
          <w:tcPr>
            <w:tcW w:w="296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该采购包中</w:t>
            </w:r>
            <w:r>
              <w:rPr>
                <w:rFonts w:ascii="宋体" w:hAnsi="宋体"/>
                <w:color w:val="000000"/>
                <w:sz w:val="24"/>
                <w:szCs w:val="24"/>
                <w:highlight w:val="none"/>
              </w:rPr>
              <w:t xml:space="preserve">联合体成员数量</w:t>
            </w:r>
            <w:r>
              <w:rPr>
                <w:rFonts w:hint="eastAsia" w:ascii="宋体" w:hAnsi="宋体"/>
                <w:color w:val="000000"/>
                <w:sz w:val="24"/>
                <w:szCs w:val="24"/>
                <w:highlight w:val="none"/>
              </w:rPr>
              <w:t xml:space="preserve">上限</w:t>
            </w:r>
            <w:r>
              <w:rPr>
                <w:highlight w:val="none"/>
              </w:rPr>
            </w:r>
            <w:r/>
          </w:p>
        </w:tc>
      </w:tr>
      <w:tr>
        <w:trPr/>
        <w:tc>
          <w:tcPr>
            <w:tcW w:w="1148" w:type="dxa"/>
            <w:vAlign w:val="top"/>
            <w:textDirection w:val="lrTb"/>
            <w:noWrap w:val="false"/>
          </w:tcPr>
          <w:p>
            <w:pPr>
              <w:jc w:val="center"/>
              <w:spacing w:line="40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highlight w:val="none"/>
              </w:rPr>
            </w:r>
            <w:r/>
          </w:p>
        </w:tc>
        <w:tc>
          <w:tcPr>
            <w:tcW w:w="2968"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rPr>
                <w:highlight w:val="none"/>
              </w:rPr>
            </w:r>
            <w:r/>
          </w:p>
        </w:tc>
        <w:tc>
          <w:tcPr>
            <w:tcW w:w="296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tc>
      </w:tr>
    </w:tbl>
    <w:p>
      <w:pPr>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rPr>
                <w:highlight w:val="none"/>
              </w:rPr>
            </w:r>
            <w:r/>
          </w:p>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包号</w:t>
            </w:r>
            <w:r>
              <w:rPr>
                <w:highlight w:val="none"/>
              </w:rPr>
            </w:r>
            <w:r/>
          </w:p>
        </w:tc>
        <w:tc>
          <w:tcPr>
            <w:tcW w:w="5921"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特定</w:t>
            </w:r>
            <w:r>
              <w:rPr>
                <w:rFonts w:ascii="宋体" w:hAnsi="宋体"/>
                <w:color w:val="000000"/>
                <w:sz w:val="24"/>
                <w:szCs w:val="24"/>
                <w:highlight w:val="none"/>
              </w:rPr>
              <w:t xml:space="preserve">资格要求</w:t>
            </w:r>
            <w:r>
              <w:rPr>
                <w:highlight w:val="none"/>
              </w:rPr>
            </w:r>
            <w:r/>
          </w:p>
        </w:tc>
      </w:tr>
      <w:tr>
        <w:trPr/>
        <w:tc>
          <w:tcPr>
            <w:tcW w:w="1148" w:type="dxa"/>
            <w:vAlign w:val="top"/>
            <w:textDirection w:val="lrTb"/>
            <w:noWrap w:val="false"/>
          </w:tcPr>
          <w:p>
            <w:pPr>
              <w:jc w:val="center"/>
              <w:spacing w:line="40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highlight w:val="none"/>
              </w:rPr>
            </w:r>
            <w:r/>
          </w:p>
        </w:tc>
        <w:tc>
          <w:tcPr>
            <w:tcW w:w="5921"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tc>
      </w:tr>
    </w:tbl>
    <w:p>
      <w:pPr>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rPr>
          <w:highlight w:val="none"/>
        </w:rPr>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highlight w:val="none"/>
        </w:rPr>
      </w:r>
      <w:r/>
    </w:p>
    <w:p>
      <w:pPr>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Pr>
          <w:highlight w:val="none"/>
        </w:rPr>
      </w:r>
      <w:r/>
    </w:p>
    <w:p>
      <w:pPr>
        <w:ind w:firstLine="496"/>
        <w:keepLines/>
        <w:keepNext/>
        <w:spacing w:before="156" w:after="156" w:line="400" w:lineRule="exact"/>
        <w:rPr>
          <w:rFonts w:ascii="Times New Roman" w:hAnsi="Times New Roman"/>
          <w:b/>
          <w:bCs/>
          <w:color w:val="000000"/>
          <w:sz w:val="32"/>
          <w:szCs w:val="32"/>
          <w:highlight w:val="none"/>
        </w:rPr>
        <w:outlineLvl w:val="2"/>
      </w:pPr>
      <w:r>
        <w:rPr>
          <w:highlight w:val="none"/>
        </w:rPr>
      </w:r>
      <w:bookmarkStart w:id="22" w:name="_Toc28359005"/>
      <w:r>
        <w:rPr>
          <w:highlight w:val="none"/>
        </w:rPr>
      </w:r>
      <w:bookmarkStart w:id="23" w:name="_Toc28359082"/>
      <w:r>
        <w:rPr>
          <w:highlight w:val="none"/>
        </w:rPr>
      </w:r>
      <w:bookmarkStart w:id="24" w:name="_Toc35393624"/>
      <w:r>
        <w:rPr>
          <w:highlight w:val="none"/>
        </w:rPr>
      </w:r>
      <w:bookmarkStart w:id="25" w:name="_Toc35393793"/>
      <w:r>
        <w:rPr>
          <w:highlight w:val="none"/>
        </w:rPr>
      </w:r>
      <w:bookmarkStart w:id="26" w:name="_Toc38985266"/>
      <w:r>
        <w:rPr>
          <w:rFonts w:hint="eastAsia" w:ascii="Times New Roman" w:hAnsi="Times New Roman"/>
          <w:b/>
          <w:bCs/>
          <w:color w:val="000000"/>
          <w:sz w:val="32"/>
          <w:szCs w:val="32"/>
          <w:highlight w:val="none"/>
        </w:rPr>
        <w:t xml:space="preserve">四、提交投标文件</w:t>
      </w:r>
      <w:bookmarkEnd w:id="22"/>
      <w:r>
        <w:rPr>
          <w:highlight w:val="none"/>
        </w:rPr>
      </w:r>
      <w:bookmarkEnd w:id="23"/>
      <w:r>
        <w:rPr>
          <w:rFonts w:hint="eastAsia" w:ascii="Times New Roman" w:hAnsi="Times New Roman"/>
          <w:b/>
          <w:bCs/>
          <w:color w:val="000000"/>
          <w:sz w:val="32"/>
          <w:szCs w:val="32"/>
          <w:highlight w:val="none"/>
        </w:rPr>
        <w:t xml:space="preserve">截止时间、开标时间和地点</w:t>
      </w:r>
      <w:bookmarkEnd w:id="24"/>
      <w:r>
        <w:rPr>
          <w:highlight w:val="none"/>
        </w:rPr>
      </w:r>
      <w:bookmarkEnd w:id="25"/>
      <w:r>
        <w:rPr>
          <w:highlight w:val="none"/>
        </w:rPr>
      </w:r>
      <w:bookmarkEnd w:id="26"/>
      <w:r>
        <w:rPr>
          <w:highlight w:val="none"/>
        </w:rPr>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none"/>
        </w:rPr>
        <w:t xml:space="preserve">2024</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rPr>
        <w:t xml:space="preserve">12</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31</w:t>
      </w:r>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rPr>
        <w:t xml:space="preserve">9</w:t>
      </w:r>
      <w:r>
        <w:rPr>
          <w:rFonts w:hint="eastAsia" w:ascii="宋体" w:hAnsi="宋体"/>
          <w:bCs/>
          <w:color w:val="000000"/>
          <w:sz w:val="24"/>
          <w:szCs w:val="24"/>
          <w:highlight w:val="none"/>
          <w:u w:val="none"/>
        </w:rPr>
        <w:t xml:space="preserve">点30</w:t>
      </w:r>
      <w:r>
        <w:rPr>
          <w:rFonts w:hint="eastAsia" w:ascii="宋体" w:hAnsi="宋体"/>
          <w:bCs/>
          <w:color w:val="000000"/>
          <w:sz w:val="24"/>
          <w:szCs w:val="24"/>
          <w:highlight w:val="none"/>
          <w:u w:val="none"/>
        </w:rPr>
        <w:t xml:space="preserve">分（北京时间）</w:t>
      </w:r>
      <w:r>
        <w:rPr>
          <w:rFonts w:hint="eastAsia" w:ascii="宋体" w:hAnsi="宋体"/>
          <w:bCs/>
          <w:color w:val="000000"/>
          <w:sz w:val="24"/>
          <w:szCs w:val="24"/>
          <w:highlight w:val="none"/>
        </w:rPr>
        <w:t xml:space="preserve">。</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highlight w:val="none"/>
        </w:rPr>
      </w:r>
      <w:r/>
    </w:p>
    <w:p>
      <w:pPr>
        <w:ind w:firstLine="496"/>
        <w:keepLines/>
        <w:keepNext/>
        <w:spacing w:before="156" w:after="156" w:line="360" w:lineRule="auto"/>
        <w:rPr>
          <w:rFonts w:ascii="Times New Roman" w:hAnsi="Times New Roman"/>
          <w:b/>
          <w:bCs/>
          <w:color w:val="000000"/>
          <w:sz w:val="32"/>
          <w:szCs w:val="32"/>
          <w:highlight w:val="none"/>
        </w:rPr>
        <w:outlineLvl w:val="2"/>
      </w:pPr>
      <w:r>
        <w:rPr>
          <w:highlight w:val="none"/>
        </w:rPr>
      </w:r>
      <w:bookmarkStart w:id="27" w:name="_Toc28359007"/>
      <w:r>
        <w:rPr>
          <w:highlight w:val="none"/>
        </w:rPr>
      </w:r>
      <w:bookmarkStart w:id="28" w:name="_Toc28359084"/>
      <w:r>
        <w:rPr>
          <w:highlight w:val="none"/>
        </w:rPr>
      </w:r>
      <w:bookmarkStart w:id="29" w:name="_Toc38985267"/>
      <w:r>
        <w:rPr>
          <w:highlight w:val="none"/>
        </w:rPr>
      </w:r>
      <w:bookmarkStart w:id="30" w:name="_Toc35393794"/>
      <w:r>
        <w:rPr>
          <w:highlight w:val="none"/>
        </w:rPr>
      </w:r>
      <w:bookmarkStart w:id="31" w:name="_Toc35393625"/>
      <w:r>
        <w:rPr>
          <w:rFonts w:hint="eastAsia" w:ascii="Times New Roman" w:hAnsi="Times New Roman"/>
          <w:b/>
          <w:bCs/>
          <w:color w:val="000000"/>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highlight w:val="none"/>
        </w:rPr>
      </w:r>
      <w:r/>
    </w:p>
    <w:p>
      <w:pPr>
        <w:ind w:firstLine="496"/>
        <w:keepLines/>
        <w:keepNext/>
        <w:spacing w:before="156" w:after="156" w:line="400" w:lineRule="exact"/>
        <w:rPr>
          <w:rFonts w:ascii="Times New Roman" w:hAnsi="Times New Roman"/>
          <w:b/>
          <w:bCs/>
          <w:color w:val="000000"/>
          <w:sz w:val="32"/>
          <w:szCs w:val="32"/>
          <w:highlight w:val="none"/>
        </w:rPr>
        <w:outlineLvl w:val="2"/>
      </w:pPr>
      <w:r>
        <w:rPr>
          <w:highlight w:val="none"/>
        </w:rPr>
      </w:r>
      <w:bookmarkStart w:id="32" w:name="_Toc35393626"/>
      <w:r>
        <w:rPr>
          <w:highlight w:val="none"/>
        </w:rPr>
      </w:r>
      <w:bookmarkStart w:id="33" w:name="_Toc38985268"/>
      <w:r>
        <w:rPr>
          <w:highlight w:val="none"/>
        </w:rPr>
      </w:r>
      <w:bookmarkStart w:id="34" w:name="_Toc35393795"/>
      <w:r>
        <w:rPr>
          <w:rFonts w:hint="eastAsia" w:ascii="Times New Roman" w:hAnsi="Times New Roman"/>
          <w:b/>
          <w:bCs/>
          <w:color w:val="000000"/>
          <w:sz w:val="32"/>
          <w:szCs w:val="32"/>
          <w:highlight w:val="none"/>
        </w:rPr>
        <w:t xml:space="preserve">六、其他补充事宜</w:t>
      </w:r>
      <w:bookmarkEnd w:id="32"/>
      <w:r>
        <w:rPr>
          <w:highlight w:val="none"/>
        </w:rPr>
      </w:r>
      <w:bookmarkEnd w:id="33"/>
      <w:r>
        <w:rPr>
          <w:highlight w:val="none"/>
        </w:rPr>
      </w:r>
      <w:bookmarkEnd w:id="34"/>
      <w:r>
        <w:rPr>
          <w:highlight w:val="none"/>
        </w:rPr>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highlight w:val="none"/>
        </w:rPr>
      </w:r>
      <w:r/>
    </w:p>
    <w:p>
      <w:pPr>
        <w:ind w:firstLine="496"/>
        <w:keepLines/>
        <w:keepNext/>
        <w:spacing w:before="156" w:after="156" w:line="400" w:lineRule="exact"/>
        <w:rPr>
          <w:rFonts w:ascii="Times New Roman" w:hAnsi="Times New Roman"/>
          <w:b/>
          <w:bCs/>
          <w:color w:val="000000"/>
          <w:sz w:val="32"/>
          <w:szCs w:val="32"/>
          <w:highlight w:val="none"/>
        </w:rPr>
        <w:outlineLvl w:val="2"/>
      </w:pPr>
      <w:r>
        <w:rPr>
          <w:highlight w:val="none"/>
        </w:rPr>
      </w:r>
      <w:bookmarkStart w:id="35" w:name="_Toc28359085"/>
      <w:r>
        <w:rPr>
          <w:highlight w:val="none"/>
        </w:rPr>
      </w:r>
      <w:bookmarkStart w:id="36" w:name="_Toc35393796"/>
      <w:r>
        <w:rPr>
          <w:highlight w:val="none"/>
        </w:rPr>
      </w:r>
      <w:bookmarkStart w:id="37" w:name="_Toc38985269"/>
      <w:r>
        <w:rPr>
          <w:highlight w:val="none"/>
        </w:rPr>
      </w:r>
      <w:bookmarkStart w:id="38" w:name="_Toc28359008"/>
      <w:r>
        <w:rPr>
          <w:highlight w:val="none"/>
        </w:rPr>
      </w:r>
      <w:bookmarkStart w:id="39" w:name="_Toc35393627"/>
      <w:r>
        <w:rPr>
          <w:rFonts w:hint="eastAsia" w:ascii="Times New Roman" w:hAnsi="Times New Roman"/>
          <w:b/>
          <w:bCs/>
          <w:color w:val="000000"/>
          <w:sz w:val="32"/>
          <w:szCs w:val="32"/>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09"/>
      <w:r>
        <w:rPr>
          <w:highlight w:val="none"/>
        </w:rPr>
      </w:r>
      <w:bookmarkStart w:id="41" w:name="_Toc28359086"/>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highlight w:val="none"/>
        </w:rPr>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lang w:val="en-US" w:eastAsia="zh-CN"/>
        </w:rPr>
        <w:t xml:space="preserve">江苏警官学院</w:t>
      </w:r>
      <w:r>
        <w:rPr>
          <w:highlight w:val="none"/>
        </w:rPr>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val="en-US" w:eastAsia="zh-CN"/>
        </w:rPr>
        <w:t xml:space="preserve">南京市浦口区石佛三宫48号</w:t>
      </w:r>
      <w:r>
        <w:rPr>
          <w:highlight w:val="none"/>
        </w:rPr>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陆海山</w:t>
      </w:r>
      <w:r>
        <w:rPr>
          <w:highlight w:val="none"/>
        </w:rPr>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025-52881727</w:t>
      </w:r>
      <w:r>
        <w:rPr>
          <w:highlight w:val="none"/>
        </w:rPr>
      </w:r>
      <w:r/>
    </w:p>
    <w:p>
      <w:pPr>
        <w:ind w:firstLine="48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0"/>
      <w:r>
        <w:rPr>
          <w:highlight w:val="none"/>
        </w:rPr>
      </w:r>
      <w:bookmarkEnd w:id="41"/>
      <w:r>
        <w:rPr>
          <w:highlight w:val="none"/>
        </w:rPr>
      </w:r>
      <w:r/>
    </w:p>
    <w:p>
      <w:pPr>
        <w:ind w:firstLine="480"/>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eastAsia="zh-CN"/>
        </w:rPr>
        <w:t xml:space="preserve">南京市汉中门大街</w:t>
      </w:r>
      <w:r>
        <w:rPr>
          <w:rFonts w:hint="eastAsia" w:ascii="宋体" w:hAnsi="宋体"/>
          <w:color w:val="000000"/>
          <w:sz w:val="24"/>
          <w:szCs w:val="24"/>
          <w:highlight w:val="none"/>
          <w:u w:val="single"/>
          <w:lang w:val="en-US" w:eastAsia="zh-CN"/>
        </w:rPr>
        <w:t xml:space="preserve">145号省政务服务中心二期3楼南区</w:t>
      </w:r>
      <w:r>
        <w:rPr>
          <w:highlight w:val="none"/>
        </w:rPr>
      </w:r>
      <w:r/>
    </w:p>
    <w:p>
      <w:pPr>
        <w:ind w:firstLine="480"/>
        <w:spacing w:line="4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郑荔、严晓薇</w:t>
      </w:r>
      <w:r>
        <w:rPr>
          <w:highlight w:val="none"/>
        </w:rPr>
      </w:r>
      <w:r/>
    </w:p>
    <w:p>
      <w:pPr>
        <w:ind w:firstLine="480"/>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联系方式：</w:t>
      </w:r>
      <w:bookmarkStart w:id="42" w:name="_Toc28359010"/>
      <w:r>
        <w:rPr>
          <w:highlight w:val="none"/>
        </w:rPr>
      </w:r>
      <w:bookmarkStart w:id="43" w:name="_Toc28359087"/>
      <w:r>
        <w:rPr>
          <w:rFonts w:hint="eastAsia" w:ascii="宋体" w:hAnsi="宋体"/>
          <w:color w:val="000000"/>
          <w:sz w:val="24"/>
          <w:szCs w:val="24"/>
          <w:highlight w:val="none"/>
          <w:u w:val="single"/>
          <w:lang w:val="en-US" w:eastAsia="zh-CN"/>
        </w:rPr>
        <w:t xml:space="preserve">025-83668535、83668537</w:t>
      </w:r>
      <w:bookmarkEnd w:id="42"/>
      <w:r/>
      <w:bookmarkEnd w:id="43"/>
      <w:r>
        <w:rPr>
          <w:highlight w:val="none"/>
        </w:rPr>
      </w:r>
      <w:r/>
    </w:p>
    <w:p>
      <w:pPr>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八、其他</w:t>
      </w:r>
      <w:r>
        <w:rPr>
          <w:highlight w:val="none"/>
        </w:rPr>
      </w:r>
      <w:r/>
    </w:p>
    <w:p>
      <w:pPr>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rFonts w:ascii="Times New Roman" w:hAnsi="Times New Roman"/>
          <w:bCs/>
          <w:color w:val="000000"/>
          <w:szCs w:val="21"/>
          <w:highlight w:val="none"/>
        </w:rPr>
        <w:fldChar w:fldCharType="begin"/>
      </w:r>
      <w:r>
        <w:rPr>
          <w:rFonts w:ascii="Times New Roman" w:hAnsi="Times New Roman"/>
          <w:bCs/>
          <w:color w:val="000000"/>
          <w:szCs w:val="21"/>
          <w:highlight w:val="none"/>
        </w:rPr>
        <w:instrText xml:space="preserve"> HYPERLINK "http://www.ccgp-jiangsu.gov.cn/jiangsu/zlxz/ee/ee3a4bc5a3454aa2b0d9312230633ce9.html" </w:instrText>
      </w:r>
      <w:r>
        <w:rPr>
          <w:rFonts w:ascii="Times New Roman" w:hAnsi="Times New Roman"/>
          <w:bCs/>
          <w:color w:val="000000"/>
          <w:szCs w:val="21"/>
          <w:highlight w:val="none"/>
        </w:rPr>
        <w:fldChar w:fldCharType="separate"/>
      </w:r>
      <w:r>
        <w:rPr>
          <w:rStyle w:val="988"/>
          <w:rFonts w:ascii="Times New Roman" w:hAnsi="Times New Roman"/>
          <w:bCs/>
          <w:color w:val="000000"/>
          <w:szCs w:val="21"/>
          <w:highlight w:val="none"/>
        </w:rPr>
        <w:t xml:space="preserve">http://www.ccgp-jiangsu.gov.cn/jiangsu/zlxz/ee/ee3a4bc5a3454aa2b0d9312230633ce9.html</w:t>
      </w:r>
      <w:r>
        <w:rPr>
          <w:rFonts w:ascii="Times New Roman" w:hAnsi="Times New Roman"/>
          <w:bCs/>
          <w:color w:val="000000"/>
          <w:szCs w:val="21"/>
          <w:highlight w:val="none"/>
        </w:rPr>
        <w:fldChar w:fldCharType="end"/>
      </w:r>
      <w:r>
        <w:rPr>
          <w:rFonts w:ascii="Times New Roman" w:hAnsi="Times New Roman"/>
          <w:bCs/>
          <w:color w:val="000000"/>
          <w:szCs w:val="21"/>
          <w:highlight w:val="none"/>
        </w:rPr>
        <w:t xml:space="preserve">。</w:t>
      </w:r>
      <w:r>
        <w:rPr>
          <w:highlight w:val="none"/>
        </w:rPr>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highlight w:val="none"/>
        </w:rPr>
      </w:r>
      <w:r/>
    </w:p>
    <w:p>
      <w:pPr>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rFonts w:ascii="Times New Roman" w:hAnsi="Times New Roman"/>
          <w:bCs/>
          <w:color w:val="000000"/>
          <w:szCs w:val="21"/>
          <w:highlight w:val="none"/>
        </w:rPr>
        <w:t xml:space="preserve">（www.ccgp-jiangsu.gov.cn）</w:t>
      </w:r>
      <w:r>
        <w:rPr>
          <w:rFonts w:hint="eastAsia" w:ascii="Times New Roman" w:hAnsi="Times New Roman"/>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rFonts w:ascii="Times New Roman" w:hAnsi="Times New Roman"/>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highlight w:val="none"/>
        </w:rPr>
      </w:r>
      <w:r/>
    </w:p>
    <w:p>
      <w:pPr>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.有关本次招标的事项若存在变动或修改，敬请及时关注江苏省政府采购中心在“江苏政府采购网”发布的更正公告。</w:t>
      </w:r>
      <w:r>
        <w:rPr>
          <w:highlight w:val="none"/>
        </w:rPr>
      </w:r>
      <w:r/>
    </w:p>
    <w:p>
      <w:pPr>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rPr>
          <w:highlight w:val="none"/>
        </w:rPr>
      </w:r>
      <w:r/>
    </w:p>
    <w:p>
      <w:pPr>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highlight w:val="none"/>
        </w:rPr>
      </w:r>
      <w:r/>
    </w:p>
    <w:p>
      <w:pPr>
        <w:ind w:firstLine="2420"/>
        <w:keepLines/>
        <w:keepNext/>
        <w:spacing w:before="260" w:after="260" w:line="416" w:lineRule="auto"/>
        <w:rPr>
          <w:rFonts w:hint="eastAsia" w:ascii="黑体" w:hAnsi="Arial" w:eastAsia="黑体" w:cs="Arial"/>
          <w:color w:val="000000"/>
          <w:sz w:val="44"/>
          <w:szCs w:val="44"/>
          <w:highlight w:val="none"/>
        </w:rPr>
        <w:outlineLvl w:val="1"/>
      </w:pPr>
      <w:r>
        <w:rPr>
          <w:highlight w:val="none"/>
        </w:rPr>
      </w:r>
      <w:bookmarkStart w:id="44" w:name="_Toc120614211"/>
      <w:r>
        <w:rPr>
          <w:rFonts w:hint="eastAsia" w:ascii="黑体" w:hAnsi="Arial" w:eastAsia="黑体" w:cs="Arial"/>
          <w:b/>
          <w:bCs/>
          <w:color w:val="000000"/>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4"/>
      <w:r>
        <w:rPr>
          <w:highlight w:val="none"/>
        </w:rPr>
      </w:r>
      <w:bookmarkStart w:id="45" w:name="_Toc513029202"/>
      <w:r>
        <w:rPr>
          <w:highlight w:val="none"/>
        </w:rPr>
      </w:r>
      <w:bookmarkStart w:id="46" w:name="_Toc16938518"/>
      <w:r>
        <w:rPr>
          <w:highlight w:val="none"/>
        </w:rPr>
      </w:r>
      <w:bookmarkStart w:id="47" w:name="_Toc120614213"/>
      <w:r>
        <w:rPr>
          <w:highlight w:val="none"/>
        </w:rPr>
      </w:r>
      <w:bookmarkStart w:id="48" w:name="_Toc20823274"/>
      <w:r>
        <w:rPr>
          <w:rFonts w:hint="eastAsia" w:ascii="黑体" w:hAnsi="Arial" w:eastAsia="黑体" w:cs="Arial"/>
          <w:b/>
          <w:bCs/>
          <w:color w:val="000000"/>
          <w:sz w:val="44"/>
          <w:szCs w:val="44"/>
          <w:highlight w:val="none"/>
        </w:rPr>
        <w:t xml:space="preserve">投标人须知</w:t>
      </w:r>
      <w:bookmarkEnd w:id="45"/>
      <w:r>
        <w:rPr>
          <w:highlight w:val="none"/>
        </w:rPr>
      </w:r>
      <w:bookmarkEnd w:id="46"/>
      <w:r>
        <w:rPr>
          <w:highlight w:val="none"/>
        </w:rPr>
      </w:r>
      <w:bookmarkEnd w:id="47"/>
      <w:r>
        <w:rPr>
          <w:highlight w:val="none"/>
        </w:rPr>
      </w:r>
      <w:bookmarkEnd w:id="48"/>
      <w:r>
        <w:rPr>
          <w:highlight w:val="none"/>
        </w:rPr>
      </w:r>
      <w:r/>
    </w:p>
    <w:p>
      <w:pPr>
        <w:ind w:firstLine="496"/>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49" w:name="_Toc120614214"/>
      <w:r>
        <w:rPr>
          <w:highlight w:val="none"/>
        </w:rPr>
      </w:r>
      <w:bookmarkStart w:id="50" w:name="_Toc513029203"/>
      <w:r>
        <w:rPr>
          <w:highlight w:val="none"/>
        </w:rPr>
      </w:r>
      <w:bookmarkStart w:id="51" w:name="_Toc16938519"/>
      <w:r>
        <w:rPr>
          <w:highlight w:val="none"/>
        </w:rPr>
      </w:r>
      <w:bookmarkStart w:id="52" w:name="_Toc20823275"/>
      <w:r>
        <w:rPr>
          <w:rFonts w:hint="eastAsia" w:ascii="Times New Roman" w:hAnsi="Times New Roman"/>
          <w:b/>
          <w:bCs/>
          <w:color w:val="000000"/>
          <w:sz w:val="32"/>
          <w:szCs w:val="32"/>
          <w:highlight w:val="none"/>
        </w:rPr>
        <w:t xml:space="preserve">一、总则</w:t>
      </w:r>
      <w:bookmarkEnd w:id="49"/>
      <w:r>
        <w:rPr>
          <w:highlight w:val="none"/>
        </w:rPr>
      </w:r>
      <w:bookmarkEnd w:id="50"/>
      <w:r>
        <w:rPr>
          <w:highlight w:val="none"/>
        </w:rPr>
      </w:r>
      <w:bookmarkEnd w:id="51"/>
      <w:r>
        <w:rPr>
          <w:highlight w:val="none"/>
        </w:rPr>
      </w:r>
      <w:bookmarkEnd w:id="52"/>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53" w:name="_Hlt16619475"/>
      <w:r>
        <w:rPr>
          <w:highlight w:val="none"/>
        </w:rPr>
      </w:r>
      <w:bookmarkEnd w:id="53"/>
      <w:r>
        <w:rPr>
          <w:highlight w:val="none"/>
        </w:rPr>
      </w:r>
      <w:bookmarkStart w:id="54" w:name="_Toc458694821"/>
      <w:r>
        <w:rPr>
          <w:highlight w:val="none"/>
        </w:rPr>
      </w:r>
      <w:bookmarkStart w:id="55" w:name="_Toc20823276"/>
      <w:r>
        <w:rPr>
          <w:highlight w:val="none"/>
        </w:rPr>
      </w:r>
      <w:bookmarkStart w:id="56" w:name="_Toc16938520"/>
      <w:r>
        <w:rPr>
          <w:highlight w:val="none"/>
        </w:rPr>
      </w:r>
      <w:bookmarkStart w:id="57" w:name="_Toc513029204"/>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rPr>
          <w:highlight w:val="none"/>
        </w:rPr>
      </w:r>
      <w:bookmarkEnd w:id="56"/>
      <w:r>
        <w:rPr>
          <w:highlight w:val="none"/>
        </w:rPr>
      </w:r>
      <w:bookmarkEnd w:id="57"/>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58" w:name="_Toc16938521"/>
      <w:r>
        <w:rPr>
          <w:highlight w:val="none"/>
        </w:rPr>
      </w:r>
      <w:bookmarkStart w:id="59" w:name="_Toc513029205"/>
      <w:r>
        <w:rPr>
          <w:highlight w:val="none"/>
        </w:rPr>
      </w:r>
      <w:bookmarkStart w:id="60" w:name="_Toc20823277"/>
      <w:r>
        <w:rPr>
          <w:rFonts w:hint="eastAsia" w:ascii="Arial" w:hAnsi="Arial" w:eastAsia="黑体" w:cs="Arial"/>
          <w:color w:val="000000"/>
          <w:sz w:val="28"/>
          <w:szCs w:val="28"/>
          <w:highlight w:val="none"/>
        </w:rPr>
        <w:t xml:space="preserve">2、合格的投标人</w:t>
      </w:r>
      <w:bookmarkEnd w:id="58"/>
      <w:r>
        <w:rPr>
          <w:highlight w:val="none"/>
        </w:rPr>
      </w:r>
      <w:bookmarkEnd w:id="59"/>
      <w:r>
        <w:rPr>
          <w:highlight w:val="none"/>
        </w:rPr>
      </w:r>
      <w:bookmarkEnd w:id="60"/>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61" w:name="_Toc513029206"/>
      <w:r>
        <w:rPr>
          <w:highlight w:val="none"/>
        </w:rPr>
      </w:r>
      <w:bookmarkStart w:id="62" w:name="_Toc20823278"/>
      <w:r>
        <w:rPr>
          <w:highlight w:val="none"/>
        </w:rPr>
      </w:r>
      <w:bookmarkStart w:id="63" w:name="_Toc16938522"/>
      <w:r>
        <w:rPr>
          <w:rFonts w:hint="eastAsia" w:ascii="Arial" w:hAnsi="Arial" w:eastAsia="黑体" w:cs="Arial"/>
          <w:color w:val="000000"/>
          <w:sz w:val="28"/>
          <w:szCs w:val="28"/>
          <w:highlight w:val="none"/>
        </w:rPr>
        <w:t xml:space="preserve">3、适用法律</w:t>
      </w:r>
      <w:bookmarkEnd w:id="61"/>
      <w:r>
        <w:rPr>
          <w:highlight w:val="none"/>
        </w:rPr>
      </w:r>
      <w:bookmarkEnd w:id="62"/>
      <w:r>
        <w:rPr>
          <w:highlight w:val="none"/>
        </w:rPr>
      </w:r>
      <w:bookmarkEnd w:id="63"/>
      <w:r>
        <w:rPr>
          <w:highlight w:val="none"/>
        </w:rPr>
      </w:r>
      <w:r/>
    </w:p>
    <w:p>
      <w:pPr>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64" w:name="_Toc462564067"/>
      <w:r>
        <w:rPr>
          <w:highlight w:val="none"/>
        </w:rPr>
      </w:r>
      <w:bookmarkStart w:id="65" w:name="_Toc20823279"/>
      <w:r>
        <w:rPr>
          <w:highlight w:val="none"/>
        </w:rPr>
      </w:r>
      <w:bookmarkStart w:id="66" w:name="_Toc513029207"/>
      <w:r>
        <w:rPr>
          <w:highlight w:val="none"/>
        </w:rPr>
      </w:r>
      <w:bookmarkStart w:id="67" w:name="_Toc16938523"/>
      <w:r>
        <w:rPr>
          <w:rFonts w:hint="eastAsia" w:ascii="Arial" w:hAnsi="Arial" w:eastAsia="黑体" w:cs="Arial"/>
          <w:color w:val="000000"/>
          <w:sz w:val="28"/>
          <w:szCs w:val="28"/>
          <w:highlight w:val="none"/>
        </w:rPr>
        <w:t xml:space="preserve">4、投标费用</w:t>
      </w:r>
      <w:bookmarkEnd w:id="64"/>
      <w:r>
        <w:rPr>
          <w:highlight w:val="none"/>
        </w:rPr>
      </w:r>
      <w:bookmarkEnd w:id="65"/>
      <w:r>
        <w:rPr>
          <w:highlight w:val="none"/>
        </w:rPr>
      </w:r>
      <w:bookmarkEnd w:id="66"/>
      <w:r>
        <w:rPr>
          <w:highlight w:val="none"/>
        </w:rPr>
      </w:r>
      <w:bookmarkEnd w:id="67"/>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highlight w:val="none"/>
        </w:rPr>
      </w:r>
      <w:r/>
    </w:p>
    <w:p>
      <w:pPr>
        <w:ind w:firstLine="450"/>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highlight w:val="none"/>
        </w:rPr>
      </w:r>
      <w:r/>
    </w:p>
    <w:p>
      <w:pPr>
        <w:ind w:firstLine="320"/>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68" w:name="_Toc513029209"/>
      <w:r>
        <w:rPr>
          <w:highlight w:val="none"/>
        </w:rPr>
      </w:r>
      <w:bookmarkStart w:id="69" w:name="_Toc20823281"/>
      <w:r>
        <w:rPr>
          <w:highlight w:val="none"/>
        </w:rPr>
      </w:r>
      <w:bookmarkStart w:id="70" w:name="_Toc16938525"/>
      <w:r>
        <w:rPr>
          <w:highlight w:val="none"/>
        </w:rPr>
      </w:r>
      <w:bookmarkStart w:id="71" w:name="_Toc120614215"/>
      <w:r>
        <w:rPr>
          <w:rFonts w:hint="eastAsia" w:ascii="Times New Roman" w:hAnsi="Times New Roman"/>
          <w:b/>
          <w:bCs/>
          <w:color w:val="000000"/>
          <w:sz w:val="32"/>
          <w:szCs w:val="32"/>
          <w:highlight w:val="none"/>
        </w:rPr>
        <w:t xml:space="preserve">二、招标文件</w:t>
      </w:r>
      <w:bookmarkEnd w:id="68"/>
      <w:r>
        <w:rPr>
          <w:highlight w:val="none"/>
        </w:rPr>
      </w:r>
      <w:bookmarkEnd w:id="69"/>
      <w:r>
        <w:rPr>
          <w:highlight w:val="none"/>
        </w:rPr>
      </w:r>
      <w:bookmarkEnd w:id="70"/>
      <w:r>
        <w:rPr>
          <w:highlight w:val="none"/>
        </w:rPr>
      </w:r>
      <w:bookmarkEnd w:id="71"/>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72" w:name="_Toc16938526"/>
      <w:r>
        <w:rPr>
          <w:highlight w:val="none"/>
        </w:rPr>
      </w:r>
      <w:bookmarkStart w:id="73" w:name="_Toc20823282"/>
      <w:r>
        <w:rPr>
          <w:highlight w:val="none"/>
        </w:rPr>
      </w:r>
      <w:bookmarkStart w:id="74" w:name="_Toc513029210"/>
      <w:r>
        <w:rPr>
          <w:rFonts w:hint="eastAsia" w:ascii="Arial" w:hAnsi="Arial" w:eastAsia="黑体" w:cs="Arial"/>
          <w:color w:val="000000"/>
          <w:sz w:val="28"/>
          <w:szCs w:val="28"/>
          <w:highlight w:val="none"/>
        </w:rPr>
        <w:t xml:space="preserve">6、招标文件构成</w:t>
      </w:r>
      <w:bookmarkEnd w:id="72"/>
      <w:r>
        <w:rPr>
          <w:highlight w:val="none"/>
        </w:rPr>
      </w:r>
      <w:bookmarkEnd w:id="73"/>
      <w:r>
        <w:rPr>
          <w:highlight w:val="none"/>
        </w:rPr>
      </w:r>
      <w:bookmarkEnd w:id="74"/>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highlight w:val="none"/>
        </w:rPr>
      </w:r>
      <w:r/>
    </w:p>
    <w:p>
      <w:pPr>
        <w:ind w:firstLine="360"/>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ind w:firstLine="560"/>
        <w:keepLines/>
        <w:keepNext/>
        <w:spacing w:line="400" w:lineRule="exact"/>
        <w:rPr>
          <w:rFonts w:hint="eastAsia" w:ascii="Arial" w:hAnsi="Arial" w:eastAsia="黑体" w:cs="Arial"/>
          <w:color w:val="000000"/>
          <w:sz w:val="28"/>
          <w:szCs w:val="28"/>
          <w:highlight w:val="none"/>
        </w:rPr>
        <w:outlineLvl w:val="3"/>
      </w:pPr>
      <w:r>
        <w:rPr>
          <w:highlight w:val="none"/>
        </w:rPr>
      </w:r>
      <w:bookmarkStart w:id="75" w:name="_Toc20823284"/>
      <w:r>
        <w:rPr>
          <w:highlight w:val="none"/>
        </w:rPr>
      </w:r>
      <w:bookmarkStart w:id="76" w:name="_Toc513029212"/>
      <w:r>
        <w:rPr>
          <w:highlight w:val="none"/>
        </w:rPr>
      </w:r>
      <w:bookmarkStart w:id="77" w:name="_Toc16938528"/>
      <w:r>
        <w:rPr>
          <w:highlight w:val="none"/>
        </w:rPr>
      </w:r>
      <w:bookmarkStart w:id="78"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5"/>
      <w:r>
        <w:rPr>
          <w:highlight w:val="none"/>
        </w:rPr>
      </w:r>
      <w:bookmarkEnd w:id="76"/>
      <w:r>
        <w:rPr>
          <w:highlight w:val="none"/>
        </w:rPr>
      </w:r>
      <w:bookmarkEnd w:id="77"/>
      <w:r>
        <w:rPr>
          <w:highlight w:val="none"/>
        </w:rPr>
      </w:r>
      <w:bookmarkEnd w:id="78"/>
      <w:r>
        <w:rPr>
          <w:highlight w:val="none"/>
        </w:rPr>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highlight w:val="none"/>
        </w:rPr>
      </w:r>
      <w:r/>
    </w:p>
    <w:p>
      <w:pPr>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highlight w:val="none"/>
        </w:rPr>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highlight w:val="none"/>
        </w:rPr>
      </w:r>
      <w:r/>
    </w:p>
    <w:p>
      <w:pPr>
        <w:ind w:firstLine="480"/>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79" w:name="_Toc120614216"/>
      <w:r>
        <w:rPr>
          <w:highlight w:val="none"/>
        </w:rPr>
      </w:r>
      <w:bookmarkStart w:id="80" w:name="_Toc513029213"/>
      <w:r>
        <w:rPr>
          <w:highlight w:val="none"/>
        </w:rPr>
      </w:r>
      <w:bookmarkStart w:id="81" w:name="_Toc462564072"/>
      <w:r>
        <w:rPr>
          <w:highlight w:val="none"/>
        </w:rPr>
      </w:r>
      <w:bookmarkStart w:id="82" w:name="_Toc16938529"/>
      <w:r>
        <w:rPr>
          <w:highlight w:val="none"/>
        </w:rPr>
      </w:r>
      <w:bookmarkStart w:id="83" w:name="_Toc20823285"/>
      <w:r>
        <w:rPr>
          <w:rFonts w:hint="eastAsia" w:ascii="Times New Roman" w:hAnsi="Times New Roman"/>
          <w:b/>
          <w:bCs/>
          <w:color w:val="000000"/>
          <w:sz w:val="32"/>
          <w:szCs w:val="32"/>
          <w:highlight w:val="none"/>
        </w:rPr>
        <w:t xml:space="preserve">三、投标文件的编制</w:t>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r/>
    </w:p>
    <w:p>
      <w:pPr>
        <w:ind w:firstLine="560"/>
        <w:keepLines/>
        <w:keepNext/>
        <w:spacing w:line="400" w:lineRule="exact"/>
        <w:rPr>
          <w:rFonts w:hint="eastAsia" w:ascii="Arial" w:hAnsi="Arial" w:eastAsia="黑体" w:cs="Arial"/>
          <w:b/>
          <w:color w:val="000000"/>
          <w:sz w:val="28"/>
          <w:szCs w:val="28"/>
          <w:highlight w:val="none"/>
        </w:rPr>
        <w:outlineLvl w:val="3"/>
      </w:pPr>
      <w:r>
        <w:rPr>
          <w:highlight w:val="none"/>
        </w:rPr>
      </w:r>
      <w:bookmarkStart w:id="84" w:name="_Toc513029214"/>
      <w:r>
        <w:rPr>
          <w:highlight w:val="none"/>
        </w:rPr>
      </w:r>
      <w:bookmarkStart w:id="85" w:name="_Toc20823286"/>
      <w:r>
        <w:rPr>
          <w:highlight w:val="none"/>
        </w:rPr>
      </w:r>
      <w:bookmarkStart w:id="86" w:name="_Toc16938530"/>
      <w:r>
        <w:rPr>
          <w:highlight w:val="none"/>
        </w:rPr>
      </w:r>
      <w:bookmarkStart w:id="87" w:name="_Toc462564073"/>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4"/>
      <w:r>
        <w:rPr>
          <w:highlight w:val="none"/>
        </w:rPr>
      </w:r>
      <w:bookmarkEnd w:id="85"/>
      <w:r>
        <w:rPr>
          <w:highlight w:val="none"/>
        </w:rPr>
      </w:r>
      <w:bookmarkEnd w:id="86"/>
      <w:r>
        <w:rPr>
          <w:highlight w:val="none"/>
        </w:rPr>
      </w:r>
      <w:bookmarkEnd w:id="87"/>
      <w:r>
        <w:rPr>
          <w:highlight w:val="none"/>
        </w:rPr>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highlight w:val="none"/>
        </w:rPr>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88" w:name="_Toc513029215"/>
      <w:r>
        <w:rPr>
          <w:highlight w:val="none"/>
        </w:rPr>
      </w:r>
      <w:bookmarkStart w:id="89" w:name="_Toc20823287"/>
      <w:r>
        <w:rPr>
          <w:highlight w:val="none"/>
        </w:rPr>
      </w:r>
      <w:bookmarkStart w:id="90" w:name="_Toc462564074"/>
      <w:r>
        <w:rPr>
          <w:highlight w:val="none"/>
        </w:rPr>
      </w:r>
      <w:bookmarkStart w:id="91" w:name="_Toc16938531"/>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88"/>
      <w:r>
        <w:rPr>
          <w:highlight w:val="none"/>
        </w:rPr>
      </w:r>
      <w:bookmarkEnd w:id="89"/>
      <w:r>
        <w:rPr>
          <w:highlight w:val="none"/>
        </w:rPr>
      </w:r>
      <w:bookmarkEnd w:id="90"/>
      <w:r>
        <w:rPr>
          <w:highlight w:val="none"/>
        </w:rPr>
      </w:r>
      <w:bookmarkEnd w:id="91"/>
      <w:r>
        <w:rPr>
          <w:highlight w:val="none"/>
        </w:rPr>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highlight w:val="none"/>
        </w:rPr>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92" w:name="_Hlt26668975"/>
      <w:r>
        <w:rPr>
          <w:highlight w:val="none"/>
        </w:rPr>
      </w:r>
      <w:bookmarkEnd w:id="92"/>
      <w:r>
        <w:rPr>
          <w:highlight w:val="none"/>
        </w:rPr>
      </w:r>
      <w:bookmarkStart w:id="93" w:name="_Hlt26954838"/>
      <w:r>
        <w:rPr>
          <w:highlight w:val="none"/>
        </w:rPr>
      </w:r>
      <w:bookmarkEnd w:id="93"/>
      <w:r>
        <w:rPr>
          <w:highlight w:val="none"/>
        </w:rPr>
      </w:r>
      <w:bookmarkStart w:id="94" w:name="_Hlt26670360"/>
      <w:r>
        <w:rPr>
          <w:highlight w:val="none"/>
        </w:rPr>
      </w:r>
      <w:bookmarkEnd w:id="94"/>
      <w:r>
        <w:rPr>
          <w:highlight w:val="none"/>
        </w:rPr>
      </w:r>
      <w:bookmarkStart w:id="95" w:name="_Toc513029219"/>
      <w:r>
        <w:rPr>
          <w:highlight w:val="none"/>
        </w:rPr>
      </w:r>
      <w:bookmarkStart w:id="96" w:name="_Toc49090509"/>
      <w:r>
        <w:rPr>
          <w:highlight w:val="none"/>
        </w:rPr>
      </w:r>
      <w:bookmarkStart w:id="97" w:name="_Toc14577357"/>
      <w:r>
        <w:rPr>
          <w:highlight w:val="none"/>
        </w:rPr>
      </w:r>
      <w:bookmarkStart w:id="98" w:name="_Toc513029216"/>
      <w:r>
        <w:rPr>
          <w:highlight w:val="none"/>
        </w:rPr>
      </w:r>
      <w:bookmarkStart w:id="99" w:name="_Toc49090507"/>
      <w:r>
        <w:rPr>
          <w:highlight w:val="none"/>
        </w:rPr>
      </w:r>
      <w:bookmarkStart w:id="100" w:name="_Toc14577354"/>
      <w:r>
        <w:rPr>
          <w:highlight w:val="none"/>
        </w:rPr>
      </w:r>
      <w:bookmarkStart w:id="101" w:name="_Toc14577355"/>
      <w:r>
        <w:rPr>
          <w:highlight w:val="none"/>
        </w:rPr>
      </w:r>
      <w:bookmarkStart w:id="102"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5"/>
      <w:r>
        <w:rPr>
          <w:highlight w:val="none"/>
        </w:rPr>
      </w:r>
      <w:bookmarkEnd w:id="96"/>
      <w:r>
        <w:rPr>
          <w:highlight w:val="none"/>
        </w:rPr>
      </w:r>
      <w:bookmarkEnd w:id="97"/>
      <w:r>
        <w:rPr>
          <w:highlight w:val="none"/>
        </w:rPr>
      </w:r>
      <w:bookmarkEnd w:id="98"/>
      <w:r/>
      <w:bookmarkEnd w:id="99"/>
      <w:r/>
      <w:bookmarkEnd w:id="100"/>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1"/>
      <w:r/>
      <w:bookmarkEnd w:id="102"/>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w:t>
      </w:r>
      <w:bookmarkStart w:id="103" w:name="_Hlt26954840"/>
      <w:r>
        <w:rPr>
          <w:highlight w:val="none"/>
        </w:rPr>
      </w:r>
      <w:bookmarkEnd w:id="103"/>
      <w:r>
        <w:rPr>
          <w:rFonts w:hint="eastAsia" w:ascii="宋体" w:hAnsi="宋体"/>
          <w:color w:val="000000"/>
          <w:sz w:val="24"/>
          <w:szCs w:val="21"/>
          <w:highlight w:val="none"/>
        </w:rPr>
        <w:t xml:space="preserve">标人按照招标文件规定格式填报投标分项报价表</w:t>
      </w:r>
      <w:bookmarkStart w:id="104" w:name="_Hlt26670399"/>
      <w:r>
        <w:rPr>
          <w:highlight w:val="none"/>
        </w:rPr>
      </w:r>
      <w:bookmarkEnd w:id="104"/>
      <w:r>
        <w:rPr>
          <w:rFonts w:hint="eastAsia" w:ascii="宋体" w:hAnsi="宋体"/>
          <w:color w:val="000000"/>
          <w:sz w:val="24"/>
          <w:szCs w:val="21"/>
          <w:highlight w:val="none"/>
        </w:rPr>
        <w:t xml:space="preserve">。</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05" w:name="_Hlt26670486"/>
      <w:r>
        <w:rPr>
          <w:highlight w:val="none"/>
        </w:rPr>
      </w:r>
      <w:bookmarkEnd w:id="105"/>
      <w:r>
        <w:rPr>
          <w:highlight w:val="none"/>
        </w:rPr>
      </w:r>
      <w:bookmarkStart w:id="106" w:name="_Hlt26954731"/>
      <w:r>
        <w:rPr>
          <w:highlight w:val="none"/>
        </w:rPr>
      </w:r>
      <w:bookmarkEnd w:id="106"/>
      <w:r>
        <w:rPr>
          <w:highlight w:val="none"/>
        </w:rPr>
      </w:r>
      <w:bookmarkStart w:id="107" w:name="_Hlt26670482"/>
      <w:r>
        <w:rPr>
          <w:highlight w:val="none"/>
        </w:rPr>
      </w:r>
      <w:bookmarkEnd w:id="107"/>
      <w:r>
        <w:rPr>
          <w:highlight w:val="none"/>
        </w:rPr>
      </w:r>
      <w:bookmarkStart w:id="108" w:name="_Hlt26954848"/>
      <w:r>
        <w:rPr>
          <w:highlight w:val="none"/>
        </w:rPr>
      </w:r>
      <w:bookmarkEnd w:id="108"/>
      <w:r>
        <w:rPr>
          <w:highlight w:val="none"/>
        </w:rPr>
      </w:r>
      <w:bookmarkStart w:id="109" w:name="_Hlt26954846"/>
      <w:r>
        <w:rPr>
          <w:highlight w:val="none"/>
        </w:rPr>
      </w:r>
      <w:bookmarkEnd w:id="10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rPr>
          <w:highlight w:val="none"/>
        </w:rPr>
      </w:r>
      <w:r/>
    </w:p>
    <w:p>
      <w:pPr>
        <w:ind w:firstLine="480"/>
        <w:spacing w:line="400" w:lineRule="exact"/>
        <w:rPr>
          <w:rFonts w:hint="eastAsia" w:ascii="宋体" w:hAnsi="Arial" w:cs="宋体"/>
          <w:color w:val="000000"/>
          <w:sz w:val="24"/>
          <w:szCs w:val="21"/>
          <w:highlight w:val="none"/>
        </w:rPr>
      </w:pPr>
      <w:r>
        <w:rPr>
          <w:rFonts w:ascii="宋体" w:hAnsi="Arial" w:cs="宋体"/>
          <w:bCs/>
          <w:color w:val="000000"/>
          <w:sz w:val="24"/>
          <w:szCs w:val="21"/>
          <w:highlight w:val="none"/>
          <w:lang w:val="zh-CN"/>
        </w:rPr>
        <w:t xml:space="preserve">12.1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highlight w:val="none"/>
        </w:rPr>
      </w:r>
      <w:r/>
    </w:p>
    <w:p>
      <w:pPr>
        <w:ind w:firstLine="480"/>
        <w:spacing w:line="400" w:lineRule="exact"/>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 投标人需按照招标文件要求，在投标文件中提供与技术要求和商务要求相关的证明材料。</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10" w:name="_Toc14577359"/>
      <w:r>
        <w:rPr>
          <w:highlight w:val="none"/>
        </w:rPr>
      </w:r>
      <w:bookmarkStart w:id="111"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12" w:name="_Toc49090511"/>
      <w:r>
        <w:rPr>
          <w:highlight w:val="none"/>
        </w:rPr>
      </w:r>
      <w:bookmarkStart w:id="113"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2"/>
      <w:r>
        <w:rPr>
          <w:highlight w:val="none"/>
        </w:rPr>
      </w:r>
      <w:bookmarkEnd w:id="113"/>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highlight w:val="none"/>
        </w:rPr>
      </w:r>
      <w:r/>
    </w:p>
    <w:p>
      <w:pPr>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114" w:name="_Hlt26954852"/>
      <w:r>
        <w:rPr>
          <w:highlight w:val="none"/>
        </w:rPr>
      </w:r>
      <w:bookmarkEnd w:id="114"/>
      <w:r>
        <w:rPr>
          <w:highlight w:val="none"/>
        </w:rPr>
      </w:r>
      <w:bookmarkStart w:id="115" w:name="_Hlt26954739"/>
      <w:r>
        <w:rPr>
          <w:highlight w:val="none"/>
        </w:rPr>
      </w:r>
      <w:bookmarkEnd w:id="115"/>
      <w:r>
        <w:rPr>
          <w:highlight w:val="none"/>
        </w:rPr>
      </w:r>
      <w:bookmarkStart w:id="116" w:name="_Toc16938540"/>
      <w:r>
        <w:rPr>
          <w:highlight w:val="none"/>
        </w:rPr>
      </w:r>
      <w:bookmarkStart w:id="117" w:name="_Toc20823296"/>
      <w:r>
        <w:rPr>
          <w:highlight w:val="none"/>
        </w:rPr>
      </w:r>
      <w:bookmarkStart w:id="118" w:name="_Toc513029224"/>
      <w:r>
        <w:rPr>
          <w:highlight w:val="none"/>
        </w:rPr>
      </w:r>
      <w:bookmarkStart w:id="119" w:name="_Toc120614217"/>
      <w:r>
        <w:rPr>
          <w:rFonts w:hint="eastAsia" w:ascii="Times New Roman" w:hAnsi="Times New Roman"/>
          <w:b/>
          <w:bCs/>
          <w:color w:val="000000"/>
          <w:sz w:val="32"/>
          <w:szCs w:val="32"/>
          <w:highlight w:val="none"/>
        </w:rPr>
        <w:t xml:space="preserve">四、投标文件的递交</w:t>
      </w:r>
      <w:bookmarkEnd w:id="116"/>
      <w:r>
        <w:rPr>
          <w:highlight w:val="none"/>
        </w:rPr>
      </w:r>
      <w:bookmarkEnd w:id="117"/>
      <w:r>
        <w:rPr>
          <w:highlight w:val="none"/>
        </w:rPr>
      </w:r>
      <w:bookmarkEnd w:id="118"/>
      <w:r>
        <w:rPr>
          <w:highlight w:val="none"/>
        </w:rPr>
      </w:r>
      <w:bookmarkEnd w:id="119"/>
      <w:r>
        <w:rPr>
          <w:highlight w:val="none"/>
        </w:rPr>
      </w:r>
      <w:r/>
    </w:p>
    <w:p>
      <w:pPr>
        <w:ind w:firstLine="420"/>
        <w:keepLines/>
        <w:keepNext/>
        <w:spacing w:line="400" w:lineRule="exact"/>
        <w:rPr>
          <w:rFonts w:hint="eastAsia" w:ascii="黑体" w:hAnsi="Arial" w:eastAsia="黑体" w:cs="Arial"/>
          <w:color w:val="000000"/>
          <w:sz w:val="28"/>
          <w:szCs w:val="28"/>
          <w:highlight w:val="none"/>
        </w:rPr>
        <w:outlineLvl w:val="3"/>
      </w:pPr>
      <w:r>
        <w:rPr>
          <w:highlight w:val="none"/>
        </w:rPr>
      </w:r>
      <w:bookmarkStart w:id="120" w:name="_Toc462564084"/>
      <w:r>
        <w:rPr>
          <w:highlight w:val="none"/>
        </w:rPr>
      </w:r>
      <w:bookmarkStart w:id="121" w:name="_Toc16938541"/>
      <w:r>
        <w:rPr>
          <w:highlight w:val="none"/>
        </w:rPr>
      </w:r>
      <w:bookmarkStart w:id="122" w:name="_Toc513029225"/>
      <w:r>
        <w:rPr>
          <w:highlight w:val="none"/>
        </w:rPr>
      </w:r>
      <w:bookmarkStart w:id="123"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0"/>
      <w:r>
        <w:rPr>
          <w:highlight w:val="none"/>
        </w:rPr>
      </w:r>
      <w:bookmarkEnd w:id="121"/>
      <w:r>
        <w:rPr>
          <w:highlight w:val="none"/>
        </w:rPr>
      </w:r>
      <w:bookmarkEnd w:id="122"/>
      <w:r>
        <w:rPr>
          <w:highlight w:val="none"/>
        </w:rPr>
      </w:r>
      <w:bookmarkEnd w:id="123"/>
      <w:r>
        <w:rPr>
          <w:rFonts w:hint="eastAsia" w:ascii="黑体" w:hAnsi="Arial" w:eastAsia="黑体" w:cs="Arial"/>
          <w:color w:val="000000"/>
          <w:sz w:val="28"/>
          <w:szCs w:val="28"/>
          <w:highlight w:val="none"/>
        </w:rPr>
        <w:t xml:space="preserve">的递交</w:t>
      </w:r>
      <w:r>
        <w:rPr>
          <w:highlight w:val="none"/>
        </w:rPr>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highlight w:val="none"/>
        </w:rPr>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4" w:name="_Toc16938542"/>
      <w:r>
        <w:rPr>
          <w:highlight w:val="none"/>
        </w:rPr>
      </w:r>
      <w:bookmarkStart w:id="125" w:name="_Toc20823298"/>
      <w:r>
        <w:rPr>
          <w:highlight w:val="none"/>
        </w:rPr>
      </w:r>
      <w:bookmarkStart w:id="126" w:name="_Toc513029226"/>
      <w:r>
        <w:rPr>
          <w:highlight w:val="none"/>
        </w:rPr>
      </w:r>
      <w:r/>
    </w:p>
    <w:p>
      <w:pPr>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4"/>
      <w:r>
        <w:rPr>
          <w:highlight w:val="none"/>
        </w:rPr>
      </w:r>
      <w:bookmarkEnd w:id="125"/>
      <w:r>
        <w:rPr>
          <w:highlight w:val="none"/>
        </w:rPr>
      </w:r>
      <w:bookmarkEnd w:id="126"/>
      <w:r>
        <w:rPr>
          <w:highlight w:val="none"/>
        </w:rPr>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highlight w:val="none"/>
        </w:rPr>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27" w:name="_Toc16938543"/>
      <w:r>
        <w:rPr>
          <w:highlight w:val="none"/>
        </w:rPr>
      </w:r>
      <w:bookmarkStart w:id="128" w:name="_Toc20823299"/>
      <w:r>
        <w:rPr>
          <w:highlight w:val="none"/>
        </w:rPr>
      </w:r>
      <w:bookmarkStart w:id="129" w:name="_Toc513029227"/>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27"/>
      <w:r>
        <w:rPr>
          <w:highlight w:val="none"/>
        </w:rPr>
      </w:r>
      <w:bookmarkEnd w:id="128"/>
      <w:r>
        <w:rPr>
          <w:highlight w:val="none"/>
        </w:rPr>
      </w:r>
      <w:bookmarkEnd w:id="129"/>
      <w:r>
        <w:rPr>
          <w:rFonts w:hint="eastAsia" w:ascii="Arial" w:hAnsi="Arial" w:eastAsia="黑体" w:cs="Arial"/>
          <w:color w:val="000000"/>
          <w:sz w:val="28"/>
          <w:szCs w:val="28"/>
          <w:highlight w:val="none"/>
        </w:rPr>
        <w:t xml:space="preserve">的拒收</w:t>
      </w:r>
      <w:r>
        <w:rPr>
          <w:highlight w:val="none"/>
        </w:rPr>
      </w:r>
      <w:r/>
    </w:p>
    <w:p>
      <w:pPr>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30" w:name="_Toc16938544"/>
      <w:r>
        <w:rPr>
          <w:highlight w:val="none"/>
        </w:rPr>
      </w:r>
      <w:bookmarkStart w:id="131" w:name="_Toc20823300"/>
      <w:r>
        <w:rPr>
          <w:highlight w:val="none"/>
        </w:rPr>
      </w:r>
      <w:bookmarkStart w:id="132"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0"/>
      <w:r>
        <w:rPr>
          <w:highlight w:val="none"/>
        </w:rPr>
      </w:r>
      <w:bookmarkEnd w:id="131"/>
      <w:r>
        <w:rPr>
          <w:highlight w:val="none"/>
        </w:rPr>
      </w:r>
      <w:bookmarkEnd w:id="132"/>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highlight w:val="none"/>
        </w:rPr>
      </w:r>
      <w:r/>
    </w:p>
    <w:p>
      <w:pPr>
        <w:ind w:firstLine="480"/>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133" w:name="_Toc120614218"/>
      <w:r>
        <w:rPr>
          <w:highlight w:val="none"/>
        </w:rPr>
      </w:r>
      <w:bookmarkStart w:id="134" w:name="_Toc20823301"/>
      <w:r>
        <w:rPr>
          <w:highlight w:val="none"/>
        </w:rPr>
      </w:r>
      <w:bookmarkStart w:id="135" w:name="_Toc513029229"/>
      <w:r>
        <w:rPr>
          <w:highlight w:val="none"/>
        </w:rPr>
      </w:r>
      <w:bookmarkStart w:id="136" w:name="_Toc16938545"/>
      <w:r>
        <w:rPr>
          <w:rFonts w:hint="eastAsia" w:ascii="Times New Roman" w:hAnsi="Times New Roman"/>
          <w:b/>
          <w:bCs/>
          <w:color w:val="000000"/>
          <w:sz w:val="32"/>
          <w:szCs w:val="32"/>
          <w:highlight w:val="none"/>
        </w:rPr>
        <w:t xml:space="preserve">五、开标与评标</w:t>
      </w:r>
      <w:bookmarkEnd w:id="133"/>
      <w:r>
        <w:rPr>
          <w:highlight w:val="none"/>
        </w:rPr>
      </w:r>
      <w:bookmarkEnd w:id="134"/>
      <w:r>
        <w:rPr>
          <w:highlight w:val="none"/>
        </w:rPr>
      </w:r>
      <w:bookmarkEnd w:id="135"/>
      <w:r>
        <w:rPr>
          <w:highlight w:val="none"/>
        </w:rPr>
      </w:r>
      <w:bookmarkEnd w:id="136"/>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37" w:name="_Toc513029230"/>
      <w:r>
        <w:rPr>
          <w:highlight w:val="none"/>
        </w:rPr>
      </w:r>
      <w:bookmarkStart w:id="138" w:name="_Toc20823302"/>
      <w:r>
        <w:rPr>
          <w:highlight w:val="none"/>
        </w:rPr>
      </w:r>
      <w:bookmarkStart w:id="139" w:name="_Toc1693854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37"/>
      <w:r>
        <w:rPr>
          <w:highlight w:val="none"/>
        </w:rPr>
      </w:r>
      <w:bookmarkEnd w:id="138"/>
      <w:r>
        <w:rPr>
          <w:highlight w:val="none"/>
        </w:rPr>
      </w:r>
      <w:bookmarkEnd w:id="139"/>
      <w:r>
        <w:rPr>
          <w:highlight w:val="none"/>
        </w:rPr>
      </w:r>
      <w:r/>
    </w:p>
    <w:p>
      <w:pPr>
        <w:ind w:firstLine="480"/>
        <w:spacing w:line="40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40" w:name="_Toc20823303"/>
      <w:r>
        <w:rPr>
          <w:highlight w:val="none"/>
        </w:rPr>
      </w:r>
      <w:bookmarkStart w:id="141" w:name="_Toc513029231"/>
      <w:r>
        <w:rPr>
          <w:highlight w:val="none"/>
        </w:rPr>
      </w:r>
      <w:bookmarkStart w:id="142"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、评标委员会</w:t>
      </w:r>
      <w:r>
        <w:rPr>
          <w:highlight w:val="none"/>
        </w:rPr>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highlight w:val="none"/>
        </w:rPr>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highlight w:val="none"/>
        </w:rPr>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rPr>
          <w:highlight w:val="none"/>
        </w:rPr>
      </w:r>
      <w:r/>
    </w:p>
    <w:p>
      <w:pPr>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0"/>
      <w:r/>
      <w:bookmarkEnd w:id="141"/>
      <w:r/>
      <w:bookmarkEnd w:id="142"/>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43" w:name="_Toc20823304"/>
      <w:r>
        <w:rPr>
          <w:highlight w:val="none"/>
        </w:rPr>
      </w:r>
      <w:bookmarkStart w:id="144" w:name="_Toc16938548"/>
      <w:r>
        <w:rPr>
          <w:highlight w:val="none"/>
        </w:rPr>
      </w:r>
      <w:bookmarkStart w:id="145"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3"/>
      <w:r>
        <w:rPr>
          <w:highlight w:val="none"/>
        </w:rPr>
      </w:r>
      <w:bookmarkEnd w:id="144"/>
      <w:r>
        <w:rPr>
          <w:highlight w:val="none"/>
        </w:rPr>
      </w:r>
      <w:bookmarkEnd w:id="145"/>
      <w:r>
        <w:rPr>
          <w:highlight w:val="none"/>
        </w:rPr>
      </w:r>
      <w:r/>
    </w:p>
    <w:p>
      <w:pPr>
        <w:ind w:firstLine="480"/>
        <w:spacing w:line="400" w:lineRule="exact"/>
        <w:rPr>
          <w:rFonts w:ascii="宋体" w:hAnsi="宋体"/>
          <w:color w:val="000000"/>
          <w:sz w:val="24"/>
          <w:szCs w:val="24"/>
          <w:highlight w:val="none"/>
        </w:rPr>
      </w:pPr>
      <w:r>
        <w:rPr>
          <w:highlight w:val="none"/>
        </w:rPr>
      </w:r>
      <w:bookmarkStart w:id="146" w:name="_Toc16938549"/>
      <w:r>
        <w:rPr>
          <w:highlight w:val="none"/>
        </w:rPr>
      </w:r>
      <w:bookmarkStart w:id="147" w:name="_Toc20823305"/>
      <w:r>
        <w:rPr>
          <w:highlight w:val="none"/>
        </w:rPr>
      </w:r>
      <w:bookmarkStart w:id="148"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6"/>
      <w:r>
        <w:rPr>
          <w:highlight w:val="none"/>
        </w:rPr>
      </w:r>
      <w:bookmarkEnd w:id="147"/>
      <w:r>
        <w:rPr>
          <w:highlight w:val="none"/>
        </w:rPr>
      </w:r>
      <w:bookmarkEnd w:id="148"/>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rFonts w:ascii="Times New Roman" w:hAnsi="Times New Roman"/>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highlight w:val="none"/>
        </w:rPr>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highlight w:val="none"/>
        </w:rPr>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highlight w:val="none"/>
        </w:rPr>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highlight w:val="none"/>
        </w:rPr>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highlight w:val="none"/>
        </w:rPr>
      </w:r>
      <w:r/>
    </w:p>
    <w:p>
      <w:pPr>
        <w:ind w:firstLine="480"/>
        <w:spacing w:line="400" w:lineRule="exact"/>
        <w:rPr>
          <w:rFonts w:ascii="宋体" w:hAnsi="宋体"/>
          <w:color w:val="000000"/>
          <w:sz w:val="24"/>
          <w:szCs w:val="21"/>
          <w:highlight w:val="none"/>
        </w:rPr>
      </w:pPr>
      <w:r>
        <w:rPr>
          <w:highlight w:val="none"/>
        </w:rPr>
      </w:r>
      <w:bookmarkStart w:id="149" w:name="_Toc16938550"/>
      <w:r>
        <w:rPr>
          <w:highlight w:val="none"/>
        </w:rPr>
      </w:r>
      <w:bookmarkStart w:id="150" w:name="_Toc20823306"/>
      <w:r>
        <w:rPr>
          <w:highlight w:val="none"/>
        </w:rPr>
      </w:r>
      <w:bookmarkStart w:id="151"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highlight w:val="none"/>
        </w:rPr>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highlight w:val="none"/>
        </w:rPr>
      </w:r>
      <w:r/>
    </w:p>
    <w:p>
      <w:pPr>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highlight w:val="none"/>
        </w:rPr>
      </w:r>
      <w:r/>
    </w:p>
    <w:p>
      <w:pPr>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highlight w:val="none"/>
        </w:rPr>
      </w:r>
      <w:r/>
    </w:p>
    <w:p>
      <w:pPr>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49"/>
      <w:r>
        <w:rPr>
          <w:highlight w:val="none"/>
        </w:rPr>
      </w:r>
      <w:bookmarkEnd w:id="150"/>
      <w:r>
        <w:rPr>
          <w:highlight w:val="none"/>
        </w:rPr>
      </w:r>
      <w:bookmarkEnd w:id="151"/>
      <w:r>
        <w:rPr>
          <w:rFonts w:hint="eastAsia" w:ascii="Arial" w:hAnsi="Arial" w:eastAsia="黑体" w:cs="Arial"/>
          <w:color w:val="000000"/>
          <w:sz w:val="28"/>
          <w:szCs w:val="28"/>
          <w:highlight w:val="none"/>
        </w:rPr>
        <w:t xml:space="preserve">无效投标条款和废标条款</w:t>
      </w:r>
      <w:r>
        <w:rPr>
          <w:highlight w:val="none"/>
        </w:rPr>
      </w:r>
      <w:r/>
    </w:p>
    <w:p>
      <w:pPr>
        <w:ind w:left="478"/>
        <w:spacing w:line="400" w:lineRule="exact"/>
        <w:rPr>
          <w:rFonts w:hint="eastAsia" w:ascii="宋体" w:hAnsi="宋体"/>
          <w:bCs/>
          <w:color w:val="000000"/>
          <w:sz w:val="24"/>
          <w:szCs w:val="21"/>
          <w:highlight w:val="none"/>
        </w:rPr>
      </w:pPr>
      <w:r>
        <w:rPr>
          <w:highlight w:val="none"/>
        </w:rPr>
      </w:r>
      <w:bookmarkStart w:id="152" w:name="_Toc20823307"/>
      <w:r>
        <w:rPr>
          <w:highlight w:val="none"/>
        </w:rPr>
      </w:r>
      <w:bookmarkStart w:id="153" w:name="_Toc16938551"/>
      <w:r>
        <w:rPr>
          <w:highlight w:val="none"/>
        </w:rPr>
      </w:r>
      <w:bookmarkStart w:id="154"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.1无效投标条款</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highlight w:val="none"/>
        </w:rPr>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highlight w:val="none"/>
        </w:rPr>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highlight w:val="none"/>
        </w:rPr>
      </w:r>
      <w:r/>
    </w:p>
    <w:p>
      <w:pPr>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highlight w:val="none"/>
        </w:rPr>
      </w:r>
      <w:r/>
    </w:p>
    <w:p>
      <w:pPr>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highlight w:val="none"/>
        </w:rPr>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.2废标条款</w:t>
      </w:r>
      <w:r>
        <w:rPr>
          <w:highlight w:val="none"/>
        </w:rPr>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highlight w:val="none"/>
        </w:rPr>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highlight w:val="none"/>
        </w:rPr>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.2.3因重大变故，采购任务取消的。</w:t>
      </w:r>
      <w:r>
        <w:rPr>
          <w:highlight w:val="none"/>
        </w:rPr>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highlight w:val="none"/>
        </w:rPr>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highlight w:val="none"/>
        </w:rPr>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highlight w:val="none"/>
        </w:rPr>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 投标截止时间结束后参加投标的供应商不足三家的处理：</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highlight w:val="none"/>
        </w:rPr>
      </w:r>
      <w:r/>
    </w:p>
    <w:p>
      <w:pPr>
        <w:ind w:firstLine="480"/>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155" w:name="_Toc120614219"/>
      <w:r>
        <w:rPr>
          <w:rFonts w:hint="eastAsia" w:ascii="Times New Roman" w:hAnsi="Times New Roman"/>
          <w:b/>
          <w:bCs/>
          <w:color w:val="000000"/>
          <w:sz w:val="32"/>
          <w:szCs w:val="32"/>
          <w:highlight w:val="none"/>
        </w:rPr>
        <w:t xml:space="preserve">六、</w:t>
      </w:r>
      <w:bookmarkEnd w:id="152"/>
      <w:r>
        <w:rPr>
          <w:highlight w:val="none"/>
        </w:rPr>
      </w:r>
      <w:bookmarkEnd w:id="153"/>
      <w:r>
        <w:rPr>
          <w:highlight w:val="none"/>
        </w:rPr>
      </w:r>
      <w:bookmarkEnd w:id="154"/>
      <w:r>
        <w:rPr>
          <w:rFonts w:hint="eastAsia" w:ascii="Times New Roman" w:hAnsi="Times New Roman"/>
          <w:b/>
          <w:bCs/>
          <w:color w:val="000000"/>
          <w:sz w:val="32"/>
          <w:szCs w:val="32"/>
          <w:highlight w:val="none"/>
        </w:rPr>
        <w:t xml:space="preserve">定标</w:t>
      </w:r>
      <w:bookmarkEnd w:id="155"/>
      <w:r>
        <w:rPr>
          <w:highlight w:val="none"/>
        </w:rPr>
      </w:r>
      <w:r/>
    </w:p>
    <w:p>
      <w:pPr>
        <w:ind w:firstLine="600"/>
        <w:keepLines/>
        <w:keepNext/>
        <w:spacing w:line="400" w:lineRule="exact"/>
        <w:rPr>
          <w:rFonts w:hint="eastAsia" w:ascii="黑体" w:hAnsi="宋体" w:eastAsia="黑体"/>
          <w:bCs/>
          <w:color w:val="000000"/>
          <w:sz w:val="30"/>
          <w:szCs w:val="30"/>
          <w:highlight w:val="none"/>
        </w:rPr>
        <w:outlineLvl w:val="3"/>
      </w:pPr>
      <w:r>
        <w:rPr>
          <w:highlight w:val="none"/>
        </w:rPr>
      </w:r>
      <w:bookmarkStart w:id="156" w:name="_Toc513029238"/>
      <w:r>
        <w:rPr>
          <w:highlight w:val="none"/>
        </w:rPr>
      </w:r>
      <w:bookmarkStart w:id="157" w:name="_Toc20823310"/>
      <w:r>
        <w:rPr>
          <w:highlight w:val="none"/>
        </w:rPr>
      </w:r>
      <w:bookmarkStart w:id="158"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6"/>
      <w:r>
        <w:rPr>
          <w:rFonts w:hint="eastAsia" w:ascii="黑体" w:hAnsi="宋体" w:eastAsia="黑体"/>
          <w:bCs/>
          <w:color w:val="000000"/>
          <w:sz w:val="30"/>
          <w:szCs w:val="30"/>
          <w:highlight w:val="none"/>
        </w:rPr>
        <w:t xml:space="preserve">确定</w:t>
      </w:r>
      <w:bookmarkEnd w:id="157"/>
      <w:r>
        <w:rPr>
          <w:highlight w:val="none"/>
        </w:rPr>
      </w:r>
      <w:bookmarkEnd w:id="158"/>
      <w:r>
        <w:rPr>
          <w:rFonts w:hint="eastAsia" w:ascii="黑体" w:hAnsi="宋体" w:eastAsia="黑体"/>
          <w:bCs/>
          <w:color w:val="000000"/>
          <w:sz w:val="30"/>
          <w:szCs w:val="30"/>
          <w:highlight w:val="none"/>
        </w:rPr>
        <w:t xml:space="preserve">中标单位</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highlight w:val="none"/>
        </w:rPr>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highlight w:val="none"/>
        </w:rPr>
      </w:r>
      <w:r/>
    </w:p>
    <w:p>
      <w:pPr>
        <w:ind w:firstLine="480"/>
        <w:spacing w:line="400" w:lineRule="exact"/>
        <w:rPr>
          <w:rFonts w:ascii="宋体" w:hAnsi="宋体"/>
          <w:color w:val="000000"/>
          <w:sz w:val="24"/>
          <w:szCs w:val="24"/>
          <w:highlight w:val="none"/>
        </w:rPr>
      </w:pPr>
      <w:r>
        <w:rPr>
          <w:highlight w:val="none"/>
        </w:rPr>
      </w:r>
      <w:bookmarkStart w:id="159" w:name="_Toc200451960"/>
      <w:r>
        <w:rPr>
          <w:rFonts w:hint="eastAsia" w:ascii="宋体" w:hAnsi="宋体"/>
          <w:color w:val="000000"/>
          <w:sz w:val="24"/>
          <w:szCs w:val="24"/>
          <w:highlight w:val="none"/>
        </w:rPr>
        <w:t xml:space="preserve">27.5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highlight w:val="none"/>
        </w:rPr>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9"/>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r/>
    </w:p>
    <w:p>
      <w:pPr>
        <w:ind w:firstLine="480"/>
        <w:spacing w:line="40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highlight w:val="none"/>
        </w:rPr>
      </w:r>
      <w:r/>
    </w:p>
    <w:p>
      <w:pPr>
        <w:ind w:firstLine="480"/>
        <w:spacing w:line="40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400" w:lineRule="exact"/>
        <w:rPr>
          <w:rFonts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highlight w:val="none"/>
        </w:rPr>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highlight w:val="none"/>
        </w:rPr>
      </w:r>
      <w:r/>
    </w:p>
    <w:p>
      <w:pPr>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highlight w:val="none"/>
        </w:rPr>
      </w:r>
      <w:r/>
    </w:p>
    <w:p>
      <w:pPr>
        <w:ind w:firstLine="60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keepLines/>
        <w:keepNext/>
        <w:spacing w:before="156" w:after="156" w:line="400" w:lineRule="exact"/>
        <w:rPr>
          <w:rFonts w:hint="eastAsia" w:ascii="Times New Roman" w:hAnsi="Times New Roman"/>
          <w:b/>
          <w:bCs/>
          <w:color w:val="000000"/>
          <w:sz w:val="32"/>
          <w:szCs w:val="32"/>
          <w:highlight w:val="none"/>
        </w:rPr>
        <w:outlineLvl w:val="2"/>
      </w:pPr>
      <w:r>
        <w:rPr>
          <w:highlight w:val="none"/>
        </w:rPr>
      </w:r>
      <w:bookmarkStart w:id="160" w:name="_Toc120614220"/>
      <w:r>
        <w:rPr>
          <w:highlight w:val="none"/>
        </w:rPr>
      </w:r>
      <w:bookmarkStart w:id="161" w:name="_Toc20823308"/>
      <w:r>
        <w:rPr>
          <w:highlight w:val="none"/>
        </w:rPr>
      </w:r>
      <w:bookmarkStart w:id="162" w:name="_Toc16938552"/>
      <w:r>
        <w:rPr>
          <w:highlight w:val="none"/>
        </w:rPr>
      </w:r>
      <w:bookmarkStart w:id="163" w:name="_Toc513029236"/>
      <w:r>
        <w:rPr>
          <w:rFonts w:hint="eastAsia" w:ascii="Times New Roman" w:hAnsi="Times New Roman"/>
          <w:b/>
          <w:bCs/>
          <w:color w:val="000000"/>
          <w:sz w:val="32"/>
          <w:szCs w:val="32"/>
          <w:highlight w:val="none"/>
        </w:rPr>
        <w:t xml:space="preserve">七、授予合同</w:t>
      </w:r>
      <w:bookmarkEnd w:id="160"/>
      <w:r>
        <w:rPr>
          <w:highlight w:val="none"/>
        </w:rPr>
      </w:r>
      <w:bookmarkEnd w:id="161"/>
      <w:r/>
      <w:bookmarkEnd w:id="162"/>
      <w:r/>
      <w:bookmarkEnd w:id="163"/>
      <w:r>
        <w:rPr>
          <w:highlight w:val="none"/>
        </w:rPr>
      </w:r>
      <w:r/>
    </w:p>
    <w:p>
      <w:pPr>
        <w:ind w:firstLine="600"/>
        <w:keepLines/>
        <w:keepNext/>
        <w:spacing w:line="400" w:lineRule="exact"/>
        <w:rPr>
          <w:rFonts w:hint="eastAsia" w:ascii="黑体" w:hAnsi="宋体" w:eastAsia="黑体"/>
          <w:bCs/>
          <w:color w:val="000000"/>
          <w:sz w:val="30"/>
          <w:szCs w:val="30"/>
          <w:highlight w:val="none"/>
        </w:rPr>
        <w:outlineLvl w:val="3"/>
      </w:pPr>
      <w:r>
        <w:rPr>
          <w:highlight w:val="none"/>
        </w:rPr>
      </w:r>
      <w:bookmarkStart w:id="164" w:name="_Toc20823309"/>
      <w:r>
        <w:rPr>
          <w:highlight w:val="none"/>
        </w:rPr>
      </w:r>
      <w:bookmarkStart w:id="165" w:name="_Toc16938553"/>
      <w:r>
        <w:rPr>
          <w:highlight w:val="none"/>
        </w:rPr>
      </w:r>
      <w:bookmarkStart w:id="166"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highlight w:val="none"/>
        </w:rPr>
      </w:r>
      <w:r/>
    </w:p>
    <w:p>
      <w:pPr>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highlight w:val="none"/>
        </w:rPr>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highlight w:val="none"/>
        </w:rPr>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Pr>
          <w:highlight w:val="none"/>
        </w:rPr>
      </w:r>
      <w:r/>
    </w:p>
    <w:p>
      <w:pPr>
        <w:ind w:firstLine="600"/>
        <w:keepLines/>
        <w:keepNext/>
        <w:spacing w:line="400" w:lineRule="exact"/>
        <w:rPr>
          <w:rFonts w:ascii="黑体" w:hAnsi="宋体" w:eastAsia="黑体"/>
          <w:bCs/>
          <w:color w:val="000000"/>
          <w:sz w:val="30"/>
          <w:szCs w:val="30"/>
          <w:highlight w:val="none"/>
        </w:rPr>
        <w:outlineLvl w:val="3"/>
      </w:pPr>
      <w:r>
        <w:rPr>
          <w:highlight w:val="none"/>
        </w:rPr>
      </w:r>
      <w:bookmarkStart w:id="167" w:name="_Toc120614221"/>
      <w:r>
        <w:rPr>
          <w:highlight w:val="none"/>
        </w:rPr>
      </w:r>
      <w:bookmarkStart w:id="168" w:name="_Toc16938558"/>
      <w:r>
        <w:rPr>
          <w:highlight w:val="none"/>
        </w:rPr>
      </w:r>
      <w:bookmarkStart w:id="169" w:name="_Toc20823314"/>
      <w:r>
        <w:rPr>
          <w:highlight w:val="none"/>
        </w:rPr>
      </w:r>
      <w:bookmarkStart w:id="170" w:name="_Toc513029242"/>
      <w:r>
        <w:rPr>
          <w:highlight w:val="none"/>
        </w:rPr>
      </w:r>
      <w:bookmarkStart w:id="171"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highlight w:val="none"/>
        </w:rPr>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highlight w:val="none"/>
        </w:rPr>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ind w:firstLine="1440"/>
        <w:jc w:val="left"/>
        <w:keepNext/>
        <w:rPr>
          <w:rFonts w:ascii="宋体" w:hAnsi="宋体"/>
          <w:bCs/>
          <w:color w:val="000000"/>
          <w:sz w:val="24"/>
          <w:szCs w:val="24"/>
          <w:highlight w:val="none"/>
        </w:rPr>
        <w:outlineLvl w:val="0"/>
      </w:pPr>
      <w:r>
        <w:rPr>
          <w:rFonts w:ascii="宋体" w:hAnsi="宋体"/>
          <w:bCs/>
          <w:color w:val="000000"/>
          <w:sz w:val="24"/>
          <w:szCs w:val="24"/>
          <w:highlight w:val="none"/>
        </w:rPr>
      </w:r>
      <w:r>
        <w:rPr>
          <w:highlight w:val="none"/>
        </w:rPr>
      </w:r>
      <w:r/>
    </w:p>
    <w:p>
      <w:pPr>
        <w:ind w:firstLine="1440"/>
        <w:jc w:val="left"/>
        <w:keepNext/>
        <w:rPr>
          <w:rFonts w:ascii="宋体" w:hAnsi="宋体"/>
          <w:bCs/>
          <w:color w:val="000000"/>
          <w:sz w:val="24"/>
          <w:szCs w:val="24"/>
          <w:highlight w:val="none"/>
        </w:rPr>
        <w:outlineLvl w:val="0"/>
      </w:pPr>
      <w:r>
        <w:rPr>
          <w:rFonts w:ascii="宋体" w:hAnsi="宋体"/>
          <w:bCs/>
          <w:color w:val="000000"/>
          <w:sz w:val="24"/>
          <w:szCs w:val="24"/>
          <w:highlight w:val="none"/>
        </w:rPr>
      </w:r>
      <w:r>
        <w:rPr>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67"/>
      <w:r>
        <w:rPr>
          <w:highlight w:val="none"/>
        </w:rPr>
      </w:r>
      <w:bookmarkEnd w:id="168"/>
      <w:r>
        <w:rPr>
          <w:highlight w:val="none"/>
        </w:rPr>
      </w:r>
      <w:bookmarkEnd w:id="169"/>
      <w:r>
        <w:rPr>
          <w:highlight w:val="none"/>
        </w:rPr>
      </w:r>
      <w:bookmarkEnd w:id="170"/>
      <w:r>
        <w:rPr>
          <w:highlight w:val="none"/>
        </w:rPr>
      </w:r>
      <w:bookmarkEnd w:id="171"/>
      <w:r>
        <w:rPr>
          <w:rFonts w:hint="eastAsia" w:ascii="黑体" w:hAnsi="Times New Roman" w:eastAsia="黑体"/>
          <w:bCs/>
          <w:color w:val="000000"/>
          <w:sz w:val="44"/>
          <w:szCs w:val="28"/>
          <w:highlight w:val="none"/>
        </w:rPr>
        <w:t xml:space="preserve">文本</w:t>
      </w:r>
      <w:r>
        <w:rPr>
          <w:highlight w:val="none"/>
        </w:rPr>
      </w:r>
      <w:r/>
    </w:p>
    <w:p>
      <w:pPr>
        <w:spacing w:line="400" w:lineRule="exact"/>
        <w:rPr>
          <w:rFonts w:ascii="宋体" w:hAnsi="宋体"/>
          <w:bCs/>
          <w:color w:val="000000"/>
          <w:sz w:val="24"/>
          <w:szCs w:val="24"/>
          <w:highlight w:val="none"/>
        </w:rPr>
      </w:pPr>
      <w:r>
        <w:rPr>
          <w:highlight w:val="none"/>
        </w:rPr>
      </w:r>
      <w:bookmarkStart w:id="172" w:name="_Toc513029243"/>
      <w:r>
        <w:rPr>
          <w:highlight w:val="none"/>
        </w:rPr>
      </w:r>
      <w:bookmarkStart w:id="173" w:name="_Toc16938559"/>
      <w:r>
        <w:rPr>
          <w:highlight w:val="none"/>
        </w:rPr>
      </w:r>
      <w:bookmarkStart w:id="174" w:name="_Toc20823315"/>
      <w:r>
        <w:rPr>
          <w:highlight w:val="none"/>
        </w:rPr>
      </w:r>
      <w:bookmarkStart w:id="175" w:name="_Toc3995"/>
      <w:r>
        <w:rPr>
          <w:highlight w:val="none"/>
        </w:rPr>
      </w:r>
      <w:bookmarkStart w:id="176" w:name="_Hlt16619350"/>
      <w:r>
        <w:rPr>
          <w:highlight w:val="none"/>
        </w:rPr>
      </w:r>
      <w:bookmarkStart w:id="177" w:name="_Toc16938590"/>
      <w:r>
        <w:rPr>
          <w:highlight w:val="none"/>
        </w:rPr>
      </w:r>
      <w:bookmarkStart w:id="178" w:name="_Toc120614244"/>
      <w:r>
        <w:rPr>
          <w:highlight w:val="none"/>
        </w:rPr>
      </w:r>
      <w:bookmarkStart w:id="179" w:name="_Toc20823346"/>
      <w:r>
        <w:rPr>
          <w:highlight w:val="none"/>
        </w:rPr>
      </w:r>
      <w:bookmarkStart w:id="180" w:name="_Toc479757211"/>
      <w:r>
        <w:rPr>
          <w:highlight w:val="none"/>
        </w:rPr>
      </w:r>
      <w:bookmarkStart w:id="181" w:name="_Toc462564139"/>
      <w:r>
        <w:rPr>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172"/>
      <w:r/>
      <w:bookmarkEnd w:id="173"/>
      <w:r/>
      <w:bookmarkEnd w:id="174"/>
      <w:r/>
      <w:bookmarkEnd w:id="175"/>
      <w:r>
        <w:rPr>
          <w:highlight w:val="none"/>
        </w:rPr>
      </w:r>
      <w:r/>
    </w:p>
    <w:p>
      <w:pPr>
        <w:pStyle w:val="944"/>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rPr>
          <w:highlight w:val="none"/>
        </w:rPr>
      </w:r>
      <w:r/>
    </w:p>
    <w:p>
      <w:pPr>
        <w:pStyle w:val="944"/>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rPr>
          <w:highlight w:val="none"/>
        </w:rPr>
      </w:r>
      <w:r/>
    </w:p>
    <w:p>
      <w:pPr>
        <w:pStyle w:val="944"/>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highlight w:val="none"/>
        </w:rPr>
      </w:r>
      <w:r/>
    </w:p>
    <w:p>
      <w:pPr>
        <w:pStyle w:val="944"/>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rPr>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rPr>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rPr>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highlight w:val="none"/>
        </w:rPr>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highlight w:val="none"/>
        </w:rPr>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highlight w:val="none"/>
        </w:rPr>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highlight w:val="none"/>
        </w:rPr>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highlight w:val="none"/>
        </w:rPr>
      </w:r>
      <w:r/>
    </w:p>
    <w:p>
      <w:pPr>
        <w:rPr>
          <w:color w:val="000000"/>
          <w:highlight w:val="none"/>
        </w:rPr>
      </w:pPr>
      <w:r>
        <w:rPr>
          <w:color w:val="000000"/>
          <w:highlight w:val="none"/>
        </w:rPr>
      </w:r>
      <w:r>
        <w:rPr>
          <w:highlight w:val="none"/>
        </w:rPr>
      </w:r>
      <w:r/>
    </w:p>
    <w:p>
      <w:pPr>
        <w:rPr>
          <w:rFonts w:eastAsia="黑体"/>
          <w:color w:val="000000"/>
          <w:sz w:val="44"/>
          <w:szCs w:val="44"/>
          <w:highlight w:val="none"/>
        </w:rPr>
      </w:pPr>
      <w:r>
        <w:rPr>
          <w:rFonts w:eastAsia="黑体"/>
          <w:color w:val="000000"/>
          <w:sz w:val="44"/>
          <w:szCs w:val="44"/>
          <w:highlight w:val="none"/>
        </w:rPr>
        <w:br w:type="page" w:clear="all"/>
      </w:r>
      <w:r>
        <w:rPr>
          <w:highlight w:val="none"/>
        </w:rPr>
      </w:r>
      <w:r/>
    </w:p>
    <w:p>
      <w:pPr>
        <w:rPr>
          <w:rFonts w:eastAsia="黑体"/>
          <w:color w:val="000000"/>
          <w:sz w:val="44"/>
          <w:szCs w:val="44"/>
          <w:highlight w:val="none"/>
        </w:rPr>
      </w:pPr>
      <w:r>
        <w:rPr>
          <w:rFonts w:eastAsia="黑体"/>
          <w:color w:val="000000"/>
          <w:sz w:val="44"/>
          <w:szCs w:val="44"/>
          <w:highlight w:val="none"/>
        </w:rPr>
      </w:r>
      <w:r>
        <w:rPr>
          <w:highlight w:val="none"/>
        </w:rPr>
      </w:r>
      <w:r/>
    </w:p>
    <w:p>
      <w:pPr>
        <w:rPr>
          <w:rFonts w:eastAsia="黑体"/>
          <w:color w:val="000000"/>
          <w:sz w:val="44"/>
          <w:szCs w:val="44"/>
          <w:highlight w:val="none"/>
        </w:rPr>
      </w:pPr>
      <w:r>
        <w:rPr>
          <w:rFonts w:eastAsia="黑体"/>
          <w:color w:val="000000"/>
          <w:sz w:val="44"/>
          <w:szCs w:val="44"/>
          <w:highlight w:val="none"/>
        </w:rPr>
      </w:r>
      <w:r>
        <w:rPr>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rPr>
          <w:highlight w:val="none"/>
        </w:rPr>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rPr>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rPr>
          <w:highlight w:val="none"/>
        </w:rPr>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rPr>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rPr>
          <w:highlight w:val="none"/>
        </w:rPr>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highlight w:val="none"/>
        </w:rPr>
      </w:r>
      <w:r>
        <w:rPr>
          <w:highlight w:val="none"/>
        </w:rPr>
      </w:r>
      <w:r/>
    </w:p>
    <w:p>
      <w:pPr>
        <w:pStyle w:val="915"/>
        <w:spacing w:line="400" w:lineRule="exact"/>
        <w:rPr>
          <w:rFonts w:ascii="黑体" w:hAnsi="黑体" w:eastAsia="黑体"/>
          <w:color w:val="000000"/>
          <w:sz w:val="28"/>
          <w:szCs w:val="28"/>
          <w:highlight w:val="none"/>
        </w:rPr>
      </w:pPr>
      <w:r>
        <w:rPr>
          <w:rFonts w:ascii="黑体" w:hAnsi="黑体" w:eastAsia="黑体"/>
          <w:color w:val="000000"/>
          <w:sz w:val="28"/>
          <w:szCs w:val="28"/>
          <w:highlight w:val="none"/>
        </w:rPr>
      </w:r>
      <w:r>
        <w:rPr>
          <w:highlight w:val="none"/>
        </w:rPr>
      </w:r>
      <w:r/>
    </w:p>
    <w:p>
      <w:pPr>
        <w:pStyle w:val="915"/>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highlight w:val="none"/>
        </w:rPr>
      </w:r>
      <w:r/>
    </w:p>
    <w:p>
      <w:pPr>
        <w:pStyle w:val="915"/>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rPr>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rPr>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highlight w:val="none"/>
        </w:rPr>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rPr>
          <w:highlight w:val="none"/>
        </w:rPr>
      </w:r>
      <w:r/>
    </w:p>
    <w:p>
      <w:pPr>
        <w:spacing w:line="400" w:lineRule="exact"/>
        <w:rPr>
          <w:color w:val="000000"/>
          <w:highlight w:val="none"/>
        </w:rPr>
      </w:pPr>
      <w:r>
        <w:rPr>
          <w:color w:val="000000"/>
          <w:highlight w:val="none"/>
        </w:rPr>
      </w:r>
      <w:r>
        <w:rPr>
          <w:highlight w:val="none"/>
        </w:rPr>
      </w:r>
      <w:r/>
    </w:p>
    <w:p>
      <w:pPr>
        <w:pStyle w:val="946"/>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highlight w:val="none"/>
        </w:rPr>
      </w:r>
      <w:r/>
    </w:p>
    <w:p>
      <w:pPr>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highlight w:val="none"/>
        </w:rPr>
      </w:r>
      <w:r/>
    </w:p>
    <w:p>
      <w:pPr>
        <w:pStyle w:val="946"/>
        <w:numPr>
          <w:ilvl w:val="0"/>
          <w:numId w:val="7"/>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rPr>
          <w:highlight w:val="none"/>
        </w:rPr>
      </w:r>
      <w:r/>
    </w:p>
    <w:p>
      <w:pPr>
        <w:pStyle w:val="946"/>
        <w:numPr>
          <w:ilvl w:val="0"/>
          <w:numId w:val="0"/>
        </w:numPr>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rPr>
          <w:highlight w:val="none"/>
        </w:rPr>
      </w:r>
      <w:r/>
    </w:p>
    <w:p>
      <w:pPr>
        <w:pStyle w:val="946"/>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highlight w:val="none"/>
        </w:rPr>
      </w:r>
      <w:r/>
    </w:p>
    <w:p>
      <w:pPr>
        <w:numPr>
          <w:ilvl w:val="0"/>
          <w:numId w:val="0"/>
        </w:num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highlight w:val="none"/>
        </w:rPr>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highlight w:val="none"/>
        </w:rPr>
      </w:r>
      <w:r/>
    </w:p>
    <w:p>
      <w:pPr>
        <w:numPr>
          <w:ilvl w:val="0"/>
          <w:numId w:val="0"/>
        </w:num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highlight w:val="none"/>
        </w:rPr>
      </w:r>
      <w:r/>
    </w:p>
    <w:p>
      <w:pPr>
        <w:numPr>
          <w:ilvl w:val="0"/>
          <w:numId w:val="0"/>
        </w:num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highlight w:val="none"/>
        </w:rPr>
      </w:r>
      <w:r/>
    </w:p>
    <w:p>
      <w:pPr>
        <w:numPr>
          <w:ilvl w:val="0"/>
          <w:numId w:val="0"/>
        </w:num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highlight w:val="none"/>
        </w:rPr>
      </w:r>
      <w:r/>
    </w:p>
    <w:p>
      <w:pPr>
        <w:pStyle w:val="1026"/>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highlight w:val="none"/>
        </w:rPr>
      </w:r>
      <w:r/>
    </w:p>
    <w:p>
      <w:pPr>
        <w:pStyle w:val="1026"/>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highlight w:val="none"/>
        </w:rPr>
      </w:r>
      <w:r/>
    </w:p>
    <w:p>
      <w:pPr>
        <w:pStyle w:val="1026"/>
        <w:numPr>
          <w:ilvl w:val="0"/>
          <w:numId w:val="0"/>
        </w:numP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1026"/>
        <w:numPr>
          <w:ilvl w:val="0"/>
          <w:numId w:val="0"/>
        </w:numP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highlight w:val="none"/>
        </w:rPr>
      </w:r>
      <w:r/>
    </w:p>
    <w:p>
      <w:pPr>
        <w:pStyle w:val="1026"/>
        <w:numPr>
          <w:ilvl w:val="0"/>
          <w:numId w:val="0"/>
        </w:numP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highlight w:val="none"/>
        </w:rPr>
      </w:r>
      <w:r/>
    </w:p>
    <w:p>
      <w:pPr>
        <w:pStyle w:val="1026"/>
        <w:numPr>
          <w:ilvl w:val="0"/>
          <w:numId w:val="0"/>
        </w:numP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highlight w:val="none"/>
        </w:rPr>
      </w:r>
      <w:r/>
    </w:p>
    <w:p>
      <w:pPr>
        <w:pStyle w:val="1026"/>
        <w:numPr>
          <w:ilvl w:val="0"/>
          <w:numId w:val="0"/>
        </w:numP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highlight w:val="none"/>
        </w:rPr>
      </w:r>
      <w:r/>
    </w:p>
    <w:p>
      <w:pPr>
        <w:pStyle w:val="1026"/>
        <w:numPr>
          <w:ilvl w:val="0"/>
          <w:numId w:val="0"/>
        </w:numPr>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highlight w:val="none"/>
        </w:rPr>
      </w:r>
      <w:r/>
    </w:p>
    <w:p>
      <w:pPr>
        <w:pStyle w:val="1026"/>
        <w:numPr>
          <w:ilvl w:val="0"/>
          <w:numId w:val="0"/>
        </w:numPr>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highlight w:val="none"/>
        </w:rPr>
      </w:r>
      <w:r/>
    </w:p>
    <w:p>
      <w:pPr>
        <w:pStyle w:val="1026"/>
        <w:numPr>
          <w:ilvl w:val="0"/>
          <w:numId w:val="0"/>
        </w:numPr>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highlight w:val="none"/>
        </w:rPr>
      </w:r>
      <w:r/>
    </w:p>
    <w:p>
      <w:pPr>
        <w:pStyle w:val="1026"/>
        <w:numPr>
          <w:ilvl w:val="0"/>
          <w:numId w:val="0"/>
        </w:numPr>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lang w:val="en"/>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highlight w:val="none"/>
        </w:rPr>
      </w:r>
      <w:r/>
    </w:p>
    <w:p>
      <w:pPr>
        <w:numPr>
          <w:ilvl w:val="0"/>
          <w:numId w:val="0"/>
        </w:num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highlight w:val="none"/>
        </w:rPr>
      </w:r>
      <w:r/>
    </w:p>
    <w:p>
      <w:pPr>
        <w:numPr>
          <w:ilvl w:val="0"/>
          <w:numId w:val="0"/>
        </w:num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highlight w:val="none"/>
        </w:rPr>
      </w:r>
      <w:r/>
    </w:p>
    <w:p>
      <w:pPr>
        <w:numPr>
          <w:ilvl w:val="0"/>
          <w:numId w:val="0"/>
        </w:num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highlight w:val="none"/>
        </w:rPr>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highlight w:val="none"/>
        </w:rPr>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highlight w:val="none"/>
        </w:rPr>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highlight w:val="none"/>
        </w:rPr>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highlight w:val="none"/>
        </w:rPr>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highlight w:val="none"/>
        </w:rPr>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highlight w:val="none"/>
        </w:rPr>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highlight w:val="none"/>
        </w:rPr>
      </w:r>
      <w:r/>
    </w:p>
    <w:p>
      <w:pPr>
        <w:numPr>
          <w:ilvl w:val="0"/>
          <w:numId w:val="0"/>
        </w:num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highlight w:val="none"/>
        </w:rPr>
      </w:r>
      <w:r/>
    </w:p>
    <w:p>
      <w:pPr>
        <w:pStyle w:val="1026"/>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highlight w:val="none"/>
        </w:rPr>
      </w:r>
      <w:r/>
    </w:p>
    <w:p>
      <w:pPr>
        <w:numPr>
          <w:ilvl w:val="0"/>
          <w:numId w:val="0"/>
        </w:num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highlight w:val="none"/>
        </w:rPr>
      </w:r>
      <w:r/>
    </w:p>
    <w:p>
      <w:pPr>
        <w:numPr>
          <w:ilvl w:val="0"/>
          <w:numId w:val="0"/>
        </w:num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highlight w:val="none"/>
        </w:rPr>
      </w:r>
      <w:r/>
    </w:p>
    <w:p>
      <w:pPr>
        <w:numPr>
          <w:ilvl w:val="0"/>
          <w:numId w:val="0"/>
        </w:num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highlight w:val="none"/>
        </w:rPr>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highlight w:val="none"/>
        </w:rPr>
      </w:r>
      <w:r/>
    </w:p>
    <w:p>
      <w:pPr>
        <w:numPr>
          <w:ilvl w:val="0"/>
          <w:numId w:val="0"/>
        </w:num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highlight w:val="none"/>
        </w:rPr>
      </w:r>
      <w:r/>
    </w:p>
    <w:p>
      <w:pPr>
        <w:numPr>
          <w:ilvl w:val="0"/>
          <w:numId w:val="0"/>
        </w:num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highlight w:val="none"/>
        </w:rPr>
      </w:r>
      <w:r/>
    </w:p>
    <w:p>
      <w:pPr>
        <w:numPr>
          <w:ilvl w:val="0"/>
          <w:numId w:val="0"/>
        </w:num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highlight w:val="none"/>
        </w:rPr>
      </w:r>
      <w:r/>
    </w:p>
    <w:p>
      <w:pPr>
        <w:numPr>
          <w:ilvl w:val="0"/>
          <w:numId w:val="0"/>
        </w:num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highlight w:val="none"/>
        </w:rPr>
      </w:r>
      <w:r/>
    </w:p>
    <w:p>
      <w:pPr>
        <w:numPr>
          <w:ilvl w:val="0"/>
          <w:numId w:val="0"/>
        </w:num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highlight w:val="none"/>
        </w:rPr>
      </w:r>
      <w:r/>
    </w:p>
    <w:p>
      <w:pPr>
        <w:numPr>
          <w:ilvl w:val="0"/>
          <w:numId w:val="0"/>
        </w:num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highlight w:val="none"/>
        </w:rPr>
      </w:r>
      <w:r/>
    </w:p>
    <w:p>
      <w:pPr>
        <w:numPr>
          <w:ilvl w:val="0"/>
          <w:numId w:val="0"/>
        </w:num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highlight w:val="none"/>
        </w:rPr>
      </w:r>
      <w:r/>
    </w:p>
    <w:p>
      <w:pPr>
        <w:numPr>
          <w:ilvl w:val="0"/>
          <w:numId w:val="0"/>
        </w:num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highlight w:val="none"/>
        </w:rPr>
      </w:r>
      <w:r/>
    </w:p>
    <w:p>
      <w:pPr>
        <w:pStyle w:val="1026"/>
        <w:numPr>
          <w:ilvl w:val="0"/>
          <w:numId w:val="0"/>
        </w:numPr>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highlight w:val="none"/>
        </w:rPr>
      </w:r>
      <w:r/>
    </w:p>
    <w:p>
      <w:pPr>
        <w:pStyle w:val="1026"/>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highlight w:val="none"/>
        </w:rPr>
      </w:r>
      <w:r/>
    </w:p>
    <w:p>
      <w:pPr>
        <w:numPr>
          <w:ilvl w:val="0"/>
          <w:numId w:val="0"/>
        </w:num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highlight w:val="none"/>
        </w:rPr>
      </w:r>
      <w:r/>
    </w:p>
    <w:p>
      <w:pPr>
        <w:pStyle w:val="1026"/>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highlight w:val="none"/>
        </w:rPr>
      </w:r>
      <w:r/>
    </w:p>
    <w:p>
      <w:pPr>
        <w:numPr>
          <w:ilvl w:val="0"/>
          <w:numId w:val="0"/>
        </w:num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numPr>
          <w:ilvl w:val="0"/>
          <w:numId w:val="0"/>
        </w:num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highlight w:val="none"/>
        </w:rPr>
      </w:r>
      <w:r/>
    </w:p>
    <w:p>
      <w:pPr>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highlight w:val="none"/>
        </w:rPr>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highlight w:val="none"/>
        </w:rPr>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highlight w:val="none"/>
        </w:rPr>
      </w:r>
      <w:r/>
    </w:p>
    <w:p>
      <w:pPr>
        <w:numPr>
          <w:ilvl w:val="0"/>
          <w:numId w:val="0"/>
        </w:num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highlight w:val="none"/>
        </w:rPr>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highlight w:val="none"/>
        </w:rPr>
      </w:r>
      <w:r/>
    </w:p>
    <w:p>
      <w:pPr>
        <w:pStyle w:val="994"/>
        <w:ind w:left="0" w:firstLine="420"/>
        <w:spacing w:line="400" w:lineRule="exact"/>
        <w:rPr>
          <w:color w:val="000000"/>
          <w:sz w:val="21"/>
          <w:szCs w:val="21"/>
          <w:highlight w:val="none"/>
        </w:rPr>
      </w:pPr>
      <w:r>
        <w:rPr>
          <w:rFonts w:hint="eastAsia" w:ascii="宋体" w:hAnsi="宋体"/>
          <w:color w:val="000000"/>
          <w:sz w:val="21"/>
          <w:szCs w:val="21"/>
          <w:highlight w:val="none"/>
          <w:lang w:eastAsia="zh-CN"/>
        </w:rPr>
        <w:t xml:space="preserve">（3）付款方式（按项目实际勾选填写）：</w:t>
      </w:r>
      <w:r>
        <w:rPr>
          <w:highlight w:val="none"/>
        </w:rPr>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highlight w:val="none"/>
        </w:rPr>
      </w:r>
      <w:r/>
    </w:p>
    <w:p>
      <w:pPr>
        <w:ind w:firstLine="630"/>
        <w:spacing w:line="400" w:lineRule="exact"/>
        <w:rPr>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rPr>
          <w:highlight w:val="none"/>
        </w:rPr>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highlight w:val="none"/>
        </w:rPr>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highlight w:val="none"/>
        </w:rPr>
      </w:r>
      <w:r/>
    </w:p>
    <w:p>
      <w:pPr>
        <w:numPr>
          <w:ilvl w:val="0"/>
          <w:numId w:val="6"/>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highlight w:val="none"/>
        </w:rPr>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highlight w:val="none"/>
        </w:rPr>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highlight w:val="none"/>
        </w:rPr>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highlight w:val="none"/>
        </w:rPr>
      </w:r>
      <w:r/>
    </w:p>
    <w:p>
      <w:pPr>
        <w:pStyle w:val="1026"/>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rPr>
          <w:highlight w:val="none"/>
        </w:rPr>
      </w:r>
      <w:r/>
    </w:p>
    <w:p>
      <w:pPr>
        <w:pStyle w:val="1026"/>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highlight w:val="none"/>
        </w:rPr>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highlight w:val="none"/>
        </w:rPr>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highlight w:val="none"/>
        </w:rPr>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highlight w:val="none"/>
        </w:rPr>
      </w:r>
      <w:r/>
    </w:p>
    <w:p>
      <w:pPr>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highlight w:val="none"/>
        </w:rPr>
      </w:r>
      <w:r/>
    </w:p>
    <w:p>
      <w:pPr>
        <w:numPr>
          <w:ilvl w:val="0"/>
          <w:numId w:val="8"/>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highlight w:val="none"/>
        </w:rPr>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highlight w:val="none"/>
        </w:rPr>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highlight w:val="none"/>
        </w:rPr>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highlight w:val="none"/>
        </w:rPr>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highlight w:val="none"/>
        </w:rPr>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highlight w:val="none"/>
        </w:rPr>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highlight w:val="none"/>
        </w:rPr>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highlight w:val="none"/>
        </w:rPr>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highlight w:val="none"/>
        </w:rPr>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highlight w:val="none"/>
        </w:rPr>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highlight w:val="none"/>
        </w:rPr>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highlight w:val="none"/>
        </w:rPr>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highlight w:val="none"/>
        </w:rPr>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highlight w:val="none"/>
        </w:rPr>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highlight w:val="none"/>
        </w:rPr>
      </w:r>
      <w:r/>
    </w:p>
    <w:p>
      <w:pPr>
        <w:pStyle w:val="1026"/>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highlight w:val="none"/>
        </w:rPr>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highlight w:val="none"/>
        </w:rPr>
      </w:r>
      <w:r/>
    </w:p>
    <w:p>
      <w:pPr>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highlight w:val="none"/>
        </w:rPr>
      </w:r>
      <w:r/>
    </w:p>
    <w:p>
      <w:pPr>
        <w:pStyle w:val="1026"/>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rPr>
          <w:highlight w:val="none"/>
        </w:rPr>
      </w:r>
      <w:r/>
    </w:p>
    <w:p>
      <w:pPr>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highlight w:val="none"/>
        </w:rPr>
      </w:r>
      <w:r/>
    </w:p>
    <w:p>
      <w:pPr>
        <w:numPr>
          <w:ilvl w:val="0"/>
          <w:numId w:val="6"/>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highlight w:val="none"/>
        </w:rPr>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highlight w:val="none"/>
        </w:rPr>
      </w:r>
      <w:r/>
    </w:p>
    <w:p>
      <w:pPr>
        <w:ind w:firstLine="420"/>
        <w:spacing w:line="400" w:lineRule="exact"/>
        <w:rPr>
          <w:color w:val="000000"/>
          <w:highlight w:val="none"/>
        </w:rPr>
      </w:pPr>
      <w:r>
        <w:rPr>
          <w:rFonts w:hint="eastAsia" w:ascii="宋体" w:hAnsi="宋体"/>
          <w:color w:val="000000"/>
          <w:szCs w:val="21"/>
          <w:highlight w:val="none"/>
        </w:rPr>
        <w:t xml:space="preserve">附件：具体标的及其技术要求和商务要求、联合协议、分包意向协议等</w:t>
      </w:r>
      <w:r>
        <w:rPr>
          <w:highlight w:val="none"/>
        </w:rPr>
      </w:r>
      <w:r/>
    </w:p>
    <w:p>
      <w:pPr>
        <w:pStyle w:val="915"/>
        <w:spacing w:line="400" w:lineRule="exact"/>
        <w:rPr>
          <w:color w:val="000000"/>
          <w:highlight w:val="none"/>
        </w:rPr>
      </w:pPr>
      <w:r>
        <w:rPr>
          <w:color w:val="000000"/>
          <w:highlight w:val="none"/>
          <w:lang w:val="en"/>
        </w:rPr>
      </w:r>
      <w:r>
        <w:rPr>
          <w:highlight w:val="none"/>
        </w:rPr>
      </w:r>
      <w:r/>
    </w:p>
    <w:p>
      <w:pPr>
        <w:pStyle w:val="915"/>
        <w:spacing w:line="400" w:lineRule="exact"/>
        <w:rPr>
          <w:rFonts w:ascii="宋体" w:hAnsi="宋体"/>
          <w:b w:val="0"/>
          <w:bCs w:val="0"/>
          <w:color w:val="000000"/>
          <w:sz w:val="21"/>
          <w:szCs w:val="21"/>
          <w:highlight w:val="none"/>
        </w:rPr>
      </w:pPr>
      <w:r>
        <w:rPr>
          <w:color w:val="000000"/>
          <w:highlight w:val="none"/>
          <w:lang w:val="en"/>
        </w:rPr>
        <w:t xml:space="preserve">   </w:t>
      </w:r>
      <w:r>
        <w:rPr>
          <w:highlight w:val="none"/>
        </w:rPr>
      </w:r>
      <w:r/>
    </w:p>
    <w:p>
      <w:pPr>
        <w:pStyle w:val="994"/>
        <w:rPr>
          <w:color w:val="000000"/>
          <w:highlight w:val="none"/>
        </w:rPr>
      </w:pPr>
      <w:r>
        <w:rPr>
          <w:color w:val="000000"/>
          <w:highlight w:val="none"/>
          <w:lang w:eastAsia="zh-CN"/>
        </w:rPr>
      </w:r>
      <w:r>
        <w:rPr>
          <w:highlight w:val="none"/>
        </w:rPr>
      </w:r>
      <w:r/>
    </w:p>
    <w:tbl>
      <w:tblPr>
        <w:tblStyle w:val="73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highlight w:val="none"/>
              </w:rPr>
            </w:r>
            <w:r/>
          </w:p>
        </w:tc>
        <w:tc>
          <w:tcPr>
            <w:gridSpan w:val="2"/>
            <w:tcW w:w="4098" w:type="dxa"/>
            <w:vAlign w:val="center"/>
            <w:textDirection w:val="lrTb"/>
            <w:noWrap w:val="false"/>
          </w:tcPr>
          <w:p>
            <w:pPr>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highlight w:val="none"/>
              </w:rPr>
            </w:r>
            <w:r/>
          </w:p>
        </w:tc>
      </w:tr>
      <w:tr>
        <w:trPr>
          <w:trHeight w:val="917"/>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1171"/>
        </w:trPr>
        <w:tc>
          <w:tcPr>
            <w:tcW w:w="1126"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t xml:space="preserve">法定代表人</w:t>
            </w:r>
            <w:r>
              <w:rPr>
                <w:highlight w:val="none"/>
              </w:rPr>
            </w:r>
            <w:r/>
          </w:p>
          <w:p>
            <w:pPr>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highlight w:val="none"/>
              </w:rPr>
            </w:r>
            <w:r/>
          </w:p>
        </w:tc>
        <w:tc>
          <w:tcPr>
            <w:tcW w:w="1436"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法定代表人</w:t>
            </w:r>
            <w:r>
              <w:rPr>
                <w:highlight w:val="none"/>
              </w:rPr>
            </w:r>
            <w:r/>
          </w:p>
          <w:p>
            <w:pPr>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highlight w:val="none"/>
              </w:rPr>
            </w:r>
            <w:r/>
          </w:p>
        </w:tc>
        <w:tc>
          <w:tcPr>
            <w:tcW w:w="1259"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r>
      <w:tr>
        <w:trPr>
          <w:trHeight w:val="483"/>
        </w:trPr>
        <w:tc>
          <w:tcPr>
            <w:tcW w:w="1126"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拥有者性别</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开户名称</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开户银行</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rPr>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银行账号</w:t>
            </w:r>
            <w:r>
              <w:rPr>
                <w:highlight w:val="none"/>
              </w:rPr>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rPr>
                <w:highlight w:val="none"/>
              </w:rPr>
            </w:r>
            <w:r/>
          </w:p>
        </w:tc>
      </w:tr>
      <w:tr>
        <w:trPr>
          <w:trHeight w:val="586"/>
        </w:trPr>
        <w:tc>
          <w:tcPr>
            <w:gridSpan w:val="4"/>
            <w:tcW w:w="8403" w:type="dxa"/>
            <w:vAlign w:val="center"/>
            <w:textDirection w:val="lrTb"/>
            <w:noWrap w:val="false"/>
          </w:tcPr>
          <w:p>
            <w:pPr>
              <w:pStyle w:val="946"/>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highlight w:val="none"/>
              </w:rPr>
            </w:r>
            <w:r/>
          </w:p>
        </w:tc>
      </w:tr>
    </w:tbl>
    <w:p>
      <w:pPr>
        <w:pStyle w:val="915"/>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highlight w:val="none"/>
        </w:rPr>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numPr>
          <w:ilvl w:val="0"/>
          <w:numId w:val="9"/>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highlight w:val="none"/>
        </w:rPr>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highlight w:val="none"/>
        </w:rPr>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highlight w:val="none"/>
        </w:rPr>
      </w:r>
      <w:r/>
    </w:p>
    <w:p>
      <w:pPr>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r/>
    </w:p>
    <w:p>
      <w:pPr>
        <w:pStyle w:val="1026"/>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rPr>
          <w:highlight w:val="none"/>
        </w:rPr>
      </w:r>
      <w:r/>
    </w:p>
    <w:p>
      <w:pPr>
        <w:pStyle w:val="951"/>
        <w:ind w:firstLine="420"/>
        <w:jc w:val="left"/>
        <w:spacing w:line="400" w:lineRule="exact"/>
        <w:rPr>
          <w:rFonts w:hAnsi="宋体"/>
          <w:b/>
          <w:color w:val="000000"/>
          <w:highlight w:val="none"/>
        </w:rPr>
      </w:pPr>
      <w:r>
        <w:rPr>
          <w:rFonts w:hint="eastAsia" w:hAnsi="宋体"/>
          <w:color w:val="000000"/>
          <w:highlight w:val="none"/>
        </w:rPr>
        <w:t xml:space="preserve">8.1 质量标准</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951"/>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highlight w:val="none"/>
        </w:rPr>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highlight w:val="none"/>
        </w:rPr>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highlight w:val="none"/>
        </w:rPr>
      </w:r>
      <w:r/>
    </w:p>
    <w:p>
      <w:pPr>
        <w:pStyle w:val="1026"/>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highlight w:val="none"/>
        </w:rPr>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highlight w:val="none"/>
        </w:rPr>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highlight w:val="none"/>
        </w:rPr>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highlight w:val="none"/>
        </w:rPr>
      </w:r>
      <w:r/>
    </w:p>
    <w:p>
      <w:pPr>
        <w:numPr>
          <w:ilvl w:val="0"/>
          <w:numId w:val="11"/>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highlight w:val="none"/>
        </w:rPr>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1026"/>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highlight w:val="none"/>
        </w:rPr>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highlight w:val="none"/>
        </w:rPr>
      </w:r>
      <w:r/>
    </w:p>
    <w:p>
      <w:pPr>
        <w:pStyle w:val="1026"/>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highlight w:val="none"/>
        </w:rPr>
      </w:r>
      <w:r/>
    </w:p>
    <w:p>
      <w:pPr>
        <w:pStyle w:val="1026"/>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highlight w:val="none"/>
        </w:rPr>
      </w:r>
      <w:r/>
    </w:p>
    <w:p>
      <w:pPr>
        <w:pStyle w:val="1026"/>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1026"/>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highlight w:val="none"/>
        </w:rPr>
      </w:r>
      <w:r/>
    </w:p>
    <w:p>
      <w:pPr>
        <w:pStyle w:val="1026"/>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highlight w:val="none"/>
        </w:rPr>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highlight w:val="none"/>
        </w:rPr>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highlight w:val="none"/>
        </w:rPr>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highlight w:val="none"/>
        </w:rPr>
      </w:r>
      <w:r/>
    </w:p>
    <w:p>
      <w:pPr>
        <w:pStyle w:val="1026"/>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highlight w:val="none"/>
        </w:rPr>
      </w:r>
      <w:r/>
    </w:p>
    <w:p>
      <w:pPr>
        <w:pStyle w:val="1026"/>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highlight w:val="none"/>
        </w:rPr>
      </w:r>
      <w:r/>
    </w:p>
    <w:p>
      <w:pPr>
        <w:numPr>
          <w:ilvl w:val="0"/>
          <w:numId w:val="0"/>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highlight w:val="none"/>
        </w:rPr>
      </w:r>
      <w:r/>
    </w:p>
    <w:p>
      <w:pPr>
        <w:pStyle w:val="1026"/>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1026"/>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highlight w:val="none"/>
        </w:rPr>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highlight w:val="none"/>
        </w:rPr>
      </w:r>
      <w:r/>
    </w:p>
    <w:p>
      <w:pPr>
        <w:numPr>
          <w:ilvl w:val="0"/>
          <w:numId w:val="12"/>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highlight w:val="none"/>
        </w:rPr>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highlight w:val="none"/>
        </w:rPr>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highlight w:val="none"/>
        </w:rPr>
      </w:r>
      <w:r/>
    </w:p>
    <w:p>
      <w:pPr>
        <w:jc w:val="center"/>
        <w:rPr>
          <w:rFonts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r>
        <w:rPr>
          <w:highlight w:val="none"/>
        </w:rPr>
      </w:r>
      <w:r/>
    </w:p>
    <w:p>
      <w:pPr>
        <w:pStyle w:val="915"/>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t xml:space="preserve">第三节 政府采购合同专用条款</w:t>
      </w:r>
      <w:r>
        <w:rPr>
          <w:highlight w:val="none"/>
        </w:rPr>
      </w:r>
      <w:r/>
    </w:p>
    <w:tbl>
      <w:tblPr>
        <w:tblStyle w:val="73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其他术语解释</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color w:val="000000"/>
                <w:highlight w:val="none"/>
              </w:rPr>
            </w:pPr>
            <w:r>
              <w:rPr>
                <w:rFonts w:hint="eastAsia" w:ascii="宋体" w:hAnsi="宋体"/>
                <w:color w:val="000000"/>
                <w:szCs w:val="21"/>
                <w:highlight w:val="none"/>
              </w:rPr>
              <w:t xml:space="preserve">第5.4款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包装特殊要求</w:t>
            </w:r>
            <w:r>
              <w:rPr>
                <w:highlight w:val="none"/>
              </w:rPr>
            </w:r>
            <w:r/>
          </w:p>
        </w:tc>
        <w:tc>
          <w:tcPr>
            <w:tcW w:w="5170" w:type="dxa"/>
            <w:vAlign w:val="center"/>
            <w:textDirection w:val="lrTb"/>
            <w:noWrap w:val="false"/>
          </w:tcPr>
          <w:p>
            <w:pPr>
              <w:rPr>
                <w:color w:val="000000"/>
                <w:highlight w:val="none"/>
              </w:rPr>
            </w:pPr>
            <w:r>
              <w:rPr>
                <w:color w:val="000000"/>
                <w:highlight w:val="none"/>
              </w:rPr>
            </w:r>
            <w:r>
              <w:rPr>
                <w:highlight w:val="none"/>
              </w:rPr>
            </w:r>
            <w:r/>
          </w:p>
        </w:tc>
      </w:tr>
      <w:tr>
        <w:trP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指定现场</w:t>
            </w:r>
            <w:r>
              <w:rPr>
                <w:highlight w:val="none"/>
              </w:rPr>
            </w:r>
            <w:r/>
          </w:p>
        </w:tc>
        <w:tc>
          <w:tcPr>
            <w:tcW w:w="5170" w:type="dxa"/>
            <w:vAlign w:val="center"/>
            <w:textDirection w:val="lrTb"/>
            <w:noWrap w:val="false"/>
          </w:tcPr>
          <w:p>
            <w:pPr>
              <w:rPr>
                <w:color w:val="000000"/>
                <w:highlight w:val="none"/>
              </w:rPr>
            </w:pPr>
            <w:r>
              <w:rPr>
                <w:color w:val="000000"/>
                <w:highlight w:val="none"/>
              </w:rPr>
            </w:r>
            <w:r>
              <w:rPr>
                <w:highlight w:val="none"/>
              </w:rPr>
            </w:r>
            <w:r/>
          </w:p>
        </w:tc>
      </w:tr>
      <w:tr>
        <w:trP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运输特殊要求</w:t>
            </w:r>
            <w:r>
              <w:rPr>
                <w:highlight w:val="none"/>
              </w:rPr>
            </w:r>
            <w:r/>
          </w:p>
        </w:tc>
        <w:tc>
          <w:tcPr>
            <w:tcW w:w="5170" w:type="dxa"/>
            <w:vAlign w:val="center"/>
            <w:textDirection w:val="lrTb"/>
            <w:noWrap w:val="false"/>
          </w:tcPr>
          <w:p>
            <w:pPr>
              <w:rPr>
                <w:color w:val="000000"/>
                <w:highlight w:val="none"/>
              </w:rPr>
            </w:pPr>
            <w:r>
              <w:rPr>
                <w:color w:val="000000"/>
                <w:highlight w:val="none"/>
              </w:rPr>
            </w:r>
            <w:r>
              <w:rPr>
                <w:highlight w:val="none"/>
              </w:rPr>
            </w:r>
            <w:r/>
          </w:p>
        </w:tc>
      </w:tr>
      <w:tr>
        <w:trP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保险要求</w:t>
            </w:r>
            <w:r>
              <w:rPr>
                <w:highlight w:val="none"/>
              </w:rPr>
            </w:r>
            <w:r/>
          </w:p>
        </w:tc>
        <w:tc>
          <w:tcPr>
            <w:tcW w:w="5170" w:type="dxa"/>
            <w:vAlign w:val="center"/>
            <w:textDirection w:val="lrTb"/>
            <w:noWrap w:val="false"/>
          </w:tcPr>
          <w:p>
            <w:pPr>
              <w:rPr>
                <w:color w:val="000000"/>
                <w:highlight w:val="none"/>
              </w:rPr>
            </w:pPr>
            <w:r>
              <w:rPr>
                <w:color w:val="000000"/>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质量保证期</w:t>
            </w:r>
            <w:r>
              <w:rPr>
                <w:highlight w:val="none"/>
              </w:rPr>
            </w:r>
            <w:r/>
          </w:p>
        </w:tc>
        <w:tc>
          <w:tcPr>
            <w:tcW w:w="5170" w:type="dxa"/>
            <w:vAlign w:val="center"/>
            <w:textDirection w:val="lrTb"/>
            <w:noWrap w:val="false"/>
          </w:tcPr>
          <w:p>
            <w:pPr>
              <w:ind w:firstLine="420"/>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货物质量缺陷</w:t>
            </w:r>
            <w:r>
              <w:rPr>
                <w:highlight w:val="none"/>
              </w:rPr>
            </w:r>
            <w:r/>
          </w:p>
          <w:p>
            <w:pPr>
              <w:jc w:val="left"/>
              <w:rPr>
                <w:rFonts w:ascii="宋体" w:hAnsi="宋体"/>
                <w:color w:val="000000"/>
                <w:szCs w:val="21"/>
                <w:highlight w:val="none"/>
              </w:rPr>
            </w:pPr>
            <w:r>
              <w:rPr>
                <w:rFonts w:hint="eastAsia" w:ascii="宋体" w:hAnsi="宋体"/>
                <w:color w:val="000000"/>
                <w:szCs w:val="21"/>
                <w:highlight w:val="none"/>
              </w:rPr>
              <w:t xml:space="preserve">响应时间</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highlight w:val="none"/>
              </w:rPr>
            </w:r>
            <w:r/>
          </w:p>
          <w:p>
            <w:pPr>
              <w:pStyle w:val="1026"/>
              <w:ind w:firstLine="0"/>
              <w:jc w:val="center"/>
              <w:rPr>
                <w:color w:val="000000"/>
                <w:highlight w:val="none"/>
              </w:rPr>
            </w:pPr>
            <w:r>
              <w:rPr>
                <w:rFonts w:hint="eastAsia" w:ascii="宋体" w:hAnsi="宋体" w:eastAsia="宋体" w:cs="宋体"/>
                <w:color w:val="000000"/>
                <w:highlight w:val="none"/>
              </w:rPr>
              <w:t xml:space="preserve">第11.1款</w:t>
            </w:r>
            <w:r>
              <w:rPr>
                <w:highlight w:val="none"/>
              </w:rPr>
            </w:r>
            <w:r/>
          </w:p>
        </w:tc>
        <w:tc>
          <w:tcPr>
            <w:tcW w:w="1742"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其他应当保密的信息</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highlight w:val="none"/>
              </w:rPr>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rPr>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逾期付款利息</w:t>
            </w:r>
            <w:r>
              <w:rPr>
                <w:highlight w:val="none"/>
              </w:rPr>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rPr>
                <w:highlight w:val="none"/>
              </w:rPr>
            </w:r>
            <w:r/>
          </w:p>
        </w:tc>
      </w:tr>
      <w:tr>
        <w:trP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其他违约责任</w:t>
            </w:r>
            <w:r>
              <w:rPr>
                <w:highlight w:val="none"/>
              </w:rPr>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rPr>
                <w:highlight w:val="none"/>
              </w:rPr>
            </w:r>
            <w:r/>
          </w:p>
        </w:tc>
      </w:tr>
      <w:tr>
        <w:trP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highlight w:val="none"/>
              </w:rPr>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highlight w:val="none"/>
              </w:rPr>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highlight w:val="none"/>
              </w:rPr>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highlight w:val="none"/>
              </w:rPr>
            </w:r>
            <w:r/>
          </w:p>
        </w:tc>
      </w:tr>
      <w:tr>
        <w:trP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rPr>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highlight w:val="none"/>
              </w:rPr>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rPr>
                <w:highlight w:val="none"/>
              </w:rPr>
            </w:r>
            <w:r/>
          </w:p>
        </w:tc>
      </w:tr>
    </w:tbl>
    <w:p>
      <w:pPr>
        <w:pStyle w:val="944"/>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rPr>
          <w:highlight w:val="none"/>
        </w:rPr>
      </w:r>
      <w:r/>
    </w:p>
    <w:p>
      <w:pPr>
        <w:pStyle w:val="944"/>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rPr>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rPr>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rPr>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rPr>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rPr>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rPr>
          <w:highlight w:val="none"/>
        </w:rPr>
      </w:r>
      <w:r/>
    </w:p>
    <w:p>
      <w:pPr>
        <w:pStyle w:val="740"/>
        <w:rPr>
          <w:rFonts w:hint="eastAsia"/>
          <w:highlight w:val="none"/>
        </w:rPr>
      </w:pPr>
      <w:r>
        <w:rPr>
          <w:rFonts w:hint="eastAsia"/>
          <w:highlight w:val="none"/>
        </w:rPr>
      </w:r>
      <w:r>
        <w:rPr>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bookmarkEnd w:id="176"/>
      <w:r/>
      <w:bookmarkEnd w:id="177"/>
      <w:r/>
      <w:bookmarkEnd w:id="178"/>
      <w:r/>
      <w:bookmarkEnd w:id="179"/>
      <w:r>
        <w:rPr>
          <w:highlight w:val="none"/>
        </w:rPr>
      </w:r>
      <w:r/>
    </w:p>
    <w:p>
      <w:pPr>
        <w:jc w:val="center"/>
        <w:spacing w:before="120" w:after="120" w:line="0" w:lineRule="atLeast"/>
        <w:rPr>
          <w:rFonts w:hint="eastAsia" w:ascii="宋体" w:hAnsi="宋体" w:cs="Courier New"/>
          <w:color w:val="000000"/>
          <w:sz w:val="24"/>
          <w:szCs w:val="24"/>
          <w:highlight w:val="none"/>
        </w:rPr>
      </w:pPr>
      <w:r>
        <w:rPr>
          <w:highlight w:val="none"/>
        </w:rPr>
      </w:r>
      <w:bookmarkStart w:id="182" w:name="_Toc120614281"/>
      <w:r>
        <w:rPr>
          <w:highlight w:val="none"/>
        </w:rPr>
      </w:r>
      <w:bookmarkStart w:id="183" w:name="_Toc49090575"/>
      <w:r>
        <w:rPr>
          <w:highlight w:val="none"/>
        </w:rPr>
      </w:r>
      <w:bookmarkStart w:id="184" w:name="_Toc26554093"/>
      <w:r>
        <w:rPr>
          <w:rFonts w:hint="eastAsia" w:ascii="黑体" w:hAnsi="Courier New" w:eastAsia="黑体" w:cs="Courier New"/>
          <w:bCs/>
          <w:color w:val="000000"/>
          <w:sz w:val="44"/>
          <w:szCs w:val="21"/>
          <w:highlight w:val="none"/>
        </w:rPr>
        <w:t xml:space="preserve">第四章 采购需求</w:t>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291"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highlight w:val="none"/>
              </w:rPr>
            </w:r>
            <w:r/>
          </w:p>
        </w:tc>
        <w:tc>
          <w:tcPr>
            <w:tcW w:w="2852"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highlight w:val="none"/>
              </w:rPr>
            </w:r>
            <w:r/>
          </w:p>
        </w:tc>
      </w:tr>
      <w:tr>
        <w:trPr>
          <w:cantSplit/>
          <w:jc w:val="center"/>
          <w:trHeight w:val="291"/>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算力服务器</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35"/>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服务器内存</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3</w:t>
            </w:r>
            <w:r>
              <w:rPr>
                <w:highlight w:val="none"/>
              </w:rPr>
            </w:r>
            <w:r/>
          </w:p>
        </w:tc>
        <w:tc>
          <w:tcPr>
            <w:tcW w:w="3291" w:type="dxa"/>
            <w:vAlign w:val="center"/>
            <w:textDirection w:val="lrTb"/>
            <w:noWrap w:val="false"/>
          </w:tcPr>
          <w:p>
            <w:pPr>
              <w:jc w:val="center"/>
              <w:spacing w:line="360" w:lineRule="auto"/>
              <w:rPr>
                <w:rFonts w:hint="default" w:ascii="宋体" w:hAnsi="宋体" w:eastAsia="宋体" w:cs="宋体"/>
                <w:color w:val="000000"/>
                <w:szCs w:val="24"/>
                <w:highlight w:val="none"/>
              </w:rPr>
            </w:pPr>
            <w:r>
              <w:rPr>
                <w:rFonts w:hint="eastAsia" w:ascii="宋体" w:hAnsi="宋体" w:cs="宋体"/>
                <w:color w:val="000000"/>
                <w:szCs w:val="24"/>
                <w:highlight w:val="none"/>
                <w:lang w:val="en-US" w:eastAsia="zh-CN"/>
              </w:rPr>
              <w:t xml:space="preserve">云计算软件</w:t>
            </w:r>
            <w:r>
              <w:rPr>
                <w:highlight w:val="none"/>
              </w:rPr>
            </w:r>
            <w:r/>
          </w:p>
        </w:tc>
        <w:tc>
          <w:tcPr>
            <w:tcW w:w="2852" w:type="dxa"/>
            <w:textDirection w:val="lrTb"/>
            <w:noWrap w:val="false"/>
          </w:tcPr>
          <w:p>
            <w:pPr>
              <w:jc w:val="center"/>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存储系统1</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存储系统2</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备份一体机</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7</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漏洞扫描系统</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运维审计系统</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9</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零信任系统</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10</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s="宋体"/>
                <w:color w:val="000000"/>
                <w:szCs w:val="24"/>
                <w:highlight w:val="none"/>
              </w:rPr>
              <w:t xml:space="preserve">数据库审计系统</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r>
        <w:trPr>
          <w:cantSplit/>
          <w:jc w:val="center"/>
          <w:trHeight w:val="222"/>
        </w:trPr>
        <w:tc>
          <w:tcPr>
            <w:tcW w:w="54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11</w:t>
            </w:r>
            <w:r>
              <w:rPr>
                <w:highlight w:val="none"/>
              </w:rPr>
            </w:r>
            <w:r/>
          </w:p>
        </w:tc>
        <w:tc>
          <w:tcPr>
            <w:tcW w:w="3291" w:type="dxa"/>
            <w:vAlign w:val="center"/>
            <w:textDirection w:val="lrTb"/>
            <w:noWrap w:val="false"/>
          </w:tcPr>
          <w:p>
            <w:pPr>
              <w:jc w:val="center"/>
              <w:spacing w:line="360" w:lineRule="auto"/>
              <w:rPr>
                <w:rFonts w:ascii="宋体" w:hAnsi="宋体"/>
                <w:color w:val="000000"/>
                <w:sz w:val="24"/>
                <w:szCs w:val="24"/>
                <w:highlight w:val="none"/>
              </w:rPr>
            </w:pPr>
            <w:r>
              <w:rPr>
                <w:rFonts w:hint="eastAsia" w:ascii="宋体" w:hAnsi="宋体"/>
                <w:color w:val="000000"/>
                <w:highlight w:val="none"/>
              </w:rPr>
              <w:t xml:space="preserve">违规外联监测系统</w:t>
            </w:r>
            <w:r>
              <w:rPr>
                <w:highlight w:val="none"/>
              </w:rPr>
            </w:r>
            <w:r/>
          </w:p>
        </w:tc>
        <w:tc>
          <w:tcPr>
            <w:tcW w:w="2852"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highlight w:val="none"/>
              </w:rPr>
            </w:r>
            <w:r/>
          </w:p>
        </w:tc>
      </w:tr>
    </w:tbl>
    <w:p>
      <w:pPr>
        <w:spacing w:line="0" w:lineRule="atLeast"/>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numPr>
          <w:ilvl w:val="0"/>
          <w:numId w:val="13"/>
        </w:numPr>
        <w:spacing w:line="0" w:lineRule="atLeast"/>
        <w:rPr>
          <w:rFonts w:ascii="宋体" w:hAnsi="宋体"/>
          <w:b/>
          <w:color w:val="000000"/>
          <w:sz w:val="24"/>
          <w:szCs w:val="24"/>
          <w:highlight w:val="none"/>
        </w:rPr>
      </w:pPr>
      <w:r>
        <w:rPr>
          <w:rFonts w:ascii="宋体" w:hAnsi="宋体"/>
          <w:b/>
          <w:color w:val="000000"/>
          <w:sz w:val="24"/>
          <w:szCs w:val="24"/>
          <w:highlight w:val="none"/>
        </w:rPr>
        <w:t xml:space="preserve">技术要求</w:t>
      </w:r>
      <w:r>
        <w:rPr>
          <w:highlight w:val="none"/>
        </w:rPr>
      </w:r>
      <w:r/>
    </w:p>
    <w:p>
      <w:pPr>
        <w:numPr>
          <w:numId w:val="0"/>
        </w:numPr>
        <w:spacing w:line="0" w:lineRule="atLeast"/>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1）项目概述</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江苏警官学院信息化经过多年发展，大量新的应用系统建成并投入运行，学院数据中心的信息存储量不断上升，业务访问量也快速增长，学院日常教学管理工作对于信息化平台的依赖程度越来越高。因此，对服务器、在线存储备份等系统运行环境的性能、容量、稳定性、实时性以及数据备份、业务容灾等数据安全等方面都提出了更高要求。目前，学院虚拟化平台的相关计算、存储、网络等硬件的使用年限较久，随着设备使用年限的增加，设备的故障率逐年升高也给业务的安全稳定运行带来了隐患。</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网络安全建设方面，江苏警官学院通过多年的网络安全建设已具备纵深、动态防御能力，但还存在一些问题，部分安全产品存在使用年限较长，由于规则库、病毒库、漏洞库等安全策略库一直存在未更新状态，可能对新型漏洞、安全事件无法起到对应防护作用因而需要进行更换建设；部分安全产品使用年限不长，但已过了保修期，需对其购买续保服务以发挥安全防护作用；在安全服务措施和手段还存在一定的缺失，需要继续购买新一年的专业安全服务内容满足相关部门安全建设要求。</w:t>
      </w:r>
      <w:r>
        <w:rPr>
          <w:highlight w:val="none"/>
        </w:rPr>
      </w:r>
      <w:r/>
    </w:p>
    <w:p>
      <w:pPr>
        <w:pStyle w:val="729"/>
        <w:jc w:val="left"/>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2）项目目标</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项目旨在充分保护原有投资建设的基础上，充分发挥设备的使用效率与价值，其次利用增添新设备以及服务在数据中心算力以及存储资源、网络安全、综合服务等多维度多层次，为学院完善整体校园基础支撑平台的建设体系，建立健全的算力平台以及网络安全运营体系，强化学院信息化系统安全运营流程，为江苏警官学院全体师生、工作人员搭建一个良好、平稳的学习及工作环境。建设内容主要包括以下几方面：</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1）算力资源方面：通过对现有计算资源扩容以及建设不仅解决数据中心算力资源不足的问题，同时有效提升现有设备的总体使用效率。</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2）存储资源方面：通过对现有存储资源的扩容以及建设，实现本地数据级双活方案，任意一台故障，业务不中断、数据不丢失，确保了业务系统运行的持续性。</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3）数据备份方面：通过专业的备份一体机对虚拟机提供备份与恢复服务，实现与现有超融合平台统一管理，从而确保数据的安全性。</w:t>
      </w:r>
      <w:r>
        <w:rPr>
          <w:highlight w:val="none"/>
        </w:rPr>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网络安全以及服务方面：通过替换原有老旧安全设备，对老旧设备购买原厂续保服务从而发挥其最大使用价值，新建数据库审计等系统进一步加强网络安全建设体系，其次通过购买专业的安全服务，有效帮助学院建设和运维安全健全的服务体系。</w:t>
      </w:r>
      <w:r>
        <w:rPr>
          <w:highlight w:val="none"/>
        </w:rPr>
      </w:r>
      <w:r/>
    </w:p>
    <w:p>
      <w:pPr>
        <w:ind w:firstLine="480"/>
        <w:spacing w:line="560" w:lineRule="exact"/>
        <w:shd w:val="clear" w:color="auto" w:fill="ffffff"/>
        <w:rPr>
          <w:rFonts w:ascii="宋体" w:hAnsi="宋体"/>
          <w:i/>
          <w:color w:val="000000"/>
          <w:sz w:val="24"/>
          <w:szCs w:val="24"/>
          <w:highlight w:val="none"/>
          <w:u w:val="single"/>
        </w:rPr>
      </w:pPr>
      <w:r>
        <w:rPr>
          <w:rFonts w:hint="eastAsia" w:ascii="宋体" w:hAnsi="宋体" w:cs="宋体"/>
          <w:color w:val="000000"/>
          <w:sz w:val="24"/>
          <w:highlight w:val="none"/>
        </w:rPr>
        <w:t xml:space="preserve">具体技术指标要求内容如下，投标人须对以下技术指标进行逐项应答，</w:t>
      </w:r>
      <w:bookmarkStart w:id="197" w:name="_GoBack"/>
      <w:r>
        <w:rPr>
          <w:rFonts w:hint="eastAsia" w:ascii="宋体" w:hAnsi="宋体"/>
          <w:b/>
          <w:bCs w:val="0"/>
          <w:i/>
          <w:iCs/>
          <w:color w:val="000000"/>
          <w:sz w:val="24"/>
          <w:szCs w:val="24"/>
          <w:highlight w:val="none"/>
          <w:u w:val="single"/>
        </w:rPr>
        <w:t xml:space="preserve">其中</w:t>
      </w:r>
      <w:r>
        <w:rPr>
          <w:rFonts w:hint="eastAsia" w:ascii="宋体" w:hAnsi="宋体"/>
          <w:b/>
          <w:bCs w:val="0"/>
          <w:i/>
          <w:iCs/>
          <w:color w:val="000000"/>
          <w:sz w:val="24"/>
          <w:szCs w:val="21"/>
          <w:highlight w:val="none"/>
          <w:u w:val="single"/>
        </w:rPr>
        <w:t xml:space="preserve">斜体且有下划线部分条款为实质性要求</w:t>
      </w:r>
      <w:r>
        <w:rPr>
          <w:rFonts w:hint="eastAsia" w:ascii="宋体" w:hAnsi="宋体"/>
          <w:b/>
          <w:bCs w:val="0"/>
          <w:i/>
          <w:iCs/>
          <w:color w:val="000000"/>
          <w:sz w:val="24"/>
          <w:szCs w:val="21"/>
          <w:highlight w:val="none"/>
          <w:u w:val="single"/>
          <w:lang w:eastAsia="zh-CN"/>
        </w:rPr>
        <w:t xml:space="preserve">，如不满足则为无效投标</w:t>
      </w:r>
      <w:r>
        <w:rPr>
          <w:rFonts w:hint="eastAsia" w:ascii="宋体" w:hAnsi="宋体"/>
          <w:b/>
          <w:bCs w:val="0"/>
          <w:i/>
          <w:iCs/>
          <w:color w:val="000000"/>
          <w:sz w:val="24"/>
          <w:szCs w:val="21"/>
          <w:highlight w:val="none"/>
          <w:u w:val="single"/>
        </w:rPr>
        <w:t xml:space="preserve">。</w:t>
      </w:r>
      <w:bookmarkEnd w:id="197"/>
      <w:r>
        <w:rPr>
          <w:highlight w:val="none"/>
        </w:rPr>
      </w:r>
      <w:r/>
    </w:p>
    <w:p>
      <w:pPr>
        <w:pStyle w:val="743"/>
        <w:numPr>
          <w:ilvl w:val="0"/>
          <w:numId w:val="14"/>
        </w:numPr>
        <w:ind w:left="200"/>
        <w:rPr>
          <w:rFonts w:ascii="宋体" w:hAnsi="宋体" w:cs="宋体"/>
          <w:color w:val="000000"/>
          <w:highlight w:val="none"/>
        </w:rPr>
      </w:pPr>
      <w:r>
        <w:rPr>
          <w:rFonts w:hint="eastAsia" w:ascii="宋体" w:hAnsi="宋体" w:cs="宋体"/>
          <w:color w:val="000000"/>
          <w:highlight w:val="none"/>
        </w:rPr>
        <w:t xml:space="preserve">算力服务器（数量:5套）</w:t>
      </w:r>
      <w:r>
        <w:rPr>
          <w:highlight w:val="none"/>
        </w:rPr>
      </w:r>
      <w:r/>
    </w:p>
    <w:tbl>
      <w:tblPr>
        <w:tblStyle w:val="739"/>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6975"/>
      </w:tblGrid>
      <w:tr>
        <w:trPr>
          <w:trHeight w:val="343"/>
        </w:trPr>
        <w:tc>
          <w:tcPr>
            <w:tcW w:w="79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指标项</w:t>
            </w:r>
            <w:r>
              <w:rPr>
                <w:highlight w:val="none"/>
              </w:rPr>
            </w:r>
            <w:r/>
          </w:p>
        </w:tc>
        <w:tc>
          <w:tcPr>
            <w:tcW w:w="420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配置要求</w:t>
            </w:r>
            <w:r>
              <w:rPr>
                <w:highlight w:val="none"/>
              </w:rPr>
            </w:r>
            <w:r/>
          </w:p>
        </w:tc>
      </w:tr>
      <w:tr>
        <w:trPr>
          <w:trHeight w:val="465"/>
        </w:trPr>
        <w:tc>
          <w:tcPr>
            <w:tcW w:w="791"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主要指标</w:t>
            </w:r>
            <w:r>
              <w:rPr>
                <w:highlight w:val="none"/>
              </w:rPr>
            </w:r>
            <w:r/>
          </w:p>
        </w:tc>
        <w:tc>
          <w:tcPr>
            <w:tcW w:w="4208" w:type="dxa"/>
            <w:vAlign w:val="center"/>
            <w:textDirection w:val="lrTb"/>
            <w:noWrap w:val="false"/>
          </w:tcPr>
          <w:p>
            <w:pPr>
              <w:rPr>
                <w:rFonts w:ascii="Times New Roman" w:hAnsi="Times New Roman"/>
                <w:color w:val="000000"/>
                <w:szCs w:val="21"/>
                <w:highlight w:val="none"/>
              </w:rPr>
            </w:pPr>
            <w:r>
              <w:rPr>
                <w:rFonts w:hint="eastAsia" w:ascii="宋体" w:hAnsi="宋体" w:cs="宋体"/>
                <w:b/>
                <w:bCs/>
                <w:i/>
                <w:iCs/>
                <w:color w:val="000000"/>
                <w:szCs w:val="21"/>
                <w:highlight w:val="none"/>
                <w:u w:val="single"/>
              </w:rPr>
              <w:t xml:space="preserve">2U机架式服务器：配置</w:t>
            </w:r>
            <w:r>
              <w:rPr>
                <w:rFonts w:hint="eastAsia" w:ascii="宋体" w:hAnsi="宋体" w:cs="宋体"/>
                <w:b/>
                <w:bCs/>
                <w:i/>
                <w:iCs/>
                <w:color w:val="000000"/>
                <w:szCs w:val="21"/>
                <w:highlight w:val="none"/>
                <w:u w:val="single"/>
                <w:lang w:val="zh-CN"/>
              </w:rPr>
              <w:t xml:space="preserve">≥</w:t>
            </w:r>
            <w:r>
              <w:rPr>
                <w:rFonts w:hint="eastAsia" w:ascii="宋体" w:hAnsi="宋体" w:cs="宋体"/>
                <w:b/>
                <w:bCs/>
                <w:i/>
                <w:iCs/>
                <w:color w:val="000000"/>
                <w:szCs w:val="21"/>
                <w:highlight w:val="none"/>
                <w:u w:val="single"/>
              </w:rPr>
              <w:t xml:space="preserve">2颗国产C86架构处理器，单颗处理器主频≥2.5GHz，单颗处理器≥16核心，支持超线程；配置</w:t>
            </w:r>
            <w:r>
              <w:rPr>
                <w:rFonts w:hint="eastAsia" w:ascii="宋体" w:hAnsi="宋体" w:cs="宋体"/>
                <w:b/>
                <w:bCs/>
                <w:i/>
                <w:iCs/>
                <w:color w:val="000000"/>
                <w:szCs w:val="21"/>
                <w:highlight w:val="none"/>
                <w:u w:val="single"/>
                <w:lang w:val="zh-CN"/>
              </w:rPr>
              <w:t xml:space="preserve">≥</w:t>
            </w:r>
            <w:r>
              <w:rPr>
                <w:rFonts w:hint="eastAsia" w:ascii="宋体" w:hAnsi="宋体" w:cs="宋体"/>
                <w:b/>
                <w:bCs/>
                <w:i/>
                <w:iCs/>
                <w:color w:val="000000"/>
                <w:szCs w:val="21"/>
                <w:highlight w:val="none"/>
                <w:u w:val="single"/>
              </w:rPr>
              <w:t xml:space="preserve">1024GB 内存,采用单根64GB内存；</w:t>
            </w:r>
            <w:r>
              <w:rPr>
                <w:rFonts w:hint="eastAsia" w:ascii="宋体" w:hAnsi="宋体" w:cs="宋体"/>
                <w:b/>
                <w:bCs/>
                <w:i/>
                <w:iCs/>
                <w:color w:val="000000"/>
                <w:szCs w:val="21"/>
                <w:highlight w:val="none"/>
                <w:u w:val="single"/>
                <w:lang w:val="zh-CN"/>
              </w:rPr>
              <w:t xml:space="preserve">支持≥</w:t>
            </w:r>
            <w:r>
              <w:rPr>
                <w:rFonts w:hint="eastAsia" w:ascii="宋体" w:hAnsi="宋体" w:cs="宋体"/>
                <w:b/>
                <w:bCs/>
                <w:i/>
                <w:iCs/>
                <w:color w:val="000000"/>
                <w:szCs w:val="21"/>
                <w:highlight w:val="none"/>
                <w:u w:val="single"/>
              </w:rPr>
              <w:t xml:space="preserve">16</w:t>
            </w:r>
            <w:r>
              <w:rPr>
                <w:rFonts w:hint="eastAsia" w:ascii="宋体" w:hAnsi="宋体" w:cs="宋体"/>
                <w:b/>
                <w:bCs/>
                <w:i/>
                <w:iCs/>
                <w:color w:val="000000"/>
                <w:szCs w:val="21"/>
                <w:highlight w:val="none"/>
                <w:u w:val="single"/>
                <w:lang w:val="zh-CN"/>
              </w:rPr>
              <w:t xml:space="preserve">个DDR4内存插槽</w:t>
            </w:r>
            <w:r>
              <w:rPr>
                <w:rFonts w:hint="eastAsia" w:ascii="宋体" w:hAnsi="宋体" w:cs="宋体"/>
                <w:b/>
                <w:bCs/>
                <w:i/>
                <w:iCs/>
                <w:color w:val="000000"/>
                <w:szCs w:val="21"/>
                <w:highlight w:val="none"/>
                <w:u w:val="single"/>
              </w:rPr>
              <w:t xml:space="preserve">；配置</w:t>
            </w:r>
            <w:r>
              <w:rPr>
                <w:rFonts w:hint="eastAsia" w:ascii="宋体" w:hAnsi="宋体" w:cs="宋体"/>
                <w:b/>
                <w:bCs/>
                <w:i/>
                <w:iCs/>
                <w:color w:val="000000"/>
                <w:szCs w:val="21"/>
                <w:highlight w:val="none"/>
                <w:u w:val="single"/>
                <w:lang w:val="zh-CN"/>
              </w:rPr>
              <w:t xml:space="preserve">≥</w:t>
            </w:r>
            <w:r>
              <w:rPr>
                <w:rFonts w:hint="eastAsia" w:ascii="宋体" w:hAnsi="宋体" w:cs="宋体"/>
                <w:b/>
                <w:bCs/>
                <w:i/>
                <w:iCs/>
                <w:color w:val="000000"/>
                <w:szCs w:val="21"/>
                <w:highlight w:val="none"/>
                <w:u w:val="single"/>
              </w:rPr>
              <w:t xml:space="preserve">2块480GB SSD硬盘,支持RAID0,1；配置</w:t>
            </w:r>
            <w:r>
              <w:rPr>
                <w:rFonts w:hint="eastAsia" w:ascii="宋体" w:hAnsi="宋体" w:cs="宋体"/>
                <w:b/>
                <w:bCs/>
                <w:i/>
                <w:iCs/>
                <w:color w:val="000000"/>
                <w:szCs w:val="21"/>
                <w:highlight w:val="none"/>
                <w:u w:val="single"/>
                <w:lang w:val="zh-CN"/>
              </w:rPr>
              <w:t xml:space="preserve">≥</w:t>
            </w:r>
            <w:r>
              <w:rPr>
                <w:rFonts w:hint="eastAsia" w:ascii="宋体" w:hAnsi="宋体" w:cs="宋体"/>
                <w:b/>
                <w:bCs/>
                <w:i/>
                <w:iCs/>
                <w:color w:val="000000"/>
                <w:szCs w:val="21"/>
                <w:highlight w:val="none"/>
                <w:u w:val="single"/>
              </w:rPr>
              <w:t xml:space="preserve">2个千兆口，2个万兆光口（含模块），2个16GB HBA端口(含模块）；配置冗余电源风扇，五年原厂保修，提供</w:t>
            </w:r>
            <w:r>
              <w:rPr>
                <w:rFonts w:hint="eastAsia" w:ascii="宋体" w:hAnsi="宋体" w:cs="宋体"/>
                <w:b/>
                <w:bCs/>
                <w:i/>
                <w:iCs/>
                <w:color w:val="000000"/>
                <w:szCs w:val="21"/>
                <w:highlight w:val="none"/>
                <w:u w:val="single"/>
                <w:lang w:val="zh-CN"/>
              </w:rPr>
              <w:t xml:space="preserve">原厂工程师上门安装和五年的技术支持服务，中标后合同签订前须提供原厂五年免费质保函原件证明</w:t>
            </w:r>
            <w:r>
              <w:rPr>
                <w:highlight w:val="none"/>
              </w:rPr>
            </w:r>
            <w:r/>
          </w:p>
        </w:tc>
      </w:tr>
      <w:tr>
        <w:trPr>
          <w:trHeight w:val="630"/>
        </w:trPr>
        <w:tc>
          <w:tcPr>
            <w:tcW w:w="79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管理</w:t>
            </w:r>
            <w:r>
              <w:rPr>
                <w:rFonts w:hint="eastAsia" w:ascii="Times New Roman" w:hAnsi="Times New Roman"/>
                <w:color w:val="000000"/>
                <w:szCs w:val="21"/>
                <w:highlight w:val="none"/>
              </w:rPr>
              <w:t xml:space="preserve">维护</w:t>
            </w:r>
            <w:r>
              <w:rPr>
                <w:highlight w:val="none"/>
              </w:rPr>
            </w:r>
            <w:r/>
          </w:p>
        </w:tc>
        <w:tc>
          <w:tcPr>
            <w:tcW w:w="4208" w:type="dxa"/>
            <w:vAlign w:val="center"/>
            <w:textDirection w:val="lrTb"/>
            <w:noWrap w:val="false"/>
          </w:tcPr>
          <w:p>
            <w:pPr>
              <w:rPr>
                <w:rFonts w:ascii="Times New Roman" w:hAnsi="Times New Roman"/>
                <w:color w:val="000000"/>
                <w:szCs w:val="21"/>
                <w:highlight w:val="none"/>
              </w:rPr>
            </w:pPr>
            <w:r>
              <w:rPr>
                <w:rFonts w:hint="eastAsia" w:ascii="宋体" w:hAnsi="宋体"/>
                <w:color w:val="000000"/>
                <w:szCs w:val="21"/>
                <w:highlight w:val="none"/>
              </w:rPr>
              <w:t xml:space="preserve">配置独立管理端口，提供基于</w:t>
            </w:r>
            <w:r>
              <w:rPr>
                <w:rFonts w:ascii="宋体" w:hAnsi="宋体"/>
                <w:color w:val="000000"/>
                <w:szCs w:val="21"/>
                <w:highlight w:val="none"/>
              </w:rPr>
              <w:t xml:space="preserve">Web</w:t>
            </w:r>
            <w:r>
              <w:rPr>
                <w:rFonts w:hint="eastAsia" w:ascii="宋体" w:hAnsi="宋体"/>
                <w:color w:val="000000"/>
                <w:szCs w:val="21"/>
                <w:highlight w:val="none"/>
              </w:rPr>
              <w:t xml:space="preserve">的远程管理控制、配备硬件监控、远程管理功能；支持</w:t>
            </w:r>
            <w:r>
              <w:rPr>
                <w:rFonts w:ascii="宋体" w:hAnsi="宋体"/>
                <w:color w:val="000000"/>
                <w:szCs w:val="21"/>
                <w:highlight w:val="none"/>
              </w:rPr>
              <w:t xml:space="preserve">IPMI2.0</w:t>
            </w:r>
            <w:r>
              <w:rPr>
                <w:rFonts w:hint="eastAsia" w:ascii="宋体" w:hAnsi="宋体"/>
                <w:color w:val="000000"/>
                <w:szCs w:val="21"/>
                <w:highlight w:val="none"/>
              </w:rPr>
              <w:t xml:space="preserve">标准；提供</w:t>
            </w:r>
            <w:r>
              <w:rPr>
                <w:rFonts w:ascii="宋体" w:hAnsi="宋体"/>
                <w:color w:val="000000"/>
                <w:szCs w:val="21"/>
                <w:highlight w:val="none"/>
              </w:rPr>
              <w:t xml:space="preserve">KVM</w:t>
            </w:r>
            <w:r>
              <w:rPr>
                <w:rFonts w:hint="eastAsia" w:ascii="宋体" w:hAnsi="宋体"/>
                <w:color w:val="000000"/>
                <w:szCs w:val="21"/>
                <w:highlight w:val="none"/>
              </w:rPr>
              <w:t xml:space="preserve">功能，实现远程开关机、重启、网络安装操作系统等操作</w:t>
            </w:r>
            <w:r>
              <w:rPr>
                <w:highlight w:val="none"/>
              </w:rPr>
            </w:r>
            <w:r/>
          </w:p>
        </w:tc>
      </w:tr>
    </w:tbl>
    <w:p>
      <w:pPr>
        <w:pStyle w:val="743"/>
        <w:ind w:firstLine="240"/>
        <w:rPr>
          <w:rFonts w:ascii="宋体" w:hAnsi="宋体" w:eastAsia="宋体"/>
          <w:color w:val="000000"/>
          <w:sz w:val="24"/>
          <w:szCs w:val="22"/>
          <w:highlight w:val="none"/>
        </w:rPr>
      </w:pPr>
      <w:r>
        <w:rPr>
          <w:rFonts w:ascii="宋体" w:hAnsi="宋体" w:eastAsia="宋体"/>
          <w:color w:val="000000"/>
          <w:sz w:val="24"/>
          <w:szCs w:val="22"/>
          <w:highlight w:val="none"/>
        </w:rPr>
      </w:r>
      <w:r>
        <w:rPr>
          <w:highlight w:val="none"/>
        </w:rPr>
      </w:r>
      <w:r/>
    </w:p>
    <w:p>
      <w:pPr>
        <w:pStyle w:val="743"/>
        <w:ind w:firstLine="280"/>
        <w:rPr>
          <w:rFonts w:ascii="宋体" w:hAnsi="宋体" w:cs="宋体"/>
          <w:color w:val="000000"/>
          <w:highlight w:val="none"/>
        </w:rPr>
      </w:pPr>
      <w:r>
        <w:rPr>
          <w:rFonts w:hint="eastAsia" w:ascii="宋体" w:hAnsi="宋体" w:cs="宋体"/>
          <w:color w:val="000000"/>
          <w:highlight w:val="none"/>
        </w:rPr>
        <w:t xml:space="preserve">2）服务器内存（数量:1批）</w:t>
      </w:r>
      <w:r>
        <w:rPr>
          <w:highlight w:val="none"/>
        </w:rPr>
      </w:r>
      <w:r/>
    </w:p>
    <w:tbl>
      <w:tblPr>
        <w:tblStyle w:val="739"/>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6975"/>
      </w:tblGrid>
      <w:tr>
        <w:trPr>
          <w:trHeight w:val="343"/>
        </w:trPr>
        <w:tc>
          <w:tcPr>
            <w:tcW w:w="79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指标项</w:t>
            </w:r>
            <w:r>
              <w:rPr>
                <w:highlight w:val="none"/>
              </w:rPr>
            </w:r>
            <w:r/>
          </w:p>
        </w:tc>
        <w:tc>
          <w:tcPr>
            <w:tcW w:w="420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配置要求</w:t>
            </w:r>
            <w:r>
              <w:rPr>
                <w:highlight w:val="none"/>
              </w:rPr>
            </w:r>
            <w:r/>
          </w:p>
        </w:tc>
      </w:tr>
      <w:tr>
        <w:trPr>
          <w:trHeight w:val="259"/>
        </w:trPr>
        <w:tc>
          <w:tcPr>
            <w:tcW w:w="791" w:type="dxa"/>
            <w:vAlign w:val="center"/>
            <w:textDirection w:val="lrTb"/>
            <w:noWrap w:val="false"/>
          </w:tcPr>
          <w:p>
            <w:pPr>
              <w:jc w:val="center"/>
              <w:spacing w:line="4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主要指标</w:t>
            </w:r>
            <w:r>
              <w:rPr>
                <w:highlight w:val="none"/>
              </w:rPr>
            </w:r>
            <w:r/>
          </w:p>
        </w:tc>
        <w:tc>
          <w:tcPr>
            <w:tcW w:w="4208" w:type="dxa"/>
            <w:vAlign w:val="center"/>
            <w:textDirection w:val="lrTb"/>
            <w:noWrap w:val="false"/>
          </w:tcPr>
          <w:p>
            <w:pPr>
              <w:spacing w:line="460" w:lineRule="exact"/>
              <w:rPr>
                <w:rFonts w:ascii="Times New Roman" w:hAnsi="Times New Roman"/>
                <w:color w:val="000000"/>
                <w:szCs w:val="21"/>
                <w:highlight w:val="none"/>
              </w:rPr>
            </w:pPr>
            <w:r>
              <w:rPr>
                <w:rFonts w:hint="eastAsia" w:ascii="宋体" w:hAnsi="宋体" w:cs="宋体"/>
                <w:b/>
                <w:bCs/>
                <w:i/>
                <w:iCs/>
                <w:color w:val="000000"/>
                <w:szCs w:val="21"/>
                <w:highlight w:val="none"/>
                <w:u w:val="single"/>
              </w:rPr>
              <w:t xml:space="preserve">针对现有10台DELL R740服务器进行内容扩容，每套增加8根单根32GB服务器内存，小计增加256GB，合计共增80根内存，2560GB内存资源，提供五年保修服务</w:t>
            </w:r>
            <w:r>
              <w:rPr>
                <w:highlight w:val="none"/>
              </w:rPr>
            </w:r>
            <w:r/>
          </w:p>
        </w:tc>
      </w:tr>
    </w:tbl>
    <w:p>
      <w:pPr>
        <w:pStyle w:val="743"/>
        <w:ind w:left="200"/>
        <w:rPr>
          <w:rFonts w:ascii="宋体" w:hAnsi="宋体" w:cs="宋体"/>
          <w:color w:val="000000"/>
          <w:highlight w:val="none"/>
        </w:rPr>
      </w:pPr>
      <w:r>
        <w:rPr>
          <w:rFonts w:ascii="宋体" w:hAnsi="宋体" w:cs="宋体"/>
          <w:color w:val="000000"/>
          <w:highlight w:val="none"/>
        </w:rPr>
      </w:r>
      <w:r>
        <w:rPr>
          <w:highlight w:val="none"/>
        </w:rPr>
      </w:r>
      <w:r/>
    </w:p>
    <w:p>
      <w:pPr>
        <w:pStyle w:val="743"/>
        <w:ind w:left="200"/>
        <w:rPr>
          <w:rFonts w:ascii="宋体" w:hAnsi="宋体" w:eastAsia="宋体" w:cs="宋体"/>
          <w:color w:val="000000"/>
          <w:highlight w:val="none"/>
        </w:rPr>
      </w:pPr>
      <w:r>
        <w:rPr>
          <w:rFonts w:hint="eastAsia" w:ascii="宋体" w:hAnsi="宋体" w:cs="宋体"/>
          <w:color w:val="000000"/>
          <w:highlight w:val="none"/>
        </w:rPr>
        <w:t xml:space="preserve">3）云计算软件（数量：1套）</w:t>
      </w:r>
      <w:r>
        <w:rPr>
          <w:highlight w:val="none"/>
        </w:rPr>
      </w:r>
      <w:r/>
    </w:p>
    <w:tbl>
      <w:tblPr>
        <w:tblStyle w:val="739"/>
        <w:tblW w:w="4855"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6971"/>
      </w:tblGrid>
      <w:tr>
        <w:trPr>
          <w:trHeight w:val="343"/>
        </w:trPr>
        <w:tc>
          <w:tcPr>
            <w:tcW w:w="79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指标项</w:t>
            </w:r>
            <w:r>
              <w:rPr>
                <w:highlight w:val="none"/>
              </w:rPr>
            </w:r>
            <w:r/>
          </w:p>
        </w:tc>
        <w:tc>
          <w:tcPr>
            <w:tcW w:w="420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配置要求</w:t>
            </w:r>
            <w:r>
              <w:rPr>
                <w:highlight w:val="none"/>
              </w:rPr>
            </w:r>
            <w:r/>
          </w:p>
        </w:tc>
      </w:tr>
      <w:tr>
        <w:trPr>
          <w:trHeight w:val="465"/>
        </w:trPr>
        <w:tc>
          <w:tcPr>
            <w:tcW w:w="791" w:type="dxa"/>
            <w:vAlign w:val="center"/>
            <w:vMerge w:val="restart"/>
            <w:textDirection w:val="lrTb"/>
            <w:noWrap w:val="false"/>
          </w:tcPr>
          <w:p>
            <w:pPr>
              <w:jc w:val="center"/>
              <w:rPr>
                <w:rFonts w:ascii="Times New Roman" w:hAnsi="Times New Roman"/>
                <w:color w:val="000000"/>
                <w:szCs w:val="21"/>
                <w:highlight w:val="none"/>
              </w:rPr>
            </w:pPr>
            <w:r>
              <w:rPr>
                <w:rFonts w:hint="eastAsia" w:ascii="宋体" w:hAnsi="宋体" w:cs="宋体"/>
                <w:color w:val="000000"/>
                <w:szCs w:val="21"/>
                <w:highlight w:val="none"/>
              </w:rPr>
              <w:t xml:space="preserve">管理平台</w:t>
            </w:r>
            <w:r>
              <w:rPr>
                <w:highlight w:val="none"/>
              </w:rPr>
            </w:r>
            <w:r/>
          </w:p>
        </w:tc>
        <w:tc>
          <w:tcPr>
            <w:tcW w:w="4208"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要求支持本地部署、超融合部署、分布式分离部署、SAN分离部署、纯软部署方式，不对服务器硬件做绑定，客户可以灵活根据情况按需选择服务器硬件（提供彩页或者官网链接证明材料）</w:t>
            </w:r>
            <w:r>
              <w:rPr>
                <w:highlight w:val="none"/>
              </w:rPr>
            </w:r>
            <w:r/>
          </w:p>
        </w:tc>
      </w:tr>
      <w:tr>
        <w:trPr>
          <w:trHeight w:val="465"/>
        </w:trPr>
        <w:tc>
          <w:tcPr>
            <w:tcW w:w="791"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W w:w="4208"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rPr>
              <w:t xml:space="preserve">产品采用全新架构，可对接同品牌的SAN存储，实现接口自动化对接，可细粒度管理卷，充分利用卷的高级特性，比如快照、双活等（提供界面截图证明材料）</w:t>
            </w:r>
            <w:r>
              <w:rPr>
                <w:highlight w:val="none"/>
              </w:rPr>
            </w:r>
            <w:r/>
          </w:p>
        </w:tc>
      </w:tr>
      <w:tr>
        <w:trPr>
          <w:trHeight w:val="465"/>
        </w:trPr>
        <w:tc>
          <w:tcPr>
            <w:tcW w:w="791" w:type="dxa"/>
            <w:vAlign w:val="center"/>
            <w:vMerge w:val="restart"/>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计算虚拟化</w:t>
            </w:r>
            <w:r>
              <w:rPr>
                <w:highlight w:val="none"/>
              </w:rPr>
            </w:r>
            <w:r/>
          </w:p>
        </w:tc>
        <w:tc>
          <w:tcPr>
            <w:tcW w:w="4208"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支持云主机全生命周期管理，包括创建、启动、重启、暂停、恢复、关闭电源、关机、删除，满足日常运维需求操作，支持设置控制台密码保护云主机安全</w:t>
            </w:r>
            <w:r>
              <w:rPr>
                <w:highlight w:val="none"/>
              </w:rPr>
            </w:r>
            <w:r/>
          </w:p>
        </w:tc>
      </w:tr>
      <w:tr>
        <w:trPr>
          <w:trHeight w:val="465"/>
        </w:trPr>
        <w:tc>
          <w:tcPr>
            <w:tcW w:w="791"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W w:w="4208"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通过云平台实现SAN集中式存储、分布式块存储、分布式文件存储、本地存储之间互相双向热迁移，迁移过程无需停机用户无感知，解决迁移停机痛点问题，方便用户运维</w:t>
            </w:r>
            <w:r>
              <w:rPr>
                <w:highlight w:val="none"/>
              </w:rPr>
            </w:r>
            <w:r/>
          </w:p>
        </w:tc>
      </w:tr>
      <w:tr>
        <w:trPr>
          <w:trHeight w:val="465"/>
        </w:trPr>
        <w:tc>
          <w:tcPr>
            <w:tcW w:w="791"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网络虚拟化</w:t>
            </w:r>
            <w:r>
              <w:rPr>
                <w:highlight w:val="none"/>
              </w:rPr>
            </w:r>
            <w:r/>
          </w:p>
        </w:tc>
        <w:tc>
          <w:tcPr>
            <w:tcW w:w="4208" w:type="dxa"/>
            <w:vAlign w:val="center"/>
            <w:textDirection w:val="lrTb"/>
            <w:noWrap w:val="false"/>
          </w:tcPr>
          <w:p>
            <w:pPr>
              <w:rPr>
                <w:rFonts w:ascii="宋体" w:hAnsi="宋体"/>
                <w:color w:val="000000"/>
                <w:szCs w:val="21"/>
                <w:highlight w:val="none"/>
              </w:rPr>
            </w:pPr>
            <w:r>
              <w:rPr>
                <w:rFonts w:hint="eastAsia" w:ascii="宋体" w:hAnsi="宋体"/>
                <w:color w:val="000000"/>
                <w:szCs w:val="24"/>
                <w:highlight w:val="none"/>
              </w:rPr>
              <w:t xml:space="preserve">云路由通过配置OSPF动态路由协议，实现和物理交换机建立OSPF邻接关系，从而联通物理网络和虚拟网络。</w:t>
            </w:r>
            <w:r>
              <w:rPr>
                <w:rFonts w:hint="eastAsia" w:ascii="宋体" w:hAnsi="宋体"/>
                <w:color w:val="000000"/>
                <w:szCs w:val="24"/>
                <w:highlight w:val="none"/>
              </w:rPr>
              <w:t xml:space="preserve">（提供产品功能截图</w:t>
            </w:r>
            <w:r>
              <w:rPr>
                <w:rFonts w:hint="eastAsia" w:ascii="宋体" w:hAnsi="宋体"/>
                <w:color w:val="000000"/>
                <w:szCs w:val="24"/>
                <w:highlight w:val="none"/>
                <w:lang w:eastAsia="zh-CN"/>
              </w:rPr>
              <w:t xml:space="preserve">或</w:t>
            </w:r>
            <w:r>
              <w:rPr>
                <w:rFonts w:hint="eastAsia" w:ascii="宋体" w:hAnsi="宋体"/>
                <w:color w:val="000000"/>
                <w:szCs w:val="24"/>
                <w:highlight w:val="none"/>
              </w:rPr>
              <w:t xml:space="preserve">第三方权威检测机构出具的检测报告证明）</w:t>
            </w:r>
            <w:r>
              <w:rPr>
                <w:highlight w:val="none"/>
              </w:rPr>
            </w:r>
            <w:r/>
          </w:p>
        </w:tc>
      </w:tr>
      <w:tr>
        <w:trPr>
          <w:trHeight w:val="465"/>
        </w:trPr>
        <w:tc>
          <w:tcPr>
            <w:tcW w:w="791"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安全虚拟化</w:t>
            </w:r>
            <w:r>
              <w:rPr>
                <w:highlight w:val="none"/>
              </w:rPr>
            </w:r>
            <w:r/>
          </w:p>
        </w:tc>
        <w:tc>
          <w:tcPr>
            <w:tcW w:w="4208" w:type="dxa"/>
            <w:vAlign w:val="center"/>
            <w:textDirection w:val="lrTb"/>
            <w:noWrap w:val="false"/>
          </w:tcPr>
          <w:p>
            <w:pPr>
              <w:rPr>
                <w:rFonts w:ascii="宋体" w:hAnsi="宋体"/>
                <w:color w:val="000000"/>
                <w:szCs w:val="21"/>
                <w:highlight w:val="none"/>
              </w:rPr>
            </w:pPr>
            <w:r>
              <w:rPr>
                <w:rFonts w:hint="eastAsia" w:ascii="宋体" w:hAnsi="宋体"/>
                <w:color w:val="000000"/>
                <w:szCs w:val="24"/>
                <w:highlight w:val="none"/>
              </w:rPr>
              <w:t xml:space="preserve">提供1000个虚拟防火墙，系统拥有拦截防护作用。可以给 VPC 路由器配置防火墙，在防火墙每个接口的出、入方向应用规则集；支持自定义规则优先级以及行为，根据报文源目的IP、协议、源目的端口、TCP flag、ICMP Type 进行过滤。防火墙规则集中添加规则时，须支持多种内容形式，包括：固定IP 地址、IP 范围、CIDR，并需要支持批量填写</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highlight w:val="none"/>
              </w:rPr>
            </w:r>
            <w:r/>
          </w:p>
        </w:tc>
      </w:tr>
      <w:tr>
        <w:trPr>
          <w:trHeight w:val="465"/>
        </w:trPr>
        <w:tc>
          <w:tcPr>
            <w:tcW w:w="791" w:type="dxa"/>
            <w:vAlign w:val="center"/>
            <w:textDirection w:val="lrTb"/>
            <w:noWrap w:val="false"/>
          </w:tcPr>
          <w:p>
            <w:pPr>
              <w:jc w:val="center"/>
              <w:rPr>
                <w:rFonts w:ascii="Times New Roman" w:hAnsi="Times New Roman"/>
                <w:color w:val="000000"/>
                <w:szCs w:val="21"/>
                <w:highlight w:val="none"/>
              </w:rPr>
            </w:pPr>
            <w:r>
              <w:rPr>
                <w:rFonts w:hint="eastAsia" w:ascii="宋体" w:hAnsi="宋体" w:cs="宋体"/>
                <w:color w:val="000000"/>
                <w:szCs w:val="21"/>
                <w:highlight w:val="none"/>
              </w:rPr>
              <w:t xml:space="preserve">迁移能力</w:t>
            </w:r>
            <w:r>
              <w:rPr>
                <w:highlight w:val="none"/>
              </w:rPr>
            </w:r>
            <w:r/>
          </w:p>
        </w:tc>
        <w:tc>
          <w:tcPr>
            <w:tcW w:w="4208" w:type="dxa"/>
            <w:vAlign w:val="center"/>
            <w:textDirection w:val="lrTb"/>
            <w:noWrap w:val="false"/>
          </w:tcPr>
          <w:p>
            <w:pPr>
              <w:rPr>
                <w:rFonts w:ascii="宋体" w:hAnsi="宋体"/>
                <w:color w:val="000000"/>
                <w:szCs w:val="24"/>
                <w:highlight w:val="none"/>
              </w:rPr>
            </w:pPr>
            <w:r>
              <w:rPr>
                <w:rFonts w:hint="eastAsia" w:ascii="宋体" w:hAnsi="宋体"/>
                <w:color w:val="000000"/>
                <w:szCs w:val="24"/>
                <w:highlight w:val="none"/>
              </w:rPr>
              <w:t xml:space="preserve">支持数据迁移，可实现文件（本地文件、NFS协议、CIFS协议）、对象存储（S3协议、阿里云OSS）之间相互的在线或离线迁移</w:t>
            </w:r>
            <w:r>
              <w:rPr>
                <w:highlight w:val="none"/>
              </w:rPr>
            </w:r>
            <w:r/>
          </w:p>
        </w:tc>
      </w:tr>
      <w:tr>
        <w:trPr>
          <w:trHeight w:val="465"/>
        </w:trPr>
        <w:tc>
          <w:tcPr>
            <w:tcW w:w="791" w:type="dxa"/>
            <w:vAlign w:val="center"/>
            <w:textDirection w:val="lrTb"/>
            <w:noWrap w:val="false"/>
          </w:tcPr>
          <w:p>
            <w:pPr>
              <w:jc w:val="center"/>
              <w:rPr>
                <w:rFonts w:ascii="Times New Roman" w:hAnsi="Times New Roman"/>
                <w:color w:val="000000"/>
                <w:szCs w:val="21"/>
                <w:highlight w:val="none"/>
              </w:rPr>
            </w:pPr>
            <w:r>
              <w:rPr>
                <w:rFonts w:hint="eastAsia" w:ascii="宋体" w:hAnsi="宋体" w:cs="宋体"/>
                <w:color w:val="000000"/>
                <w:szCs w:val="21"/>
                <w:highlight w:val="none"/>
              </w:rPr>
              <w:t xml:space="preserve">软件及服务</w:t>
            </w:r>
            <w:r>
              <w:rPr>
                <w:highlight w:val="none"/>
              </w:rPr>
            </w:r>
            <w:r/>
          </w:p>
        </w:tc>
        <w:tc>
          <w:tcPr>
            <w:tcW w:w="4208" w:type="dxa"/>
            <w:vAlign w:val="center"/>
            <w:textDirection w:val="lrTb"/>
            <w:noWrap w:val="false"/>
          </w:tcPr>
          <w:p>
            <w:pPr>
              <w:rPr>
                <w:rFonts w:ascii="Times New Roman" w:hAnsi="Times New Roman"/>
                <w:color w:val="000000"/>
                <w:szCs w:val="21"/>
                <w:highlight w:val="none"/>
              </w:rPr>
            </w:pPr>
            <w:r>
              <w:rPr>
                <w:rFonts w:hint="eastAsia" w:ascii="宋体" w:hAnsi="宋体" w:cs="宋体"/>
                <w:b/>
                <w:bCs/>
                <w:i/>
                <w:iCs/>
                <w:color w:val="000000"/>
                <w:szCs w:val="21"/>
                <w:highlight w:val="none"/>
                <w:u w:val="single"/>
              </w:rPr>
              <w:t xml:space="preserve">本次配置≥5套服务器虚拟化基础授权软件，每套≥2颗CPU授权（含云平台管理软件、服务器虚拟化、网络虚拟化、安全虚拟化）；提供五年原厂保修以及升级技术服务，提供原厂工程师上门安装和五年的技术支持服务，中标后合同签订前须提供原厂五年免费质保函原件证明</w:t>
            </w:r>
            <w:r>
              <w:rPr>
                <w:highlight w:val="none"/>
              </w:rPr>
            </w:r>
            <w:r/>
          </w:p>
        </w:tc>
      </w:tr>
    </w:tbl>
    <w:p>
      <w:pPr>
        <w:rPr>
          <w:color w:val="000000"/>
          <w:highlight w:val="none"/>
        </w:rPr>
      </w:pPr>
      <w:r>
        <w:rPr>
          <w:color w:val="000000"/>
          <w:highlight w:val="none"/>
        </w:rPr>
      </w:r>
      <w:r>
        <w:rPr>
          <w:highlight w:val="none"/>
        </w:rPr>
      </w:r>
      <w:r/>
    </w:p>
    <w:p>
      <w:pPr>
        <w:pStyle w:val="743"/>
        <w:ind w:left="200"/>
        <w:rPr>
          <w:rFonts w:ascii="宋体" w:hAnsi="宋体" w:eastAsia="宋体" w:cs="宋体"/>
          <w:color w:val="000000"/>
          <w:highlight w:val="none"/>
        </w:rPr>
      </w:pPr>
      <w:r>
        <w:rPr>
          <w:rFonts w:hint="eastAsia" w:ascii="宋体" w:hAnsi="宋体" w:cs="宋体"/>
          <w:color w:val="000000"/>
          <w:highlight w:val="none"/>
        </w:rPr>
        <w:t xml:space="preserve">4）存储系统1（数量：2套）</w:t>
      </w:r>
      <w:r>
        <w:rPr>
          <w:highlight w:val="none"/>
        </w:rPr>
      </w:r>
      <w:r/>
    </w:p>
    <w:tbl>
      <w:tblPr>
        <w:tblStyle w:val="739"/>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6975"/>
      </w:tblGrid>
      <w:tr>
        <w:trPr>
          <w:trHeight w:val="343"/>
        </w:trPr>
        <w:tc>
          <w:tcPr>
            <w:tcW w:w="131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指标项</w:t>
            </w:r>
            <w:r>
              <w:rPr>
                <w:highlight w:val="none"/>
              </w:rPr>
            </w:r>
            <w:r/>
          </w:p>
        </w:tc>
        <w:tc>
          <w:tcPr>
            <w:tcW w:w="6975"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配置要求</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Times New Roman" w:hAnsi="Times New Roman"/>
                <w:color w:val="000000"/>
                <w:szCs w:val="21"/>
                <w:highlight w:val="none"/>
              </w:rPr>
              <w:t xml:space="preserve">主要指标</w:t>
            </w:r>
            <w:r>
              <w:rPr>
                <w:highlight w:val="none"/>
              </w:rPr>
            </w:r>
            <w:r/>
          </w:p>
        </w:tc>
        <w:tc>
          <w:tcPr>
            <w:tcW w:w="6975" w:type="dxa"/>
            <w:vAlign w:val="center"/>
            <w:textDirection w:val="lrTb"/>
            <w:noWrap w:val="false"/>
          </w:tcPr>
          <w:p>
            <w:pPr>
              <w:pStyle w:val="743"/>
              <w:rPr>
                <w:color w:val="000000"/>
                <w:highlight w:val="none"/>
              </w:rPr>
            </w:pPr>
            <w:r>
              <w:rPr>
                <w:rFonts w:hint="eastAsia" w:ascii="宋体" w:hAnsi="宋体" w:eastAsia="宋体" w:cs="宋体"/>
                <w:b/>
                <w:bCs/>
                <w:i/>
                <w:iCs/>
                <w:color w:val="000000"/>
                <w:sz w:val="21"/>
                <w:szCs w:val="21"/>
                <w:highlight w:val="none"/>
                <w:u w:val="single"/>
              </w:rPr>
              <w:t xml:space="preserve">多控制器架构，配置≥2个SAN控制器，最大可扩展≥24个控制器；采用x86架构CPU；配置1Gb iSCSI主机接口≥6个；10Gb iSCSI主机接口≥8个（含4个光模块）；16Gb FC主机接口≥8个（含光</w:t>
            </w:r>
            <w:r>
              <w:rPr>
                <w:rFonts w:hint="eastAsia" w:ascii="宋体" w:hAnsi="宋体" w:eastAsia="宋体" w:cs="宋体"/>
                <w:b/>
                <w:bCs/>
                <w:i/>
                <w:iCs/>
                <w:color w:val="000000"/>
                <w:sz w:val="21"/>
                <w:szCs w:val="21"/>
                <w:highlight w:val="none"/>
                <w:u w:val="single"/>
              </w:rPr>
              <w:t xml:space="preserve">模块）;配置缓存≥256GB,缓存不包括SSD磁盘、闪存、NAS机头的内存等； 配置缓存电池保护模组；配置≥15块10TB 7200rpm NL-SAS硬盘；≥9块1.92TB SAS SSD硬盘；配置无网关双活功能，不需要增加阵列之外的任何硬件，不需要在主机上安装任何软件，实现存储双活功能；配置自动精简配置；配置基于时间点的数据快照功能；配置QoS功能;配置中文图形化管理平台，具备系统监控、告警功能；五年原厂保修，提供原厂工程师上门安装和五年的技术支持服务；中标后合同签订前须提供原厂五年免费质保函原件证明</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硬盘扩展</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双控支持最大硬盘数≥1600块（提供官网截图）</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整盘故障容忍</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单RAID硬盘组任意3块硬盘发生整盘永久性故障，数据不丢失，业务不中断</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来电自启动</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存储系统支持正常关机拔掉电源线后，再次上电后，设备自行开启，不需要人工干预启动，待启动完成后，可以成功登录设备管理界面</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在线升级</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支持控制器在线升级，升级过程中前端业务运行正常，单LUN无IO跌零；</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磁盘漫游</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olor w:val="000000"/>
                <w:szCs w:val="24"/>
                <w:highlight w:val="none"/>
                <w:lang w:val="zh-CN"/>
              </w:rPr>
              <w:t xml:space="preserve">★</w:t>
            </w:r>
            <w:r>
              <w:rPr>
                <w:rFonts w:hint="eastAsia" w:ascii="宋体" w:hAnsi="宋体" w:cs="宋体"/>
                <w:color w:val="000000"/>
                <w:szCs w:val="21"/>
                <w:highlight w:val="none"/>
              </w:rPr>
              <w:t xml:space="preserve">存储系统支持磁盘漫游技术，即阵列配置信息不锁定磁盘位置，以此来解决阵列断电后磁盘位置移动、扩展柜地址编号改动、扩展柜与主柜加电顺序不正确等问题。</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提供第三方权威机构检测盖章的报告证明材料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rPr>
            </w:pPr>
            <w:r>
              <w:rPr>
                <w:rFonts w:hint="eastAsia" w:ascii="宋体" w:hAnsi="宋体" w:cs="宋体"/>
                <w:color w:val="000000"/>
                <w:szCs w:val="21"/>
                <w:highlight w:val="none"/>
              </w:rPr>
              <w:t xml:space="preserve">在线扩容双活</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rPr>
            </w:pPr>
            <w:r>
              <w:rPr>
                <w:rFonts w:hint="eastAsia" w:ascii="宋体" w:hAnsi="宋体" w:cs="宋体"/>
                <w:color w:val="000000"/>
                <w:szCs w:val="21"/>
                <w:highlight w:val="none"/>
              </w:rPr>
              <w:t xml:space="preserve">支持单节点存储在线扩容双活，实现业务不中断的双活灾备功能</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提供第三方权威机构检测盖章的报告证明材料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Times New Roman" w:hAnsi="Times New Roman"/>
                <w:color w:val="000000"/>
                <w:sz w:val="22"/>
                <w:highlight w:val="none"/>
              </w:rPr>
              <w:t xml:space="preserve">级联快照</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shd w:val="clear" w:color="auto" w:fill="ffffff"/>
              </w:rPr>
              <w:t xml:space="preserve">支持在快照基础上再次创建快照，并支持跨级回滚，以保障快照数据安全</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提供第三方权威机构检测盖章的报告证明材料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shd w:val="clear" w:color="auto" w:fill="ffffff"/>
              </w:rPr>
              <w:t xml:space="preserve">巡检软件</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shd w:val="clear" w:color="auto" w:fill="ffffff"/>
              </w:rPr>
              <w:t xml:space="preserve">配置巡检机器人，设置巡检策略，自动执行在网存储设备巡检，生成巡检结果，按需将巡检结果自动发送给指定接收人</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硬盘管理</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集中硬盘管理中心；配置对硬盘的上电时间设置告警阈值以及告警事件开关（</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color w:val="000000"/>
                <w:szCs w:val="21"/>
                <w:highlight w:val="none"/>
              </w:rPr>
              <w:t xml:space="preserve">设备管理</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olor w:val="000000"/>
                <w:szCs w:val="24"/>
                <w:highlight w:val="none"/>
                <w:lang w:val="zh-CN"/>
              </w:rPr>
              <w:t xml:space="preserve">★</w:t>
            </w:r>
            <w:r>
              <w:rPr>
                <w:rFonts w:hint="eastAsia" w:ascii="宋体" w:hAnsi="宋体" w:cs="宋体"/>
                <w:color w:val="000000"/>
                <w:szCs w:val="21"/>
                <w:highlight w:val="none"/>
              </w:rPr>
              <w:t xml:space="preserve">投标产品能够实现存储系统的集中化部署、管理、监控和维护，支持SMI-S接口标准,获得SMI-S V1.8.0版本的认证（提供官网链接及官网截图）</w:t>
            </w:r>
            <w:r>
              <w:rPr>
                <w:highlight w:val="none"/>
              </w:rPr>
            </w:r>
            <w:r/>
          </w:p>
        </w:tc>
      </w:tr>
    </w:tbl>
    <w:p>
      <w:pPr>
        <w:ind w:left="200"/>
        <w:rPr>
          <w:rFonts w:ascii="宋体" w:hAnsi="宋体" w:cs="宋体"/>
          <w:color w:val="000000"/>
          <w:highlight w:val="none"/>
        </w:rPr>
      </w:pPr>
      <w:r>
        <w:rPr>
          <w:rFonts w:ascii="宋体" w:hAnsi="宋体" w:cs="宋体"/>
          <w:color w:val="000000"/>
          <w:highlight w:val="none"/>
        </w:rPr>
      </w:r>
      <w:r>
        <w:rPr>
          <w:highlight w:val="none"/>
        </w:rPr>
      </w:r>
      <w:r/>
    </w:p>
    <w:p>
      <w:pPr>
        <w:pStyle w:val="743"/>
        <w:ind w:left="200"/>
        <w:rPr>
          <w:rFonts w:ascii="宋体" w:hAnsi="宋体" w:cs="宋体"/>
          <w:color w:val="000000"/>
          <w:highlight w:val="none"/>
        </w:rPr>
      </w:pPr>
      <w:r>
        <w:rPr>
          <w:rFonts w:hint="eastAsia" w:ascii="宋体" w:hAnsi="宋体" w:cs="宋体"/>
          <w:color w:val="000000"/>
          <w:highlight w:val="none"/>
        </w:rPr>
        <w:t xml:space="preserve">5）存储系统2（数量：2套）</w:t>
      </w:r>
      <w:r>
        <w:rPr>
          <w:highlight w:val="none"/>
        </w:rPr>
      </w:r>
      <w:r/>
    </w:p>
    <w:tbl>
      <w:tblPr>
        <w:tblStyle w:val="739"/>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6975"/>
      </w:tblGrid>
      <w:tr>
        <w:trPr>
          <w:trHeight w:val="343"/>
        </w:trPr>
        <w:tc>
          <w:tcPr>
            <w:tcW w:w="131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指标项</w:t>
            </w:r>
            <w:r>
              <w:rPr>
                <w:highlight w:val="none"/>
              </w:rPr>
            </w:r>
            <w:r/>
          </w:p>
        </w:tc>
        <w:tc>
          <w:tcPr>
            <w:tcW w:w="6975"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配置要求</w:t>
            </w:r>
            <w:r>
              <w:rPr>
                <w:highlight w:val="none"/>
              </w:rPr>
            </w:r>
            <w:r/>
          </w:p>
        </w:tc>
      </w:tr>
      <w:tr>
        <w:trPr>
          <w:trHeight w:val="259"/>
        </w:trPr>
        <w:tc>
          <w:tcPr>
            <w:tcW w:w="1311" w:type="dxa"/>
            <w:vAlign w:val="center"/>
            <w:textDirection w:val="lrTb"/>
            <w:noWrap w:val="false"/>
          </w:tcPr>
          <w:p>
            <w:pPr>
              <w:spacing w:before="60" w:after="60"/>
              <w:rPr>
                <w:rFonts w:ascii="Times New Roman" w:hAnsi="Times New Roman"/>
                <w:color w:val="000000"/>
                <w:szCs w:val="21"/>
                <w:highlight w:val="none"/>
              </w:rPr>
            </w:pPr>
            <w:r>
              <w:rPr>
                <w:rFonts w:hint="eastAsia" w:ascii="Times New Roman" w:hAnsi="Times New Roman"/>
                <w:color w:val="000000"/>
                <w:szCs w:val="21"/>
                <w:highlight w:val="none"/>
              </w:rPr>
              <w:t xml:space="preserve">主要指标</w:t>
            </w:r>
            <w:r>
              <w:rPr>
                <w:highlight w:val="none"/>
              </w:rPr>
            </w:r>
            <w:r/>
          </w:p>
        </w:tc>
        <w:tc>
          <w:tcPr>
            <w:tcW w:w="6975" w:type="dxa"/>
            <w:vAlign w:val="center"/>
            <w:textDirection w:val="lrTb"/>
            <w:noWrap w:val="false"/>
          </w:tcPr>
          <w:p>
            <w:pPr>
              <w:spacing w:before="60" w:after="60"/>
              <w:rPr>
                <w:rFonts w:ascii="Times New Roman" w:hAnsi="Times New Roman"/>
                <w:color w:val="000000"/>
                <w:szCs w:val="21"/>
                <w:highlight w:val="none"/>
              </w:rPr>
            </w:pPr>
            <w:r>
              <w:rPr>
                <w:rFonts w:hint="eastAsia" w:ascii="宋体" w:hAnsi="宋体" w:cs="宋体"/>
                <w:b/>
                <w:bCs/>
                <w:i/>
                <w:iCs/>
                <w:color w:val="000000"/>
                <w:szCs w:val="21"/>
                <w:highlight w:val="none"/>
                <w:u w:val="single"/>
              </w:rPr>
              <w:t xml:space="preserve">多控制器架构，配置≥2个SAN控制器，最大可扩展≥16个控制器；采用x86架构CPU；配置1Gb iSCSI主机接口≥4个；10Gb iSCSI主机接口≥4个（含4</w:t>
            </w:r>
            <w:r>
              <w:rPr>
                <w:rFonts w:hint="eastAsia" w:ascii="宋体" w:hAnsi="宋体" w:cs="宋体"/>
                <w:b/>
                <w:bCs/>
                <w:i/>
                <w:iCs/>
                <w:color w:val="000000"/>
                <w:szCs w:val="21"/>
                <w:highlight w:val="none"/>
                <w:u w:val="single"/>
              </w:rPr>
              <w:t xml:space="preserve">个光模块）；16Gb FC主机接口≥8个（含光模块）;配置缓存≥128GB,缓存不包括SSD磁盘、闪存、NAS机头的内存等； 配置缓存电池保护模组；配置≥12块2.4TB 10Krpm SAS硬盘；配置无网关双活功能，不需要增加阵列之外的任何硬件，不需要在主机上安装任何软件，实现存储双活功能；配置自动精简配置；配置基于时间点的数据快照功能；配置QoS功能；配置中文图形化管理平台，具备系统监控、告警功能；五年原厂保修，提供原厂工程师上门安装和五年的技术支持服务；中标后合同签订前须提供原厂五年免费质保函原件证明</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硬盘扩展</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双控支持最大硬盘数≥1200块（提供官网截图）</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整盘故障容忍</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单RAID硬盘组任意3块硬盘发生整盘永久性故障，数据不丢失，业务不中断</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来电自启动</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存储系统支持正常关机拔掉电源线后，再次上电后，设备自行开启，不需要人工干预启动，待启动完成后，可以成功登录设备管理界面</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在线升级</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支持控制器在线升级，升级过程中前端业务运行正常，单LUN无IO跌零</w:t>
            </w:r>
            <w:r>
              <w:rPr>
                <w:rFonts w:hint="eastAsia" w:ascii="宋体" w:hAnsi="宋体" w:cs="宋体"/>
                <w:color w:val="000000"/>
                <w:szCs w:val="21"/>
                <w:highlight w:val="none"/>
              </w:rPr>
              <w:t xml:space="preserve">（</w:t>
            </w:r>
            <w:r>
              <w:rPr>
                <w:rFonts w:hint="eastAsia" w:ascii="宋体" w:hAnsi="宋体"/>
                <w:color w:val="000000"/>
                <w:szCs w:val="24"/>
                <w:highlight w:val="none"/>
              </w:rPr>
              <w:t xml:space="preserve">提供</w:t>
            </w:r>
            <w:r>
              <w:rPr>
                <w:rFonts w:hint="eastAsia" w:ascii="宋体" w:hAnsi="宋体"/>
                <w:color w:val="000000"/>
                <w:szCs w:val="24"/>
                <w:highlight w:val="none"/>
                <w:lang w:eastAsia="zh-CN"/>
              </w:rPr>
              <w:t xml:space="preserve">相关</w:t>
            </w:r>
            <w:r>
              <w:rPr>
                <w:rFonts w:hint="eastAsia" w:ascii="宋体" w:hAnsi="宋体"/>
                <w:color w:val="000000"/>
                <w:szCs w:val="24"/>
                <w:highlight w:val="none"/>
              </w:rPr>
              <w:t xml:space="preserve">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磁盘漫游</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olor w:val="000000"/>
                <w:szCs w:val="24"/>
                <w:highlight w:val="none"/>
                <w:lang w:val="zh-CN"/>
              </w:rPr>
              <w:t xml:space="preserve">★</w:t>
            </w:r>
            <w:r>
              <w:rPr>
                <w:rFonts w:hint="eastAsia" w:ascii="宋体" w:hAnsi="宋体" w:cs="宋体"/>
                <w:color w:val="000000"/>
                <w:szCs w:val="21"/>
                <w:highlight w:val="none"/>
              </w:rPr>
              <w:t xml:space="preserve">存储系统支持磁盘漫游技术，即阵列配置信息不锁定磁盘位置，以此来解决阵列断电后磁盘位置移动、扩展柜地址编号改动、扩展柜与主柜加电顺序不正确等问题。</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提供第三方权威机构检测盖章的报告证明材料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在线扩容双活</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支持单节点存储在线扩容双活，实现业务不中断的双活灾备功能</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提供第三方权威机构检测盖章的报告证明材料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Times New Roman" w:hAnsi="Times New Roman"/>
                <w:color w:val="000000"/>
                <w:sz w:val="22"/>
                <w:highlight w:val="none"/>
              </w:rPr>
              <w:t xml:space="preserve">级联快照</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支持在快照基础上再次创建快照，并支持跨级回滚，以保障快照数据安全</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提供第三方权威机构检测盖章的报告证明材料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巡检软件</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配置巡检机器人，设置巡检策略，自动执行在网存储设备巡检，生成巡检结果，按需将巡检结果自动发送给指定接收人</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w:t>
            </w:r>
            <w:r>
              <w:rPr>
                <w:rFonts w:hint="eastAsia" w:ascii="宋体" w:hAnsi="宋体" w:cs="Times New Roman"/>
                <w:szCs w:val="24"/>
                <w:highlight w:val="none"/>
                <w:lang w:val="en-US" w:eastAsia="zh-CN"/>
              </w:rPr>
              <w:t xml:space="preserve">相关证明材料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硬盘管理</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集中硬盘管理中心；配置对硬盘的上电时间设置告警阈值以及告警事件开关</w:t>
            </w:r>
            <w:r>
              <w:rPr>
                <w:rFonts w:hint="eastAsia" w:ascii="宋体" w:hAnsi="宋体" w:cs="宋体"/>
                <w:color w:val="000000"/>
                <w:szCs w:val="21"/>
                <w:highlight w:val="none"/>
              </w:rPr>
              <w:t xml:space="preserve">（</w:t>
            </w:r>
            <w:r>
              <w:rPr>
                <w:rFonts w:hint="eastAsia" w:ascii="宋体" w:hAnsi="宋体" w:cs="Times New Roman"/>
                <w:szCs w:val="24"/>
                <w:highlight w:val="none"/>
                <w:lang w:eastAsia="zh-CN"/>
              </w:rPr>
              <w:t xml:space="preserve">提供</w:t>
            </w:r>
            <w:r>
              <w:rPr>
                <w:rFonts w:hint="eastAsia" w:ascii="宋体" w:hAnsi="宋体" w:cs="Times New Roman"/>
                <w:szCs w:val="24"/>
                <w:highlight w:val="none"/>
                <w:lang w:val="en-US" w:eastAsia="zh-CN"/>
              </w:rPr>
              <w:t xml:space="preserve">相关证明材料</w:t>
            </w:r>
            <w:r>
              <w:rPr>
                <w:rFonts w:hint="eastAsia" w:ascii="宋体" w:hAnsi="宋体" w:cs="宋体"/>
                <w:color w:val="000000"/>
                <w:szCs w:val="21"/>
                <w:highlight w:val="none"/>
              </w:rPr>
              <w:t xml:space="preserve">）</w:t>
            </w:r>
            <w:r>
              <w:rPr>
                <w:highlight w:val="none"/>
              </w:rPr>
            </w:r>
            <w:r/>
          </w:p>
        </w:tc>
      </w:tr>
      <w:tr>
        <w:trPr>
          <w:trHeight w:val="259"/>
        </w:trPr>
        <w:tc>
          <w:tcPr>
            <w:tcW w:w="1311"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设备管理</w:t>
            </w:r>
            <w:r>
              <w:rPr>
                <w:highlight w:val="none"/>
              </w:rPr>
            </w:r>
            <w:r/>
          </w:p>
        </w:tc>
        <w:tc>
          <w:tcPr>
            <w:tcW w:w="6975" w:type="dxa"/>
            <w:vAlign w:val="center"/>
            <w:textDirection w:val="lrTb"/>
            <w:noWrap w:val="false"/>
          </w:tcPr>
          <w:p>
            <w:pPr>
              <w:spacing w:before="60" w:after="60"/>
              <w:rPr>
                <w:rFonts w:ascii="宋体" w:hAnsi="宋体" w:cs="宋体"/>
                <w:color w:val="000000"/>
                <w:szCs w:val="21"/>
                <w:highlight w:val="none"/>
                <w:shd w:val="clear" w:color="auto" w:fill="ffffff"/>
              </w:rPr>
            </w:pPr>
            <w:r>
              <w:rPr>
                <w:rFonts w:hint="eastAsia" w:ascii="宋体" w:hAnsi="宋体"/>
                <w:color w:val="000000"/>
                <w:szCs w:val="24"/>
                <w:highlight w:val="none"/>
                <w:lang w:val="zh-CN"/>
              </w:rPr>
              <w:t xml:space="preserve">★</w:t>
            </w:r>
            <w:r>
              <w:rPr>
                <w:rFonts w:hint="eastAsia" w:ascii="宋体" w:hAnsi="宋体" w:cs="宋体"/>
                <w:color w:val="000000"/>
                <w:szCs w:val="21"/>
                <w:highlight w:val="none"/>
              </w:rPr>
              <w:t xml:space="preserve">投标产品能够实现存储系统的集中化部署、管理、监控和维护，支持SMI-S接口标准,获得SMI-S V1.8.0版本的认证（提供官网链接及官网截图）</w:t>
            </w:r>
            <w:r>
              <w:rPr>
                <w:highlight w:val="none"/>
              </w:rPr>
            </w:r>
            <w:r/>
          </w:p>
        </w:tc>
      </w:tr>
    </w:tbl>
    <w:p>
      <w:pPr>
        <w:pStyle w:val="761"/>
        <w:ind w:left="200" w:firstLine="0"/>
        <w:rPr>
          <w:color w:val="000000"/>
          <w:highlight w:val="none"/>
        </w:rPr>
      </w:pPr>
      <w:r>
        <w:rPr>
          <w:color w:val="000000"/>
          <w:highlight w:val="none"/>
        </w:rPr>
      </w:r>
      <w:r>
        <w:rPr>
          <w:highlight w:val="none"/>
        </w:rPr>
      </w:r>
      <w:r/>
    </w:p>
    <w:p>
      <w:pPr>
        <w:pStyle w:val="743"/>
        <w:ind w:left="240"/>
        <w:rPr>
          <w:rFonts w:hint="eastAsia" w:ascii="宋体" w:hAnsi="宋体" w:eastAsia="楷体_GB2312" w:cs="宋体"/>
          <w:color w:val="000000"/>
          <w:highlight w:val="none"/>
        </w:rPr>
      </w:pPr>
      <w:r>
        <w:rPr>
          <w:rFonts w:hint="eastAsia" w:ascii="宋体" w:hAnsi="宋体" w:cs="宋体"/>
          <w:color w:val="000000"/>
          <w:highlight w:val="none"/>
        </w:rPr>
        <w:t xml:space="preserve">6）备份一体机（数量：1套）</w:t>
      </w:r>
      <w:r>
        <w:rPr>
          <w:rFonts w:hint="eastAsia" w:ascii="宋体" w:hAnsi="宋体" w:cs="宋体"/>
          <w:color w:val="000000"/>
          <w:highlight w:val="none"/>
          <w:lang w:val="en-US" w:eastAsia="zh-CN"/>
        </w:rPr>
        <w:t xml:space="preserve">启明</w:t>
      </w:r>
      <w:r>
        <w:rPr>
          <w:highlight w:val="none"/>
        </w:rPr>
      </w:r>
      <w:r/>
    </w:p>
    <w:tbl>
      <w:tblPr>
        <w:tblStyle w:val="739"/>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6975"/>
      </w:tblGrid>
      <w:tr>
        <w:trPr>
          <w:trHeight w:val="343"/>
        </w:trPr>
        <w:tc>
          <w:tcPr>
            <w:tcW w:w="791"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指标项</w:t>
            </w:r>
            <w:r>
              <w:rPr>
                <w:highlight w:val="none"/>
              </w:rPr>
            </w:r>
            <w:r/>
          </w:p>
        </w:tc>
        <w:tc>
          <w:tcPr>
            <w:tcW w:w="4208" w:type="dxa"/>
            <w:vAlign w:val="center"/>
            <w:textDirection w:val="lrTb"/>
            <w:noWrap w:val="false"/>
          </w:tcPr>
          <w:p>
            <w:pPr>
              <w:jc w:val="center"/>
              <w:rPr>
                <w:rFonts w:ascii="Times New Roman" w:hAnsi="Times New Roman"/>
                <w:color w:val="000000"/>
                <w:szCs w:val="21"/>
                <w:highlight w:val="none"/>
              </w:rPr>
            </w:pPr>
            <w:r>
              <w:rPr>
                <w:rFonts w:ascii="Times New Roman" w:hAnsi="Times New Roman"/>
                <w:color w:val="000000"/>
                <w:szCs w:val="21"/>
                <w:highlight w:val="none"/>
              </w:rPr>
              <w:t xml:space="preserve">配置要求</w:t>
            </w:r>
            <w:r>
              <w:rPr>
                <w:highlight w:val="none"/>
              </w:rPr>
            </w:r>
            <w:r/>
          </w:p>
        </w:tc>
      </w:tr>
      <w:tr>
        <w:trPr>
          <w:trHeight w:val="259"/>
        </w:trPr>
        <w:tc>
          <w:tcPr>
            <w:tcW w:w="791"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硬件要求</w:t>
            </w:r>
            <w:r>
              <w:rPr>
                <w:highlight w:val="none"/>
              </w:rPr>
            </w:r>
            <w:r/>
          </w:p>
        </w:tc>
        <w:tc>
          <w:tcPr>
            <w:tcW w:w="4208" w:type="dxa"/>
            <w:textDirection w:val="lrTb"/>
            <w:noWrap w:val="false"/>
          </w:tcPr>
          <w:p>
            <w:pPr>
              <w:spacing w:line="460" w:lineRule="exact"/>
              <w:rPr>
                <w:rFonts w:ascii="Times New Roman" w:hAnsi="Times New Roman"/>
                <w:color w:val="000000"/>
                <w:szCs w:val="21"/>
                <w:highlight w:val="none"/>
              </w:rPr>
            </w:pPr>
            <w:r>
              <w:rPr>
                <w:rFonts w:hint="eastAsia" w:ascii="宋体" w:hAnsi="宋体" w:cs="宋体"/>
                <w:b/>
                <w:bCs/>
                <w:i/>
                <w:iCs/>
                <w:color w:val="000000"/>
                <w:szCs w:val="21"/>
                <w:highlight w:val="none"/>
                <w:u w:val="single"/>
              </w:rPr>
              <w:t xml:space="preserve">标准机架式2U硬件设备：配置≥1颗处理器，单颗CPU≥12C, ≥2.1GHz)；配置≥32GB 内存；配置≥2块480GB SSD硬盘,RAID1模式；配置≥12块热插拔8TB 7.2K 12Gb SATA盘，JBOD模式；配置≥4个千兆口，2个万兆光口（含模块）；配置RAID卡，支持Raid0、1、5模式等；配置冗余电源风扇；五年原厂保修，提供原厂工程师上门安装和五年的技术支持服务；中标后合同签订前须提供原厂五年免费质保函原件证明</w:t>
            </w:r>
            <w:r>
              <w:rPr>
                <w:highlight w:val="none"/>
              </w:rPr>
            </w:r>
            <w:r/>
          </w:p>
        </w:tc>
      </w:tr>
      <w:tr>
        <w:trPr>
          <w:trHeight w:val="600"/>
        </w:trPr>
        <w:tc>
          <w:tcPr>
            <w:tcW w:w="791" w:type="dxa"/>
            <w:vAlign w:val="center"/>
            <w:vMerge w:val="restart"/>
            <w:textDirection w:val="lrTb"/>
            <w:noWrap w:val="false"/>
          </w:tcPr>
          <w:p>
            <w:pPr>
              <w:jc w:val="center"/>
              <w:rPr>
                <w:rFonts w:ascii="Times New Roman" w:hAnsi="Times New Roman"/>
                <w:color w:val="000000"/>
                <w:szCs w:val="21"/>
                <w:highlight w:val="none"/>
              </w:rPr>
            </w:pPr>
            <w:r>
              <w:rPr>
                <w:rFonts w:hint="eastAsia"/>
                <w:color w:val="000000"/>
                <w:szCs w:val="21"/>
                <w:highlight w:val="none"/>
              </w:rPr>
              <w:t xml:space="preserve">软件要求</w:t>
            </w:r>
            <w:r>
              <w:rPr>
                <w:highlight w:val="none"/>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b/>
                <w:bCs/>
                <w:i/>
                <w:iCs/>
                <w:color w:val="000000"/>
                <w:szCs w:val="21"/>
                <w:highlight w:val="none"/>
                <w:u w:val="single"/>
              </w:rPr>
              <w:t xml:space="preserve">为保证数据安全性，支持对学校现有云平台的云主机及云盘进行定时的全量及增量备份，提供不限云主机数量的定时备份模块授权许可以及50个云主机数量的持续数据保护CDP授权许可。五年原厂保修，提供原厂工程师上门安装和五年的技术支持服务</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定时备份支持灵活定义备份策略：包含增量及定时全量备份，备份间隔可指定小时、天、周，最小备份间隔可达到15分钟，同时须支持配置保留备份保留天数，以健康利用备份存储空间</w:t>
            </w:r>
            <w:r>
              <w:rPr>
                <w:rFonts w:hint="eastAsia" w:ascii="宋体" w:hAnsi="宋体" w:cs="宋体"/>
                <w:color w:val="000000"/>
                <w:szCs w:val="21"/>
                <w:highlight w:val="none"/>
                <w:shd w:val="clear" w:color="auto" w:fill="ffffff"/>
              </w:rPr>
              <w:t xml:space="preserve">（提供功能截图证明材料）</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定时备份任务支持网络QoS和磁盘QoS，支持备份数据网络，保证备份服务不影响正常业务服务质量</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为保证数据定时备份服务的稳定性，云平台须支持备份服务器的主备部署，在主备份服务器宕机时，备份服务不中断，备份数据不丢失</w:t>
            </w:r>
            <w:r>
              <w:rPr>
                <w:rFonts w:hint="eastAsia" w:ascii="宋体" w:hAnsi="宋体" w:cs="宋体"/>
                <w:color w:val="000000"/>
                <w:szCs w:val="21"/>
                <w:highlight w:val="none"/>
                <w:shd w:val="clear" w:color="auto" w:fill="ffffff"/>
              </w:rPr>
              <w:t xml:space="preserve">。</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支持无代理持续数据保护CDP技术，不需要在云主机内部安装任何代理软件，即可对云主机进行持续数据保护，CDP不影响保护云主机的性能。</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持续数据保护CDP技术支持策略管理，最小提供RPO为秒级的数据保护，并支持自定义备份点保留策略</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持续数据保护CDP技术支持业务云主机的快速恢复，可以指定策略覆盖原有云主机或者创建新云主机</w:t>
            </w:r>
            <w:r>
              <w:rPr>
                <w:highlight w:val="none"/>
              </w:rPr>
            </w:r>
            <w:r/>
          </w:p>
        </w:tc>
      </w:tr>
      <w:tr>
        <w:trPr>
          <w:trHeight w:val="60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持续数据保护CDP技术支持新建CDP任务时智能规划备份容量</w:t>
            </w:r>
            <w:r>
              <w:rPr>
                <w:highlight w:val="none"/>
              </w:rPr>
            </w:r>
            <w:r/>
          </w:p>
        </w:tc>
      </w:tr>
      <w:tr>
        <w:trPr>
          <w:trHeight w:val="260"/>
        </w:trPr>
        <w:tc>
          <w:tcPr>
            <w:tcW w:w="791" w:type="dxa"/>
            <w:vAlign w:val="center"/>
            <w:vMerge w:val="continue"/>
            <w:textDirection w:val="lrTb"/>
            <w:noWrap w:val="false"/>
          </w:tcPr>
          <w:p>
            <w:pPr>
              <w:jc w:val="center"/>
              <w:rPr>
                <w:color w:val="000000"/>
                <w:szCs w:val="21"/>
              </w:rPr>
            </w:pPr>
            <w:r>
              <w:rPr>
                <w:color w:val="000000"/>
                <w:szCs w:val="21"/>
              </w:rPr>
            </w:r>
            <w:r/>
          </w:p>
        </w:tc>
        <w:tc>
          <w:tcPr>
            <w:tcW w:w="4208" w:type="dxa"/>
            <w:vAlign w:val="center"/>
            <w:textDirection w:val="lrTb"/>
            <w:noWrap w:val="false"/>
          </w:tcPr>
          <w:p>
            <w:pPr>
              <w:spacing w:line="460" w:lineRule="exact"/>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zh-CN"/>
              </w:rPr>
              <w:t xml:space="preserve">★</w:t>
            </w:r>
            <w:r>
              <w:rPr>
                <w:rFonts w:hint="eastAsia" w:ascii="宋体" w:hAnsi="宋体" w:cs="宋体"/>
                <w:color w:val="000000"/>
                <w:szCs w:val="21"/>
                <w:highlight w:val="none"/>
                <w:shd w:val="clear" w:color="auto" w:fill="ffffff"/>
              </w:rPr>
              <w:t xml:space="preserve">支</w:t>
            </w:r>
            <w:r>
              <w:rPr>
                <w:rFonts w:hint="eastAsia" w:ascii="宋体" w:hAnsi="宋体" w:cs="宋体"/>
                <w:color w:val="000000"/>
                <w:szCs w:val="21"/>
                <w:highlight w:val="none"/>
                <w:shd w:val="clear" w:color="auto" w:fill="ffffff"/>
              </w:rPr>
              <w:t xml:space="preserve">持通过CDP备份数据找回文件，至少支持XFS、Ext2、Ext3、Ext4、exFAT、NTFS、FAT32七种磁盘格式的文件找回（提供功能截图证明材料）</w:t>
            </w:r>
            <w:r>
              <w:rPr>
                <w:highlight w:val="none"/>
              </w:rPr>
            </w:r>
            <w:r/>
          </w:p>
        </w:tc>
      </w:tr>
    </w:tbl>
    <w:p>
      <w:pPr>
        <w:ind w:left="240"/>
        <w:rPr>
          <w:rFonts w:ascii="宋体" w:hAnsi="宋体" w:cs="宋体"/>
          <w:color w:val="000000"/>
          <w:szCs w:val="24"/>
          <w:highlight w:val="none"/>
        </w:rPr>
      </w:pPr>
      <w:r>
        <w:rPr>
          <w:rFonts w:ascii="宋体" w:hAnsi="宋体" w:cs="宋体"/>
          <w:color w:val="000000"/>
          <w:szCs w:val="24"/>
          <w:highlight w:val="none"/>
        </w:rPr>
      </w:r>
      <w:r>
        <w:rPr>
          <w:highlight w:val="none"/>
        </w:rPr>
      </w:r>
      <w:r/>
    </w:p>
    <w:p>
      <w:pPr>
        <w:pStyle w:val="743"/>
        <w:rPr>
          <w:rFonts w:hint="eastAsia" w:ascii="宋体" w:hAnsi="宋体" w:eastAsia="楷体_GB2312"/>
          <w:color w:val="000000"/>
          <w:sz w:val="24"/>
          <w:szCs w:val="22"/>
          <w:highlight w:val="none"/>
        </w:rPr>
      </w:pPr>
      <w:r>
        <w:rPr>
          <w:rFonts w:hint="eastAsia" w:ascii="宋体" w:hAnsi="宋体" w:cs="宋体"/>
          <w:color w:val="000000"/>
          <w:szCs w:val="24"/>
          <w:highlight w:val="none"/>
        </w:rPr>
        <w:t xml:space="preserve">  </w:t>
      </w:r>
      <w:r>
        <w:rPr>
          <w:rFonts w:hint="eastAsia" w:ascii="宋体" w:hAnsi="宋体" w:cs="宋体"/>
          <w:color w:val="000000"/>
          <w:highlight w:val="none"/>
        </w:rPr>
        <w:t xml:space="preserve">7）漏洞扫描系统（数量：1套）</w:t>
      </w:r>
      <w:r>
        <w:rPr>
          <w:rFonts w:hint="eastAsia" w:ascii="宋体" w:hAnsi="宋体" w:cs="宋体"/>
          <w:color w:val="000000"/>
          <w:highlight w:val="none"/>
          <w:lang w:val="en-US" w:eastAsia="zh-CN"/>
        </w:rPr>
        <w:t xml:space="preserve">安恒</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6966"/>
      </w:tblGrid>
      <w:tr>
        <w:trPr>
          <w:jc w:val="center"/>
          <w:trHeight w:val="280"/>
        </w:trPr>
        <w:tc>
          <w:tcPr>
            <w:shd w:val="clear" w:color="auto" w:fill="ffffff"/>
            <w:tcW w:w="1298"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指标项</w:t>
            </w:r>
            <w:r>
              <w:rPr>
                <w:highlight w:val="none"/>
              </w:rPr>
            </w:r>
            <w:r/>
          </w:p>
        </w:tc>
        <w:tc>
          <w:tcPr>
            <w:shd w:val="clear" w:color="auto" w:fill="ffffff"/>
            <w:tcW w:w="6966"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配置要求</w:t>
            </w:r>
            <w:r>
              <w:rPr>
                <w:highlight w:val="none"/>
              </w:rPr>
            </w:r>
            <w:r/>
          </w:p>
        </w:tc>
      </w:tr>
      <w:tr>
        <w:trPr>
          <w:jc w:val="center"/>
          <w:trHeight w:val="90"/>
        </w:trPr>
        <w:tc>
          <w:tcPr>
            <w:tcW w:w="1298"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基本要求</w:t>
            </w:r>
            <w:r>
              <w:rPr>
                <w:highlight w:val="none"/>
              </w:rPr>
            </w:r>
            <w:r/>
          </w:p>
        </w:tc>
        <w:tc>
          <w:tcPr>
            <w:tcW w:w="6966" w:type="dxa"/>
            <w:vAlign w:val="center"/>
            <w:textDirection w:val="lrTb"/>
            <w:noWrap w:val="false"/>
          </w:tcPr>
          <w:p>
            <w:pPr>
              <w:jc w:val="left"/>
              <w:widowControl/>
              <w:rPr>
                <w:rFonts w:ascii="宋体" w:hAnsi="宋体"/>
                <w:bCs/>
                <w:color w:val="000000"/>
                <w:sz w:val="20"/>
                <w:szCs w:val="20"/>
                <w:highlight w:val="none"/>
              </w:rPr>
            </w:pPr>
            <w:r>
              <w:rPr>
                <w:rFonts w:hint="eastAsia" w:ascii="宋体" w:hAnsi="宋体" w:cs="宋体"/>
                <w:b/>
                <w:bCs/>
                <w:i/>
                <w:iCs/>
                <w:color w:val="000000"/>
                <w:szCs w:val="21"/>
                <w:highlight w:val="none"/>
                <w:u w:val="single"/>
              </w:rPr>
              <w:t xml:space="preserve">标准机架式1U硬件设备，CPU≥2核4线程，内存≥16GB，硬盘≥2T，单电源； 网络接口：管理口≥1个*RJ45串口、千兆电口≥6个，USB口≥2个；并发主机数≥60 并发任务数≥10个；配置包含主机扫描功能、数据库扫描功能、WEB应用扫描功能，授权可扫描总数量为无限制的IP地址，五年原厂保修，提供原厂工程师上门安装和五年的技术支持服务；中标后合同签订前须提供原厂五年免费质保函原件证明</w:t>
            </w:r>
            <w:r>
              <w:rPr>
                <w:highlight w:val="none"/>
              </w:rPr>
            </w:r>
            <w:r/>
          </w:p>
        </w:tc>
      </w:tr>
      <w:tr>
        <w:trPr>
          <w:jc w:val="center"/>
          <w:trHeight w:val="280"/>
        </w:trPr>
        <w:tc>
          <w:tcPr>
            <w:tcW w:w="1298" w:type="dxa"/>
            <w:vAlign w:val="center"/>
            <w:vMerge w:val="restart"/>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系统漏扫功能要求</w:t>
            </w:r>
            <w:r>
              <w:rPr>
                <w:highlight w:val="none"/>
              </w:rPr>
            </w:r>
            <w:r/>
          </w:p>
        </w:tc>
        <w:tc>
          <w:tcPr>
            <w:tcW w:w="6966" w:type="dxa"/>
            <w:vAlign w:val="center"/>
            <w:textDirection w:val="lrTb"/>
            <w:noWrap w:val="false"/>
          </w:tcPr>
          <w:p>
            <w:pPr>
              <w:jc w:val="left"/>
              <w:widowControl/>
              <w:rPr>
                <w:rFonts w:ascii="宋体" w:hAnsi="宋体"/>
                <w:color w:val="000000"/>
                <w:sz w:val="20"/>
                <w:szCs w:val="20"/>
                <w:highlight w:val="none"/>
              </w:rPr>
            </w:pPr>
            <w:r>
              <w:rPr>
                <w:rStyle w:val="1027"/>
                <w:rFonts w:hint="eastAsia" w:ascii="宋体" w:hAnsi="宋体" w:cs="宋体"/>
                <w:color w:val="000000"/>
                <w:sz w:val="20"/>
                <w:szCs w:val="20"/>
                <w:highlight w:val="none"/>
                <w:u w:val="none"/>
              </w:rPr>
              <w:t xml:space="preserve">厂商漏洞特征库大于2</w:t>
            </w:r>
            <w:r>
              <w:rPr>
                <w:rStyle w:val="1027"/>
                <w:rFonts w:ascii="宋体" w:hAnsi="宋体" w:cs="宋体"/>
                <w:color w:val="000000"/>
                <w:sz w:val="20"/>
                <w:szCs w:val="20"/>
                <w:highlight w:val="none"/>
                <w:u w:val="none"/>
              </w:rPr>
              <w:t xml:space="preserve">6</w:t>
            </w:r>
            <w:r>
              <w:rPr>
                <w:rStyle w:val="1027"/>
                <w:rFonts w:hint="eastAsia" w:ascii="宋体" w:hAnsi="宋体" w:cs="宋体"/>
                <w:color w:val="000000"/>
                <w:sz w:val="20"/>
                <w:szCs w:val="20"/>
                <w:highlight w:val="none"/>
                <w:u w:val="none"/>
              </w:rPr>
              <w:t xml:space="preserve">0000条；提供详细的漏洞描述和对应的解决方案描述，漏洞知识库与CVE、CNNVD、Bugtraq、CNCVE、CNVD等国际、国内漏洞库标准兼容；支持对各种网络主机、操作系统、网络设备（如交换机、路由器、防火墙等）、常用软件以及应用系统的识别和漏洞扫描</w:t>
            </w:r>
            <w:r>
              <w:rPr>
                <w:highlight w:val="none"/>
              </w:rPr>
            </w:r>
            <w:r/>
          </w:p>
        </w:tc>
      </w:tr>
      <w:tr>
        <w:trPr>
          <w:jc w:val="center"/>
          <w:trHeight w:val="280"/>
        </w:trPr>
        <w:tc>
          <w:tcPr>
            <w:tcW w:w="1298"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W w:w="6966" w:type="dxa"/>
            <w:vAlign w:val="center"/>
            <w:textDirection w:val="lrTb"/>
            <w:noWrap w:val="false"/>
          </w:tcPr>
          <w:p>
            <w:pPr>
              <w:jc w:val="left"/>
              <w:widowControl/>
              <w:rPr>
                <w:rFonts w:ascii="宋体" w:hAnsi="宋体"/>
                <w:color w:val="000000"/>
                <w:sz w:val="20"/>
                <w:szCs w:val="20"/>
                <w:highlight w:val="none"/>
              </w:rPr>
            </w:pPr>
            <w:r>
              <w:rPr>
                <w:rStyle w:val="1027"/>
                <w:rFonts w:hint="eastAsia" w:ascii="宋体" w:hAnsi="宋体" w:cs="宋体"/>
                <w:color w:val="000000"/>
                <w:sz w:val="20"/>
                <w:szCs w:val="20"/>
                <w:highlight w:val="none"/>
                <w:u w:val="none"/>
              </w:rPr>
              <w:t xml:space="preserve">具备弱口令扫描功能，支持弱口令扫描协议数量≥22种，包括FTP、SMB、RDP、SSH、TELNET、SMTP、IMAP、POP3、Oracle、MySQL、MSSQL、DB2、REDIS、MongoDB、Sybase、Rlogin、RTSP、SIP、Onvif、Weblogic、Tomcat、SNMP等协议进行弱口令扫描，允许用户自定义用户、密码字典</w:t>
            </w:r>
            <w:r>
              <w:rPr>
                <w:highlight w:val="none"/>
              </w:rPr>
            </w:r>
            <w:r/>
          </w:p>
        </w:tc>
      </w:tr>
      <w:tr>
        <w:trPr>
          <w:jc w:val="center"/>
          <w:trHeight w:val="280"/>
        </w:trPr>
        <w:tc>
          <w:tcPr>
            <w:tcW w:w="1298"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W w:w="6966"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olor w:val="000000" w:themeColor="text1"/>
                <w:sz w:val="20"/>
                <w:szCs w:val="20"/>
                <w:highlight w:val="none"/>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t xml:space="preserve">扫描结果在产品界面中支持查看目标应用返回的软件版本，可以方便与漏洞描述对比进行漏洞验证（提供功能截图证明）</w:t>
            </w:r>
            <w:r>
              <w:rPr>
                <w:highlight w:val="none"/>
              </w:rPr>
            </w:r>
            <w:r/>
          </w:p>
        </w:tc>
      </w:tr>
      <w:tr>
        <w:trPr>
          <w:jc w:val="center"/>
          <w:trHeight w:val="90"/>
        </w:trPr>
        <w:tc>
          <w:tcPr>
            <w:tcW w:w="1298" w:type="dxa"/>
            <w:vAlign w:val="center"/>
            <w:vMerge w:val="restart"/>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网站漏扫功能要求</w:t>
            </w:r>
            <w:r>
              <w:rPr>
                <w:highlight w:val="none"/>
              </w:rPr>
            </w:r>
            <w:r/>
          </w:p>
        </w:tc>
        <w:tc>
          <w:tcPr>
            <w:tcW w:w="6966"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产品提供Web应用漏洞扫描功能，支持对Discuz、大汉CMS、PHPCMS、DEDECMS、ECSHOP、WordPress、eWebEditor、FCKeditor、Struts2等国内外常见第三方组件扫描；支持常见Web漏洞类型的扫描，包括SQL注入、跨站脚本、命令执行、命令注入、代码注入、弱口令、目录遍历、URL跳转等</w:t>
            </w:r>
            <w:r>
              <w:rPr>
                <w:highlight w:val="none"/>
              </w:rPr>
            </w:r>
            <w:r/>
          </w:p>
        </w:tc>
      </w:tr>
      <w:tr>
        <w:trPr>
          <w:jc w:val="center"/>
          <w:trHeight w:val="560"/>
        </w:trPr>
        <w:tc>
          <w:tcPr>
            <w:tcW w:w="1298"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W w:w="6966"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w:t>
            </w:r>
            <w:r>
              <w:rPr>
                <w:rStyle w:val="1027"/>
                <w:rFonts w:hint="eastAsia" w:ascii="宋体" w:hAnsi="宋体" w:cs="宋体"/>
                <w:color w:val="000000"/>
                <w:sz w:val="20"/>
                <w:szCs w:val="20"/>
                <w:highlight w:val="none"/>
                <w:u w:val="none"/>
              </w:rPr>
              <w:t xml:space="preserve">管理人员可根据系统给出的漏洞参数、HTTP请求/响应数据，快速验证，一键验证漏洞</w:t>
            </w:r>
            <w:r>
              <w:rPr>
                <w:rFonts w:hint="eastAsia" w:ascii="宋体" w:hAnsi="宋体" w:cs="宋体"/>
                <w:color w:val="000000"/>
                <w:sz w:val="20"/>
                <w:szCs w:val="20"/>
                <w:highlight w:val="none"/>
              </w:rPr>
              <w:t xml:space="preserve">。</w:t>
            </w:r>
            <w:r>
              <w:rPr>
                <w:rStyle w:val="1027"/>
                <w:rFonts w:hint="eastAsia" w:ascii="宋体" w:hAnsi="宋体" w:cs="宋体"/>
                <w:color w:val="000000"/>
                <w:sz w:val="20"/>
                <w:szCs w:val="20"/>
                <w:highlight w:val="none"/>
                <w:u w:val="none"/>
              </w:rPr>
              <w:t xml:space="preserve">支持对Struts2远程命令执行漏洞进行命令执行和文件上传的渗透测试验证操作</w:t>
            </w:r>
            <w:r>
              <w:rPr>
                <w:rFonts w:hint="eastAsia" w:ascii="宋体" w:hAnsi="宋体" w:cs="宋体"/>
                <w:color w:val="000000"/>
                <w:sz w:val="20"/>
                <w:szCs w:val="20"/>
                <w:highlight w:val="none"/>
              </w:rPr>
              <w:t xml:space="preserve">（提供功能截图证明）</w:t>
            </w:r>
            <w:r>
              <w:rPr>
                <w:highlight w:val="none"/>
              </w:rPr>
            </w:r>
            <w:r/>
          </w:p>
        </w:tc>
      </w:tr>
      <w:tr>
        <w:trPr>
          <w:jc w:val="center"/>
          <w:trHeight w:val="280"/>
        </w:trPr>
        <w:tc>
          <w:tcPr>
            <w:tcW w:w="1298"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数据库扫描功能要求</w:t>
            </w:r>
            <w:r>
              <w:rPr>
                <w:highlight w:val="none"/>
              </w:rPr>
            </w:r>
            <w:r/>
          </w:p>
        </w:tc>
        <w:tc>
          <w:tcPr>
            <w:tcW w:w="6966"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支持Oracle、Mysql、SQLServer、DB2、informix、PostgreSQL、Sybase、达梦、人大金仓的授权数据库漏洞扫描；</w:t>
            </w:r>
            <w:r>
              <w:rPr>
                <w:rStyle w:val="1027"/>
                <w:rFonts w:hint="eastAsia" w:ascii="宋体" w:hAnsi="宋体" w:cs="宋体"/>
                <w:color w:val="000000"/>
                <w:sz w:val="20"/>
                <w:szCs w:val="20"/>
                <w:highlight w:val="none"/>
                <w:u w:val="none"/>
              </w:rPr>
              <w:t xml:space="preserve">数据库扫描的漏洞库数量大于5300条，提供详细的漏洞描述和对应的解决方案描述；漏洞知识库与CVE、CNNVD等国际、国内漏洞库标准兼容</w:t>
            </w:r>
            <w:r>
              <w:rPr>
                <w:highlight w:val="none"/>
              </w:rPr>
            </w:r>
            <w:r/>
          </w:p>
        </w:tc>
      </w:tr>
      <w:tr>
        <w:trPr>
          <w:jc w:val="center"/>
          <w:trHeight w:val="280"/>
        </w:trPr>
        <w:tc>
          <w:tcPr>
            <w:tcW w:w="1298"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代理扫描</w:t>
            </w:r>
            <w:r>
              <w:rPr>
                <w:highlight w:val="none"/>
              </w:rPr>
            </w:r>
            <w:r/>
          </w:p>
        </w:tc>
        <w:tc>
          <w:tcPr>
            <w:tcW w:w="6966"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支持VPN代理扫描，可在产品界面添加代理网络配置，实现公有云、隔离网等特殊网络环境下的漏洞扫描</w:t>
            </w:r>
            <w:r>
              <w:rPr>
                <w:highlight w:val="none"/>
              </w:rPr>
            </w:r>
            <w:r/>
          </w:p>
        </w:tc>
      </w:tr>
      <w:tr>
        <w:trPr>
          <w:jc w:val="center"/>
          <w:trHeight w:val="280"/>
        </w:trPr>
        <w:tc>
          <w:tcPr>
            <w:tcW w:w="1298" w:type="dxa"/>
            <w:vAlign w:val="center"/>
            <w:vMerge w:val="restart"/>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资质要求</w:t>
            </w:r>
            <w:r>
              <w:rPr>
                <w:highlight w:val="none"/>
              </w:rPr>
            </w:r>
            <w:r/>
          </w:p>
        </w:tc>
        <w:tc>
          <w:tcPr>
            <w:tcW w:w="6966"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产品具备国家信息安全漏洞库兼容性资质证书，</w:t>
            </w:r>
            <w:r>
              <w:rPr>
                <w:rFonts w:hint="eastAsia" w:ascii="宋体" w:hAnsi="宋体" w:cs="宋体"/>
                <w:color w:val="000000"/>
                <w:spacing w:val="-2"/>
                <w:sz w:val="20"/>
                <w:szCs w:val="20"/>
                <w:highlight w:val="none"/>
              </w:rPr>
              <w:t xml:space="preserve">提供有效证书复印件</w:t>
            </w:r>
            <w:r>
              <w:rPr>
                <w:highlight w:val="none"/>
              </w:rPr>
            </w:r>
            <w:r/>
          </w:p>
        </w:tc>
      </w:tr>
      <w:tr>
        <w:trPr>
          <w:jc w:val="center"/>
          <w:trHeight w:val="90"/>
        </w:trPr>
        <w:tc>
          <w:tcPr>
            <w:tcW w:w="1298" w:type="dxa"/>
            <w:vAlign w:val="center"/>
            <w:vMerge w:val="continue"/>
            <w:textDirection w:val="lrTb"/>
            <w:noWrap w:val="false"/>
          </w:tcPr>
          <w:p>
            <w:pPr>
              <w:jc w:val="left"/>
              <w:widowControl/>
              <w:rPr>
                <w:rFonts w:ascii="宋体" w:hAnsi="宋体"/>
                <w:color w:val="000000"/>
                <w:sz w:val="20"/>
                <w:szCs w:val="20"/>
              </w:rPr>
            </w:pPr>
            <w:r>
              <w:rPr>
                <w:rFonts w:ascii="宋体" w:hAnsi="宋体"/>
                <w:color w:val="000000"/>
                <w:sz w:val="20"/>
                <w:szCs w:val="20"/>
              </w:rPr>
            </w:r>
            <w:r/>
          </w:p>
        </w:tc>
        <w:tc>
          <w:tcPr>
            <w:tcW w:w="6966" w:type="dxa"/>
            <w:vAlign w:val="center"/>
            <w:textDirection w:val="lrTb"/>
            <w:noWrap w:val="false"/>
          </w:tcPr>
          <w:p>
            <w:pPr>
              <w:jc w:val="left"/>
              <w:widowControl/>
              <w:rPr>
                <w:rFonts w:ascii="宋体" w:hAnsi="宋体" w:cs="宋体"/>
                <w:color w:val="000000"/>
                <w:sz w:val="20"/>
                <w:szCs w:val="20"/>
                <w:highlight w:val="none"/>
              </w:rPr>
            </w:pPr>
            <w:r>
              <w:rPr>
                <w:rStyle w:val="1027"/>
                <w:rFonts w:hint="eastAsia" w:ascii="宋体" w:hAnsi="宋体" w:cs="宋体"/>
                <w:color w:val="000000"/>
                <w:sz w:val="20"/>
                <w:szCs w:val="20"/>
                <w:highlight w:val="none"/>
                <w:u w:val="none"/>
              </w:rPr>
              <w:t xml:space="preserve">产品具备IPv6 Ready Logo认证，</w:t>
            </w:r>
            <w:r>
              <w:rPr>
                <w:rFonts w:hint="eastAsia" w:ascii="宋体" w:hAnsi="宋体" w:cs="宋体"/>
                <w:color w:val="000000"/>
                <w:spacing w:val="-2"/>
                <w:sz w:val="20"/>
                <w:szCs w:val="20"/>
                <w:highlight w:val="none"/>
              </w:rPr>
              <w:t xml:space="preserve">提供有效证书复印件</w:t>
            </w:r>
            <w:r>
              <w:rPr>
                <w:highlight w:val="none"/>
              </w:rPr>
            </w:r>
            <w:r/>
          </w:p>
        </w:tc>
      </w:tr>
    </w:tbl>
    <w:p>
      <w:pPr>
        <w:rPr>
          <w:rFonts w:ascii="宋体" w:hAnsi="宋体"/>
          <w:color w:val="000000"/>
          <w:sz w:val="24"/>
          <w:highlight w:val="none"/>
        </w:rPr>
      </w:pPr>
      <w:r>
        <w:rPr>
          <w:rFonts w:ascii="宋体" w:hAnsi="宋体"/>
          <w:color w:val="000000"/>
          <w:sz w:val="24"/>
          <w:highlight w:val="none"/>
        </w:rPr>
      </w:r>
      <w:r>
        <w:rPr>
          <w:highlight w:val="none"/>
        </w:rPr>
      </w:r>
      <w:r/>
    </w:p>
    <w:p>
      <w:pPr>
        <w:pStyle w:val="743"/>
        <w:rPr>
          <w:rFonts w:ascii="宋体" w:hAnsi="宋体" w:cs="宋体"/>
          <w:color w:val="000000"/>
          <w:highlight w:val="none"/>
        </w:rPr>
      </w:pPr>
      <w:r>
        <w:rPr>
          <w:rFonts w:hint="eastAsia" w:ascii="宋体" w:hAnsi="宋体" w:cs="宋体"/>
          <w:color w:val="000000"/>
          <w:highlight w:val="none"/>
        </w:rPr>
        <w:t xml:space="preserve">8）运维审计系统（数量：1套）</w:t>
      </w:r>
      <w:r>
        <w:rPr>
          <w:highlight w:val="none"/>
        </w:rPr>
      </w:r>
      <w:r/>
    </w:p>
    <w:tbl>
      <w:tblPr>
        <w:tblStyle w:val="762"/>
        <w:tblpPr w:horzAnchor="page" w:tblpX="1908" w:vertAnchor="text" w:tblpY="4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6992"/>
      </w:tblGrid>
      <w:tr>
        <w:trPr>
          <w:tblHeader/>
        </w:trPr>
        <w:tc>
          <w:tcPr>
            <w:shd w:val="clear" w:color="auto" w:fill="ffffff"/>
            <w:tcW w:w="1300" w:type="dxa"/>
            <w:vAlign w:val="center"/>
            <w:textDirection w:val="lrTb"/>
            <w:noWrap w:val="false"/>
          </w:tcPr>
          <w:p>
            <w:pPr>
              <w:jc w:val="center"/>
              <w:spacing w:after="0" w:line="240" w:lineRule="auto"/>
              <w:rPr>
                <w:rFonts w:ascii="Times New Roman" w:hAnsi="Times New Roman"/>
                <w:color w:val="000000"/>
                <w:szCs w:val="21"/>
                <w:highlight w:val="none"/>
              </w:rPr>
            </w:pPr>
            <w:r>
              <w:rPr>
                <w:rFonts w:hint="eastAsia" w:ascii="Times New Roman" w:hAnsi="Times New Roman"/>
                <w:color w:val="000000"/>
                <w:szCs w:val="21"/>
                <w:highlight w:val="none"/>
              </w:rPr>
              <w:br w:type="page" w:clear="all"/>
            </w:r>
            <w:r>
              <w:rPr>
                <w:rFonts w:hint="eastAsia" w:ascii="Times New Roman" w:hAnsi="Times New Roman"/>
                <w:color w:val="000000"/>
                <w:szCs w:val="21"/>
                <w:highlight w:val="none"/>
              </w:rPr>
              <w:t xml:space="preserve">指标项</w:t>
            </w:r>
            <w:r>
              <w:rPr>
                <w:highlight w:val="none"/>
              </w:rPr>
            </w:r>
            <w:r/>
          </w:p>
        </w:tc>
        <w:tc>
          <w:tcPr>
            <w:shd w:val="clear" w:color="auto" w:fill="ffffff"/>
            <w:tcW w:w="6992" w:type="dxa"/>
            <w:vAlign w:val="center"/>
            <w:textDirection w:val="lrTb"/>
            <w:noWrap w:val="false"/>
          </w:tcPr>
          <w:p>
            <w:pPr>
              <w:jc w:val="center"/>
              <w:spacing w:after="0" w:line="24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配置要求</w:t>
            </w:r>
            <w:r>
              <w:rPr>
                <w:highlight w:val="none"/>
              </w:rPr>
            </w:r>
            <w:r/>
          </w:p>
        </w:tc>
      </w:tr>
      <w:tr>
        <w:trPr/>
        <w:tc>
          <w:tcPr>
            <w:tcW w:w="1300" w:type="dxa"/>
            <w:vAlign w:val="center"/>
            <w:textDirection w:val="lrTb"/>
            <w:noWrap w:val="false"/>
          </w:tcPr>
          <w:p>
            <w:pPr>
              <w:spacing w:after="0" w:line="240" w:lineRule="auto"/>
              <w:rPr>
                <w:rFonts w:ascii="Times New Roman" w:hAnsi="宋体"/>
                <w:color w:val="000000"/>
                <w:sz w:val="20"/>
                <w:szCs w:val="20"/>
                <w:highlight w:val="none"/>
              </w:rPr>
            </w:pPr>
            <w:r>
              <w:rPr>
                <w:rFonts w:hint="eastAsia" w:ascii="Times New Roman" w:hAnsi="宋体"/>
                <w:color w:val="000000"/>
                <w:sz w:val="20"/>
                <w:szCs w:val="20"/>
                <w:highlight w:val="none"/>
              </w:rPr>
              <w:t xml:space="preserve">基本要求</w:t>
            </w:r>
            <w:r>
              <w:rPr>
                <w:highlight w:val="none"/>
              </w:rPr>
            </w:r>
            <w:r/>
          </w:p>
        </w:tc>
        <w:tc>
          <w:tcPr>
            <w:tcW w:w="6992" w:type="dxa"/>
            <w:vAlign w:val="center"/>
            <w:textDirection w:val="lrTb"/>
            <w:noWrap w:val="false"/>
          </w:tcPr>
          <w:p>
            <w:pPr>
              <w:jc w:val="left"/>
              <w:spacing w:after="0" w:line="240" w:lineRule="auto"/>
              <w:widowControl/>
              <w:rPr>
                <w:rFonts w:ascii="Times New Roman" w:hAnsi="宋体"/>
                <w:bCs/>
                <w:color w:val="000000"/>
                <w:sz w:val="20"/>
                <w:szCs w:val="20"/>
                <w:highlight w:val="none"/>
              </w:rPr>
            </w:pPr>
            <w:r>
              <w:rPr>
                <w:rFonts w:hint="eastAsia" w:ascii="宋体" w:hAnsi="宋体" w:cs="宋体"/>
                <w:b/>
                <w:bCs/>
                <w:i/>
                <w:iCs/>
                <w:color w:val="000000"/>
                <w:szCs w:val="21"/>
                <w:highlight w:val="none"/>
                <w:u w:val="single"/>
              </w:rPr>
              <w:t xml:space="preserve">软硬一体化2U标准机架式设备，千兆电管理口≥2个，千兆业务电口≥4个，千兆业务光口≥4个（含2个千兆SFP多模光模块），USB口≥2个，串口RJ45口≥1个，硬盘≥2T*2（raid1），内存≥8GB，1+1热插拔冗余电源；资产授权≥500个，并发字符连接≥500个，并发图形连接≥100个，五年原厂保修，提供原厂工程师上门安装和五年的技术支持服务；中标后合同签订前须提供原厂五年免费质保函原件证明</w:t>
            </w:r>
            <w:r>
              <w:rPr>
                <w:highlight w:val="none"/>
              </w:rPr>
            </w:r>
            <w:r/>
          </w:p>
        </w:tc>
      </w:tr>
      <w:tr>
        <w:trPr/>
        <w:tc>
          <w:tcPr>
            <w:tcW w:w="1300" w:type="dxa"/>
            <w:vAlign w:val="center"/>
            <w:textDirection w:val="lrTb"/>
            <w:noWrap w:val="false"/>
          </w:tcPr>
          <w:p>
            <w:pPr>
              <w:pStyle w:val="747"/>
              <w:spacing w:after="0" w:line="276" w:lineRule="auto"/>
              <w:rPr>
                <w:rFonts w:hAnsi="宋体"/>
                <w:color w:val="000000"/>
                <w:sz w:val="20"/>
                <w:szCs w:val="20"/>
                <w:highlight w:val="none"/>
              </w:rPr>
            </w:pPr>
            <w:r>
              <w:rPr>
                <w:rFonts w:hint="eastAsia" w:hAnsi="宋体"/>
                <w:color w:val="000000"/>
                <w:sz w:val="20"/>
                <w:szCs w:val="20"/>
                <w:highlight w:val="none"/>
              </w:rPr>
              <w:t xml:space="preserve">用户管理要求</w:t>
            </w:r>
            <w:r>
              <w:rPr>
                <w:highlight w:val="none"/>
              </w:rPr>
            </w:r>
            <w:r/>
          </w:p>
        </w:tc>
        <w:tc>
          <w:tcPr>
            <w:tcW w:w="6992" w:type="dxa"/>
            <w:vAlign w:val="center"/>
            <w:textDirection w:val="lrTb"/>
            <w:noWrap w:val="false"/>
          </w:tcPr>
          <w:p>
            <w:pPr>
              <w:pStyle w:val="747"/>
              <w:jc w:val="left"/>
              <w:spacing w:after="0" w:line="276" w:lineRule="auto"/>
              <w:rPr>
                <w:rFonts w:hAnsi="宋体"/>
                <w:color w:val="000000"/>
                <w:sz w:val="20"/>
                <w:szCs w:val="20"/>
                <w:highlight w:val="none"/>
              </w:rPr>
            </w:pPr>
            <w:r>
              <w:rPr>
                <w:rFonts w:hint="eastAsia" w:hAnsi="宋体"/>
                <w:color w:val="000000"/>
                <w:sz w:val="20"/>
                <w:szCs w:val="20"/>
                <w:highlight w:val="none"/>
              </w:rPr>
              <w:t xml:space="preserve">支持按部门组织架构（至少10个层级的部门）管理用户数据、资产数据、授权数据、审计数据，且数据相互隔离；可按部门层级分别设定各部门不同权限的管理员，如部门内的运维管理员、审计管理员、系统管理员等</w:t>
            </w:r>
            <w:r>
              <w:rPr>
                <w:highlight w:val="none"/>
              </w:rPr>
            </w:r>
            <w:r/>
          </w:p>
        </w:tc>
      </w:tr>
      <w:tr>
        <w:trPr>
          <w:trHeight w:val="1061"/>
        </w:trPr>
        <w:tc>
          <w:tcPr>
            <w:tcW w:w="1300" w:type="dxa"/>
            <w:vAlign w:val="center"/>
            <w:textDirection w:val="lrTb"/>
            <w:noWrap w:val="false"/>
          </w:tcPr>
          <w:p>
            <w:pPr>
              <w:pStyle w:val="747"/>
              <w:spacing w:after="0" w:line="276" w:lineRule="auto"/>
              <w:rPr>
                <w:rFonts w:hAnsi="宋体"/>
                <w:color w:val="000000"/>
                <w:sz w:val="20"/>
                <w:szCs w:val="20"/>
                <w:highlight w:val="none"/>
              </w:rPr>
            </w:pPr>
            <w:r>
              <w:rPr>
                <w:rFonts w:hint="eastAsia" w:hAnsi="宋体"/>
                <w:color w:val="000000"/>
                <w:sz w:val="20"/>
                <w:szCs w:val="20"/>
                <w:highlight w:val="none"/>
              </w:rPr>
              <w:t xml:space="preserve">设备管理要求</w:t>
            </w:r>
            <w:r>
              <w:rPr>
                <w:highlight w:val="none"/>
              </w:rPr>
            </w:r>
            <w:r/>
          </w:p>
        </w:tc>
        <w:tc>
          <w:tcPr>
            <w:tcW w:w="6992" w:type="dxa"/>
            <w:vAlign w:val="center"/>
            <w:textDirection w:val="lrTb"/>
            <w:noWrap w:val="false"/>
          </w:tcPr>
          <w:p>
            <w:pPr>
              <w:jc w:val="left"/>
              <w:spacing w:after="0" w:line="276"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支持自动收集设备IP、运维协议、端口号、账号、密码、与用户的权限关系，可自动完成授权</w:t>
            </w:r>
            <w:r>
              <w:rPr>
                <w:highlight w:val="none"/>
              </w:rPr>
            </w:r>
            <w:r/>
          </w:p>
        </w:tc>
      </w:tr>
      <w:tr>
        <w:trPr>
          <w:trHeight w:val="90"/>
        </w:trPr>
        <w:tc>
          <w:tcPr>
            <w:tcW w:w="1300" w:type="dxa"/>
            <w:vAlign w:val="center"/>
            <w:textDirection w:val="lrTb"/>
            <w:noWrap w:val="false"/>
          </w:tcPr>
          <w:p>
            <w:pPr>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运维方式要求</w:t>
            </w:r>
            <w:r>
              <w:rPr>
                <w:highlight w:val="none"/>
              </w:rPr>
            </w:r>
            <w:r/>
          </w:p>
        </w:tc>
        <w:tc>
          <w:tcPr>
            <w:tcW w:w="6992" w:type="dxa"/>
            <w:textDirection w:val="lrTb"/>
            <w:noWrap w:val="false"/>
          </w:tcPr>
          <w:p>
            <w:pPr>
              <w:ind w:firstLine="25"/>
              <w:spacing w:after="0" w:line="240" w:lineRule="auto"/>
              <w:rPr>
                <w:rFonts w:ascii="宋体" w:hAnsi="宋体" w:cs="宋体"/>
                <w:bCs/>
                <w:color w:val="000000"/>
                <w:sz w:val="20"/>
                <w:szCs w:val="20"/>
                <w:highlight w:val="none"/>
              </w:rPr>
            </w:pPr>
            <w:r>
              <w:rPr>
                <w:rFonts w:hint="eastAsia" w:ascii="宋体" w:hAnsi="宋体"/>
                <w:color w:val="000000"/>
                <w:sz w:val="20"/>
                <w:szCs w:val="20"/>
                <w:highlight w:val="none"/>
              </w:rPr>
              <w:t xml:space="preserve">★</w:t>
            </w:r>
            <w:r>
              <w:rPr>
                <w:rFonts w:hint="eastAsia" w:ascii="宋体" w:hAnsi="宋体" w:cs="宋体"/>
                <w:bCs/>
                <w:color w:val="000000"/>
                <w:sz w:val="20"/>
                <w:szCs w:val="20"/>
                <w:highlight w:val="none"/>
                <w:lang w:bidi="ar"/>
              </w:rPr>
              <w:t xml:space="preserve">支持H5运维方式。具有专用运维客户端，</w:t>
            </w:r>
            <w:r>
              <w:rPr>
                <w:rFonts w:hint="eastAsia" w:ascii="宋体" w:hAnsi="宋体" w:cs="宋体"/>
                <w:bCs/>
                <w:color w:val="000000"/>
                <w:sz w:val="20"/>
                <w:szCs w:val="20"/>
                <w:highlight w:val="none"/>
              </w:rPr>
              <w:t xml:space="preserve">自带运维工具，可不依赖 xshell/Securecrt/mstsc等工具进行运维操作。</w:t>
            </w:r>
            <w:r>
              <w:rPr>
                <w:rFonts w:hint="eastAsia" w:ascii="Times New Roman" w:hAnsi="Times New Roman"/>
                <w:color w:val="000000"/>
                <w:sz w:val="20"/>
                <w:szCs w:val="20"/>
                <w:highlight w:val="none"/>
              </w:rPr>
              <w:t xml:space="preserve">客户端还至少需支持资产分组、资产连通性检测，批量运维、资产运维审批、命令审批、二次运维审批等能力</w:t>
            </w:r>
            <w:r>
              <w:rPr>
                <w:rFonts w:hint="eastAsia" w:ascii="宋体" w:hAnsi="宋体" w:cs="宋体"/>
                <w:bCs/>
                <w:color w:val="000000"/>
                <w:sz w:val="20"/>
                <w:szCs w:val="20"/>
                <w:highlight w:val="none"/>
              </w:rPr>
              <w:t xml:space="preserve">（提供功能截图证明）</w:t>
            </w:r>
            <w:r>
              <w:rPr>
                <w:highlight w:val="none"/>
              </w:rPr>
            </w:r>
            <w:r/>
          </w:p>
        </w:tc>
      </w:tr>
      <w:tr>
        <w:trPr>
          <w:trHeight w:val="90"/>
        </w:trPr>
        <w:tc>
          <w:tcPr>
            <w:tcW w:w="1300" w:type="dxa"/>
            <w:vAlign w:val="center"/>
            <w:textDirection w:val="lrTb"/>
            <w:noWrap w:val="false"/>
          </w:tcPr>
          <w:p>
            <w:pPr>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审计要求</w:t>
            </w:r>
            <w:r>
              <w:rPr>
                <w:highlight w:val="none"/>
              </w:rPr>
            </w:r>
            <w:r/>
          </w:p>
        </w:tc>
        <w:tc>
          <w:tcPr>
            <w:tcW w:w="6992" w:type="dxa"/>
            <w:textDirection w:val="lrTb"/>
            <w:noWrap w:val="false"/>
          </w:tcPr>
          <w:p>
            <w:pPr>
              <w:ind w:firstLine="25"/>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支持对运维操作会话的在线监控、实时阻断，支持提供禁止审计功能，可对部分设定策略的会话不审计录像，防止机密信息二次泄漏，支持显示主机已连接的会话信息</w:t>
            </w:r>
            <w:r>
              <w:rPr>
                <w:highlight w:val="none"/>
              </w:rPr>
            </w:r>
            <w:r/>
          </w:p>
        </w:tc>
      </w:tr>
      <w:tr>
        <w:trPr/>
        <w:tc>
          <w:tcPr>
            <w:tcW w:w="1300" w:type="dxa"/>
            <w:vAlign w:val="center"/>
            <w:textDirection w:val="lrTb"/>
            <w:noWrap w:val="false"/>
          </w:tcPr>
          <w:p>
            <w:pPr>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文件传输要求</w:t>
            </w:r>
            <w:r>
              <w:rPr>
                <w:highlight w:val="none"/>
              </w:rPr>
            </w:r>
            <w:r/>
          </w:p>
        </w:tc>
        <w:tc>
          <w:tcPr>
            <w:tcW w:w="6992" w:type="dxa"/>
            <w:textDirection w:val="lrTb"/>
            <w:noWrap w:val="false"/>
          </w:tcPr>
          <w:p>
            <w:pPr>
              <w:ind w:firstLine="25"/>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支持对文件传输会话的实时监控。支持对SFTP、FTP、ZMODEM进行文件传输控制，支持禁止文件上传、下载、删除、重命名，支持禁止对目录的创建与删除；支持对RDP会话的剪贴板、磁盘映射的文件传输控制</w:t>
            </w:r>
            <w:r>
              <w:rPr>
                <w:highlight w:val="none"/>
              </w:rPr>
            </w:r>
            <w:r/>
          </w:p>
        </w:tc>
      </w:tr>
      <w:tr>
        <w:trPr/>
        <w:tc>
          <w:tcPr>
            <w:tcW w:w="1300" w:type="dxa"/>
            <w:vAlign w:val="center"/>
            <w:textDirection w:val="lrTb"/>
            <w:noWrap w:val="false"/>
          </w:tcPr>
          <w:p>
            <w:pPr>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自动改密要求</w:t>
            </w:r>
            <w:r>
              <w:rPr>
                <w:highlight w:val="none"/>
              </w:rPr>
            </w:r>
            <w:r/>
          </w:p>
        </w:tc>
        <w:tc>
          <w:tcPr>
            <w:tcW w:w="6992" w:type="dxa"/>
            <w:textDirection w:val="lrTb"/>
            <w:noWrap w:val="false"/>
          </w:tcPr>
          <w:p>
            <w:pPr>
              <w:ind w:firstLine="25"/>
              <w:spacing w:after="0" w:line="240" w:lineRule="auto"/>
              <w:rPr>
                <w:rFonts w:ascii="Times New Roman" w:hAnsi="宋体"/>
                <w:color w:val="000000"/>
                <w:sz w:val="20"/>
                <w:szCs w:val="20"/>
                <w:highlight w:val="none"/>
              </w:rPr>
            </w:pPr>
            <w:r>
              <w:rPr>
                <w:rFonts w:hint="eastAsia" w:ascii="宋体" w:hAnsi="宋体"/>
                <w:color w:val="000000" w:themeColor="text1"/>
                <w:sz w:val="20"/>
                <w:szCs w:val="20"/>
                <w:highlight w:val="none"/>
                <w14:textFill>
                  <w14:solidFill>
                    <w14:schemeClr w14:val="tx1"/>
                  </w14:solidFill>
                </w14:textFill>
              </w:rPr>
              <w:t xml:space="preserve">★</w:t>
            </w:r>
            <w:r>
              <w:rPr>
                <w:rFonts w:hint="eastAsia" w:ascii="Times New Roman" w:hAnsi="Times New Roman"/>
                <w:color w:val="000000" w:themeColor="text1"/>
                <w:sz w:val="20"/>
                <w:szCs w:val="20"/>
                <w:highlight w:val="none"/>
                <w14:textFill>
                  <w14:solidFill>
                    <w14:schemeClr w14:val="tx1"/>
                  </w14:solidFill>
                </w14:textFill>
              </w:rPr>
              <w:t xml:space="preserve">支持定期自动修改主机密码功能，支持对常见数据库自动改密功能；支持对Web应用的自动改密功能，并且支持随堡垒机提供的改密插件录制向导，通过改密插件自动生成web应用的改密脚本</w:t>
            </w:r>
            <w:r>
              <w:rPr>
                <w:rFonts w:hint="eastAsia" w:ascii="宋体" w:hAnsi="宋体" w:cs="宋体"/>
                <w:bCs/>
                <w:color w:val="000000" w:themeColor="text1"/>
                <w:sz w:val="20"/>
                <w:szCs w:val="20"/>
                <w:highlight w:val="none"/>
                <w14:textFill>
                  <w14:solidFill>
                    <w14:schemeClr w14:val="tx1"/>
                  </w14:solidFill>
                </w14:textFill>
              </w:rPr>
              <w:t xml:space="preserve">（提供功能截图证明）</w:t>
            </w:r>
            <w:r>
              <w:rPr>
                <w:highlight w:val="none"/>
              </w:rPr>
            </w:r>
            <w:r/>
          </w:p>
        </w:tc>
      </w:tr>
      <w:tr>
        <w:trPr/>
        <w:tc>
          <w:tcPr>
            <w:tcW w:w="1300" w:type="dxa"/>
            <w:vAlign w:val="center"/>
            <w:textDirection w:val="lrTb"/>
            <w:noWrap w:val="false"/>
          </w:tcPr>
          <w:p>
            <w:pPr>
              <w:spacing w:after="0" w:line="24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安全策略要求</w:t>
            </w:r>
            <w:r>
              <w:rPr>
                <w:highlight w:val="none"/>
              </w:rPr>
            </w:r>
            <w:r/>
          </w:p>
        </w:tc>
        <w:tc>
          <w:tcPr>
            <w:tcW w:w="6992" w:type="dxa"/>
            <w:textDirection w:val="lrTb"/>
            <w:noWrap w:val="false"/>
          </w:tcPr>
          <w:p>
            <w:pPr>
              <w:ind w:firstLine="25"/>
              <w:spacing w:after="0" w:line="24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支持对主机命令控制、数据库命令控制，可以实现阻断会话、阻断命令、审批、直接放行4种动作，支持对数据库运维会话的上行和下行命令进行审计</w:t>
            </w:r>
            <w:r>
              <w:rPr>
                <w:highlight w:val="none"/>
              </w:rPr>
            </w:r>
            <w:r/>
          </w:p>
        </w:tc>
      </w:tr>
      <w:tr>
        <w:trPr/>
        <w:tc>
          <w:tcPr>
            <w:tcW w:w="1300" w:type="dxa"/>
            <w:vAlign w:val="center"/>
            <w:vMerge w:val="restart"/>
            <w:textDirection w:val="lrTb"/>
            <w:noWrap w:val="false"/>
          </w:tcPr>
          <w:p>
            <w:pPr>
              <w:pStyle w:val="747"/>
              <w:ind w:firstLine="25"/>
              <w:spacing w:after="0" w:line="240" w:lineRule="auto"/>
              <w:rPr>
                <w:rFonts w:hAnsi="宋体"/>
                <w:color w:val="000000"/>
                <w:sz w:val="20"/>
                <w:szCs w:val="20"/>
                <w:highlight w:val="none"/>
              </w:rPr>
            </w:pPr>
            <w:r>
              <w:rPr>
                <w:rFonts w:hint="eastAsia" w:hAnsi="宋体" w:cs="宋体"/>
                <w:bCs/>
                <w:color w:val="000000"/>
                <w:sz w:val="20"/>
                <w:szCs w:val="20"/>
                <w:highlight w:val="none"/>
              </w:rPr>
              <w:t xml:space="preserve">资质</w:t>
            </w:r>
            <w:r>
              <w:rPr>
                <w:rFonts w:hint="eastAsia" w:hAnsi="宋体" w:cs="宋体"/>
                <w:bCs/>
                <w:color w:val="000000"/>
                <w:sz w:val="20"/>
                <w:szCs w:val="20"/>
                <w:highlight w:val="none"/>
                <w:lang w:eastAsia="en-US"/>
              </w:rPr>
              <w:t xml:space="preserve">要求</w:t>
            </w:r>
            <w:r>
              <w:rPr>
                <w:highlight w:val="none"/>
              </w:rPr>
            </w:r>
            <w:r/>
          </w:p>
        </w:tc>
        <w:tc>
          <w:tcPr>
            <w:tcW w:w="6992" w:type="dxa"/>
            <w:vAlign w:val="center"/>
            <w:textDirection w:val="lrTb"/>
            <w:noWrap w:val="false"/>
          </w:tcPr>
          <w:p>
            <w:pPr>
              <w:ind w:firstLine="25"/>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产品具有中国信息安全测评中心颁发的《信息技术产品安全测评证书》级别EAL3+证书，提供复印件</w:t>
            </w:r>
            <w:r>
              <w:rPr>
                <w:highlight w:val="none"/>
              </w:rPr>
            </w:r>
            <w:r/>
          </w:p>
        </w:tc>
      </w:tr>
      <w:tr>
        <w:trPr/>
        <w:tc>
          <w:tcPr>
            <w:tcW w:w="1300" w:type="dxa"/>
            <w:vAlign w:val="center"/>
            <w:vMerge w:val="continue"/>
            <w:textDirection w:val="lrTb"/>
            <w:noWrap w:val="false"/>
          </w:tcPr>
          <w:p>
            <w:pPr>
              <w:pStyle w:val="747"/>
              <w:ind w:firstLine="25"/>
              <w:spacing w:after="0" w:line="240" w:lineRule="auto"/>
              <w:rPr>
                <w:rFonts w:hAnsi="宋体"/>
                <w:color w:val="000000"/>
                <w:sz w:val="20"/>
                <w:szCs w:val="20"/>
              </w:rPr>
            </w:pPr>
            <w:r>
              <w:rPr>
                <w:rFonts w:hAnsi="宋体"/>
                <w:color w:val="000000"/>
                <w:sz w:val="20"/>
                <w:szCs w:val="20"/>
              </w:rPr>
            </w:r>
            <w:r/>
          </w:p>
        </w:tc>
        <w:tc>
          <w:tcPr>
            <w:tcW w:w="6992" w:type="dxa"/>
            <w:vAlign w:val="center"/>
            <w:textDirection w:val="lrTb"/>
            <w:noWrap w:val="false"/>
          </w:tcPr>
          <w:p>
            <w:pPr>
              <w:ind w:firstLine="25"/>
              <w:spacing w:after="0" w:line="240" w:lineRule="auto"/>
              <w:rPr>
                <w:rFonts w:ascii="Times New Roman" w:hAnsi="宋体"/>
                <w:color w:val="000000"/>
                <w:sz w:val="20"/>
                <w:szCs w:val="20"/>
                <w:highlight w:val="none"/>
              </w:rPr>
            </w:pPr>
            <w:r>
              <w:rPr>
                <w:rFonts w:hint="eastAsia" w:ascii="宋体" w:hAnsi="宋体" w:cs="宋体"/>
                <w:bCs/>
                <w:color w:val="000000"/>
                <w:sz w:val="20"/>
                <w:szCs w:val="20"/>
                <w:highlight w:val="none"/>
              </w:rPr>
              <w:t xml:space="preserve">产品获得由中国信息安全测评中心颁发的《国家信息安全漏洞库兼容性资质证书》，提供证书复印件</w:t>
            </w:r>
            <w:r>
              <w:rPr>
                <w:highlight w:val="none"/>
              </w:rPr>
            </w:r>
            <w:r/>
          </w:p>
        </w:tc>
      </w:tr>
    </w:tbl>
    <w:p>
      <w:pPr>
        <w:pStyle w:val="743"/>
        <w:rPr>
          <w:color w:val="000000"/>
          <w:highlight w:val="none"/>
        </w:rPr>
      </w:pPr>
      <w:r>
        <w:rPr>
          <w:color w:val="000000"/>
          <w:highlight w:val="none"/>
        </w:rPr>
      </w:r>
      <w:r>
        <w:rPr>
          <w:highlight w:val="none"/>
        </w:rPr>
      </w:r>
      <w:r/>
    </w:p>
    <w:p>
      <w:pPr>
        <w:pStyle w:val="743"/>
        <w:rPr>
          <w:rFonts w:ascii="宋体" w:hAnsi="宋体" w:cs="宋体"/>
          <w:color w:val="000000"/>
          <w:highlight w:val="none"/>
        </w:rPr>
      </w:pPr>
      <w:r>
        <w:rPr>
          <w:rFonts w:hint="eastAsia" w:ascii="宋体" w:hAnsi="宋体" w:cs="宋体"/>
          <w:color w:val="000000"/>
          <w:highlight w:val="none"/>
        </w:rPr>
        <w:t xml:space="preserve">9）零信任系统（数量：1套）</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7245"/>
      </w:tblGrid>
      <w:tr>
        <w:trPr>
          <w:jc w:val="center"/>
          <w:trHeight w:val="280"/>
        </w:trPr>
        <w:tc>
          <w:tcPr>
            <w:shd w:val="clear" w:color="auto" w:fill="ffffff"/>
            <w:tcW w:w="1052"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指标项</w:t>
            </w:r>
            <w:r>
              <w:rPr>
                <w:highlight w:val="none"/>
              </w:rPr>
            </w:r>
            <w:r/>
          </w:p>
        </w:tc>
        <w:tc>
          <w:tcPr>
            <w:shd w:val="clear" w:color="auto" w:fill="ffffff"/>
            <w:tcW w:w="7245"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配置要求</w:t>
            </w:r>
            <w:r>
              <w:rPr>
                <w:highlight w:val="none"/>
              </w:rPr>
            </w:r>
            <w:r/>
          </w:p>
        </w:tc>
      </w:tr>
      <w:tr>
        <w:trPr>
          <w:jc w:val="center"/>
          <w:trHeight w:val="90"/>
        </w:trPr>
        <w:tc>
          <w:tcPr>
            <w:tcW w:w="1052" w:type="dxa"/>
            <w:vAlign w:val="center"/>
            <w:textDirection w:val="lrTb"/>
            <w:noWrap w:val="false"/>
          </w:tcPr>
          <w:p>
            <w:pPr>
              <w:widowControl/>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基本要求</w:t>
            </w:r>
            <w:r>
              <w:rPr>
                <w:highlight w:val="none"/>
              </w:rPr>
            </w:r>
            <w:r/>
          </w:p>
        </w:tc>
        <w:tc>
          <w:tcPr>
            <w:tcW w:w="7245" w:type="dxa"/>
            <w:vAlign w:val="center"/>
            <w:textDirection w:val="lrTb"/>
            <w:noWrap w:val="false"/>
          </w:tcPr>
          <w:p>
            <w:pPr>
              <w:jc w:val="left"/>
              <w:widowControl/>
              <w:rPr>
                <w:rFonts w:ascii="宋体" w:hAnsi="宋体" w:cs="宋体"/>
                <w:bCs/>
                <w:color w:val="000000"/>
                <w:sz w:val="20"/>
                <w:szCs w:val="20"/>
                <w:highlight w:val="none"/>
              </w:rPr>
            </w:pPr>
            <w:r>
              <w:rPr>
                <w:rFonts w:hint="eastAsia" w:ascii="宋体" w:hAnsi="宋体" w:cs="宋体"/>
                <w:b/>
                <w:bCs/>
                <w:i/>
                <w:iCs/>
                <w:color w:val="000000"/>
                <w:szCs w:val="21"/>
                <w:highlight w:val="none"/>
                <w:u w:val="single"/>
              </w:rPr>
              <w:t xml:space="preserve">纯软交付，提供不少于1000个并发授权，五年原厂保修，提供原厂工程师上门安装和五年的技术支持服务；中标后合同签订前须提供原厂五年免费质保函原件证明</w:t>
            </w:r>
            <w:r>
              <w:rPr>
                <w:highlight w:val="none"/>
              </w:rPr>
            </w:r>
            <w:r/>
          </w:p>
        </w:tc>
      </w:tr>
      <w:tr>
        <w:trPr>
          <w:jc w:val="center"/>
          <w:trHeight w:val="9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隧道模式发布资源</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通过隧道模式，可以支持基于TCP、UDP、ICMP等协议代理访问业务资源，支持发布IP、IP范围、IP段、具体域名及通配符域名等形式的服务器地址，自主选择优先使用长连接或短连接进行业务代理。</w:t>
            </w:r>
            <w:r>
              <w:rPr>
                <w:highlight w:val="none"/>
              </w:rPr>
            </w:r>
            <w:r/>
          </w:p>
        </w:tc>
      </w:tr>
      <w:tr>
        <w:trPr>
          <w:jc w:val="center"/>
          <w:trHeight w:val="9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web模式发布资源</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通过WEB模式，可以支持基于http或https协议代理访问业务资源，支持发布IP或域名形式的后端服务器地址，可配置业务应用的具体访问URL路径。</w:t>
            </w:r>
            <w:r>
              <w:rPr>
                <w:highlight w:val="none"/>
              </w:rPr>
            </w:r>
            <w:r/>
          </w:p>
        </w:tc>
      </w:tr>
      <w:tr>
        <w:trPr>
          <w:jc w:val="center"/>
          <w:trHeight w:val="1218"/>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私有DNS解析</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支持以私有DNS发布资源，无需额外购买DNS服务即可使用域名访问内网资源，支持管理员自主配置是否允许从具体网络区域（局域网/互联网）接入时使用此私有DNS解析地址。</w:t>
            </w:r>
            <w:r>
              <w:rPr>
                <w:highlight w:val="none"/>
              </w:rPr>
            </w:r>
            <w:r/>
          </w:p>
        </w:tc>
      </w:tr>
      <w:tr>
        <w:trPr>
          <w:jc w:val="center"/>
          <w:trHeight w:val="689"/>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应用授权</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为方便维护人员管理应用权限，支持直接在应用授权界面为单一应用或某个应用分类分配用户授权，授权方式支持直接授权给用户所在的组织架构、用户关联的角色或用户本身，并展示应用直接授权的组织架构、授权角色或用户数量。</w:t>
            </w:r>
            <w:r>
              <w:rPr>
                <w:highlight w:val="none"/>
              </w:rPr>
            </w:r>
            <w:r/>
          </w:p>
        </w:tc>
      </w:tr>
      <w:tr>
        <w:trPr>
          <w:jc w:val="center"/>
          <w:trHeight w:val="1238"/>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VPN客户端平滑升级</w:t>
            </w:r>
            <w:r>
              <w:rPr>
                <w:highlight w:val="none"/>
              </w:rPr>
            </w:r>
            <w:r/>
          </w:p>
        </w:tc>
        <w:tc>
          <w:tcPr>
            <w:tcW w:w="7245" w:type="dxa"/>
            <w:vAlign w:val="center"/>
            <w:textDirection w:val="lrTb"/>
            <w:noWrap w:val="false"/>
          </w:tcPr>
          <w:p>
            <w:pPr>
              <w:rPr>
                <w:rFonts w:ascii="宋体" w:hAnsi="宋体" w:cs="宋体"/>
                <w:bCs/>
                <w:color w:val="000000"/>
                <w:sz w:val="20"/>
                <w:szCs w:val="20"/>
                <w:highlight w:val="none"/>
              </w:rPr>
            </w:pPr>
            <w:r>
              <w:rPr>
                <w:rFonts w:hint="eastAsia" w:ascii="宋体" w:hAnsi="宋体"/>
                <w:color w:val="000000" w:themeColor="text1"/>
                <w:sz w:val="20"/>
                <w:szCs w:val="20"/>
                <w:highlight w:val="none"/>
                <w14:textFill>
                  <w14:solidFill>
                    <w14:schemeClr w14:val="tx1"/>
                  </w14:solidFill>
                </w14:textFill>
              </w:rPr>
              <w:t xml:space="preserve">★</w:t>
            </w:r>
            <w:r>
              <w:rPr>
                <w:rFonts w:hint="eastAsia" w:ascii="宋体" w:hAnsi="宋体" w:cs="宋体"/>
                <w:bCs/>
                <w:color w:val="000000"/>
                <w:sz w:val="20"/>
                <w:szCs w:val="20"/>
                <w:highlight w:val="none"/>
              </w:rPr>
              <w:t xml:space="preserve">为方便用户快速切换使用新的远程接入方式，应支持直接用户在打开原VPN客户端时直接升级成零信任客户端来登录访问业务，管理员可以自行通过配置决定升级完成后是否卸载原VPN客户端。同时，提供配置转换工具，支持将原VPN中的资源、资源组、用户、用户组、角色及这五者之间的关联关系转换导入到本次采购系统。（提供功能截图证明）</w:t>
            </w:r>
            <w:r>
              <w:rPr>
                <w:highlight w:val="none"/>
              </w:rPr>
            </w:r>
            <w:r/>
          </w:p>
        </w:tc>
      </w:tr>
      <w:tr>
        <w:trPr>
          <w:jc w:val="center"/>
          <w:trHeight w:val="151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授信终端</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用户满足单一条件或多个条件后自助绑定，可配置条件包括但不限于网络区域、终端资产标签、终端标签类型等，最多可配置条件数不得少于3条。授信终端可作为零信任系统的策略判定条件，管理员可配置仅允许授信终端登录的认证策略，并结合授信终端启用免二次认证、一键上线等功能，为用户提供便利性的同时不降低系统安全性。</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多因素认证</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为了进一步保障用户身份安全，需支持多因素认证，支持管理员结合已对接的主认证和辅认证类型进行设置，可自由选择采用首次认证+二次认证+终端认证+增强认证等方式。</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自适应认证</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为强化系统认证安全性，可配置在触发异常环境的条件时，用户需完成增强认证才可登录。可配置的异常环境包括但不限于：帐号首次登录、帐号在该终端首次登录、闲置帐号登录、弱密码登录、异常时间登录、非常用地点登录等。</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单点登录</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在业务系统已经有第三方统一身份认证系统的场景下，系统支持通过票据共享的方式跟统一身份认证系统进行单点登录对接，以间接实现业务系统的单点登录对接。为了适应多种身份认证系统获取票据的方式，票据共享应至少支持反向OAuth对接及票据注入等模式。</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服务隐身</w:t>
            </w:r>
            <w:r>
              <w:rPr>
                <w:highlight w:val="none"/>
              </w:rPr>
            </w:r>
            <w:r/>
          </w:p>
        </w:tc>
        <w:tc>
          <w:tcPr>
            <w:tcW w:w="7245" w:type="dxa"/>
            <w:vAlign w:val="center"/>
            <w:textDirection w:val="lrTb"/>
            <w:noWrap w:val="false"/>
          </w:tcPr>
          <w:p>
            <w:pPr>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1、为了最大程度缩小网络、业务暴露面，零信任平台需提供单包授权能力（SPA），支持UDP+TCP组合的单包授权技术，未授权用户无法连接零信任设备，无法扫描到服务端口，不会出现敲门放大漏洞。</w:t>
            </w:r>
            <w:r>
              <w:rPr>
                <w:rFonts w:hint="eastAsia" w:ascii="宋体" w:hAnsi="宋体" w:cs="宋体"/>
                <w:bCs/>
                <w:color w:val="000000"/>
                <w:sz w:val="20"/>
                <w:szCs w:val="20"/>
                <w:highlight w:val="none"/>
              </w:rPr>
              <w:br w:type="textWrapping" w:clear="all"/>
            </w:r>
            <w:r>
              <w:rPr>
                <w:rFonts w:hint="eastAsia" w:ascii="宋体" w:hAnsi="宋体" w:cs="宋体"/>
                <w:bCs/>
                <w:color w:val="000000"/>
                <w:sz w:val="20"/>
                <w:szCs w:val="20"/>
                <w:highlight w:val="none"/>
              </w:rPr>
              <w:t xml:space="preserve">2、PC端和移动端均支持通过安全码激活客户端为授权客户端，从而可进行SPA敲门和连接，安全码支持共享码和一人一码两种模式，支持短信分发安全码，保障业务的安全性。</w:t>
            </w:r>
            <w:r>
              <w:rPr>
                <w:rFonts w:hint="eastAsia" w:ascii="宋体" w:hAnsi="宋体" w:cs="宋体"/>
                <w:bCs/>
                <w:color w:val="000000"/>
                <w:sz w:val="20"/>
                <w:szCs w:val="20"/>
                <w:highlight w:val="none"/>
              </w:rPr>
              <w:br w:type="textWrapping" w:clear="all"/>
            </w:r>
            <w:r>
              <w:rPr>
                <w:rFonts w:hint="eastAsia" w:ascii="宋体" w:hAnsi="宋体" w:cs="宋体"/>
                <w:bCs/>
                <w:color w:val="000000"/>
                <w:sz w:val="20"/>
                <w:szCs w:val="20"/>
                <w:highlight w:val="none"/>
              </w:rPr>
              <w:t xml:space="preserve">3、一人一码模式下，当实际登录用户跟分发SPA安全码绑定的用户不一致时，零信任系统可以阻止用户登录上线并产生安全告警，帮助管理员溯源，进一步提升系统安全性。</w:t>
            </w:r>
            <w:r>
              <w:rPr>
                <w:highlight w:val="none"/>
              </w:rPr>
            </w:r>
            <w:r/>
          </w:p>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（提供</w:t>
            </w:r>
            <w:r>
              <w:rPr>
                <w:rFonts w:hint="eastAsia" w:ascii="宋体" w:hAnsi="宋体" w:cs="宋体"/>
                <w:bCs/>
                <w:color w:val="000000"/>
                <w:sz w:val="20"/>
                <w:szCs w:val="20"/>
                <w:highlight w:val="none"/>
                <w:lang w:eastAsia="zh-CN"/>
              </w:rPr>
              <w:t xml:space="preserve">相关证明材料</w:t>
            </w:r>
            <w:r>
              <w:rPr>
                <w:rFonts w:hint="eastAsia" w:ascii="宋体" w:hAnsi="宋体" w:cs="宋体"/>
                <w:bCs/>
                <w:color w:val="000000"/>
                <w:sz w:val="20"/>
                <w:szCs w:val="20"/>
                <w:highlight w:val="none"/>
              </w:rPr>
              <w:t xml:space="preserve">）</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管理员分级分权</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新增/删除/修改管理组，内置审计管理员、安全管理员、系统管理员等管理组；通过管理组管理权限的配置，实现管理员分级分权。同时，内容权限管理模块支持按应用和用户粒度划分权限，如指定某管理员仅能管理指定的应用和指定的用户。</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虚拟IP</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支持以虚拟IP方式，访问真实的业务系统，以配合其他对IP有要求的安全设备工作，以及便于流量分析类设备进行流量分析。</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全面日志记录</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支持用户访问日志（用户、源IP、URL、时间、get请求、post请求、端口），支持管理员操作日志（含管理员、接入IP、时间、管理行为、对象）</w:t>
            </w:r>
            <w:r>
              <w:rPr>
                <w:highlight w:val="none"/>
              </w:rPr>
            </w:r>
            <w:r/>
          </w:p>
        </w:tc>
      </w:tr>
      <w:tr>
        <w:trPr>
          <w:jc w:val="center"/>
          <w:trHeight w:val="280"/>
        </w:trPr>
        <w:tc>
          <w:tcPr>
            <w:tcW w:w="1052"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终端诊断工具</w:t>
            </w:r>
            <w:r>
              <w:rPr>
                <w:highlight w:val="none"/>
              </w:rPr>
            </w:r>
            <w:r/>
          </w:p>
        </w:tc>
        <w:tc>
          <w:tcPr>
            <w:tcW w:w="7245" w:type="dxa"/>
            <w:vAlign w:val="center"/>
            <w:textDirection w:val="lrTb"/>
            <w:noWrap w:val="false"/>
          </w:tcPr>
          <w:p>
            <w:pPr>
              <w:ind w:firstLine="25"/>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支持终端环境诊断排查，提供终端诊断工具，支持对当前终端的基本环境进行扫描和一键修复，便于用户自行排查修复终端问题，减少IT运维人员工作。</w:t>
            </w:r>
            <w:r>
              <w:rPr>
                <w:highlight w:val="none"/>
              </w:rPr>
            </w:r>
            <w:r/>
          </w:p>
        </w:tc>
      </w:tr>
      <w:tr>
        <w:trPr>
          <w:jc w:val="center"/>
          <w:trHeight w:val="926"/>
        </w:trPr>
        <w:tc>
          <w:tcPr>
            <w:tcW w:w="1052" w:type="dxa"/>
            <w:vAlign w:val="center"/>
            <w:textDirection w:val="lrTb"/>
            <w:noWrap w:val="false"/>
          </w:tcPr>
          <w:p>
            <w:pPr>
              <w:pStyle w:val="1028"/>
              <w:rPr>
                <w:rFonts w:ascii="宋体" w:hAnsi="宋体" w:cs="宋体"/>
                <w:color w:val="000000"/>
                <w:sz w:val="20"/>
                <w:szCs w:val="20"/>
                <w:highlight w:val="none"/>
              </w:rPr>
            </w:pPr>
            <w:r>
              <w:rPr>
                <w:rFonts w:hint="eastAsia" w:ascii="宋体" w:hAnsi="宋体" w:cs="宋体"/>
                <w:color w:val="000000"/>
                <w:sz w:val="20"/>
                <w:szCs w:val="20"/>
                <w:highlight w:val="none"/>
              </w:rPr>
              <w:t xml:space="preserve">资质要求</w:t>
            </w:r>
            <w:r>
              <w:rPr>
                <w:highlight w:val="none"/>
              </w:rPr>
            </w:r>
            <w:r/>
          </w:p>
        </w:tc>
        <w:tc>
          <w:tcPr>
            <w:tcW w:w="7245" w:type="dxa"/>
            <w:vAlign w:val="center"/>
            <w:textDirection w:val="lrTb"/>
            <w:noWrap w:val="false"/>
          </w:tcPr>
          <w:p>
            <w:pPr>
              <w:pStyle w:val="1028"/>
              <w:rPr>
                <w:rFonts w:hint="eastAsia" w:ascii="宋体" w:hAnsi="宋体" w:eastAsia="宋体" w:cs="宋体"/>
                <w:bCs/>
                <w:color w:val="000000"/>
                <w:sz w:val="20"/>
                <w:szCs w:val="20"/>
                <w:highlight w:val="none"/>
              </w:rPr>
            </w:pPr>
            <w:r>
              <w:rPr>
                <w:rFonts w:hint="eastAsia" w:ascii="宋体" w:hAnsi="宋体" w:cs="宋体"/>
                <w:bCs/>
                <w:color w:val="000000"/>
                <w:sz w:val="20"/>
                <w:szCs w:val="20"/>
                <w:highlight w:val="none"/>
              </w:rPr>
              <w:t xml:space="preserve">为保护信息安全管理工作中学校师生的个人信息安全，设备原厂具备ISO 29151个人身份信息保护管理体系认证证书</w:t>
            </w:r>
            <w:r>
              <w:rPr>
                <w:rFonts w:hint="eastAsia" w:ascii="宋体" w:hAnsi="宋体" w:cs="宋体"/>
                <w:bCs/>
                <w:color w:val="000000"/>
                <w:sz w:val="20"/>
                <w:szCs w:val="20"/>
                <w:highlight w:val="none"/>
                <w:lang w:eastAsia="zh-CN"/>
              </w:rPr>
              <w:t xml:space="preserve">，</w:t>
            </w:r>
            <w:r>
              <w:rPr>
                <w:rFonts w:hint="eastAsia" w:ascii="宋体" w:hAnsi="宋体" w:cs="宋体"/>
                <w:bCs/>
                <w:color w:val="000000"/>
                <w:sz w:val="20"/>
                <w:szCs w:val="20"/>
                <w:highlight w:val="none"/>
              </w:rPr>
              <w:t xml:space="preserve">提供证书复印件</w:t>
            </w:r>
            <w:r>
              <w:rPr>
                <w:highlight w:val="none"/>
              </w:rPr>
            </w:r>
            <w:r/>
          </w:p>
        </w:tc>
      </w:tr>
    </w:tbl>
    <w:p>
      <w:pPr>
        <w:rPr>
          <w:color w:val="000000"/>
          <w:highlight w:val="none"/>
        </w:rPr>
      </w:pPr>
      <w:r>
        <w:rPr>
          <w:color w:val="000000"/>
          <w:highlight w:val="none"/>
        </w:rPr>
      </w:r>
      <w:r>
        <w:rPr>
          <w:highlight w:val="none"/>
        </w:rPr>
      </w:r>
      <w:r/>
    </w:p>
    <w:p>
      <w:pPr>
        <w:pStyle w:val="743"/>
        <w:rPr>
          <w:rFonts w:ascii="宋体" w:hAnsi="宋体" w:cs="宋体"/>
          <w:color w:val="000000"/>
          <w:highlight w:val="none"/>
        </w:rPr>
      </w:pPr>
      <w:r>
        <w:rPr>
          <w:rFonts w:hint="eastAsia" w:ascii="宋体" w:hAnsi="宋体" w:cs="宋体"/>
          <w:color w:val="000000"/>
          <w:highlight w:val="none"/>
        </w:rPr>
        <w:t xml:space="preserve">10）数据库审计系统（数量：1套）</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7242"/>
      </w:tblGrid>
      <w:tr>
        <w:trPr>
          <w:jc w:val="center"/>
          <w:trHeight w:val="560"/>
        </w:trPr>
        <w:tc>
          <w:tcPr>
            <w:shd w:val="clear" w:color="auto" w:fill="ffffff"/>
            <w:tcW w:w="1091"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指标项</w:t>
            </w:r>
            <w:r>
              <w:rPr>
                <w:highlight w:val="none"/>
              </w:rPr>
            </w:r>
            <w:r/>
          </w:p>
        </w:tc>
        <w:tc>
          <w:tcPr>
            <w:shd w:val="clear" w:color="auto" w:fill="ffffff"/>
            <w:tcW w:w="7242"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配置要求</w:t>
            </w:r>
            <w:r>
              <w:rPr>
                <w:highlight w:val="none"/>
              </w:rPr>
            </w:r>
            <w:r/>
          </w:p>
        </w:tc>
      </w:tr>
      <w:tr>
        <w:trPr>
          <w:jc w:val="center"/>
          <w:trHeight w:val="560"/>
        </w:trPr>
        <w:tc>
          <w:tcPr>
            <w:tcW w:w="1091" w:type="dxa"/>
            <w:vAlign w:val="center"/>
            <w:textDirection w:val="lrTb"/>
            <w:noWrap w:val="false"/>
          </w:tcPr>
          <w:p>
            <w:pPr>
              <w:widowControl/>
              <w:rPr>
                <w:rFonts w:ascii="宋体" w:hAnsi="宋体"/>
                <w:color w:val="000000"/>
                <w:sz w:val="20"/>
                <w:szCs w:val="20"/>
                <w:highlight w:val="none"/>
              </w:rPr>
            </w:pPr>
            <w:r>
              <w:rPr>
                <w:rFonts w:hint="eastAsia" w:ascii="宋体" w:hAnsi="宋体"/>
                <w:color w:val="000000"/>
                <w:sz w:val="20"/>
                <w:szCs w:val="20"/>
                <w:highlight w:val="none"/>
              </w:rPr>
              <w:t xml:space="preserve">基本要求</w:t>
            </w:r>
            <w:r>
              <w:rPr>
                <w:highlight w:val="none"/>
              </w:rPr>
            </w:r>
            <w:r/>
          </w:p>
        </w:tc>
        <w:tc>
          <w:tcPr>
            <w:tcW w:w="7242" w:type="dxa"/>
            <w:vAlign w:val="center"/>
            <w:textDirection w:val="lrTb"/>
            <w:noWrap w:val="false"/>
          </w:tcPr>
          <w:p>
            <w:pPr>
              <w:rPr>
                <w:color w:val="000000"/>
                <w:sz w:val="20"/>
                <w:szCs w:val="20"/>
                <w:highlight w:val="none"/>
              </w:rPr>
            </w:pPr>
            <w:r>
              <w:rPr>
                <w:rFonts w:hint="eastAsia" w:ascii="宋体" w:hAnsi="宋体" w:cs="宋体"/>
                <w:b/>
                <w:bCs/>
                <w:i/>
                <w:iCs/>
                <w:color w:val="000000"/>
                <w:szCs w:val="21"/>
                <w:highlight w:val="none"/>
                <w:u w:val="single"/>
              </w:rPr>
              <w:t xml:space="preserve">标准2U机架式硬件设备，内置交流双电源，内存≥32GB，硬盘容量≥2TB*2，千兆电口管理口≥2个，千兆业务电口≥4个，千兆业务光口≥4个；整机吞吐≥4Gbps,双向审计数据库流量≥400Mbps,峰值SQL事务处理能力≥60000条/秒,数据库实例授权数≥25个，五年原厂保修，提供原厂工程师上门安装和五年的技术支持服务；中标后合同签订前须提供原厂五年免费质保函原件证明</w:t>
            </w:r>
            <w:r>
              <w:rPr>
                <w:highlight w:val="none"/>
              </w:rPr>
            </w:r>
            <w:r/>
          </w:p>
        </w:tc>
      </w:tr>
      <w:tr>
        <w:trPr>
          <w:jc w:val="center"/>
          <w:trHeight w:val="560"/>
        </w:trPr>
        <w:tc>
          <w:tcPr>
            <w:tcW w:w="1091" w:type="dxa"/>
            <w:vAlign w:val="center"/>
            <w:textDirection w:val="lrTb"/>
            <w:noWrap w:val="false"/>
          </w:tcPr>
          <w:p>
            <w:pPr>
              <w:pStyle w:val="747"/>
              <w:jc w:val="center"/>
              <w:rPr>
                <w:rFonts w:hAnsi="宋体"/>
                <w:color w:val="000000"/>
                <w:sz w:val="20"/>
                <w:szCs w:val="20"/>
                <w:highlight w:val="none"/>
              </w:rPr>
            </w:pPr>
            <w:r>
              <w:rPr>
                <w:rFonts w:hint="eastAsia" w:hAnsi="宋体" w:cs="宋体"/>
                <w:color w:val="000000"/>
                <w:sz w:val="20"/>
                <w:szCs w:val="20"/>
                <w:highlight w:val="none"/>
                <w:lang w:eastAsia="en-US"/>
              </w:rPr>
              <w:t xml:space="preserve">部署方式</w:t>
            </w:r>
            <w:r>
              <w:rPr>
                <w:highlight w:val="none"/>
              </w:rPr>
            </w:r>
            <w:r/>
          </w:p>
        </w:tc>
        <w:tc>
          <w:tcPr>
            <w:tcW w:w="7242" w:type="dxa"/>
            <w:vAlign w:val="center"/>
            <w:textDirection w:val="lrTb"/>
            <w:noWrap w:val="false"/>
          </w:tcPr>
          <w:p>
            <w:pPr>
              <w:rPr>
                <w:rFonts w:ascii="宋体" w:hAnsi="宋体"/>
                <w:color w:val="000000"/>
                <w:sz w:val="20"/>
                <w:szCs w:val="20"/>
                <w:highlight w:val="none"/>
              </w:rPr>
            </w:pPr>
            <w:r>
              <w:rPr>
                <w:rFonts w:hint="eastAsia" w:ascii="宋体" w:hAnsi="宋体" w:cs="宋体"/>
                <w:bCs/>
                <w:color w:val="000000"/>
                <w:sz w:val="20"/>
                <w:szCs w:val="20"/>
                <w:highlight w:val="none"/>
              </w:rPr>
              <w:t xml:space="preserve">支持旁路部署</w:t>
            </w:r>
            <w:r>
              <w:rPr>
                <w:rFonts w:ascii="宋体" w:hAnsi="宋体" w:cs="宋体"/>
                <w:bCs/>
                <w:color w:val="000000"/>
                <w:sz w:val="20"/>
                <w:szCs w:val="20"/>
                <w:highlight w:val="none"/>
              </w:rPr>
              <w:t xml:space="preserve">、</w:t>
            </w:r>
            <w:r>
              <w:rPr>
                <w:rFonts w:hint="eastAsia" w:ascii="宋体" w:hAnsi="宋体" w:cs="宋体"/>
                <w:bCs/>
                <w:color w:val="000000"/>
                <w:sz w:val="20"/>
                <w:szCs w:val="20"/>
                <w:highlight w:val="none"/>
              </w:rPr>
              <w:t xml:space="preserve">Agent方式部署</w:t>
            </w:r>
            <w:r>
              <w:rPr>
                <w:rFonts w:ascii="宋体" w:hAnsi="宋体" w:cs="宋体"/>
                <w:bCs/>
                <w:color w:val="000000"/>
                <w:sz w:val="20"/>
                <w:szCs w:val="20"/>
                <w:highlight w:val="none"/>
              </w:rPr>
              <w:t xml:space="preserve">，</w:t>
            </w:r>
            <w:r>
              <w:rPr>
                <w:rFonts w:hint="eastAsia" w:ascii="宋体" w:hAnsi="宋体" w:cs="宋体"/>
                <w:bCs/>
                <w:color w:val="000000"/>
                <w:sz w:val="20"/>
                <w:szCs w:val="20"/>
                <w:highlight w:val="none"/>
              </w:rPr>
              <w:t xml:space="preserve">支持IPv4/IPv6双栈审计。旁路镜像与Agent模式支持同时对外提供审计服务</w:t>
            </w:r>
            <w:r>
              <w:rPr>
                <w:highlight w:val="none"/>
              </w:rPr>
            </w:r>
            <w:r/>
          </w:p>
        </w:tc>
      </w:tr>
      <w:tr>
        <w:trPr>
          <w:jc w:val="center"/>
          <w:trHeight w:val="280"/>
        </w:trPr>
        <w:tc>
          <w:tcPr>
            <w:tcW w:w="1091" w:type="dxa"/>
            <w:vAlign w:val="center"/>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协议支持</w:t>
            </w:r>
            <w:r>
              <w:rPr>
                <w:highlight w:val="none"/>
              </w:rPr>
            </w:r>
            <w:r/>
          </w:p>
        </w:tc>
        <w:tc>
          <w:tcPr>
            <w:tcW w:w="7242" w:type="dxa"/>
            <w:vAlign w:val="center"/>
            <w:textDirection w:val="lrTb"/>
            <w:noWrap w:val="false"/>
          </w:tcPr>
          <w:p>
            <w:pPr>
              <w:widowControl/>
              <w:rPr>
                <w:rFonts w:ascii="宋体" w:hAnsi="宋体"/>
                <w:color w:val="000000"/>
                <w:sz w:val="20"/>
                <w:szCs w:val="20"/>
                <w:highlight w:val="none"/>
              </w:rPr>
            </w:pPr>
            <w:r>
              <w:rPr>
                <w:rFonts w:hint="eastAsia" w:ascii="宋体" w:hAnsi="宋体"/>
                <w:color w:val="000000"/>
                <w:sz w:val="20"/>
                <w:szCs w:val="20"/>
                <w:highlight w:val="none"/>
              </w:rPr>
              <w:t xml:space="preserve">支持Oracle（包括21C及其他版本）、Click</w:t>
            </w:r>
            <w:r>
              <w:rPr>
                <w:rFonts w:ascii="宋体" w:hAnsi="宋体"/>
                <w:color w:val="000000"/>
                <w:sz w:val="20"/>
                <w:szCs w:val="20"/>
                <w:highlight w:val="none"/>
              </w:rPr>
              <w:t xml:space="preserve">house</w:t>
            </w:r>
            <w:r>
              <w:rPr>
                <w:rFonts w:hint="eastAsia" w:ascii="宋体" w:hAnsi="宋体"/>
                <w:color w:val="000000"/>
                <w:sz w:val="20"/>
                <w:szCs w:val="20"/>
                <w:highlight w:val="none"/>
              </w:rPr>
              <w:t xml:space="preserve">、MySQL、SQL Server、Sybase ASE、DB2、Informix、Cache（包括2</w:t>
            </w:r>
            <w:r>
              <w:rPr>
                <w:rFonts w:ascii="宋体" w:hAnsi="宋体"/>
                <w:color w:val="000000"/>
                <w:sz w:val="20"/>
                <w:szCs w:val="20"/>
                <w:highlight w:val="none"/>
              </w:rPr>
              <w:t xml:space="preserve">021</w:t>
            </w:r>
            <w:r>
              <w:rPr>
                <w:rFonts w:hint="eastAsia" w:ascii="宋体" w:hAnsi="宋体"/>
                <w:color w:val="000000"/>
                <w:sz w:val="20"/>
                <w:szCs w:val="20"/>
                <w:highlight w:val="none"/>
              </w:rPr>
              <w:t xml:space="preserve">及其他版本）、 PostgreSQL（14及其他版本）、Vastbase、Teradata、MariaDB、Hana、LibrA、Sybase IQ、TiDB、Vertica、PolarDB、PolarDB-X、Percona</w:t>
            </w:r>
            <w:r>
              <w:rPr>
                <w:rFonts w:ascii="宋体" w:hAnsi="宋体"/>
                <w:color w:val="000000"/>
                <w:sz w:val="20"/>
                <w:szCs w:val="20"/>
                <w:highlight w:val="none"/>
              </w:rPr>
              <w:t xml:space="preserve">-</w:t>
            </w:r>
            <w:r>
              <w:rPr>
                <w:rFonts w:hint="eastAsia" w:ascii="宋体" w:hAnsi="宋体"/>
                <w:color w:val="000000"/>
                <w:sz w:val="20"/>
                <w:szCs w:val="20"/>
                <w:highlight w:val="none"/>
              </w:rPr>
              <w:t xml:space="preserve">MySQL、Percona</w:t>
            </w:r>
            <w:r>
              <w:rPr>
                <w:rFonts w:ascii="宋体" w:hAnsi="宋体"/>
                <w:color w:val="000000"/>
                <w:sz w:val="20"/>
                <w:szCs w:val="20"/>
                <w:highlight w:val="none"/>
              </w:rPr>
              <w:t xml:space="preserve">-M</w:t>
            </w:r>
            <w:r>
              <w:rPr>
                <w:rFonts w:hint="eastAsia" w:ascii="宋体" w:hAnsi="宋体"/>
                <w:color w:val="000000"/>
                <w:sz w:val="20"/>
                <w:szCs w:val="20"/>
                <w:highlight w:val="none"/>
              </w:rPr>
              <w:t xml:space="preserve">ongo</w:t>
            </w:r>
            <w:r>
              <w:rPr>
                <w:rFonts w:ascii="宋体" w:hAnsi="宋体"/>
                <w:color w:val="000000"/>
                <w:sz w:val="20"/>
                <w:szCs w:val="20"/>
                <w:highlight w:val="none"/>
              </w:rPr>
              <w:t xml:space="preserve">DB</w:t>
            </w:r>
            <w:r>
              <w:rPr>
                <w:rFonts w:hint="eastAsia" w:ascii="宋体" w:hAnsi="宋体"/>
                <w:color w:val="000000"/>
                <w:sz w:val="20"/>
                <w:szCs w:val="20"/>
                <w:highlight w:val="none"/>
              </w:rPr>
              <w:t xml:space="preserve">等主流数据库的审计；支持达梦（DM8及其他版本）、南大通用(GBase）、高斯（GaussDB）、人大金仓（KingbaseV8、V7及其他版本）、K-DB、神舟通用（Oscar）、OceanBase、瀚高（HighGo DB)、天翼云数据库Teledb-MySQL、天翼云数据库Teledb-PostgreSQL等国产数据库的审计</w:t>
            </w:r>
            <w:r>
              <w:rPr>
                <w:highlight w:val="none"/>
              </w:rPr>
            </w:r>
            <w:r/>
          </w:p>
        </w:tc>
      </w:tr>
      <w:tr>
        <w:trPr>
          <w:jc w:val="center"/>
          <w:trHeight w:val="560"/>
        </w:trPr>
        <w:tc>
          <w:tcPr>
            <w:tcW w:w="1091" w:type="dxa"/>
            <w:vAlign w:val="center"/>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审计功能</w:t>
            </w:r>
            <w:r>
              <w:rPr>
                <w:highlight w:val="none"/>
              </w:rPr>
            </w:r>
            <w:r/>
          </w:p>
        </w:tc>
        <w:tc>
          <w:tcPr>
            <w:tcW w:w="7242" w:type="dxa"/>
            <w:textDirection w:val="lrTb"/>
            <w:noWrap w:val="false"/>
          </w:tcPr>
          <w:p>
            <w:pPr>
              <w:jc w:val="left"/>
              <w:widowControl/>
              <w:rPr>
                <w:rFonts w:ascii="宋体" w:hAnsi="宋体"/>
                <w:color w:val="000000"/>
                <w:sz w:val="20"/>
                <w:szCs w:val="20"/>
                <w:highlight w:val="none"/>
              </w:rPr>
            </w:pPr>
            <w:r>
              <w:rPr>
                <w:highlight w:val="none"/>
              </w:rPr>
            </w:r>
            <w:bookmarkStart w:id="185" w:name="OLE_LINK107"/>
            <w:r>
              <w:rPr>
                <w:highlight w:val="none"/>
              </w:rPr>
            </w:r>
            <w:bookmarkStart w:id="186" w:name="OLE_LINK106"/>
            <w:r>
              <w:rPr>
                <w:highlight w:val="none"/>
              </w:rPr>
            </w:r>
            <w:bookmarkStart w:id="187" w:name="OLE_LINK105"/>
            <w:r>
              <w:rPr>
                <w:rFonts w:ascii="宋体" w:hAnsi="宋体" w:cs="宋体"/>
                <w:bCs/>
                <w:color w:val="000000"/>
                <w:sz w:val="20"/>
                <w:szCs w:val="20"/>
                <w:highlight w:val="none"/>
              </w:rPr>
              <w:t xml:space="preserve">★</w:t>
            </w:r>
            <w:bookmarkEnd w:id="185"/>
            <w:r>
              <w:rPr>
                <w:highlight w:val="none"/>
              </w:rPr>
            </w:r>
            <w:bookmarkEnd w:id="186"/>
            <w:r>
              <w:rPr>
                <w:highlight w:val="none"/>
              </w:rPr>
            </w:r>
            <w:bookmarkEnd w:id="187"/>
            <w:r>
              <w:rPr>
                <w:rFonts w:hint="eastAsia" w:ascii="宋体" w:hAnsi="宋体"/>
                <w:color w:val="000000"/>
                <w:sz w:val="20"/>
                <w:szCs w:val="20"/>
                <w:highlight w:val="none"/>
              </w:rPr>
              <w:t xml:space="preserve">审计信息能够记录执行时长、影响行数、执行结果描述、返回结果集（提供产品功能截图及第三方权威检测机构出具的检测报告证明）</w:t>
            </w:r>
            <w:r>
              <w:rPr>
                <w:highlight w:val="none"/>
              </w:rPr>
            </w:r>
            <w:r/>
          </w:p>
        </w:tc>
      </w:tr>
      <w:tr>
        <w:trPr>
          <w:jc w:val="center"/>
          <w:trHeight w:val="280"/>
        </w:trPr>
        <w:tc>
          <w:tcPr>
            <w:tcW w:w="1091" w:type="dxa"/>
            <w:vAlign w:val="center"/>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安全规则</w:t>
            </w:r>
            <w:r>
              <w:rPr>
                <w:highlight w:val="none"/>
              </w:rPr>
            </w:r>
            <w:r/>
          </w:p>
        </w:tc>
        <w:tc>
          <w:tcPr>
            <w:tcW w:w="7242"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s="宋体"/>
                <w:color w:val="000000"/>
                <w:sz w:val="20"/>
                <w:szCs w:val="20"/>
                <w:highlight w:val="none"/>
              </w:rPr>
              <w:t xml:space="preserve">产品具有内置规则，规则类型有SQL注入、账号安全、数据泄露和违规操作等，并可依据规则进行邮件告警</w:t>
            </w:r>
            <w:r>
              <w:rPr>
                <w:highlight w:val="none"/>
              </w:rPr>
            </w:r>
            <w:r/>
          </w:p>
        </w:tc>
      </w:tr>
      <w:tr>
        <w:trPr>
          <w:jc w:val="center"/>
          <w:trHeight w:val="280"/>
        </w:trPr>
        <w:tc>
          <w:tcPr>
            <w:tcW w:w="1091" w:type="dxa"/>
            <w:vAlign w:val="center"/>
            <w:textDirection w:val="lrTb"/>
            <w:noWrap w:val="false"/>
          </w:tcPr>
          <w:p>
            <w:pPr>
              <w:jc w:val="center"/>
              <w:rPr>
                <w:rFonts w:ascii="宋体" w:hAnsi="宋体"/>
                <w:color w:val="000000"/>
                <w:sz w:val="20"/>
                <w:szCs w:val="20"/>
                <w:highlight w:val="none"/>
              </w:rPr>
            </w:pPr>
            <w:r>
              <w:rPr>
                <w:rFonts w:hint="eastAsia" w:ascii="宋体" w:hAnsi="宋体"/>
                <w:color w:val="000000"/>
                <w:sz w:val="20"/>
                <w:szCs w:val="20"/>
                <w:highlight w:val="none"/>
              </w:rPr>
              <w:t xml:space="preserve">查询分析</w:t>
            </w:r>
            <w:r>
              <w:rPr>
                <w:highlight w:val="none"/>
              </w:rPr>
            </w:r>
            <w:r/>
          </w:p>
        </w:tc>
        <w:tc>
          <w:tcPr>
            <w:tcW w:w="7242" w:type="dxa"/>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支持在审计日志中一键添加过滤规则，支持在告警规则中一键添加信任规则或规则白名单，支持基于日期、时间、报文、审计ID、会话ID、SQL模板ID、资产、数据库账号、客户端IP、服务端IP等条件的审计查询</w:t>
            </w:r>
            <w:r>
              <w:rPr>
                <w:highlight w:val="none"/>
              </w:rPr>
            </w:r>
            <w:r/>
          </w:p>
        </w:tc>
      </w:tr>
      <w:tr>
        <w:trPr>
          <w:jc w:val="center"/>
          <w:trHeight w:val="280"/>
        </w:trPr>
        <w:tc>
          <w:tcPr>
            <w:tcW w:w="1091" w:type="dxa"/>
            <w:vAlign w:val="center"/>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模型分析</w:t>
            </w:r>
            <w:r>
              <w:rPr>
                <w:highlight w:val="none"/>
              </w:rPr>
            </w:r>
            <w:r/>
          </w:p>
        </w:tc>
        <w:tc>
          <w:tcPr>
            <w:tcW w:w="7242" w:type="dxa"/>
            <w:textDirection w:val="lrTb"/>
            <w:noWrap w:val="false"/>
          </w:tcPr>
          <w:p>
            <w:pPr>
              <w:jc w:val="left"/>
              <w:widowControl/>
              <w:rPr>
                <w:rFonts w:ascii="宋体" w:hAnsi="宋体"/>
                <w:color w:val="000000"/>
                <w:sz w:val="20"/>
                <w:szCs w:val="20"/>
                <w:highlight w:val="none"/>
              </w:rPr>
            </w:pPr>
            <w:r>
              <w:rPr>
                <w:rFonts w:ascii="宋体" w:hAnsi="宋体" w:cs="宋体"/>
                <w:bCs/>
                <w:color w:val="000000"/>
                <w:sz w:val="20"/>
                <w:szCs w:val="20"/>
                <w:highlight w:val="none"/>
              </w:rPr>
              <w:t xml:space="preserve">★</w:t>
            </w:r>
            <w:r>
              <w:rPr>
                <w:rFonts w:hint="eastAsia" w:ascii="宋体" w:hAnsi="宋体"/>
                <w:color w:val="000000"/>
                <w:sz w:val="20"/>
                <w:szCs w:val="20"/>
                <w:highlight w:val="none"/>
              </w:rPr>
              <w:t xml:space="preserve">可依据客户端工具名、数据库用户名、客户端IP、操作系统用户名、客户端主机名、数据库名、操作类型、服务器IP等配置行为模型，并可查看相应告警日志（提供</w:t>
            </w:r>
            <w:r>
              <w:rPr>
                <w:rFonts w:hint="eastAsia" w:ascii="宋体" w:hAnsi="宋体" w:cs="宋体"/>
                <w:bCs/>
                <w:color w:val="000000"/>
                <w:sz w:val="20"/>
                <w:szCs w:val="20"/>
                <w:highlight w:val="none"/>
              </w:rPr>
              <w:t xml:space="preserve">功能截图与</w:t>
            </w:r>
            <w:r>
              <w:rPr>
                <w:rFonts w:hint="eastAsia" w:ascii="宋体" w:hAnsi="宋体"/>
                <w:color w:val="000000"/>
                <w:sz w:val="20"/>
                <w:szCs w:val="20"/>
                <w:highlight w:val="none"/>
              </w:rPr>
              <w:t xml:space="preserve">第三方权威机构检测报告</w:t>
            </w:r>
            <w:r>
              <w:rPr>
                <w:rFonts w:hint="eastAsia" w:ascii="宋体" w:hAnsi="宋体"/>
                <w:color w:val="000000"/>
                <w:sz w:val="20"/>
                <w:szCs w:val="20"/>
                <w:highlight w:val="none"/>
                <w:lang w:eastAsia="zh-CN"/>
              </w:rPr>
              <w:t xml:space="preserve">证明</w:t>
            </w:r>
            <w:r>
              <w:rPr>
                <w:rFonts w:hint="eastAsia" w:ascii="宋体" w:hAnsi="宋体"/>
                <w:color w:val="000000"/>
                <w:sz w:val="20"/>
                <w:szCs w:val="20"/>
                <w:highlight w:val="none"/>
              </w:rPr>
              <w:t xml:space="preserve">）</w:t>
            </w:r>
            <w:r>
              <w:rPr>
                <w:highlight w:val="none"/>
              </w:rPr>
            </w:r>
            <w:r/>
          </w:p>
        </w:tc>
      </w:tr>
      <w:tr>
        <w:trPr>
          <w:jc w:val="center"/>
          <w:trHeight w:val="280"/>
        </w:trPr>
        <w:tc>
          <w:tcPr>
            <w:tcW w:w="1091" w:type="dxa"/>
            <w:vAlign w:val="center"/>
            <w:textDirection w:val="lrTb"/>
            <w:noWrap w:val="false"/>
          </w:tcPr>
          <w:p>
            <w:pPr>
              <w:pStyle w:val="747"/>
              <w:jc w:val="center"/>
              <w:rPr>
                <w:rFonts w:hAnsi="宋体"/>
                <w:color w:val="000000"/>
                <w:sz w:val="20"/>
                <w:szCs w:val="20"/>
                <w:highlight w:val="none"/>
              </w:rPr>
            </w:pPr>
            <w:r>
              <w:rPr>
                <w:rFonts w:hint="eastAsia" w:hAnsi="宋体" w:cs="宋体"/>
                <w:color w:val="000000"/>
                <w:sz w:val="20"/>
                <w:szCs w:val="20"/>
                <w:highlight w:val="none"/>
              </w:rPr>
              <w:t xml:space="preserve">三层关联</w:t>
            </w:r>
            <w:r>
              <w:rPr>
                <w:highlight w:val="none"/>
              </w:rPr>
            </w:r>
            <w:r/>
          </w:p>
        </w:tc>
        <w:tc>
          <w:tcPr>
            <w:tcW w:w="7242" w:type="dxa"/>
            <w:textDirection w:val="lrTb"/>
            <w:noWrap w:val="false"/>
          </w:tcPr>
          <w:p>
            <w:pPr>
              <w:rPr>
                <w:rFonts w:ascii="宋体" w:hAnsi="宋体"/>
                <w:color w:val="000000"/>
                <w:sz w:val="20"/>
                <w:szCs w:val="20"/>
                <w:highlight w:val="none"/>
              </w:rPr>
            </w:pPr>
            <w:r>
              <w:rPr>
                <w:rFonts w:hint="eastAsia" w:ascii="宋体" w:hAnsi="宋体"/>
                <w:color w:val="000000"/>
                <w:sz w:val="20"/>
                <w:szCs w:val="20"/>
                <w:highlight w:val="none"/>
              </w:rPr>
              <w:t xml:space="preserve">可提供客户端访问Web服务器的URL和应用服务器访问数据库的SQL语句关联功能</w:t>
            </w:r>
            <w:r>
              <w:rPr>
                <w:highlight w:val="none"/>
              </w:rPr>
            </w:r>
            <w:r/>
          </w:p>
        </w:tc>
      </w:tr>
      <w:tr>
        <w:trPr>
          <w:jc w:val="center"/>
          <w:trHeight w:val="280"/>
        </w:trPr>
        <w:tc>
          <w:tcPr>
            <w:tcW w:w="1091" w:type="dxa"/>
            <w:vAlign w:val="center"/>
            <w:vMerge w:val="restart"/>
            <w:textDirection w:val="lrTb"/>
            <w:noWrap w:val="false"/>
          </w:tcPr>
          <w:p>
            <w:pPr>
              <w:jc w:val="center"/>
              <w:widowControl/>
              <w:rPr>
                <w:rFonts w:ascii="宋体" w:hAnsi="宋体"/>
                <w:color w:val="000000"/>
                <w:sz w:val="20"/>
                <w:szCs w:val="20"/>
                <w:highlight w:val="none"/>
              </w:rPr>
            </w:pPr>
            <w:r>
              <w:rPr>
                <w:rFonts w:hint="eastAsia" w:ascii="宋体" w:hAnsi="宋体"/>
                <w:color w:val="000000"/>
                <w:sz w:val="20"/>
                <w:szCs w:val="20"/>
                <w:highlight w:val="none"/>
              </w:rPr>
              <w:t xml:space="preserve">资质要求</w:t>
            </w:r>
            <w:r>
              <w:rPr>
                <w:highlight w:val="none"/>
              </w:rPr>
            </w:r>
            <w:r/>
          </w:p>
        </w:tc>
        <w:tc>
          <w:tcPr>
            <w:tcW w:w="7242" w:type="dxa"/>
            <w:vAlign w:val="center"/>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产品获得具备中国信息安全测评中心颁发的《信息技术产品安全测评证书》级别EAL3+，</w:t>
            </w:r>
            <w:r>
              <w:rPr>
                <w:rFonts w:hint="eastAsia" w:ascii="宋体" w:hAnsi="宋体" w:cs="宋体"/>
                <w:bCs/>
                <w:color w:val="000000"/>
                <w:sz w:val="20"/>
                <w:szCs w:val="20"/>
                <w:highlight w:val="none"/>
              </w:rPr>
              <w:t xml:space="preserve">提供证书复印件</w:t>
            </w:r>
            <w:r>
              <w:rPr>
                <w:highlight w:val="none"/>
              </w:rPr>
            </w:r>
            <w:r/>
          </w:p>
        </w:tc>
      </w:tr>
      <w:tr>
        <w:trPr>
          <w:jc w:val="center"/>
          <w:trHeight w:val="280"/>
        </w:trPr>
        <w:tc>
          <w:tcPr>
            <w:tcW w:w="1091" w:type="dxa"/>
            <w:vAlign w:val="center"/>
            <w:vMerge w:val="continue"/>
            <w:textDirection w:val="lrTb"/>
            <w:noWrap w:val="false"/>
          </w:tcPr>
          <w:p>
            <w:pPr>
              <w:jc w:val="center"/>
              <w:widowControl/>
              <w:rPr>
                <w:rFonts w:ascii="宋体" w:hAnsi="宋体"/>
                <w:color w:val="000000"/>
                <w:sz w:val="20"/>
                <w:szCs w:val="20"/>
              </w:rPr>
            </w:pPr>
            <w:r>
              <w:rPr>
                <w:rFonts w:ascii="宋体" w:hAnsi="宋体"/>
                <w:color w:val="000000"/>
                <w:sz w:val="20"/>
                <w:szCs w:val="20"/>
              </w:rPr>
            </w:r>
            <w:r/>
          </w:p>
        </w:tc>
        <w:tc>
          <w:tcPr>
            <w:tcW w:w="7242" w:type="dxa"/>
            <w:textDirection w:val="lrTb"/>
            <w:noWrap w:val="false"/>
          </w:tcPr>
          <w:p>
            <w:pPr>
              <w:jc w:val="left"/>
              <w:widowControl/>
              <w:rPr>
                <w:rFonts w:ascii="宋体" w:hAnsi="宋体"/>
                <w:color w:val="000000"/>
                <w:sz w:val="20"/>
                <w:szCs w:val="20"/>
                <w:highlight w:val="none"/>
              </w:rPr>
            </w:pPr>
            <w:r>
              <w:rPr>
                <w:rFonts w:hint="eastAsia" w:ascii="宋体" w:hAnsi="宋体"/>
                <w:color w:val="000000"/>
                <w:sz w:val="20"/>
                <w:szCs w:val="20"/>
                <w:highlight w:val="none"/>
              </w:rPr>
              <w:t xml:space="preserve">产品具备国家信息安全漏洞库兼容性资质证书，</w:t>
            </w:r>
            <w:r>
              <w:rPr>
                <w:rFonts w:hint="eastAsia" w:ascii="宋体" w:hAnsi="宋体" w:cs="宋体"/>
                <w:bCs/>
                <w:color w:val="000000"/>
                <w:sz w:val="20"/>
                <w:szCs w:val="20"/>
                <w:highlight w:val="none"/>
              </w:rPr>
              <w:t xml:space="preserve">提供证书复印件</w:t>
            </w:r>
            <w:r>
              <w:rPr>
                <w:highlight w:val="none"/>
              </w:rPr>
            </w:r>
            <w:r/>
          </w:p>
        </w:tc>
      </w:tr>
    </w:tbl>
    <w:p>
      <w:pPr>
        <w:pStyle w:val="743"/>
        <w:rPr>
          <w:rFonts w:ascii="宋体" w:hAnsi="宋体" w:eastAsia="宋体"/>
          <w:color w:val="000000"/>
          <w:sz w:val="24"/>
          <w:szCs w:val="22"/>
          <w:highlight w:val="none"/>
        </w:rPr>
      </w:pPr>
      <w:r>
        <w:rPr>
          <w:rFonts w:ascii="宋体" w:hAnsi="宋体" w:eastAsia="宋体"/>
          <w:color w:val="000000"/>
          <w:sz w:val="24"/>
          <w:szCs w:val="22"/>
          <w:highlight w:val="none"/>
        </w:rPr>
      </w:r>
      <w:r>
        <w:rPr>
          <w:highlight w:val="none"/>
        </w:rPr>
      </w:r>
      <w:r/>
    </w:p>
    <w:p>
      <w:pPr>
        <w:pStyle w:val="743"/>
        <w:numPr>
          <w:ilvl w:val="0"/>
          <w:numId w:val="15"/>
        </w:numPr>
        <w:rPr>
          <w:rFonts w:ascii="宋体" w:hAnsi="宋体" w:cs="宋体"/>
          <w:color w:val="000000"/>
          <w:szCs w:val="24"/>
          <w:highlight w:val="none"/>
        </w:rPr>
      </w:pPr>
      <w:r>
        <w:rPr>
          <w:rFonts w:hint="eastAsia" w:ascii="宋体" w:hAnsi="宋体" w:cs="宋体"/>
          <w:color w:val="000000"/>
          <w:szCs w:val="24"/>
          <w:highlight w:val="none"/>
        </w:rPr>
        <w:t xml:space="preserve">违规外联监测系统（数量：1套）</w:t>
      </w:r>
      <w:r>
        <w:rPr>
          <w:highlight w:val="none"/>
        </w:rPr>
      </w:r>
      <w:r/>
    </w:p>
    <w:tbl>
      <w:tblPr>
        <w:tblStyle w:val="10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7423"/>
      </w:tblGrid>
      <w:tr>
        <w:trPr>
          <w:cantSplit/>
          <w:jc w:val="center"/>
        </w:trPr>
        <w:tc>
          <w:tcPr>
            <w:shd w:val="clear" w:color="auto" w:fill="d9d9d9"/>
            <w:tcW w:w="1099"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指标项</w:t>
            </w:r>
            <w:r>
              <w:rPr>
                <w:highlight w:val="none"/>
              </w:rPr>
            </w:r>
            <w:r/>
          </w:p>
        </w:tc>
        <w:tc>
          <w:tcPr>
            <w:shd w:val="clear" w:color="auto" w:fill="d9d9d9"/>
            <w:tcW w:w="7423" w:type="dxa"/>
            <w:vAlign w:val="center"/>
            <w:textDirection w:val="lrTb"/>
            <w:noWrap w:val="false"/>
          </w:tcPr>
          <w:p>
            <w:pPr>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配置要求</w:t>
            </w:r>
            <w:r>
              <w:rPr>
                <w:highlight w:val="none"/>
              </w:rPr>
            </w:r>
            <w:r/>
          </w:p>
        </w:tc>
      </w:tr>
      <w:tr>
        <w:trPr>
          <w:cantSplit/>
          <w:jc w:val="center"/>
          <w:trHeight w:val="479"/>
        </w:trPr>
        <w:tc>
          <w:tcPr>
            <w:tcW w:w="1099" w:type="dxa"/>
            <w:vAlign w:val="center"/>
            <w:textDirection w:val="lrTb"/>
            <w:noWrap w:val="false"/>
          </w:tcPr>
          <w:p>
            <w:pPr>
              <w:pStyle w:val="1030"/>
              <w:rPr>
                <w:rFonts w:ascii="宋体" w:hAnsi="宋体"/>
                <w:bCs/>
                <w:color w:val="000000"/>
                <w:sz w:val="20"/>
                <w:szCs w:val="20"/>
                <w:highlight w:val="none"/>
              </w:rPr>
            </w:pPr>
            <w:r>
              <w:rPr>
                <w:rFonts w:hint="eastAsia" w:ascii="宋体" w:hAnsi="宋体"/>
                <w:color w:val="000000"/>
                <w:sz w:val="20"/>
                <w:szCs w:val="20"/>
                <w:highlight w:val="none"/>
              </w:rPr>
              <w:t xml:space="preserve">基本要求</w:t>
            </w:r>
            <w:r>
              <w:rPr>
                <w:highlight w:val="none"/>
              </w:rPr>
            </w:r>
            <w:r/>
          </w:p>
        </w:tc>
        <w:tc>
          <w:tcPr>
            <w:tcW w:w="7423" w:type="dxa"/>
            <w:vAlign w:val="center"/>
            <w:textDirection w:val="lrTb"/>
            <w:noWrap w:val="false"/>
          </w:tcPr>
          <w:p>
            <w:pPr>
              <w:jc w:val="left"/>
              <w:widowControl/>
              <w:rPr>
                <w:rFonts w:ascii="宋体" w:hAnsi="宋体"/>
                <w:bCs/>
                <w:color w:val="000000"/>
                <w:sz w:val="20"/>
                <w:szCs w:val="20"/>
                <w:highlight w:val="none"/>
              </w:rPr>
            </w:pPr>
            <w:r>
              <w:rPr>
                <w:rFonts w:hint="eastAsia" w:ascii="宋体" w:hAnsi="宋体" w:cs="宋体"/>
                <w:b/>
                <w:bCs/>
                <w:i/>
                <w:iCs/>
                <w:color w:val="000000"/>
                <w:szCs w:val="21"/>
                <w:highlight w:val="none"/>
                <w:u w:val="single"/>
              </w:rPr>
              <w:t xml:space="preserve">软硬一体化1U标准机架式设备，单电源；CPU≥6核12线程，内存≥64G，硬盘≥2*480G SSD（Raid 1）+2*4TB SAS（Raid 1）， 千兆电口≥2个，USB接口≥6个，console口≥1个；授权资产数</w:t>
            </w:r>
            <w:r>
              <w:rPr>
                <w:rFonts w:ascii="宋体" w:hAnsi="宋体" w:cs="宋体"/>
                <w:b/>
                <w:bCs/>
                <w:i/>
                <w:iCs/>
                <w:color w:val="000000"/>
                <w:szCs w:val="21"/>
                <w:highlight w:val="none"/>
                <w:u w:val="single"/>
              </w:rPr>
              <w:t xml:space="preserve">:</w:t>
            </w:r>
            <w:r>
              <w:rPr>
                <w:rFonts w:hint="eastAsia" w:ascii="宋体" w:hAnsi="宋体" w:cs="宋体"/>
                <w:b/>
                <w:bCs/>
                <w:i/>
                <w:iCs/>
                <w:color w:val="000000"/>
                <w:szCs w:val="21"/>
                <w:highlight w:val="none"/>
                <w:u w:val="single"/>
              </w:rPr>
              <w:t xml:space="preserve">≥3000个，最大扫描数≥3000个，整机吞吐≥2Gbps，最大并发数≥20万，五年原厂保修，提供原厂工程师上门安装和五年的技术支持服务；中标后合同签订前须提供原厂五年免费质保函原件证明</w:t>
            </w:r>
            <w:r>
              <w:rPr>
                <w:highlight w:val="none"/>
              </w:rPr>
            </w:r>
            <w:r/>
          </w:p>
        </w:tc>
      </w:tr>
      <w:tr>
        <w:trPr>
          <w:cantSplit/>
          <w:jc w:val="center"/>
        </w:trPr>
        <w:tc>
          <w:tcPr>
            <w:tcW w:w="1099"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设备安全监测</w:t>
            </w:r>
            <w:r>
              <w:rPr>
                <w:highlight w:val="none"/>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支持网络摄像机监测、PC属性设备监测、对在网资产信息监测、资产状态监测，可进行自定义监测频率设置</w:t>
            </w:r>
            <w:r>
              <w:rPr>
                <w:highlight w:val="none"/>
              </w:rPr>
            </w:r>
            <w:r/>
          </w:p>
        </w:tc>
      </w:tr>
      <w:tr>
        <w:trPr>
          <w:cantSplit/>
          <w:jc w:val="center"/>
          <w:trHeight w:val="1325"/>
        </w:trPr>
        <w:tc>
          <w:tcPr>
            <w:tcW w:w="1099"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信令安全监测</w:t>
            </w:r>
            <w:r>
              <w:rPr>
                <w:highlight w:val="none"/>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支持高危信令监测，对可能对视频设备、视频数据等造成影响的高危信令进行安全监测、分析与告警，支持异常信令监测，对信令的来源、时间、频繁度等不同的角度进行综合分析，及时发现信令异常情况</w:t>
            </w:r>
            <w:r>
              <w:rPr>
                <w:highlight w:val="none"/>
              </w:rPr>
            </w:r>
            <w:r/>
          </w:p>
        </w:tc>
      </w:tr>
      <w:tr>
        <w:trPr>
          <w:cantSplit/>
          <w:jc w:val="center"/>
          <w:trHeight w:val="808"/>
        </w:trPr>
        <w:tc>
          <w:tcPr>
            <w:tcW w:w="1099" w:type="dxa"/>
            <w:vAlign w:val="center"/>
            <w:vMerge w:val="restart"/>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边界安全监测</w:t>
            </w:r>
            <w:r>
              <w:rPr>
                <w:highlight w:val="none"/>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bCs/>
                <w:color w:val="000000"/>
                <w:sz w:val="20"/>
                <w:szCs w:val="20"/>
                <w:highlight w:val="none"/>
              </w:rPr>
              <w:t xml:space="preserve">支持违规外联监测，可监测范围内终端的两网互通（同时连接内网和互联网）的行为，并可在两网互通监测平台子模块中定位其终端地址（内网IP和互联网IP）（提供产品功能截图及第三方权威检测机构出具的检测报告证明）</w:t>
            </w:r>
            <w:r>
              <w:rPr>
                <w:highlight w:val="none"/>
              </w:rPr>
            </w:r>
            <w:r/>
          </w:p>
        </w:tc>
      </w:tr>
      <w:tr>
        <w:trPr>
          <w:cantSplit/>
          <w:jc w:val="center"/>
          <w:trHeight w:val="806"/>
        </w:trPr>
        <w:tc>
          <w:tcPr>
            <w:tcW w:w="1099" w:type="dxa"/>
            <w:vAlign w:val="center"/>
            <w:vMerge w:val="continue"/>
            <w:textDirection w:val="lrTb"/>
            <w:noWrap w:val="false"/>
          </w:tcPr>
          <w:p>
            <w:pPr>
              <w:pStyle w:val="1030"/>
              <w:rPr>
                <w:rFonts w:ascii="宋体" w:hAnsi="宋体"/>
                <w:bCs/>
                <w:color w:val="000000"/>
                <w:sz w:val="20"/>
                <w:szCs w:val="20"/>
              </w:rPr>
            </w:pPr>
            <w:r>
              <w:rPr>
                <w:rFonts w:ascii="宋体" w:hAnsi="宋体"/>
                <w:bCs/>
                <w:color w:val="000000"/>
                <w:sz w:val="20"/>
                <w:szCs w:val="20"/>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cs="宋体"/>
                <w:color w:val="000000"/>
                <w:sz w:val="20"/>
                <w:szCs w:val="20"/>
                <w:highlight w:val="none"/>
              </w:rPr>
              <w:t xml:space="preserve">★</w:t>
            </w:r>
            <w:r>
              <w:rPr>
                <w:rFonts w:hint="eastAsia" w:ascii="宋体" w:hAnsi="宋体"/>
                <w:bCs/>
                <w:color w:val="000000"/>
                <w:sz w:val="20"/>
                <w:szCs w:val="20"/>
                <w:highlight w:val="none"/>
              </w:rPr>
              <w:t xml:space="preserve">支持网中网监测，提供网中网分析，可监测视频网中存在的包括NAT设备等的私有局域网情况；支持边界安全监测，可显示网闸设备、小型路由器、代理服务器等边界安全设备的监测信息</w:t>
            </w:r>
            <w:r>
              <w:rPr>
                <w:rFonts w:hint="eastAsia" w:ascii="宋体" w:hAnsi="宋体"/>
                <w:color w:val="000000"/>
                <w:sz w:val="20"/>
                <w:szCs w:val="20"/>
                <w:highlight w:val="none"/>
              </w:rPr>
              <w:t xml:space="preserve">（提供第三方权威机构检测报告</w:t>
            </w:r>
            <w:r>
              <w:rPr>
                <w:rFonts w:hint="eastAsia" w:ascii="宋体" w:hAnsi="宋体"/>
                <w:color w:val="000000"/>
                <w:sz w:val="20"/>
                <w:szCs w:val="20"/>
                <w:highlight w:val="none"/>
                <w:lang w:eastAsia="zh-CN"/>
              </w:rPr>
              <w:t xml:space="preserve">证明</w:t>
            </w:r>
            <w:r>
              <w:rPr>
                <w:rFonts w:hint="eastAsia" w:ascii="宋体" w:hAnsi="宋体"/>
                <w:color w:val="000000"/>
                <w:sz w:val="20"/>
                <w:szCs w:val="20"/>
                <w:highlight w:val="none"/>
              </w:rPr>
              <w:t xml:space="preserve">）</w:t>
            </w:r>
            <w:r>
              <w:rPr>
                <w:highlight w:val="none"/>
              </w:rPr>
            </w:r>
            <w:r/>
          </w:p>
        </w:tc>
      </w:tr>
      <w:tr>
        <w:trPr>
          <w:cantSplit/>
          <w:jc w:val="center"/>
          <w:trHeight w:val="1210"/>
        </w:trPr>
        <w:tc>
          <w:tcPr>
            <w:tcW w:w="1099"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网内攻击监测</w:t>
            </w:r>
            <w:r>
              <w:rPr>
                <w:highlight w:val="none"/>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支持恶意扫描，监测网络中频繁或大规模的访问其它主机设备、服务端口的行为，提供发起扫描的设备地址、被扫描最多主机、被扫描最多端口等详细信息；支持病毒木马监测，监测病毒或木马程序利用已知漏洞进行大规模传播的行为。提供病毒木马对应的详细通信记录以及特征信息，包括开始时间、结束时间、病毒源（地址、端口）、被攻击目标（地址、端口）等信息</w:t>
            </w:r>
            <w:r>
              <w:rPr>
                <w:highlight w:val="none"/>
              </w:rPr>
            </w:r>
            <w:r/>
          </w:p>
        </w:tc>
      </w:tr>
      <w:tr>
        <w:trPr>
          <w:cantSplit/>
          <w:jc w:val="center"/>
          <w:trHeight w:val="808"/>
        </w:trPr>
        <w:tc>
          <w:tcPr>
            <w:tcW w:w="1099"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安全隐患监测</w:t>
            </w:r>
            <w:r>
              <w:rPr>
                <w:highlight w:val="none"/>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支持脆弱性监测，对使用弱口令、设备端口的安全风险隐患进行监测和发现。用户可以自定义扫描目标、类型、扫描时间策略。系统会根据设备类型进行漏洞扫描</w:t>
            </w:r>
            <w:r>
              <w:rPr>
                <w:highlight w:val="none"/>
              </w:rPr>
            </w:r>
            <w:r/>
          </w:p>
        </w:tc>
      </w:tr>
      <w:tr>
        <w:trPr>
          <w:cantSplit/>
          <w:jc w:val="center"/>
        </w:trPr>
        <w:tc>
          <w:tcPr>
            <w:tcW w:w="1099"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告警管理</w:t>
            </w:r>
            <w:r>
              <w:rPr>
                <w:highlight w:val="none"/>
              </w:rPr>
            </w:r>
            <w:r/>
          </w:p>
        </w:tc>
        <w:tc>
          <w:tcPr>
            <w:tcW w:w="7423" w:type="dxa"/>
            <w:vAlign w:val="center"/>
            <w:textDirection w:val="lrTb"/>
            <w:noWrap w:val="false"/>
          </w:tcPr>
          <w:p>
            <w:pPr>
              <w:pStyle w:val="1031"/>
              <w:numPr>
                <w:ilvl w:val="0"/>
                <w:numId w:val="0"/>
              </w:numPr>
              <w:rPr>
                <w:rFonts w:ascii="宋体" w:hAnsi="宋体" w:cs="Times New Roman"/>
                <w:bCs/>
                <w:color w:val="000000"/>
                <w:sz w:val="20"/>
                <w:szCs w:val="20"/>
                <w:highlight w:val="none"/>
              </w:rPr>
            </w:pPr>
            <w:r>
              <w:rPr>
                <w:rFonts w:hint="eastAsia" w:ascii="宋体" w:hAnsi="宋体" w:cs="Times New Roman"/>
                <w:bCs/>
                <w:color w:val="000000"/>
                <w:sz w:val="20"/>
                <w:szCs w:val="20"/>
                <w:highlight w:val="none"/>
              </w:rPr>
              <w:t xml:space="preserve">提供告警事件类型、类别、等级、内容、告警时间、持续等告警事件管理。提供告警事件名称、类型、状态、级别、告警时间、签收时间、处理时间、处理人、处理结果等告警事件处置管理</w:t>
            </w:r>
            <w:r>
              <w:rPr>
                <w:highlight w:val="none"/>
              </w:rPr>
            </w:r>
            <w:r/>
          </w:p>
        </w:tc>
      </w:tr>
      <w:tr>
        <w:trPr>
          <w:cantSplit/>
          <w:jc w:val="center"/>
        </w:trPr>
        <w:tc>
          <w:tcPr>
            <w:tcW w:w="1099" w:type="dxa"/>
            <w:vAlign w:val="center"/>
            <w:vMerge w:val="restart"/>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资质要求</w:t>
            </w:r>
            <w:r>
              <w:rPr>
                <w:highlight w:val="none"/>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产品具备公安部颁发的《计算机信息系统安全专用产品销售许可证》，提供证书复印件</w:t>
            </w:r>
            <w:r>
              <w:rPr>
                <w:highlight w:val="none"/>
              </w:rPr>
            </w:r>
            <w:r/>
          </w:p>
        </w:tc>
      </w:tr>
      <w:tr>
        <w:trPr>
          <w:cantSplit/>
          <w:jc w:val="center"/>
        </w:trPr>
        <w:tc>
          <w:tcPr>
            <w:tcW w:w="1099" w:type="dxa"/>
            <w:vAlign w:val="center"/>
            <w:vMerge w:val="continue"/>
            <w:textDirection w:val="lrTb"/>
            <w:noWrap w:val="false"/>
          </w:tcPr>
          <w:p>
            <w:pPr>
              <w:pStyle w:val="1030"/>
              <w:rPr>
                <w:rFonts w:ascii="宋体" w:hAnsi="宋体"/>
                <w:bCs/>
                <w:color w:val="000000"/>
                <w:sz w:val="20"/>
                <w:szCs w:val="20"/>
              </w:rPr>
            </w:pPr>
            <w:r>
              <w:rPr>
                <w:rFonts w:ascii="宋体" w:hAnsi="宋体"/>
                <w:bCs/>
                <w:color w:val="000000"/>
                <w:sz w:val="20"/>
                <w:szCs w:val="20"/>
              </w:rPr>
            </w:r>
            <w:r/>
          </w:p>
        </w:tc>
        <w:tc>
          <w:tcPr>
            <w:tcW w:w="7423" w:type="dxa"/>
            <w:vAlign w:val="center"/>
            <w:textDirection w:val="lrTb"/>
            <w:noWrap w:val="false"/>
          </w:tcPr>
          <w:p>
            <w:pPr>
              <w:pStyle w:val="1030"/>
              <w:rPr>
                <w:rFonts w:ascii="宋体" w:hAnsi="宋体"/>
                <w:bCs/>
                <w:color w:val="000000"/>
                <w:sz w:val="20"/>
                <w:szCs w:val="20"/>
                <w:highlight w:val="none"/>
              </w:rPr>
            </w:pPr>
            <w:r>
              <w:rPr>
                <w:rFonts w:hint="eastAsia" w:ascii="宋体" w:hAnsi="宋体"/>
                <w:bCs/>
                <w:color w:val="000000"/>
                <w:sz w:val="20"/>
                <w:szCs w:val="20"/>
                <w:highlight w:val="none"/>
              </w:rPr>
              <w:t xml:space="preserve">产品具备完整的计算机软件著作权登记证书，提供证书复印件</w:t>
            </w:r>
            <w:r>
              <w:rPr>
                <w:highlight w:val="none"/>
              </w:rPr>
            </w:r>
            <w:r/>
          </w:p>
        </w:tc>
      </w:tr>
    </w:tbl>
    <w:p>
      <w:pPr>
        <w:pStyle w:val="743"/>
        <w:rPr>
          <w:rFonts w:ascii="宋体" w:hAnsi="宋体" w:cs="宋体"/>
          <w:color w:val="000000"/>
          <w:szCs w:val="24"/>
          <w:highlight w:val="none"/>
        </w:rPr>
      </w:pPr>
      <w:r>
        <w:rPr>
          <w:rFonts w:ascii="宋体" w:hAnsi="宋体" w:cs="宋体"/>
          <w:color w:val="000000"/>
          <w:szCs w:val="24"/>
          <w:highlight w:val="none"/>
        </w:rPr>
      </w:r>
      <w:r>
        <w:rPr>
          <w:highlight w:val="none"/>
        </w:rPr>
      </w:r>
      <w:r/>
    </w:p>
    <w:p>
      <w:pPr>
        <w:pStyle w:val="743"/>
        <w:numPr>
          <w:ilvl w:val="0"/>
          <w:numId w:val="15"/>
        </w:numPr>
        <w:rPr>
          <w:rFonts w:ascii="宋体" w:hAnsi="宋体" w:cs="宋体"/>
          <w:color w:val="000000"/>
          <w:szCs w:val="24"/>
          <w:highlight w:val="none"/>
        </w:rPr>
      </w:pPr>
      <w:r>
        <w:rPr>
          <w:rFonts w:hint="eastAsia" w:ascii="宋体" w:hAnsi="宋体" w:cs="宋体"/>
          <w:color w:val="000000"/>
          <w:szCs w:val="24"/>
          <w:highlight w:val="none"/>
        </w:rPr>
        <w:t xml:space="preserve">网络安全专业服务（数量：1项）</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一、服务需求</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（1）漏洞扫描</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应基于自动化扫描工具，通过定制的扫描规则，对采购人业务系统范围内各种软硬件设备进行网络层、系统层、数据库、应用层面进行扫描与分析，扫描设备检测规则库及知识库应涵盖CVE、CNCVE、CNVD、CNNVD等标准。扫描完成后需人工验证所发现的操作系统漏洞、数据库漏洞、弱口令、信息泄露及配置不当等脆弱性问题，每月提供不少于1次扫描服务。</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应对采购方所属的信息系统开展每季度漏洞扫描，根据实际需求进行增加。需交付《漏洞扫描报告》，并针对漏洞扫描中出现的问题，提供解决方案，协助用户进行解决。</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（2）渗透测试</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应基于工具扫描、人工测试、分析的手段，以模拟黑客入侵的方式对</w:t>
      </w:r>
      <w:r>
        <w:rPr>
          <w:rFonts w:hint="eastAsia" w:ascii="宋体" w:hAnsi="宋体" w:cs="宋体"/>
          <w:b/>
          <w:bCs/>
          <w:i/>
          <w:iCs/>
          <w:color w:val="000000"/>
          <w:szCs w:val="21"/>
          <w:highlight w:val="none"/>
          <w:u w:val="single"/>
        </w:rPr>
        <w:t xml:space="preserve">采购人的业务系统进行模拟入侵测试，识别采购人业务系统存在的安全风险。渗透测试内容至少包括：信息收集类、配置管理类（HTTP方法测试、应用中间件测试、信息泄露、异常错误等）、认证类（用户枚举、密码猜解、密码重置、密码策略测试等）、会话类（cookie测试、session会话测试等）、授权类（越权访问、路径遍历、任意文件下载、逻辑缺陷测试等）、数据验证类（SQL注入、跨站脚本、代码注入、URL跳转、文件上传测试等、输入输出校验绕过、数据篡改）、系统应用漏洞（溢出、0day漏洞等）。每季度提供不少于一次测试服务。</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需交付系统渗透测试方案、渗透测试报告，并协助开展漏洞复测，确保系统漏洞修复完成。</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（3）应急响应</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当采购人遇到突发安全事件后，应按照应急响应流程，向采购人提供从事件接收到事件判断、应急启动、应急处理、事态控制、应急恢复等应急响应动作，在第一时间锁定事件、控制事件、解决事件，恢复系统正常运行，每次安全事件应急响应完成后，应提交应急响应报告。每年根据实际现状按需提供应急响应服务，需交付《应急响应报告》。</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（4）应急演练</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按照网络信息安全相关规定要求，以及采购人系统实际环境情况，定期进行全院应急演练。需提供多个场景下的演练方案，以模拟演练或者桌面推演的方式检验应急预案的完整性、可行性，提高应急处理能力，并对演练结果进行技术分析，形成演练报告，对安全隐患进行评估，形成改进和优化建议。服务期内提供不少于2次应急演练服务。</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需交付应急演练方案、应急演练总结报告。</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（5）安全意识培训</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为提高采购人内部人员的信息安全意识及安全管理能力，服务提供商需开展信息安全意识培训，普及网络安全知识，增强网络信息安全意识和防骗意识，为网络安全工作奠定良好基础，促进信息的健康传播，减少信息泄露不良等事件的发生。服务期内提供不少于2次安全培训服务。</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培训需交付安全意识全员培训课件。</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（6）完成总结报告输出物等</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服务期内按需完成总结报告输出物，协助教育系统网络安全责任制考核材料整理。</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需交付相应考核材料。</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二、服务清单</w:t>
      </w:r>
      <w:r>
        <w:rPr>
          <w:highlight w:val="none"/>
        </w:rPr>
      </w:r>
      <w:r/>
    </w:p>
    <w:tbl>
      <w:tblPr>
        <w:tblStyle w:val="103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176"/>
        <w:gridCol w:w="3995"/>
        <w:gridCol w:w="1132"/>
        <w:gridCol w:w="1554"/>
      </w:tblGrid>
      <w:tr>
        <w:trPr>
          <w:jc w:val="center"/>
          <w:trHeight w:val="52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序号</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服务项目</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服务内容</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频率</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交付物</w:t>
            </w:r>
            <w:r>
              <w:rPr>
                <w:highlight w:val="none"/>
              </w:rPr>
            </w:r>
            <w:r/>
          </w:p>
        </w:tc>
      </w:tr>
      <w:tr>
        <w:trPr>
          <w:jc w:val="center"/>
          <w:trHeight w:val="117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1</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漏洞扫描</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对江苏警官学院互联网与内网服务器，web应用系统中的各种软硬件设备可能存在的安全漏洞问题进行扫描，输出漏扫报告，并包含修复建议</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每月</w:t>
            </w:r>
            <w:r>
              <w:rPr>
                <w:rFonts w:hint="eastAsia" w:ascii="宋体" w:hAnsi="宋体" w:cs="宋体"/>
                <w:b/>
                <w:bCs/>
                <w:i/>
                <w:iCs/>
                <w:color w:val="000000"/>
                <w:szCs w:val="21"/>
                <w:highlight w:val="none"/>
                <w:u w:val="single"/>
              </w:rPr>
              <w:t xml:space="preserve">1</w:t>
            </w:r>
            <w:r>
              <w:rPr>
                <w:rFonts w:hint="eastAsia" w:ascii="宋体" w:hAnsi="宋体" w:cs="宋体"/>
                <w:b/>
                <w:bCs/>
                <w:i/>
                <w:iCs/>
                <w:color w:val="000000"/>
                <w:szCs w:val="21"/>
                <w:highlight w:val="none"/>
                <w:u w:val="single"/>
                <w:lang w:eastAsia="en-US"/>
              </w:rPr>
              <w:t xml:space="preserve">次</w:t>
            </w:r>
            <w:r>
              <w:rPr>
                <w:rFonts w:hint="eastAsia" w:ascii="宋体" w:hAnsi="宋体" w:cs="宋体"/>
                <w:b/>
                <w:bCs/>
                <w:i/>
                <w:iCs/>
                <w:color w:val="000000"/>
                <w:szCs w:val="21"/>
                <w:highlight w:val="none"/>
                <w:u w:val="single"/>
              </w:rPr>
              <w:t xml:space="preserve">，共60次</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输出内容：漏洞扫描报告</w:t>
            </w:r>
            <w:r>
              <w:rPr>
                <w:highlight w:val="none"/>
              </w:rPr>
            </w:r>
            <w:r/>
          </w:p>
        </w:tc>
      </w:tr>
      <w:tr>
        <w:trPr>
          <w:jc w:val="center"/>
          <w:trHeight w:val="117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2</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渗透测试</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对指定目标系统模拟黑客可能使用的攻击和漏洞发现技术进行渗透测试安全验证，发现逻辑性更强、更深层次的弱点，让管理者能够直观了解自己网络和系统安全状况，并根据测试结果为用户提供详细的渗透测试报告（含复测）。</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每季度</w:t>
            </w:r>
            <w:r>
              <w:rPr>
                <w:rFonts w:hint="eastAsia" w:ascii="宋体" w:hAnsi="宋体" w:cs="宋体"/>
                <w:b/>
                <w:bCs/>
                <w:i/>
                <w:iCs/>
                <w:color w:val="000000"/>
                <w:szCs w:val="21"/>
                <w:highlight w:val="none"/>
                <w:u w:val="single"/>
              </w:rPr>
              <w:t xml:space="preserve">1</w:t>
            </w:r>
            <w:r>
              <w:rPr>
                <w:rFonts w:hint="eastAsia" w:ascii="宋体" w:hAnsi="宋体" w:cs="宋体"/>
                <w:b/>
                <w:bCs/>
                <w:i/>
                <w:iCs/>
                <w:color w:val="000000"/>
                <w:szCs w:val="21"/>
                <w:highlight w:val="none"/>
                <w:u w:val="single"/>
                <w:lang w:eastAsia="en-US"/>
              </w:rPr>
              <w:t xml:space="preserve">次</w:t>
            </w:r>
            <w:r>
              <w:rPr>
                <w:rFonts w:hint="eastAsia" w:ascii="宋体" w:hAnsi="宋体" w:cs="宋体"/>
                <w:b/>
                <w:bCs/>
                <w:i/>
                <w:iCs/>
                <w:color w:val="000000"/>
                <w:szCs w:val="21"/>
                <w:highlight w:val="none"/>
                <w:u w:val="single"/>
              </w:rPr>
              <w:t xml:space="preserve">，共20次</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输出内容：1.系统渗透测试方案2.系统渗透测试报告3.系统复测报告</w:t>
            </w:r>
            <w:r>
              <w:rPr>
                <w:highlight w:val="none"/>
              </w:rPr>
            </w:r>
            <w:r/>
          </w:p>
        </w:tc>
      </w:tr>
      <w:tr>
        <w:trPr>
          <w:jc w:val="center"/>
          <w:trHeight w:val="117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3</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应急响应</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针对江苏警官学院发生的异常事件和运营过程中发生的安全事件，及时判断事件影响面积并提供解决建议，协助甲方快速恢复业务，挽回业务损失。</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按需</w:t>
            </w:r>
            <w:r>
              <w:rPr>
                <w:rFonts w:hint="eastAsia" w:ascii="宋体" w:hAnsi="宋体" w:cs="宋体"/>
                <w:b/>
                <w:bCs/>
                <w:i/>
                <w:iCs/>
                <w:color w:val="000000"/>
                <w:szCs w:val="21"/>
                <w:highlight w:val="none"/>
                <w:u w:val="single"/>
              </w:rPr>
              <w:t xml:space="preserve">提供</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输出内容：应急响应报告</w:t>
            </w:r>
            <w:r>
              <w:rPr>
                <w:highlight w:val="none"/>
              </w:rPr>
            </w:r>
            <w:r/>
          </w:p>
        </w:tc>
      </w:tr>
      <w:tr>
        <w:trPr>
          <w:jc w:val="center"/>
          <w:trHeight w:val="117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4</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应急演练</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为了检验应急响应预案的有效性，同时使江苏警官学院相关人员了解信息安全应急响应计划的目标和流程，熟悉应急响应的操作规程，安恒信息将协助江苏警官学院相关人员进行应急响应计划的测试和演练，以验证应急响应计划的有效性。</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每半年1</w:t>
            </w:r>
            <w:r>
              <w:rPr>
                <w:rFonts w:hint="eastAsia" w:ascii="宋体" w:hAnsi="宋体" w:cs="宋体"/>
                <w:b/>
                <w:bCs/>
                <w:i/>
                <w:iCs/>
                <w:color w:val="000000"/>
                <w:szCs w:val="21"/>
                <w:highlight w:val="none"/>
                <w:u w:val="single"/>
                <w:lang w:eastAsia="en-US"/>
              </w:rPr>
              <w:t xml:space="preserve">次</w:t>
            </w:r>
            <w:r>
              <w:rPr>
                <w:rFonts w:hint="eastAsia" w:ascii="宋体" w:hAnsi="宋体" w:cs="宋体"/>
                <w:b/>
                <w:bCs/>
                <w:i/>
                <w:iCs/>
                <w:color w:val="000000"/>
                <w:szCs w:val="21"/>
                <w:highlight w:val="none"/>
                <w:u w:val="single"/>
              </w:rPr>
              <w:t xml:space="preserve">，共10次</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输出内容：1.应急演练方案</w:t>
            </w:r>
            <w:r>
              <w:rPr>
                <w:highlight w:val="none"/>
              </w:rPr>
            </w:r>
            <w:r/>
          </w:p>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2.应急演练总结报告"</w:t>
            </w:r>
            <w:r>
              <w:rPr>
                <w:highlight w:val="none"/>
              </w:rPr>
            </w:r>
            <w:r/>
          </w:p>
        </w:tc>
      </w:tr>
      <w:tr>
        <w:trPr>
          <w:jc w:val="center"/>
          <w:trHeight w:val="117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5</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安全意识培训</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通过网络安全意识培训，普及网络安全知识，增强网络信息安全意识和防骗意识，为网络安全工作奠定良好基础，促进信息的健康传播，减少信息泄露不良等事件的发生</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每半年1</w:t>
            </w:r>
            <w:r>
              <w:rPr>
                <w:rFonts w:hint="eastAsia" w:ascii="宋体" w:hAnsi="宋体" w:cs="宋体"/>
                <w:b/>
                <w:bCs/>
                <w:i/>
                <w:iCs/>
                <w:color w:val="000000"/>
                <w:szCs w:val="21"/>
                <w:highlight w:val="none"/>
                <w:u w:val="single"/>
                <w:lang w:eastAsia="en-US"/>
              </w:rPr>
              <w:t xml:space="preserve">次</w:t>
            </w:r>
            <w:r>
              <w:rPr>
                <w:rFonts w:hint="eastAsia" w:ascii="宋体" w:hAnsi="宋体" w:cs="宋体"/>
                <w:b/>
                <w:bCs/>
                <w:i/>
                <w:iCs/>
                <w:color w:val="000000"/>
                <w:szCs w:val="21"/>
                <w:highlight w:val="none"/>
                <w:u w:val="single"/>
              </w:rPr>
              <w:t xml:space="preserve">，共10次</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输出内容：安全意识全员培训课件</w:t>
            </w:r>
            <w:r>
              <w:rPr>
                <w:highlight w:val="none"/>
              </w:rPr>
            </w:r>
            <w:r/>
          </w:p>
        </w:tc>
      </w:tr>
      <w:tr>
        <w:trPr>
          <w:jc w:val="center"/>
          <w:trHeight w:val="1172"/>
        </w:trPr>
        <w:tc>
          <w:tcPr>
            <w:tcW w:w="64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6</w:t>
            </w:r>
            <w:r>
              <w:rPr>
                <w:highlight w:val="none"/>
              </w:rPr>
            </w:r>
            <w:r/>
          </w:p>
        </w:tc>
        <w:tc>
          <w:tcPr>
            <w:tcW w:w="117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完成总结报告输出物等</w:t>
            </w:r>
            <w:r>
              <w:rPr>
                <w:highlight w:val="none"/>
              </w:rPr>
            </w:r>
            <w:r/>
          </w:p>
        </w:tc>
        <w:tc>
          <w:tcPr>
            <w:tcW w:w="399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完成总结报告输出物，协助教育系统网络安全责任制考核材料整理。</w:t>
            </w:r>
            <w:r>
              <w:rPr>
                <w:highlight w:val="none"/>
              </w:rPr>
            </w:r>
            <w:r/>
          </w:p>
        </w:tc>
        <w:tc>
          <w:tcPr>
            <w:tcW w:w="1132"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按需</w:t>
            </w:r>
            <w:r>
              <w:rPr>
                <w:rFonts w:hint="eastAsia" w:ascii="宋体" w:hAnsi="宋体" w:cs="宋体"/>
                <w:b/>
                <w:bCs/>
                <w:i/>
                <w:iCs/>
                <w:color w:val="000000"/>
                <w:szCs w:val="21"/>
                <w:highlight w:val="none"/>
                <w:u w:val="single"/>
              </w:rPr>
              <w:t xml:space="preserve">提供</w:t>
            </w:r>
            <w:r>
              <w:rPr>
                <w:highlight w:val="none"/>
              </w:rPr>
            </w:r>
            <w:r/>
          </w:p>
        </w:tc>
        <w:tc>
          <w:tcPr>
            <w:tcW w:w="1554"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输出内容：相应考核材料</w:t>
            </w:r>
            <w:r>
              <w:rPr>
                <w:highlight w:val="none"/>
              </w:rPr>
            </w:r>
            <w:r/>
          </w:p>
        </w:tc>
      </w:tr>
    </w:tbl>
    <w:p>
      <w:pPr>
        <w:pStyle w:val="743"/>
        <w:rPr>
          <w:rFonts w:ascii="宋体" w:hAnsi="宋体" w:cs="宋体"/>
          <w:color w:val="000000"/>
          <w:szCs w:val="24"/>
          <w:highlight w:val="none"/>
        </w:rPr>
      </w:pPr>
      <w:r>
        <w:rPr>
          <w:rFonts w:ascii="宋体" w:hAnsi="宋体" w:cs="宋体"/>
          <w:color w:val="000000"/>
          <w:szCs w:val="24"/>
          <w:highlight w:val="none"/>
        </w:rPr>
      </w:r>
      <w:r>
        <w:rPr>
          <w:highlight w:val="none"/>
        </w:rPr>
      </w:r>
      <w:r/>
    </w:p>
    <w:p>
      <w:pPr>
        <w:pStyle w:val="743"/>
        <w:numPr>
          <w:ilvl w:val="0"/>
          <w:numId w:val="15"/>
        </w:numPr>
        <w:rPr>
          <w:rFonts w:ascii="宋体" w:hAnsi="宋体" w:cs="宋体"/>
          <w:color w:val="000000"/>
          <w:szCs w:val="24"/>
          <w:highlight w:val="none"/>
        </w:rPr>
      </w:pPr>
      <w:r>
        <w:rPr>
          <w:rFonts w:hint="eastAsia" w:ascii="宋体" w:hAnsi="宋体" w:cs="宋体"/>
          <w:color w:val="000000"/>
          <w:szCs w:val="24"/>
          <w:highlight w:val="none"/>
        </w:rPr>
        <w:t xml:space="preserve">安全产品原厂续保服务（数量：1项）</w:t>
      </w:r>
      <w:r>
        <w:rPr>
          <w:highlight w:val="none"/>
        </w:rPr>
      </w:r>
      <w:r/>
    </w:p>
    <w:tbl>
      <w:tblPr>
        <w:tblStyle w:val="739"/>
        <w:tblW w:w="4889"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7028"/>
      </w:tblGrid>
      <w:tr>
        <w:trPr>
          <w:trHeight w:val="343"/>
        </w:trPr>
        <w:tc>
          <w:tcPr>
            <w:tcW w:w="78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指标项</w:t>
            </w:r>
            <w:r>
              <w:rPr>
                <w:highlight w:val="none"/>
              </w:rPr>
            </w:r>
            <w:r/>
          </w:p>
        </w:tc>
        <w:tc>
          <w:tcPr>
            <w:tcW w:w="421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配置要求</w:t>
            </w:r>
            <w:r>
              <w:rPr>
                <w:highlight w:val="none"/>
              </w:rPr>
            </w:r>
            <w:r/>
          </w:p>
        </w:tc>
      </w:tr>
      <w:tr>
        <w:trPr>
          <w:trHeight w:val="259"/>
        </w:trPr>
        <w:tc>
          <w:tcPr>
            <w:tcW w:w="786" w:type="dxa"/>
            <w:vAlign w:val="center"/>
            <w:vMerge w:val="restart"/>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维保产品清单以及服务要求</w:t>
            </w:r>
            <w:r>
              <w:rPr>
                <w:highlight w:val="none"/>
              </w:rPr>
            </w:r>
            <w:r/>
          </w:p>
        </w:tc>
        <w:tc>
          <w:tcPr>
            <w:tcW w:w="4213" w:type="dxa"/>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针对现有奇安信网神安全分析与管理系统V4.0提供一年原厂续保服务</w:t>
            </w:r>
            <w:r>
              <w:rPr>
                <w:highlight w:val="none"/>
              </w:rPr>
            </w:r>
            <w:r/>
          </w:p>
        </w:tc>
      </w:tr>
      <w:tr>
        <w:trPr>
          <w:trHeight w:val="259"/>
        </w:trPr>
        <w:tc>
          <w:tcPr>
            <w:tcW w:w="786"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4213" w:type="dxa"/>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针对现有奇安信网神SecGate3600防火墙系统V3.6.6.0提供一年原厂续保服务</w:t>
            </w:r>
            <w:r>
              <w:rPr>
                <w:highlight w:val="none"/>
              </w:rPr>
            </w:r>
            <w:r/>
          </w:p>
        </w:tc>
      </w:tr>
      <w:tr>
        <w:trPr>
          <w:trHeight w:val="259"/>
        </w:trPr>
        <w:tc>
          <w:tcPr>
            <w:tcW w:w="786"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4213" w:type="dxa"/>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针对现有安恒WAF-10000TGWEB应用防火墙系统提供一年原厂续保服务</w:t>
            </w:r>
            <w:r>
              <w:rPr>
                <w:highlight w:val="none"/>
              </w:rPr>
            </w:r>
            <w:r/>
          </w:p>
        </w:tc>
      </w:tr>
      <w:tr>
        <w:trPr>
          <w:trHeight w:val="259"/>
        </w:trPr>
        <w:tc>
          <w:tcPr>
            <w:tcW w:w="786"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4213" w:type="dxa"/>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针对现有安恒DAS-LOG-1000综合日志平台系统提供一年原厂续保服务</w:t>
            </w:r>
            <w:r>
              <w:rPr>
                <w:highlight w:val="none"/>
              </w:rPr>
            </w:r>
            <w:r/>
          </w:p>
        </w:tc>
      </w:tr>
      <w:tr>
        <w:trPr>
          <w:trHeight w:val="259"/>
        </w:trPr>
        <w:tc>
          <w:tcPr>
            <w:tcW w:w="786"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资质要求</w:t>
            </w:r>
            <w:r>
              <w:rPr>
                <w:highlight w:val="none"/>
              </w:rPr>
            </w:r>
            <w:r/>
          </w:p>
        </w:tc>
        <w:tc>
          <w:tcPr>
            <w:tcW w:w="4213" w:type="dxa"/>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以上所有续保服务均要求供应商在中标后合同签订前须提供原厂一年免费质保函原件证明</w:t>
            </w:r>
            <w:r>
              <w:rPr>
                <w:highlight w:val="none"/>
              </w:rPr>
            </w:r>
            <w:r/>
          </w:p>
        </w:tc>
      </w:tr>
    </w:tbl>
    <w:p>
      <w:pPr>
        <w:pStyle w:val="743"/>
        <w:rPr>
          <w:rFonts w:ascii="宋体" w:hAnsi="宋体" w:cs="宋体"/>
          <w:color w:val="000000"/>
          <w:szCs w:val="24"/>
          <w:highlight w:val="none"/>
        </w:rPr>
      </w:pPr>
      <w:r>
        <w:rPr>
          <w:rFonts w:ascii="宋体" w:hAnsi="宋体" w:cs="宋体"/>
          <w:color w:val="000000"/>
          <w:szCs w:val="24"/>
          <w:highlight w:val="none"/>
        </w:rPr>
      </w:r>
      <w:r>
        <w:rPr>
          <w:highlight w:val="none"/>
        </w:rPr>
      </w:r>
      <w:r/>
    </w:p>
    <w:p>
      <w:pPr>
        <w:pStyle w:val="743"/>
        <w:numPr>
          <w:ilvl w:val="0"/>
          <w:numId w:val="15"/>
        </w:numPr>
        <w:rPr>
          <w:rFonts w:ascii="宋体" w:hAnsi="宋体" w:cs="宋体"/>
          <w:color w:val="000000"/>
          <w:szCs w:val="24"/>
          <w:highlight w:val="none"/>
        </w:rPr>
      </w:pPr>
      <w:r>
        <w:rPr>
          <w:rFonts w:hint="eastAsia" w:ascii="宋体" w:hAnsi="宋体" w:cs="宋体"/>
          <w:color w:val="000000"/>
          <w:szCs w:val="24"/>
          <w:highlight w:val="none"/>
        </w:rPr>
        <w:t xml:space="preserve">综合集成实施运维服务（数量：1项）</w:t>
      </w:r>
      <w:r>
        <w:rPr>
          <w:highlight w:val="none"/>
        </w:rPr>
      </w:r>
      <w:r/>
    </w:p>
    <w:tbl>
      <w:tblPr>
        <w:tblStyle w:val="739"/>
        <w:tblW w:w="8288" w:type="dxa"/>
        <w:tblInd w:w="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6983"/>
      </w:tblGrid>
      <w:tr>
        <w:trPr>
          <w:trHeight w:val="317"/>
        </w:trPr>
        <w:tc>
          <w:tcPr>
            <w:tcW w:w="1305"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指标项</w:t>
            </w:r>
            <w:r>
              <w:rPr>
                <w:highlight w:val="none"/>
              </w:rPr>
            </w:r>
            <w:r/>
          </w:p>
        </w:tc>
        <w:tc>
          <w:tcPr>
            <w:tcW w:w="6983" w:type="dxa"/>
            <w:vAlign w:val="center"/>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eastAsia="en-US"/>
              </w:rPr>
              <w:t xml:space="preserve">配置要求</w:t>
            </w:r>
            <w:r>
              <w:rPr>
                <w:highlight w:val="none"/>
              </w:rPr>
            </w:r>
            <w:r/>
          </w:p>
        </w:tc>
      </w:tr>
      <w:tr>
        <w:trPr>
          <w:trHeight w:val="275"/>
        </w:trPr>
        <w:tc>
          <w:tcPr>
            <w:tcW w:w="1305" w:type="dxa"/>
            <w:vAlign w:val="center"/>
            <w:vMerge w:val="restart"/>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综合集成实施运维服务要求</w:t>
            </w:r>
            <w:r>
              <w:rPr>
                <w:highlight w:val="none"/>
              </w:rPr>
            </w:r>
            <w:r/>
          </w:p>
        </w:tc>
        <w:tc>
          <w:tcPr>
            <w:tcW w:w="6983" w:type="dxa"/>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本项目是一个综合集成项目，需要与用户的现有环境密切关联，系统实施前应提供完备的实施方案，包括设备的物理放置位置、逻辑位置口等，不仅需实现本次项目所涉及产品的安装调试，还需对原有数据提供在线无缝迁移，整合现有设备系统，确保所有设备能够正常投入使用运行，整体项目为交钥匙工程；</w:t>
            </w:r>
            <w:r>
              <w:rPr>
                <w:rFonts w:hint="eastAsia" w:ascii="宋体" w:hAnsi="宋体" w:cs="宋体"/>
                <w:b/>
                <w:bCs/>
                <w:i/>
                <w:iCs/>
                <w:color w:val="000000"/>
                <w:szCs w:val="21"/>
                <w:highlight w:val="none"/>
                <w:u w:val="single"/>
                <w:lang w:val="zh-CN"/>
              </w:rPr>
              <w:t xml:space="preserve">合同期内供应商免费安排二名专职技术人员提供五年驻场服务，工作时间交由校方安排；免费对现有的数据库进行迁移，免费提供对现有的数据库以及虚拟化环境提供运维服务，免费提供对用户数据中心现有所有设备（包含服务器、存储、交换机、超融合以及安全设备等）提供每月巡检服务并出具相应的报告</w:t>
            </w:r>
            <w:r>
              <w:rPr>
                <w:rFonts w:hint="eastAsia" w:ascii="宋体" w:hAnsi="宋体" w:cs="宋体"/>
                <w:b/>
                <w:bCs/>
                <w:i/>
                <w:iCs/>
                <w:color w:val="000000"/>
                <w:szCs w:val="21"/>
                <w:highlight w:val="none"/>
                <w:u w:val="single"/>
              </w:rPr>
              <w:t xml:space="preserve">。</w:t>
            </w:r>
            <w:r>
              <w:rPr>
                <w:highlight w:val="none"/>
              </w:rPr>
            </w:r>
            <w:r/>
          </w:p>
        </w:tc>
      </w:tr>
      <w:tr>
        <w:trPr>
          <w:trHeight w:val="90"/>
        </w:trPr>
        <w:tc>
          <w:tcPr>
            <w:tcW w:w="1305"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6983" w:type="dxa"/>
            <w:vAlign w:val="bottom"/>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供应商须提供备份</w:t>
            </w:r>
            <w:r>
              <w:rPr>
                <w:rFonts w:hint="eastAsia" w:ascii="宋体" w:hAnsi="宋体" w:cs="宋体"/>
                <w:b/>
                <w:bCs/>
                <w:i/>
                <w:iCs/>
                <w:color w:val="000000"/>
                <w:szCs w:val="21"/>
                <w:highlight w:val="none"/>
                <w:u w:val="single"/>
              </w:rPr>
              <w:t xml:space="preserve">软件（非开源产品）作为工具为学校免费提供VM虚拟机以及文件数据备份恢复等相关服务，且备份主要功能要求如下：提供可精细到单个文件级别的备份策略管理；具有数据压缩功能，能够进行服务器端在线数据压缩和客户端在线数据压缩；具有重复数据删除功能，能够进行服务器端在线重复数据删除和客户端在线重复数据删除；具备永久增量备份功能，即文件级的备份可以支持一次全量、永远增量的策略，并且需要恢复时能够进行一次性恢复，不需要先恢复全量再恢复增量；具有备份客户端锁定功能等。投标人需在投标文件中提供产品的详细介绍以及相关功能截图材料。</w:t>
            </w:r>
            <w:r>
              <w:rPr>
                <w:highlight w:val="none"/>
              </w:rPr>
            </w:r>
            <w:r/>
          </w:p>
        </w:tc>
      </w:tr>
      <w:tr>
        <w:trPr>
          <w:trHeight w:val="90"/>
        </w:trPr>
        <w:tc>
          <w:tcPr>
            <w:tcW w:w="1305"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6983" w:type="dxa"/>
            <w:vAlign w:val="bottom"/>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供应商须提供应用资源监控管理的软件（非开源产品）作为运维工具提供</w:t>
            </w:r>
            <w:r>
              <w:rPr>
                <w:rFonts w:hint="eastAsia" w:ascii="宋体" w:hAnsi="宋体" w:cs="宋体"/>
                <w:b/>
                <w:bCs/>
                <w:i/>
                <w:iCs/>
                <w:color w:val="000000"/>
                <w:szCs w:val="21"/>
                <w:highlight w:val="none"/>
                <w:u w:val="single"/>
              </w:rPr>
              <w:t xml:space="preserve">服务，针对学校所有VM虚拟化环境实现将应用程序需求用作做出虚拟化资源决策的驱动因素，不断地将应用程序需求与基础设施的底层供应相匹配，自动为虚拟化环境做出应用程序资源分配决策；在确保应用性能以及虚拟化资源的有效利用的前提下，自动提出满足策略要求的操作建议并能满足实现自动执行的功能要求。主要功能要求如下：1）运维系统需能够从应用程序以及支撑应用程序的关键组件（例如应用程序（Java、数据库）/存储/网络/容器平台）采集数据，并通过自动绘制调用拓扑图来提供完整的堆栈可视化,具备全栈可视化能力，能够自动关联应用程序</w:t>
            </w:r>
            <w:r>
              <w:rPr>
                <w:rFonts w:hint="eastAsia" w:ascii="宋体" w:hAnsi="宋体" w:cs="宋体"/>
                <w:b/>
                <w:bCs/>
                <w:i/>
                <w:iCs/>
                <w:color w:val="000000"/>
                <w:szCs w:val="21"/>
                <w:highlight w:val="none"/>
                <w:u w:val="single"/>
              </w:rPr>
              <w:t xml:space="preserve">到容器到虚拟机到底层基础设施的性能）；2）具备自动优化VM的能力，无需管理员设置阈值。每个优化的工作负载都会根据当前配置和负载进行分析，同时提供分析依据。生成的优化建议和操作会考虑所有应用程序要求，包括 CPU、处理器类型、内存、IO 吞吐量、网络吞吐量、磁盘数量、IOPS 等；3）具备模拟环境的变化，包括：硬件更新、集群整合、预计增长对供应的影响、灾难恢复能力测试等。通过显示模拟前后状态变化来详细说明结果，以验证模拟，包括工作负载迁移和大小调整.投标人需在投标文件中提供产品的详细介绍以及相关功能截图材料。</w:t>
            </w:r>
            <w:r>
              <w:rPr>
                <w:highlight w:val="none"/>
              </w:rPr>
            </w:r>
            <w:r/>
          </w:p>
        </w:tc>
      </w:tr>
      <w:tr>
        <w:trPr>
          <w:trHeight w:val="90"/>
        </w:trPr>
        <w:tc>
          <w:tcPr>
            <w:tcW w:w="1305"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6983" w:type="dxa"/>
            <w:vAlign w:val="bottom"/>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val="zh-CN"/>
              </w:rPr>
              <w:t xml:space="preserve">供应商须提供应用性能监控管理的软件（非开源产品）作为运维工具提供服务，针对学校重要应用系统实现全量数据追溯功能，进行全面分析，实现自动发现以及秒级监控等功能；具有集中观测应用的所有组件、服务和交互请求，一体化地分析、展现和报警等功能，且实现对问题智能和自动的理解并且提供建议来解决的功能等。主要功能要求如下：</w:t>
            </w:r>
            <w:r>
              <w:rPr>
                <w:rFonts w:hint="eastAsia" w:ascii="宋体" w:hAnsi="宋体" w:cs="宋体"/>
                <w:b/>
                <w:bCs/>
                <w:i/>
                <w:iCs/>
                <w:color w:val="000000"/>
                <w:szCs w:val="21"/>
                <w:highlight w:val="none"/>
                <w:u w:val="single"/>
              </w:rPr>
              <w:t xml:space="preserve">1）</w:t>
            </w:r>
            <w:r>
              <w:rPr>
                <w:rFonts w:hint="eastAsia" w:ascii="宋体" w:hAnsi="宋体" w:cs="宋体"/>
                <w:b/>
                <w:bCs/>
                <w:i/>
                <w:iCs/>
                <w:color w:val="000000"/>
                <w:szCs w:val="21"/>
                <w:highlight w:val="none"/>
                <w:u w:val="single"/>
                <w:lang w:val="zh-CN"/>
              </w:rPr>
              <w:t xml:space="preserve">满足监控代理采用单一Agent部署，即可完成大部分监控(基础设施，主机，Java/.NET/others)；支持断网环境，包括Agent端以及服务器端都可在断网环境下完整运行； Agent本身要有自监控能力，包括CPU，内存等资源开销，当Agent的资源消耗包括CPU和内存超过阈值即可实现熔断机制，不影响生产主机的运行；</w:t>
            </w:r>
            <w:r>
              <w:rPr>
                <w:rFonts w:hint="eastAsia" w:ascii="宋体" w:hAnsi="宋体" w:cs="宋体"/>
                <w:b/>
                <w:bCs/>
                <w:i/>
                <w:iCs/>
                <w:color w:val="000000"/>
                <w:szCs w:val="21"/>
                <w:highlight w:val="none"/>
                <w:u w:val="single"/>
              </w:rPr>
              <w:t xml:space="preserve">2）</w:t>
            </w:r>
            <w:r>
              <w:rPr>
                <w:rFonts w:hint="eastAsia" w:ascii="宋体" w:hAnsi="宋体" w:cs="宋体"/>
                <w:b/>
                <w:bCs/>
                <w:i/>
                <w:iCs/>
                <w:color w:val="000000"/>
                <w:szCs w:val="21"/>
                <w:highlight w:val="none"/>
                <w:u w:val="single"/>
                <w:lang w:val="zh-CN"/>
              </w:rPr>
              <w:t xml:space="preserve">从服务接口，调用链和查询可以深入分析到单笔请求或交易，具有高级代码分析功能，在单笔交易中分析出包括代码调用堆栈、底层框架的热点方法、error及warning信息；支持对某个时间段内可以对所有监控（或者具体数据库）的大量SQL语句进行过滤分析：过滤项目包括响应时间，异常，错误，SQL语句请求类型，具体SQL语句等过滤； 支持快速追溯到调用具体请求、接口、及调用关系等；</w:t>
            </w:r>
            <w:r>
              <w:rPr>
                <w:rFonts w:hint="eastAsia" w:ascii="宋体" w:hAnsi="宋体" w:cs="宋体"/>
                <w:b/>
                <w:bCs/>
                <w:i/>
                <w:iCs/>
                <w:color w:val="000000"/>
                <w:szCs w:val="21"/>
                <w:highlight w:val="none"/>
                <w:u w:val="single"/>
              </w:rPr>
              <w:t xml:space="preserve">3）</w:t>
            </w:r>
            <w:r>
              <w:rPr>
                <w:rFonts w:hint="eastAsia" w:ascii="宋体" w:hAnsi="宋体" w:cs="宋体"/>
                <w:b/>
                <w:bCs/>
                <w:i/>
                <w:iCs/>
                <w:color w:val="000000"/>
                <w:szCs w:val="21"/>
                <w:highlight w:val="none"/>
                <w:u w:val="single"/>
                <w:lang w:val="zh-CN"/>
              </w:rPr>
              <w:t xml:space="preserve">自动分析上下文定位问题造成的影响和确定根本原因-消除告警风暴；事件和事故的完整记录，用于根因分析；自动确定与检测到的问题相关的业务影响；内置的健康检查，以确定组件的健康状态和根因分析；报警可以集成常见方式邮件及webhook方式的钉钉企业微信等；</w:t>
            </w:r>
            <w:r>
              <w:rPr>
                <w:rFonts w:hint="eastAsia" w:ascii="宋体" w:hAnsi="宋体" w:cs="宋体"/>
                <w:b/>
                <w:bCs/>
                <w:i/>
                <w:iCs/>
                <w:color w:val="000000"/>
                <w:szCs w:val="21"/>
                <w:highlight w:val="none"/>
                <w:u w:val="single"/>
              </w:rPr>
              <w:t xml:space="preserve">4）</w:t>
            </w:r>
            <w:r>
              <w:rPr>
                <w:rFonts w:hint="eastAsia" w:ascii="宋体" w:hAnsi="宋体" w:cs="宋体"/>
                <w:b/>
                <w:bCs/>
                <w:i/>
                <w:iCs/>
                <w:color w:val="000000"/>
                <w:szCs w:val="21"/>
                <w:highlight w:val="none"/>
                <w:u w:val="single"/>
                <w:lang w:val="zh-CN"/>
              </w:rPr>
              <w:t xml:space="preserve">满足当某个主机系统或者主机上的某些组件出现问题时可以动态展现在基础架构视图中；提供自动全栈可视化，持续自动发现全部堆栈组件及相互依赖关系拓扑；可通过水平维度，垂直维度实现可视化各层级主机，服务流视图。自动提供基础设施视图将PaaS，IaaS, 数据中心，虚拟化环境, 主机，应用的指标数据及关联关系展示。</w:t>
            </w:r>
            <w:r>
              <w:rPr>
                <w:highlight w:val="none"/>
              </w:rPr>
            </w:r>
            <w:r/>
          </w:p>
        </w:tc>
      </w:tr>
      <w:tr>
        <w:trPr>
          <w:trHeight w:val="90"/>
        </w:trPr>
        <w:tc>
          <w:tcPr>
            <w:tcW w:w="1305" w:type="dxa"/>
            <w:vAlign w:val="center"/>
            <w:vMerge w:val="continue"/>
            <w:textDirection w:val="lrTb"/>
            <w:noWrap w:val="false"/>
          </w:tcPr>
          <w:p>
            <w:pPr>
              <w:rPr>
                <w:rFonts w:ascii="宋体" w:hAnsi="宋体" w:cs="宋体"/>
                <w:b/>
                <w:bCs/>
                <w:i/>
                <w:iCs/>
                <w:color w:val="000000"/>
                <w:szCs w:val="21"/>
                <w:u w:val="single"/>
              </w:rPr>
            </w:pPr>
            <w:r>
              <w:rPr>
                <w:rFonts w:ascii="宋体" w:hAnsi="宋体" w:cs="宋体"/>
                <w:b/>
                <w:bCs/>
                <w:i/>
                <w:iCs/>
                <w:color w:val="000000"/>
                <w:szCs w:val="21"/>
                <w:u w:val="single"/>
              </w:rPr>
            </w:r>
            <w:r/>
          </w:p>
        </w:tc>
        <w:tc>
          <w:tcPr>
            <w:tcW w:w="6983" w:type="dxa"/>
            <w:vAlign w:val="bottom"/>
            <w:textDirection w:val="lrTb"/>
            <w:noWrap w:val="false"/>
          </w:tcPr>
          <w:p>
            <w:pPr>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lang w:val="zh-CN"/>
              </w:rPr>
              <w:t xml:space="preserve">合同期内供应商免费安排二名专职技术人员提供五年现场驻场服务，其中一名技术人员需具有</w:t>
            </w:r>
            <w:r>
              <w:rPr>
                <w:rFonts w:hint="eastAsia" w:ascii="宋体" w:hAnsi="宋体" w:cs="宋体"/>
                <w:b/>
                <w:bCs/>
                <w:i/>
                <w:iCs/>
                <w:color w:val="000000"/>
                <w:szCs w:val="21"/>
                <w:highlight w:val="none"/>
                <w:u w:val="single"/>
              </w:rPr>
              <w:t xml:space="preserve">OCP证书，</w:t>
            </w:r>
            <w:r>
              <w:rPr>
                <w:rFonts w:hint="eastAsia" w:ascii="宋体" w:hAnsi="宋体" w:cs="宋体"/>
                <w:b/>
                <w:bCs/>
                <w:i/>
                <w:iCs/>
                <w:color w:val="000000"/>
                <w:szCs w:val="21"/>
                <w:highlight w:val="none"/>
                <w:u w:val="single"/>
                <w:lang w:val="zh-CN"/>
              </w:rPr>
              <w:t xml:space="preserve">工作时间交由校方安排；免费对数据中心内所有服务器、存储、交换机、安全设备以及数据库、虚拟化、操作系统、数据备份等设备系统提供运维服务且提供相应的月巡检服务报告。（提供投标人为</w:t>
            </w:r>
            <w:r>
              <w:rPr>
                <w:rFonts w:hint="eastAsia" w:ascii="宋体" w:hAnsi="宋体" w:cs="宋体"/>
                <w:b/>
                <w:bCs/>
                <w:i/>
                <w:iCs/>
                <w:color w:val="000000"/>
                <w:szCs w:val="21"/>
                <w:highlight w:val="none"/>
                <w:u w:val="single"/>
              </w:rPr>
              <w:t xml:space="preserve">以上</w:t>
            </w:r>
            <w:r>
              <w:rPr>
                <w:rFonts w:hint="eastAsia" w:ascii="宋体" w:hAnsi="宋体" w:cs="宋体"/>
                <w:b/>
                <w:bCs/>
                <w:i/>
                <w:iCs/>
                <w:color w:val="000000"/>
                <w:szCs w:val="21"/>
                <w:highlight w:val="none"/>
                <w:u w:val="single"/>
                <w:lang w:val="zh-CN"/>
              </w:rPr>
              <w:t xml:space="preserve">人员缴纳的投标截止时间前</w:t>
            </w:r>
            <w:r>
              <w:rPr>
                <w:rFonts w:hint="eastAsia" w:ascii="宋体" w:hAnsi="宋体" w:cs="宋体"/>
                <w:b/>
                <w:bCs/>
                <w:i/>
                <w:iCs/>
                <w:color w:val="000000"/>
                <w:szCs w:val="21"/>
                <w:highlight w:val="none"/>
                <w:u w:val="single"/>
              </w:rPr>
              <w:t xml:space="preserve">3个月内任意1个月的社保</w:t>
            </w:r>
            <w:r>
              <w:rPr>
                <w:rFonts w:hint="eastAsia" w:ascii="宋体" w:hAnsi="宋体" w:cs="宋体"/>
                <w:b/>
                <w:bCs/>
                <w:i/>
                <w:iCs/>
                <w:color w:val="000000"/>
                <w:szCs w:val="21"/>
                <w:highlight w:val="none"/>
                <w:u w:val="single"/>
                <w:lang w:val="zh-CN"/>
              </w:rPr>
              <w:t xml:space="preserve">证明以及</w:t>
            </w:r>
            <w:r>
              <w:rPr>
                <w:rFonts w:hint="eastAsia" w:ascii="宋体" w:hAnsi="宋体" w:cs="宋体"/>
                <w:b/>
                <w:bCs/>
                <w:i/>
                <w:iCs/>
                <w:color w:val="000000"/>
                <w:szCs w:val="21"/>
                <w:highlight w:val="none"/>
                <w:u w:val="single"/>
              </w:rPr>
              <w:t xml:space="preserve">OCP证书复印件</w:t>
            </w:r>
            <w:r>
              <w:rPr>
                <w:rFonts w:hint="eastAsia" w:ascii="宋体" w:hAnsi="宋体" w:cs="宋体"/>
                <w:b/>
                <w:bCs/>
                <w:i/>
                <w:iCs/>
                <w:color w:val="000000"/>
                <w:szCs w:val="21"/>
                <w:highlight w:val="none"/>
                <w:u w:val="single"/>
                <w:lang w:val="zh-CN"/>
              </w:rPr>
              <w:t xml:space="preserve">并加盖公章）</w:t>
            </w:r>
            <w:r>
              <w:rPr>
                <w:highlight w:val="none"/>
              </w:rPr>
            </w:r>
            <w:r/>
          </w:p>
        </w:tc>
      </w:tr>
    </w:tbl>
    <w:p>
      <w:pPr>
        <w:pStyle w:val="743"/>
        <w:rPr>
          <w:rFonts w:ascii="宋体" w:hAnsi="宋体" w:cs="宋体"/>
          <w:color w:val="000000"/>
          <w:szCs w:val="24"/>
          <w:highlight w:val="none"/>
        </w:rPr>
      </w:pPr>
      <w:r>
        <w:rPr>
          <w:rFonts w:ascii="宋体" w:hAnsi="宋体" w:cs="宋体"/>
          <w:color w:val="000000"/>
          <w:szCs w:val="24"/>
          <w:highlight w:val="none"/>
        </w:rPr>
      </w:r>
      <w:r>
        <w:rPr>
          <w:highlight w:val="none"/>
        </w:rPr>
      </w:r>
      <w:r/>
    </w:p>
    <w:p>
      <w:pPr>
        <w:spacing w:line="0" w:lineRule="atLeast"/>
        <w:rPr>
          <w:rFonts w:ascii="宋体" w:hAnsi="宋体"/>
          <w:b/>
          <w:bCs/>
          <w:color w:val="000000"/>
          <w:sz w:val="24"/>
          <w:szCs w:val="24"/>
          <w:highlight w:val="none"/>
        </w:rPr>
      </w:pPr>
      <w:r>
        <w:rPr>
          <w:rFonts w:ascii="宋体" w:hAnsi="宋体"/>
          <w:b/>
          <w:bCs/>
          <w:color w:val="000000"/>
          <w:sz w:val="24"/>
          <w:szCs w:val="24"/>
          <w:highlight w:val="none"/>
        </w:rPr>
      </w:r>
      <w:r>
        <w:rPr>
          <w:highlight w:val="none"/>
        </w:rPr>
      </w:r>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highlight w:val="none"/>
        </w:rPr>
      </w:r>
      <w:r/>
    </w:p>
    <w:p>
      <w:pPr>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1）项目实施要求：投标人需理解采购人需求，提供项目实施方案，方案需满足以下要求：</w:t>
      </w:r>
      <w:r>
        <w:rPr>
          <w:highlight w:val="none"/>
        </w:rPr>
      </w:r>
      <w:r/>
    </w:p>
    <w:p>
      <w:pPr>
        <w:ind w:firstLine="482"/>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1.项目实施原则</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为保障项目的顺利实施，在项目实施过程应遵循以下原则：</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（1）规范性原则</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投标人应采用项目管理方法，按照采购人的要求在人员、质量和时间进度等方面进行严格管控。</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（2）标准化原则</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项目实施过程应严格遵守学院相关部门的规定要求、标准。</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（3）完整性原则</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投标人应按照采购人的要求，保证实施内容、实施流程的完整性，保证实施过程科学完整。</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（4）兼容性原则</w:t>
      </w:r>
      <w:r>
        <w:rPr>
          <w:highlight w:val="none"/>
        </w:rPr>
      </w:r>
      <w:r/>
    </w:p>
    <w:p>
      <w:pPr>
        <w:ind w:firstLine="480"/>
        <w:spacing w:line="560" w:lineRule="exact"/>
        <w:shd w:val="clear" w:color="auto" w:fill="ffffff"/>
        <w:rPr>
          <w:color w:val="000000"/>
          <w:highlight w:val="none"/>
        </w:rPr>
      </w:pPr>
      <w:r>
        <w:rPr>
          <w:rFonts w:hint="eastAsia" w:ascii="宋体" w:hAnsi="宋体" w:cs="宋体"/>
          <w:color w:val="000000"/>
          <w:sz w:val="24"/>
          <w:highlight w:val="none"/>
        </w:rPr>
        <w:t xml:space="preserve">本项目采购的设备须与学院现有数据中心设备完全兼容，与采购人前期建设无缝接轨。</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（5）保密性原则</w:t>
      </w:r>
      <w:r>
        <w:rPr>
          <w:highlight w:val="none"/>
        </w:rPr>
      </w:r>
      <w:r/>
    </w:p>
    <w:p>
      <w:pPr>
        <w:ind w:firstLine="482"/>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在进行集成和实施过程中，投标人及实施工作人员应按照采购人的要求签署相关的保密协议，采取严格的管理措施，确保实施中涉及到的任何信息，不会泄露给第三方单位或个人，或利用这些信息损害采购人利益。</w:t>
      </w:r>
      <w:r>
        <w:rPr>
          <w:highlight w:val="none"/>
        </w:rPr>
      </w:r>
      <w:r/>
    </w:p>
    <w:p>
      <w:pPr>
        <w:ind w:firstLine="482"/>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2.项目实施时间</w:t>
      </w:r>
      <w:r>
        <w:rPr>
          <w:highlight w:val="none"/>
        </w:rPr>
      </w:r>
      <w:r/>
    </w:p>
    <w:p>
      <w:pPr>
        <w:ind w:firstLine="482"/>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lang w:val="zh-CN"/>
        </w:rPr>
        <w:t xml:space="preserve">供货时间与地点要求：在甲乙双方签订合同后，投标人须在10个自然天内将货物送到采购人指定地点，</w:t>
      </w:r>
      <w:r>
        <w:rPr>
          <w:rFonts w:hint="eastAsia" w:ascii="宋体" w:hAnsi="宋体" w:cs="宋体"/>
          <w:color w:val="000000"/>
          <w:sz w:val="24"/>
          <w:highlight w:val="none"/>
        </w:rPr>
        <w:t xml:space="preserve">20个自然天内完成所有设备</w:t>
      </w:r>
      <w:r>
        <w:rPr>
          <w:rFonts w:hint="eastAsia" w:ascii="宋体" w:hAnsi="宋体" w:cs="宋体"/>
          <w:color w:val="000000"/>
          <w:sz w:val="24"/>
          <w:highlight w:val="none"/>
          <w:lang w:val="zh-CN"/>
        </w:rPr>
        <w:t xml:space="preserve">安装、调试、系统集成、上线运行、资源调优、培训以及验收等实过程。</w:t>
      </w:r>
      <w:r>
        <w:rPr>
          <w:highlight w:val="none"/>
        </w:rPr>
      </w:r>
      <w:r/>
    </w:p>
    <w:p>
      <w:pPr>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    3.项目实施团队以及安全服务资质能力</w:t>
      </w:r>
      <w:r>
        <w:rPr>
          <w:highlight w:val="none"/>
        </w:rPr>
      </w:r>
      <w:r/>
    </w:p>
    <w:p>
      <w:pPr>
        <w:ind w:firstLine="42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本项目涉及到算力、存储、网络安全和服务等，对设备整体架构的设计、实施和后续运维均有着较高要求。整体项目实施中提供至少1名项目经理和不少于2名现场实施工程师的项目实施团队。 </w:t>
      </w:r>
      <w:r>
        <w:rPr>
          <w:highlight w:val="none"/>
        </w:rPr>
      </w:r>
      <w:r/>
    </w:p>
    <w:p>
      <w:pPr>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   针对其中的网络安全运维服务内容，投标人或安全服务提供商需具有信息安全服务能力，该项目采用项目经理负责制，，需指派1名项目经理专门负责网络安全运维服务项目的整体实施工作，该项目经理应具备一定的项目管理能力、安全技术能力、熟悉国家网络安全政策法规与国家网络等级保护制度。网络安全运维服务项目组其他成员应具备一定安全技术能力且熟悉国家网络安全政策法规与国家网络等级保护制度，投标人或安全服务提供商应提供专业技术服务人员数量（除项目经理外）不少于5人。</w:t>
      </w:r>
      <w:r>
        <w:rPr>
          <w:highlight w:val="none"/>
        </w:rPr>
      </w:r>
      <w:r/>
    </w:p>
    <w:p>
      <w:pPr>
        <w:numPr>
          <w:ilvl w:val="0"/>
          <w:numId w:val="14"/>
        </w:numPr>
        <w:ind w:left="20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售后服务要求：</w:t>
      </w:r>
      <w:r>
        <w:rPr>
          <w:highlight w:val="none"/>
        </w:rPr>
      </w:r>
      <w:r/>
    </w:p>
    <w:p>
      <w:pPr>
        <w:pStyle w:val="740"/>
        <w:ind w:firstLine="480"/>
        <w:rPr>
          <w:rFonts w:hint="eastAsia" w:ascii="宋体" w:hAnsi="Times New Roman" w:cs="宋体"/>
          <w:sz w:val="24"/>
          <w:szCs w:val="24"/>
          <w:highlight w:val="none"/>
        </w:rPr>
      </w:pPr>
      <w:r>
        <w:rPr>
          <w:rFonts w:hint="eastAsia" w:ascii="宋体" w:hAnsi="Times New Roman" w:cs="宋体"/>
          <w:sz w:val="24"/>
          <w:szCs w:val="24"/>
          <w:highlight w:val="none"/>
          <w:lang w:val="zh-CN"/>
        </w:rPr>
        <w:t xml:space="preserve">投标人应提供项目售后服务方案，方案应科学、合理、切实可行、针对性强。</w:t>
      </w:r>
      <w:r>
        <w:rPr>
          <w:highlight w:val="none"/>
        </w:rPr>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宋体" w:hAnsi="Times New Roman" w:cs="宋体"/>
          <w:sz w:val="24"/>
          <w:szCs w:val="24"/>
          <w:highlight w:val="none"/>
          <w:lang w:val="zh-CN"/>
        </w:rPr>
        <w:t xml:space="preserve">、投标人中标后需提供系统扩充、升级方面的保障和技术支持服务，提供</w:t>
      </w:r>
      <w:r>
        <w:rPr>
          <w:rFonts w:ascii="Times New Roman" w:hAnsi="Times New Roman"/>
          <w:sz w:val="24"/>
          <w:szCs w:val="24"/>
          <w:highlight w:val="none"/>
        </w:rPr>
        <w:t xml:space="preserve">7×24</w:t>
      </w:r>
      <w:r>
        <w:rPr>
          <w:rFonts w:hint="eastAsia" w:ascii="宋体" w:hAnsi="Times New Roman" w:cs="宋体"/>
          <w:sz w:val="24"/>
          <w:szCs w:val="24"/>
          <w:highlight w:val="none"/>
          <w:lang w:val="zh-CN"/>
        </w:rPr>
        <w:t xml:space="preserve">小时的技术支持响应。遇到重大事件应无条件响应，且具备原厂半小时内现场支持的能力。</w:t>
      </w:r>
      <w:r>
        <w:rPr>
          <w:highlight w:val="none"/>
        </w:rPr>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宋体" w:hAnsi="Times New Roman" w:cs="宋体"/>
          <w:sz w:val="24"/>
          <w:szCs w:val="24"/>
          <w:highlight w:val="none"/>
          <w:lang w:val="zh-CN"/>
        </w:rPr>
        <w:t xml:space="preserve">、在质保期内，投标人应在南京成立客户服务队伍，提供良好的维护服务，确保本项目范围内的硬件和软件能够正常使用。</w:t>
      </w:r>
      <w:r>
        <w:rPr>
          <w:highlight w:val="none"/>
        </w:rPr>
      </w:r>
      <w:r/>
    </w:p>
    <w:p>
      <w:pPr>
        <w:ind w:firstLine="48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投标人需在质保期内免费提供同一数据中心（同一公安门牌号视为同一数据中心）不限次数的搬迁及集成服务；</w:t>
      </w:r>
      <w:r>
        <w:rPr>
          <w:highlight w:val="none"/>
        </w:rPr>
      </w:r>
      <w:r/>
    </w:p>
    <w:p>
      <w:pPr>
        <w:ind w:firstLine="480"/>
        <w:spacing w:line="560" w:lineRule="exact"/>
        <w:shd w:val="clear" w:color="auto" w:fill="ffff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t xml:space="preserve">考虑到学院机房环境的装修建设需要，投标人需在合同签订后5个自然日内免费提供一套FC-SAN接口的NVME闪存存储（可用容量≧20TB）用于数据</w:t>
      </w:r>
      <w:r>
        <w:rPr>
          <w:rFonts w:hint="eastAsia" w:ascii="宋体" w:hAnsi="宋体" w:cs="宋体"/>
          <w:color w:val="000000"/>
          <w:sz w:val="24"/>
          <w:highlight w:val="none"/>
          <w:lang w:val="en-US" w:eastAsia="zh-CN"/>
        </w:rPr>
        <w:t xml:space="preserve">迁移以及业务运行过渡使用，使用时间为半年。</w:t>
      </w:r>
      <w:r>
        <w:rPr>
          <w:highlight w:val="none"/>
        </w:rPr>
      </w:r>
      <w:r/>
    </w:p>
    <w:p>
      <w:pPr>
        <w:ind w:firstLine="480"/>
        <w:spacing w:line="560" w:lineRule="exact"/>
        <w:shd w:val="clear" w:color="auto" w:fill="ffff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投标人要根据以上要求提供不得低于该服务要求标准的的售后服务方案。</w:t>
      </w:r>
      <w:r>
        <w:rPr>
          <w:highlight w:val="none"/>
        </w:rPr>
      </w:r>
      <w:r/>
    </w:p>
    <w:p>
      <w:pPr>
        <w:numPr>
          <w:ilvl w:val="0"/>
          <w:numId w:val="14"/>
        </w:numPr>
        <w:ind w:left="200"/>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付款条件：</w:t>
      </w:r>
      <w:r>
        <w:rPr>
          <w:highlight w:val="none"/>
        </w:rPr>
      </w:r>
      <w:r/>
    </w:p>
    <w:p>
      <w:pPr>
        <w:ind w:firstLine="482"/>
        <w:spacing w:line="560" w:lineRule="exact"/>
        <w:shd w:val="clear" w:color="auto" w:fill="ffffff"/>
        <w:rPr>
          <w:rFonts w:ascii="宋体" w:hAnsi="宋体" w:cs="宋体"/>
          <w:color w:val="000000"/>
          <w:sz w:val="24"/>
          <w:highlight w:val="none"/>
        </w:rPr>
      </w:pPr>
      <w:r>
        <w:rPr>
          <w:rFonts w:hint="eastAsia" w:ascii="宋体" w:hAnsi="宋体" w:cs="宋体"/>
          <w:color w:val="000000"/>
          <w:sz w:val="24"/>
          <w:highlight w:val="none"/>
          <w:lang w:val="zh-CN"/>
        </w:rPr>
        <w:t xml:space="preserve">付款方式：签定合同后10个工作日内支付项目预付款30%，项目实施完成通过验收后，付至合同价80%；项目经结算审计后支付至审定价的95%，维保期开始一年后付清剩余5%尾款。</w:t>
      </w:r>
      <w:r>
        <w:rPr>
          <w:highlight w:val="none"/>
        </w:rPr>
      </w:r>
      <w:r/>
    </w:p>
    <w:p>
      <w:pPr>
        <w:spacing w:line="0" w:lineRule="atLeast"/>
        <w:rPr>
          <w:rFonts w:ascii="宋体" w:hAnsi="宋体"/>
          <w:b/>
          <w:bCs/>
          <w:color w:val="000000"/>
          <w:sz w:val="24"/>
          <w:szCs w:val="21"/>
          <w:highlight w:val="none"/>
        </w:rPr>
      </w:pPr>
      <w:r>
        <w:rPr>
          <w:rFonts w:ascii="宋体" w:hAnsi="宋体"/>
          <w:b/>
          <w:bCs/>
          <w:color w:val="000000"/>
          <w:sz w:val="24"/>
          <w:szCs w:val="21"/>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highlight w:val="none"/>
        </w:rPr>
      </w:r>
      <w:r/>
    </w:p>
    <w:p>
      <w:pP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．核心产品</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采购</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包号</w:t>
            </w:r>
            <w:r>
              <w:rPr>
                <w:highlight w:val="none"/>
              </w:rPr>
            </w:r>
            <w:r/>
          </w:p>
        </w:tc>
        <w:tc>
          <w:tcPr>
            <w:tcW w:w="3052"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核心产品</w:t>
            </w:r>
            <w:r>
              <w:rPr>
                <w:highlight w:val="none"/>
              </w:rPr>
            </w:r>
            <w:r/>
          </w:p>
        </w:tc>
      </w:tr>
      <w:tr>
        <w:trPr/>
        <w:tc>
          <w:tcPr>
            <w:tcW w:w="896"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rPr>
                <w:highlight w:val="none"/>
              </w:rPr>
            </w:r>
            <w:r/>
          </w:p>
        </w:tc>
        <w:tc>
          <w:tcPr>
            <w:tcW w:w="3052"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算力服务器</w:t>
            </w:r>
            <w:r>
              <w:rPr>
                <w:highlight w:val="none"/>
              </w:rPr>
            </w:r>
            <w:r/>
          </w:p>
        </w:tc>
      </w:tr>
    </w:tbl>
    <w:p>
      <w:pP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采购</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包号</w:t>
            </w:r>
            <w:r>
              <w:rPr>
                <w:highlight w:val="none"/>
              </w:rPr>
            </w:r>
            <w:r/>
          </w:p>
        </w:tc>
        <w:tc>
          <w:tcPr>
            <w:tcW w:w="3052"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是否接受</w:t>
            </w:r>
            <w:r>
              <w:rPr>
                <w:rFonts w:ascii="宋体" w:hAnsi="宋体"/>
                <w:color w:val="000000"/>
                <w:szCs w:val="21"/>
                <w:highlight w:val="none"/>
              </w:rPr>
              <w:t xml:space="preserve">进口产品投标</w:t>
            </w:r>
            <w:r>
              <w:rPr>
                <w:highlight w:val="none"/>
              </w:rPr>
            </w:r>
            <w:r/>
          </w:p>
          <w:p>
            <w:pPr>
              <w:jc w:val="center"/>
              <w:rPr>
                <w:rFonts w:ascii="宋体" w:hAnsi="宋体"/>
                <w:color w:val="000000"/>
                <w:szCs w:val="21"/>
                <w:highlight w:val="none"/>
              </w:rPr>
            </w:pPr>
            <w:r>
              <w:rPr>
                <w:rFonts w:hint="eastAsia" w:ascii="宋体" w:hAnsi="宋体"/>
                <w:color w:val="000000"/>
                <w:szCs w:val="21"/>
                <w:highlight w:val="none"/>
              </w:rPr>
              <w:t xml:space="preserve">（是/否）</w:t>
            </w:r>
            <w:r>
              <w:rPr>
                <w:highlight w:val="none"/>
              </w:rPr>
            </w:r>
            <w:r/>
          </w:p>
        </w:tc>
      </w:tr>
      <w:tr>
        <w:trPr/>
        <w:tc>
          <w:tcPr>
            <w:tcW w:w="896"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rPr>
                <w:highlight w:val="none"/>
              </w:rPr>
            </w:r>
            <w:r/>
          </w:p>
        </w:tc>
        <w:tc>
          <w:tcPr>
            <w:tcW w:w="3052" w:type="dxa"/>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否</w:t>
            </w:r>
            <w:r>
              <w:rPr>
                <w:highlight w:val="none"/>
              </w:rPr>
            </w:r>
            <w:r/>
          </w:p>
        </w:tc>
      </w:tr>
    </w:tbl>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740"/>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740"/>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highlight w:val="none"/>
        </w:rPr>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采购包号</w:t>
            </w:r>
            <w:r>
              <w:rPr>
                <w:highlight w:val="none"/>
              </w:rPr>
            </w:r>
            <w:r/>
          </w:p>
        </w:tc>
        <w:tc>
          <w:tcPr>
            <w:tcW w:w="161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中标候选人数量</w:t>
            </w:r>
            <w:r>
              <w:rPr>
                <w:highlight w:val="none"/>
              </w:rPr>
            </w:r>
            <w:r/>
          </w:p>
        </w:tc>
        <w:tc>
          <w:tcPr>
            <w:tcW w:w="432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中标候选人的原则</w:t>
            </w:r>
            <w:r>
              <w:rPr>
                <w:highlight w:val="none"/>
              </w:rPr>
            </w:r>
            <w:r/>
          </w:p>
        </w:tc>
      </w:tr>
      <w:tr>
        <w:trPr/>
        <w:tc>
          <w:tcPr>
            <w:tcW w:w="114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rPr>
                <w:highlight w:val="none"/>
              </w:rPr>
            </w:r>
            <w:r/>
          </w:p>
        </w:tc>
        <w:tc>
          <w:tcPr>
            <w:tcW w:w="161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rPr>
                <w:highlight w:val="none"/>
              </w:rPr>
            </w:r>
            <w:r/>
          </w:p>
        </w:tc>
        <w:tc>
          <w:tcPr>
            <w:tcW w:w="4325"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满足招标文件全部实质性要求，且按照评审因素的量化指标评审得分最高的投标人为中标候选人。</w:t>
            </w:r>
            <w:r>
              <w:rPr>
                <w:highlight w:val="none"/>
              </w:rPr>
            </w:r>
            <w:r/>
          </w:p>
        </w:tc>
      </w:tr>
    </w:tbl>
    <w:p>
      <w:pPr>
        <w:ind w:firstLine="439"/>
        <w:jc w:val="left"/>
        <w:spacing w:before="120" w:after="120" w:line="0" w:lineRule="atLeast"/>
        <w:rPr>
          <w:rFonts w:hint="eastAsia" w:ascii="Arial" w:hAnsi="Arial" w:cs="Arial"/>
          <w:color w:val="000000"/>
          <w:sz w:val="24"/>
          <w:szCs w:val="24"/>
          <w:highlight w:val="none"/>
        </w:rPr>
      </w:pPr>
      <w:r>
        <w:rPr>
          <w:rFonts w:hint="eastAsia" w:ascii="Arial" w:hAnsi="Arial" w:cs="Arial"/>
          <w:color w:val="000000"/>
          <w:sz w:val="24"/>
          <w:szCs w:val="24"/>
          <w:highlight w:val="none"/>
        </w:rPr>
      </w:r>
      <w:r>
        <w:rPr>
          <w:highlight w:val="none"/>
        </w:rPr>
      </w:r>
      <w:r/>
    </w:p>
    <w:p>
      <w:pPr>
        <w:ind w:firstLine="439"/>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highlight w:val="none"/>
        </w:rPr>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highlight w:val="none"/>
        </w:rPr>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highlight w:val="none"/>
        </w:rPr>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（2）供应商需按照采购文件的要求提供相应的《中小微企业声明函》。</w:t>
      </w:r>
      <w:r>
        <w:rPr>
          <w:highlight w:val="none"/>
        </w:rPr>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highlight w:val="none"/>
        </w:rPr>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highlight w:val="none"/>
        </w:rPr>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highlight w:val="none"/>
        </w:rPr>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highlight w:val="none"/>
        </w:rPr>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highlight w:val="none"/>
        </w:rPr>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highlight w:val="none"/>
        </w:rPr>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highlight w:val="none"/>
        </w:rPr>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highlight w:val="none"/>
        </w:rPr>
      </w:r>
      <w:r/>
    </w:p>
    <w:p>
      <w:pPr>
        <w:ind w:firstLine="480"/>
        <w:jc w:val="left"/>
        <w:spacing w:before="120" w:after="120" w:line="4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highlight w:val="none"/>
        </w:rPr>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highlight w:val="none"/>
        </w:rPr>
      </w:r>
      <w:r/>
    </w:p>
    <w:p>
      <w:pPr>
        <w:ind w:firstLine="472"/>
        <w:jc w:val="left"/>
        <w:spacing w:before="120" w:after="120" w:line="400" w:lineRule="exact"/>
        <w:rPr>
          <w:rFonts w:hint="eastAsia" w:ascii="Arial" w:hAnsi="Arial"/>
          <w:color w:val="000000"/>
          <w:sz w:val="24"/>
          <w:szCs w:val="24"/>
          <w:highlight w:val="none"/>
        </w:rPr>
      </w:pPr>
      <w:r>
        <w:rPr>
          <w:rFonts w:hint="eastAsia" w:ascii="宋体" w:hAnsi="宋体"/>
          <w:color w:val="000000"/>
          <w:sz w:val="24"/>
          <w:szCs w:val="24"/>
          <w:highlight w:val="none"/>
        </w:rPr>
        <w:t xml:space="preserve">7、根据《江苏省政府采购信用管理暂行办法》的规定，供应商信用评价结果为三星的扣2分，评价结果为二星的扣3分，评价结果为一星的扣4分。</w:t>
      </w:r>
      <w:r>
        <w:rPr>
          <w:highlight w:val="none"/>
        </w:rPr>
      </w:r>
      <w:r/>
    </w:p>
    <w:p>
      <w:pPr>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highlight w:val="none"/>
        </w:rPr>
      </w:r>
      <w:r/>
    </w:p>
    <w:tbl>
      <w:tblPr>
        <w:tblStyle w:val="739"/>
        <w:tblW w:w="875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134"/>
        <w:gridCol w:w="1134"/>
        <w:gridCol w:w="5812"/>
      </w:tblGrid>
      <w:tr>
        <w:trPr/>
        <w:tc>
          <w:tcPr>
            <w:tcW w:w="675" w:type="dxa"/>
            <w:vAlign w:val="center"/>
            <w:textDirection w:val="lrTb"/>
            <w:noWrap w:val="false"/>
          </w:tcPr>
          <w:p>
            <w:pPr>
              <w:jc w:val="center"/>
              <w:spacing w:before="156"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highlight w:val="none"/>
              </w:rPr>
            </w:r>
            <w:r/>
          </w:p>
        </w:tc>
        <w:tc>
          <w:tcPr>
            <w:tcW w:w="1134" w:type="dxa"/>
            <w:vAlign w:val="center"/>
            <w:textDirection w:val="lrTb"/>
            <w:noWrap w:val="false"/>
          </w:tcPr>
          <w:p>
            <w:pPr>
              <w:jc w:val="center"/>
              <w:spacing w:before="156" w:line="360" w:lineRule="auto"/>
              <w:rPr>
                <w:rFonts w:ascii="宋体" w:hAnsi="宋体" w:cs="宋体"/>
                <w:bCs/>
                <w:color w:val="000000"/>
                <w:szCs w:val="21"/>
                <w:highlight w:val="none"/>
              </w:rPr>
            </w:pPr>
            <w:r>
              <w:rPr>
                <w:rFonts w:ascii="宋体" w:hAnsi="宋体"/>
                <w:b/>
                <w:color w:val="000000"/>
                <w:szCs w:val="21"/>
                <w:highlight w:val="none"/>
              </w:rPr>
              <w:t xml:space="preserve">评审因素</w:t>
            </w:r>
            <w:r>
              <w:rPr>
                <w:highlight w:val="none"/>
              </w:rPr>
            </w:r>
            <w:r/>
          </w:p>
        </w:tc>
        <w:tc>
          <w:tcPr>
            <w:tcW w:w="1134" w:type="dxa"/>
            <w:vAlign w:val="center"/>
            <w:textDirection w:val="lrTb"/>
            <w:noWrap w:val="false"/>
          </w:tcPr>
          <w:p>
            <w:pPr>
              <w:jc w:val="center"/>
              <w:spacing w:before="156" w:line="360" w:lineRule="auto"/>
              <w:rPr>
                <w:rFonts w:ascii="宋体" w:hAnsi="宋体" w:cs="宋体"/>
                <w:bCs/>
                <w:color w:val="000000"/>
                <w:szCs w:val="21"/>
                <w:highlight w:val="none"/>
              </w:rPr>
            </w:pPr>
            <w:r>
              <w:rPr>
                <w:rFonts w:ascii="宋体" w:hAnsi="宋体"/>
                <w:b/>
                <w:color w:val="000000"/>
                <w:szCs w:val="21"/>
                <w:highlight w:val="none"/>
              </w:rPr>
              <w:t xml:space="preserve">分数（分）</w:t>
            </w:r>
            <w:r>
              <w:rPr>
                <w:highlight w:val="none"/>
              </w:rPr>
            </w:r>
            <w:r/>
          </w:p>
        </w:tc>
        <w:tc>
          <w:tcPr>
            <w:tcW w:w="5812" w:type="dxa"/>
            <w:vAlign w:val="center"/>
            <w:textDirection w:val="lrTb"/>
            <w:noWrap w:val="false"/>
          </w:tcPr>
          <w:p>
            <w:pPr>
              <w:jc w:val="center"/>
              <w:spacing w:before="156" w:line="360" w:lineRule="auto"/>
              <w:rPr>
                <w:rFonts w:ascii="宋体" w:hAnsi="宋体" w:cs="宋体"/>
                <w:bCs/>
                <w:color w:val="000000"/>
                <w:szCs w:val="21"/>
                <w:highlight w:val="none"/>
              </w:rPr>
            </w:pPr>
            <w:r>
              <w:rPr>
                <w:rFonts w:ascii="宋体" w:hAnsi="宋体"/>
                <w:b/>
                <w:color w:val="000000"/>
                <w:szCs w:val="21"/>
                <w:highlight w:val="none"/>
              </w:rPr>
              <w:t xml:space="preserve">评审标准</w:t>
            </w:r>
            <w:r>
              <w:rPr>
                <w:highlight w:val="none"/>
              </w:rPr>
            </w:r>
            <w:r/>
          </w:p>
        </w:tc>
      </w:tr>
      <w:tr>
        <w:trPr/>
        <w:tc>
          <w:tcPr>
            <w:tcW w:w="675" w:type="dxa"/>
            <w:vAlign w:val="center"/>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lang w:bidi="ar"/>
              </w:rPr>
              <w:t xml:space="preserve">1</w:t>
            </w:r>
            <w:r>
              <w:rPr>
                <w:highlight w:val="none"/>
              </w:rPr>
            </w:r>
            <w:r/>
          </w:p>
        </w:tc>
        <w:tc>
          <w:tcPr>
            <w:tcW w:w="1134" w:type="dxa"/>
            <w:vAlign w:val="center"/>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lang w:bidi="ar"/>
              </w:rPr>
              <w:t xml:space="preserve">价格分</w:t>
            </w:r>
            <w:r>
              <w:rPr>
                <w:highlight w:val="none"/>
              </w:rPr>
            </w:r>
            <w:r/>
          </w:p>
        </w:tc>
        <w:tc>
          <w:tcPr>
            <w:tcW w:w="1134" w:type="dxa"/>
            <w:vAlign w:val="center"/>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0分</w:t>
            </w:r>
            <w:r>
              <w:rPr>
                <w:highlight w:val="none"/>
              </w:rPr>
            </w:r>
            <w:r/>
          </w:p>
        </w:tc>
        <w:tc>
          <w:tcPr>
            <w:tcW w:w="5812" w:type="dxa"/>
            <w:textDirection w:val="lrTb"/>
            <w:noWrap w:val="false"/>
          </w:tcPr>
          <w:p>
            <w:pPr>
              <w:spacing w:before="156" w:line="360" w:lineRule="auto"/>
              <w:rPr>
                <w:rFonts w:ascii="宋体" w:hAnsi="宋体" w:cs="宋体"/>
                <w:bCs/>
                <w:color w:val="000000"/>
                <w:szCs w:val="21"/>
                <w:highlight w:val="none"/>
              </w:rPr>
            </w:pPr>
            <w:r>
              <w:rPr>
                <w:rFonts w:hint="eastAsia" w:ascii="宋体" w:hAnsi="宋体" w:cs="宋体"/>
                <w:color w:val="000000"/>
                <w:szCs w:val="21"/>
                <w:highlight w:val="none"/>
                <w:lang w:bidi="ar"/>
              </w:rPr>
              <w:t xml:space="preserve">1.1 价格分采用低价优先法计算，即满足采购文件要求且报价最低的供应商报价为评标基准价，其价格分为满分</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0分，其它投标人的价格分统一按照以下公式计算：投标报价得分=（评标基准价/该投标人的投标报价）×</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0分。分值保留小数点后1位。</w:t>
            </w:r>
            <w:r>
              <w:rPr>
                <w:highlight w:val="none"/>
              </w:rPr>
            </w:r>
            <w:r/>
          </w:p>
        </w:tc>
      </w:tr>
      <w:tr>
        <w:trPr>
          <w:trHeight w:val="3890"/>
        </w:trPr>
        <w:tc>
          <w:tcPr>
            <w:tcW w:w="675" w:type="dxa"/>
            <w:vAlign w:val="center"/>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w:t>
            </w:r>
            <w:r>
              <w:rPr>
                <w:highlight w:val="none"/>
              </w:rPr>
            </w:r>
            <w:r/>
          </w:p>
        </w:tc>
        <w:tc>
          <w:tcPr>
            <w:tcW w:w="1134" w:type="dxa"/>
            <w:vAlign w:val="center"/>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lang w:bidi="ar"/>
              </w:rPr>
              <w:t xml:space="preserve">技术参数及性能</w:t>
            </w:r>
            <w:r>
              <w:rPr>
                <w:highlight w:val="none"/>
              </w:rPr>
            </w:r>
            <w:r/>
          </w:p>
        </w:tc>
        <w:tc>
          <w:tcPr>
            <w:tcW w:w="1134" w:type="dxa"/>
            <w:vAlign w:val="center"/>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45</w:t>
            </w:r>
            <w:r>
              <w:rPr>
                <w:rFonts w:hint="eastAsia" w:ascii="宋体" w:hAnsi="宋体" w:cs="宋体"/>
                <w:b/>
                <w:color w:val="000000"/>
                <w:szCs w:val="21"/>
                <w:highlight w:val="none"/>
              </w:rPr>
              <w:t xml:space="preserve">分</w:t>
            </w:r>
            <w:r>
              <w:rPr>
                <w:highlight w:val="none"/>
              </w:rPr>
            </w:r>
            <w:r/>
          </w:p>
        </w:tc>
        <w:tc>
          <w:tcPr>
            <w:tcW w:w="5812" w:type="dxa"/>
            <w:textDirection w:val="lrTb"/>
            <w:noWrap w:val="false"/>
          </w:tcPr>
          <w:p>
            <w:pPr>
              <w:spacing w:before="280" w:after="280" w:line="360" w:lineRule="auto"/>
              <w:rPr>
                <w:rFonts w:ascii="宋体" w:hAnsi="宋体" w:cs="宋体"/>
                <w:bCs/>
                <w:color w:val="000000"/>
                <w:szCs w:val="21"/>
                <w:highlight w:val="none"/>
              </w:rPr>
            </w:pPr>
            <w:r>
              <w:rPr>
                <w:rFonts w:hint="eastAsia" w:ascii="宋体" w:hAnsi="宋体"/>
                <w:bCs/>
                <w:color w:val="000000"/>
                <w:szCs w:val="21"/>
                <w:highlight w:val="none"/>
              </w:rPr>
              <w:t xml:space="preserve">2.1</w:t>
            </w:r>
            <w:r>
              <w:rPr>
                <w:rFonts w:ascii="宋体" w:hAnsi="宋体"/>
                <w:bCs/>
                <w:color w:val="000000"/>
                <w:szCs w:val="21"/>
                <w:highlight w:val="none"/>
              </w:rPr>
              <w:t xml:space="preserve">投标产品对招标文件具体需求的响应程度：</w:t>
            </w:r>
            <w:r>
              <w:rPr>
                <w:rFonts w:hint="eastAsia" w:ascii="宋体" w:hAnsi="宋体"/>
                <w:bCs/>
                <w:color w:val="000000"/>
                <w:szCs w:val="21"/>
                <w:highlight w:val="none"/>
              </w:rPr>
              <w:t xml:space="preserve">全部</w:t>
            </w:r>
            <w:r>
              <w:rPr>
                <w:rFonts w:ascii="宋体" w:hAnsi="宋体"/>
                <w:bCs/>
                <w:color w:val="000000"/>
                <w:szCs w:val="21"/>
                <w:highlight w:val="none"/>
              </w:rPr>
              <w:t xml:space="preserve">响应即满足招标文件</w:t>
            </w:r>
            <w:r>
              <w:rPr>
                <w:rFonts w:hint="eastAsia" w:ascii="宋体" w:hAnsi="宋体"/>
                <w:bCs/>
                <w:color w:val="000000"/>
                <w:szCs w:val="21"/>
                <w:highlight w:val="none"/>
              </w:rPr>
              <w:t xml:space="preserve">第四章采购需求中的“技术要求”</w:t>
            </w:r>
            <w:r>
              <w:rPr>
                <w:rFonts w:ascii="宋体" w:hAnsi="宋体"/>
                <w:bCs/>
                <w:color w:val="000000"/>
                <w:szCs w:val="21"/>
                <w:highlight w:val="none"/>
              </w:rPr>
              <w:t xml:space="preserve">的得</w:t>
            </w:r>
            <w:r>
              <w:rPr>
                <w:rFonts w:hint="eastAsia" w:ascii="宋体" w:hAnsi="宋体"/>
                <w:bCs/>
                <w:color w:val="000000"/>
                <w:szCs w:val="21"/>
                <w:highlight w:val="none"/>
                <w:lang w:val="en-US" w:eastAsia="zh-CN"/>
              </w:rPr>
              <w:t xml:space="preserve">45</w:t>
            </w:r>
            <w:r>
              <w:rPr>
                <w:rFonts w:ascii="宋体" w:hAnsi="宋体"/>
                <w:bCs/>
                <w:color w:val="000000"/>
                <w:szCs w:val="21"/>
                <w:highlight w:val="none"/>
              </w:rPr>
              <w:t xml:space="preserve">分</w:t>
            </w:r>
            <w:r>
              <w:rPr>
                <w:rFonts w:hint="eastAsia" w:ascii="宋体" w:hAnsi="宋体"/>
                <w:bCs/>
                <w:color w:val="000000"/>
                <w:szCs w:val="21"/>
                <w:highlight w:val="none"/>
              </w:rPr>
              <w:t xml:space="preserve">，</w:t>
            </w:r>
            <w:r>
              <w:rPr>
                <w:rFonts w:ascii="宋体" w:hAnsi="宋体" w:cs="宋体"/>
                <w:bCs/>
                <w:color w:val="000000"/>
                <w:szCs w:val="21"/>
                <w:highlight w:val="none"/>
              </w:rPr>
              <w:t xml:space="preserve">其中</w:t>
            </w:r>
            <w:r>
              <w:rPr>
                <w:rFonts w:hint="eastAsia" w:ascii="宋体" w:hAnsi="宋体" w:cs="宋体"/>
                <w:color w:val="000000"/>
                <w:szCs w:val="21"/>
                <w:highlight w:val="none"/>
              </w:rPr>
              <w:t xml:space="preserve">注明“</w:t>
            </w:r>
            <w:r>
              <w:rPr>
                <w:rFonts w:hint="eastAsia"/>
                <w:color w:val="000000"/>
                <w:szCs w:val="21"/>
                <w:highlight w:val="none"/>
                <w:lang w:val="zh-CN"/>
              </w:rPr>
              <w:t xml:space="preserve">★</w:t>
            </w:r>
            <w:r>
              <w:rPr>
                <w:rFonts w:hint="eastAsia" w:ascii="宋体" w:hAnsi="宋体" w:cs="宋体"/>
                <w:color w:val="000000"/>
                <w:szCs w:val="21"/>
                <w:highlight w:val="none"/>
              </w:rPr>
              <w:t xml:space="preserve">”项的指标有负偏离的每项扣</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bCs/>
                <w:color w:val="000000"/>
                <w:szCs w:val="21"/>
                <w:highlight w:val="none"/>
              </w:rPr>
              <w:t xml:space="preserve">扣完为止。（投标人需按照本采购文件第四章的具体功能技术要求等，在“技术参数响应及偏离表”中如实详细填列所投产品的参数及商务承诺，并按采购文件要求提供相应的证明材料，</w:t>
            </w:r>
            <w:r>
              <w:rPr>
                <w:rFonts w:hint="eastAsia" w:ascii="宋体" w:hAnsi="宋体"/>
                <w:color w:val="000000"/>
                <w:sz w:val="22"/>
                <w:highlight w:val="none"/>
              </w:rPr>
              <w:t xml:space="preserve">应在偏离表中注明证明材料所在投标文件的页码位置，</w:t>
            </w:r>
            <w:r>
              <w:rPr>
                <w:rFonts w:hint="eastAsia" w:ascii="宋体" w:hAnsi="宋体"/>
                <w:bCs/>
                <w:color w:val="000000"/>
                <w:szCs w:val="21"/>
                <w:highlight w:val="none"/>
              </w:rPr>
              <w:t xml:space="preserve">否则评标委员会有权做负偏离处理，</w:t>
            </w:r>
            <w:r>
              <w:rPr>
                <w:rFonts w:hint="eastAsia" w:ascii="宋体" w:hAnsi="宋体" w:eastAsia="Calibri" w:cs="宋体"/>
                <w:color w:val="000000"/>
                <w:szCs w:val="21"/>
                <w:highlight w:val="none"/>
                <w:lang w:val="zh-CN"/>
              </w:rPr>
              <w:t xml:space="preserve">所有证明性材料</w:t>
            </w:r>
            <w:r>
              <w:rPr>
                <w:rFonts w:hint="eastAsia" w:ascii="宋体" w:hAnsi="宋体" w:eastAsia="Calibri" w:cs="宋体"/>
                <w:color w:val="000000"/>
                <w:szCs w:val="21"/>
                <w:highlight w:val="none"/>
              </w:rPr>
              <w:t xml:space="preserve">的真实性</w:t>
            </w:r>
            <w:r>
              <w:rPr>
                <w:rFonts w:hint="eastAsia" w:ascii="宋体" w:hAnsi="宋体" w:eastAsia="Calibri" w:cs="宋体"/>
                <w:color w:val="000000"/>
                <w:szCs w:val="21"/>
                <w:highlight w:val="none"/>
                <w:lang w:val="zh-CN"/>
              </w:rPr>
              <w:t xml:space="preserve">需在合同签订前</w:t>
            </w:r>
            <w:r>
              <w:rPr>
                <w:rFonts w:hint="eastAsia" w:ascii="宋体" w:hAnsi="宋体" w:eastAsia="Calibri" w:cs="宋体"/>
                <w:color w:val="000000"/>
                <w:szCs w:val="21"/>
                <w:highlight w:val="none"/>
              </w:rPr>
              <w:t xml:space="preserve">进行</w:t>
            </w:r>
            <w:r>
              <w:rPr>
                <w:rFonts w:hint="eastAsia" w:ascii="宋体" w:hAnsi="宋体" w:eastAsia="Calibri" w:cs="宋体"/>
                <w:color w:val="000000"/>
                <w:szCs w:val="21"/>
                <w:highlight w:val="none"/>
                <w:lang w:val="zh-CN"/>
              </w:rPr>
              <w:t xml:space="preserve">核查)</w:t>
            </w:r>
            <w:r>
              <w:rPr>
                <w:highlight w:val="none"/>
              </w:rPr>
            </w:r>
            <w:r/>
          </w:p>
        </w:tc>
      </w:tr>
      <w:tr>
        <w:trPr>
          <w:cantSplit/>
        </w:trPr>
        <w:tc>
          <w:tcPr>
            <w:tcW w:w="675"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w:t>
            </w:r>
            <w:r>
              <w:rPr>
                <w:highlight w:val="none"/>
              </w:rPr>
            </w:r>
            <w:r/>
          </w:p>
        </w:tc>
        <w:tc>
          <w:tcPr>
            <w:tcW w:w="1134"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b/>
                <w:bCs/>
                <w:color w:val="000000"/>
                <w:sz w:val="22"/>
                <w:highlight w:val="none"/>
              </w:rPr>
              <w:t xml:space="preserve">项目实施与售后服务方案</w:t>
            </w:r>
            <w:r>
              <w:rPr>
                <w:highlight w:val="none"/>
              </w:rPr>
            </w:r>
            <w:r/>
          </w:p>
        </w:tc>
        <w:tc>
          <w:tcPr>
            <w:tcW w:w="1134"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4分</w:t>
            </w:r>
            <w:r>
              <w:rPr>
                <w:highlight w:val="none"/>
              </w:rPr>
            </w:r>
            <w:r/>
          </w:p>
        </w:tc>
        <w:tc>
          <w:tcPr>
            <w:tcW w:w="5812" w:type="dxa"/>
            <w:textDirection w:val="lrTb"/>
            <w:noWrap w:val="false"/>
          </w:tcPr>
          <w:p>
            <w:pPr>
              <w:spacing w:line="440" w:lineRule="exact"/>
              <w:rPr>
                <w:rFonts w:ascii="宋体" w:hAnsi="宋体" w:cs="宋体"/>
                <w:bCs/>
                <w:color w:val="000000"/>
                <w:szCs w:val="21"/>
                <w:highlight w:val="none"/>
              </w:rPr>
            </w:pPr>
            <w:r>
              <w:rPr>
                <w:rFonts w:hint="eastAsia" w:ascii="宋体" w:hAnsi="宋体"/>
                <w:bCs/>
                <w:color w:val="000000"/>
                <w:szCs w:val="21"/>
                <w:highlight w:val="none"/>
              </w:rPr>
              <w:t xml:space="preserve">3.1项目实施方案</w:t>
            </w:r>
            <w:r>
              <w:rPr>
                <w:rFonts w:ascii="宋体" w:hAnsi="宋体"/>
                <w:bCs/>
                <w:color w:val="000000"/>
                <w:szCs w:val="21"/>
                <w:highlight w:val="none"/>
              </w:rPr>
              <w:t xml:space="preserve">（</w:t>
            </w:r>
            <w:r>
              <w:rPr>
                <w:rFonts w:hint="eastAsia" w:ascii="宋体" w:hAnsi="宋体"/>
                <w:bCs/>
                <w:color w:val="000000"/>
                <w:szCs w:val="21"/>
                <w:highlight w:val="none"/>
              </w:rPr>
              <w:t xml:space="preserve">2分</w:t>
            </w:r>
            <w:r>
              <w:rPr>
                <w:rFonts w:ascii="宋体" w:hAnsi="宋体"/>
                <w:bCs/>
                <w:color w:val="000000"/>
                <w:szCs w:val="21"/>
                <w:highlight w:val="none"/>
              </w:rPr>
              <w:t xml:space="preserve">）</w:t>
            </w:r>
            <w:r>
              <w:rPr>
                <w:rFonts w:hint="eastAsia" w:ascii="宋体" w:hAnsi="宋体"/>
                <w:bCs/>
                <w:color w:val="000000"/>
                <w:szCs w:val="21"/>
                <w:highlight w:val="none"/>
              </w:rPr>
              <w:t xml:space="preserve">：</w:t>
            </w:r>
            <w:r>
              <w:rPr>
                <w:rFonts w:ascii="宋体" w:hAnsi="宋体"/>
                <w:bCs/>
                <w:color w:val="000000"/>
                <w:szCs w:val="21"/>
                <w:highlight w:val="none"/>
              </w:rPr>
              <w:t xml:space="preserve">投标人</w:t>
            </w:r>
            <w:r>
              <w:rPr>
                <w:rFonts w:hint="eastAsia" w:ascii="宋体" w:hAnsi="宋体"/>
                <w:bCs/>
                <w:color w:val="000000"/>
                <w:szCs w:val="21"/>
                <w:highlight w:val="none"/>
              </w:rPr>
              <w:t xml:space="preserve">应</w:t>
            </w:r>
            <w:r>
              <w:rPr>
                <w:rFonts w:ascii="宋体" w:hAnsi="宋体"/>
                <w:bCs/>
                <w:color w:val="000000"/>
                <w:szCs w:val="21"/>
                <w:highlight w:val="none"/>
              </w:rPr>
              <w:t xml:space="preserve">根据招标文件</w:t>
            </w:r>
            <w:r>
              <w:rPr>
                <w:rFonts w:hint="eastAsia" w:ascii="宋体" w:hAnsi="宋体"/>
                <w:bCs/>
                <w:color w:val="000000"/>
                <w:szCs w:val="21"/>
                <w:highlight w:val="none"/>
              </w:rPr>
              <w:t xml:space="preserve">要求</w:t>
            </w:r>
            <w:r>
              <w:rPr>
                <w:rFonts w:ascii="宋体" w:hAnsi="宋体"/>
                <w:bCs/>
                <w:color w:val="000000"/>
                <w:szCs w:val="21"/>
                <w:highlight w:val="none"/>
              </w:rPr>
              <w:t xml:space="preserve">提供</w:t>
            </w:r>
            <w:r>
              <w:rPr>
                <w:rFonts w:hint="eastAsia" w:ascii="宋体" w:hAnsi="宋体"/>
                <w:bCs/>
                <w:color w:val="000000"/>
                <w:szCs w:val="21"/>
                <w:highlight w:val="none"/>
              </w:rPr>
              <w:t xml:space="preserve">具体详实的项目实施方案，方案优于招标文件要求的得2分，符合招标要求文件的得1分，不符合招标文件要求或不提供的得0分</w:t>
            </w:r>
            <w:r>
              <w:rPr>
                <w:rFonts w:ascii="宋体" w:hAnsi="宋体"/>
                <w:bCs/>
                <w:color w:val="000000"/>
                <w:szCs w:val="21"/>
                <w:highlight w:val="none"/>
              </w:rPr>
              <w:t xml:space="preserve">。</w:t>
            </w:r>
            <w:r>
              <w:rPr>
                <w:highlight w:val="none"/>
              </w:rPr>
            </w:r>
            <w:r/>
          </w:p>
        </w:tc>
      </w:tr>
      <w:tr>
        <w:trPr>
          <w:cantSplit/>
        </w:trPr>
        <w:tc>
          <w:tcPr>
            <w:tcW w:w="675" w:type="dxa"/>
            <w:vAlign w:val="center"/>
            <w:vMerge w:val="continue"/>
            <w:textDirection w:val="lrTb"/>
            <w:noWrap w:val="false"/>
          </w:tcPr>
          <w:p>
            <w:pPr>
              <w:jc w:val="center"/>
              <w:spacing w:before="156" w:line="360" w:lineRule="auto"/>
              <w:rPr>
                <w:rFonts w:ascii="宋体" w:hAnsi="宋体" w:cs="宋体"/>
                <w:b/>
                <w:color w:val="000000"/>
                <w:szCs w:val="21"/>
              </w:rPr>
            </w:pPr>
            <w:r>
              <w:rPr>
                <w:rFonts w:ascii="宋体" w:hAnsi="宋体" w:cs="宋体"/>
                <w:b/>
                <w:color w:val="000000"/>
                <w:szCs w:val="21"/>
              </w:rPr>
            </w:r>
            <w:r/>
          </w:p>
        </w:tc>
        <w:tc>
          <w:tcPr>
            <w:tcW w:w="1134" w:type="dxa"/>
            <w:vAlign w:val="center"/>
            <w:vMerge w:val="continue"/>
            <w:textDirection w:val="lrTb"/>
            <w:noWrap w:val="false"/>
          </w:tcPr>
          <w:p>
            <w:pPr>
              <w:jc w:val="center"/>
              <w:spacing w:before="156" w:line="360" w:lineRule="auto"/>
              <w:rPr>
                <w:rFonts w:ascii="宋体" w:hAnsi="宋体" w:cs="宋体"/>
                <w:b/>
                <w:color w:val="000000"/>
                <w:szCs w:val="21"/>
              </w:rPr>
            </w:pPr>
            <w:r>
              <w:rPr>
                <w:rFonts w:ascii="宋体" w:hAnsi="宋体" w:cs="宋体"/>
                <w:b/>
                <w:color w:val="000000"/>
                <w:szCs w:val="21"/>
              </w:rPr>
            </w:r>
            <w:r/>
          </w:p>
        </w:tc>
        <w:tc>
          <w:tcPr>
            <w:tcW w:w="1134" w:type="dxa"/>
            <w:vAlign w:val="center"/>
            <w:vMerge w:val="continue"/>
            <w:textDirection w:val="lrTb"/>
            <w:noWrap w:val="false"/>
          </w:tcPr>
          <w:p>
            <w:pPr>
              <w:jc w:val="center"/>
              <w:spacing w:before="156" w:line="360" w:lineRule="auto"/>
              <w:rPr>
                <w:rFonts w:ascii="宋体" w:hAnsi="宋体" w:cs="宋体"/>
                <w:b/>
                <w:color w:val="000000"/>
                <w:szCs w:val="21"/>
              </w:rPr>
            </w:pPr>
            <w:r>
              <w:rPr>
                <w:rFonts w:ascii="宋体" w:hAnsi="宋体" w:cs="宋体"/>
                <w:b/>
                <w:color w:val="000000"/>
                <w:szCs w:val="21"/>
              </w:rPr>
            </w:r>
            <w:r/>
          </w:p>
        </w:tc>
        <w:tc>
          <w:tcPr>
            <w:tcW w:w="5812" w:type="dxa"/>
            <w:textDirection w:val="lrTb"/>
            <w:noWrap w:val="false"/>
          </w:tcPr>
          <w:p>
            <w:pPr>
              <w:spacing w:line="440" w:lineRule="exact"/>
              <w:rPr>
                <w:rFonts w:ascii="宋体" w:hAnsi="宋体" w:cs="宋体"/>
                <w:bCs/>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w:t>
            </w:r>
            <w:r>
              <w:rPr>
                <w:rFonts w:hint="eastAsia" w:ascii="宋体" w:hAnsi="宋体"/>
                <w:bCs/>
                <w:color w:val="000000"/>
                <w:szCs w:val="21"/>
                <w:highlight w:val="none"/>
              </w:rPr>
              <w:t xml:space="preserve">2售后服务方案（2分）：</w:t>
            </w:r>
            <w:r>
              <w:rPr>
                <w:rFonts w:ascii="宋体" w:hAnsi="宋体"/>
                <w:bCs/>
                <w:color w:val="000000"/>
                <w:szCs w:val="21"/>
                <w:highlight w:val="none"/>
              </w:rPr>
              <w:t xml:space="preserve">投标人根据招标文件</w:t>
            </w:r>
            <w:r>
              <w:rPr>
                <w:rFonts w:hint="eastAsia" w:ascii="宋体" w:hAnsi="宋体"/>
                <w:bCs/>
                <w:color w:val="000000"/>
                <w:szCs w:val="21"/>
                <w:highlight w:val="none"/>
              </w:rPr>
              <w:t xml:space="preserve">要求</w:t>
            </w:r>
            <w:r>
              <w:rPr>
                <w:rFonts w:ascii="宋体" w:hAnsi="宋体"/>
                <w:bCs/>
                <w:color w:val="000000"/>
                <w:szCs w:val="21"/>
                <w:highlight w:val="none"/>
              </w:rPr>
              <w:t xml:space="preserve">提供</w:t>
            </w:r>
            <w:r>
              <w:rPr>
                <w:rFonts w:hint="eastAsia" w:ascii="宋体" w:hAnsi="宋体"/>
                <w:bCs/>
                <w:color w:val="000000"/>
                <w:szCs w:val="21"/>
                <w:highlight w:val="none"/>
              </w:rPr>
              <w:t xml:space="preserve">具体详实的售后服务方案，方案优于招标文件要求的得2分，符合招标要求文件的得1分，不符合招标文件要求或不提供的得0分</w:t>
            </w:r>
            <w:r>
              <w:rPr>
                <w:rFonts w:ascii="宋体" w:hAnsi="宋体"/>
                <w:bCs/>
                <w:color w:val="000000"/>
                <w:szCs w:val="21"/>
                <w:highlight w:val="none"/>
              </w:rPr>
              <w:t xml:space="preserve">。</w:t>
            </w:r>
            <w:r>
              <w:rPr>
                <w:highlight w:val="none"/>
              </w:rPr>
            </w:r>
            <w:r/>
          </w:p>
        </w:tc>
      </w:tr>
      <w:tr>
        <w:trPr>
          <w:cantSplit/>
        </w:trPr>
        <w:tc>
          <w:tcPr>
            <w:tcW w:w="675"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w:t>
            </w:r>
            <w:r>
              <w:rPr>
                <w:highlight w:val="none"/>
              </w:rPr>
            </w:r>
            <w:r/>
          </w:p>
        </w:tc>
        <w:tc>
          <w:tcPr>
            <w:tcW w:w="1134"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项目实施团队能力</w:t>
            </w:r>
            <w:r>
              <w:rPr>
                <w:highlight w:val="none"/>
              </w:rPr>
            </w:r>
            <w:r/>
          </w:p>
        </w:tc>
        <w:tc>
          <w:tcPr>
            <w:tcW w:w="1134"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分</w:t>
            </w:r>
            <w:r>
              <w:rPr>
                <w:highlight w:val="none"/>
              </w:rPr>
            </w:r>
            <w:r/>
          </w:p>
        </w:tc>
        <w:tc>
          <w:tcPr>
            <w:tcW w:w="5812"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4.1投标人能力（4分）。</w:t>
            </w:r>
            <w:r>
              <w:rPr>
                <w:rFonts w:hint="eastAsia" w:ascii="宋体" w:hAnsi="宋体" w:cs="宋体"/>
                <w:color w:val="000000" w:themeColor="text1"/>
                <w:szCs w:val="21"/>
                <w:highlight w:val="none"/>
                <w14:textFill>
                  <w14:solidFill>
                    <w14:schemeClr w14:val="tx1"/>
                  </w14:solidFill>
                </w14:textFill>
              </w:rPr>
              <w:t xml:space="preserve">投标人针对本项目的实施成员（含项目经理）中同时具有应用资源以及应用性能监控管理产品的原厂认证工程师证书，</w:t>
            </w:r>
            <w:r>
              <w:rPr>
                <w:rFonts w:hint="eastAsia" w:ascii="宋体" w:hAnsi="宋体" w:cs="宋体"/>
                <w:color w:val="000000" w:themeColor="text1"/>
                <w:szCs w:val="21"/>
                <w:highlight w:val="none"/>
                <w14:textFill>
                  <w14:solidFill>
                    <w14:schemeClr w14:val="tx1"/>
                  </w14:solidFill>
                </w14:textFill>
              </w:rPr>
              <w:t xml:space="preserve">提供</w:t>
            </w:r>
            <w:r>
              <w:rPr>
                <w:rFonts w:hint="eastAsia" w:ascii="宋体" w:hAnsi="宋体" w:cs="宋体"/>
                <w:color w:val="000000" w:themeColor="text1"/>
                <w:szCs w:val="21"/>
                <w:highlight w:val="none"/>
                <w:lang w:val="en-US" w:eastAsia="zh-CN"/>
                <w14:textFill>
                  <w14:solidFill>
                    <w14:schemeClr w14:val="tx1"/>
                  </w14:solidFill>
                </w14:textFill>
              </w:rPr>
              <w:t xml:space="preserve">满足以上条件的人员每一人</w:t>
            </w:r>
            <w:r>
              <w:rPr>
                <w:rFonts w:hint="eastAsia" w:ascii="宋体" w:hAnsi="宋体" w:cs="宋体"/>
                <w:color w:val="000000" w:themeColor="text1"/>
                <w:szCs w:val="21"/>
                <w:highlight w:val="none"/>
                <w14:textFill>
                  <w14:solidFill>
                    <w14:schemeClr w14:val="tx1"/>
                  </w14:solidFill>
                </w14:textFill>
              </w:rPr>
              <w:t xml:space="preserve">得2分</w:t>
            </w:r>
            <w:r>
              <w:rPr>
                <w:rFonts w:hint="eastAsia" w:ascii="宋体" w:hAnsi="宋体" w:cs="宋体"/>
                <w:color w:val="000000" w:themeColor="text1"/>
                <w:szCs w:val="21"/>
                <w:highlight w:val="none"/>
                <w14:textFill>
                  <w14:solidFill>
                    <w14:schemeClr w14:val="tx1"/>
                  </w14:solidFill>
                </w14:textFill>
              </w:rPr>
              <w:t xml:space="preserve">，不提供不得分，最高得4分；（提供投标人为相关人员在</w:t>
            </w:r>
            <w:r>
              <w:rPr>
                <w:rFonts w:hint="eastAsia"/>
                <w:color w:val="000000" w:themeColor="text1"/>
                <w:highlight w:val="none"/>
                <w14:textFill>
                  <w14:solidFill>
                    <w14:schemeClr w14:val="tx1"/>
                  </w14:solidFill>
                </w14:textFill>
              </w:rPr>
              <w:t xml:space="preserve">投标截止时间前3个月内任意1个月的社保</w:t>
            </w:r>
            <w:r>
              <w:rPr>
                <w:rFonts w:hint="eastAsia" w:ascii="宋体" w:hAnsi="宋体" w:cs="宋体"/>
                <w:color w:val="000000" w:themeColor="text1"/>
                <w:szCs w:val="21"/>
                <w:highlight w:val="none"/>
                <w14:textFill>
                  <w14:solidFill>
                    <w14:schemeClr w14:val="tx1"/>
                  </w14:solidFill>
                </w14:textFill>
              </w:rPr>
              <w:t xml:space="preserve">证明文件</w:t>
            </w:r>
            <w:r>
              <w:rPr>
                <w:rFonts w:ascii="宋体" w:hAnsi="宋体"/>
                <w:bCs/>
                <w:color w:val="000000" w:themeColor="text1"/>
                <w:szCs w:val="21"/>
                <w:highlight w:val="none"/>
                <w14:textFill>
                  <w14:solidFill>
                    <w14:schemeClr w14:val="tx1"/>
                  </w14:solidFill>
                </w14:textFill>
              </w:rPr>
              <w:t xml:space="preserve">并加盖公章</w:t>
            </w:r>
            <w:r>
              <w:rPr>
                <w:rFonts w:hint="eastAsia" w:ascii="宋体" w:hAnsi="宋体" w:cs="宋体"/>
                <w:color w:val="000000" w:themeColor="text1"/>
                <w:szCs w:val="21"/>
                <w:highlight w:val="none"/>
                <w14:textFill>
                  <w14:solidFill>
                    <w14:schemeClr w14:val="tx1"/>
                  </w14:solidFill>
                </w14:textFill>
              </w:rPr>
              <w:t xml:space="preserve">）</w:t>
            </w:r>
            <w:r>
              <w:rPr>
                <w:highlight w:val="none"/>
              </w:rPr>
            </w:r>
            <w:r/>
          </w:p>
        </w:tc>
      </w:tr>
      <w:tr>
        <w:trPr>
          <w:cantSplit/>
        </w:trPr>
        <w:tc>
          <w:tcPr>
            <w:tcW w:w="675" w:type="dxa"/>
            <w:vAlign w:val="center"/>
            <w:vMerge w:val="continue"/>
            <w:textDirection w:val="lrTb"/>
            <w:noWrap w:val="false"/>
          </w:tcPr>
          <w:p>
            <w:pPr>
              <w:jc w:val="center"/>
              <w:spacing w:before="156" w:line="360" w:lineRule="auto"/>
              <w:rPr>
                <w:rFonts w:ascii="宋体" w:hAnsi="宋体" w:cs="宋体"/>
                <w:b/>
                <w:color w:val="000000"/>
                <w:szCs w:val="21"/>
              </w:rPr>
            </w:pPr>
            <w:r>
              <w:rPr>
                <w:rFonts w:ascii="宋体" w:hAnsi="宋体" w:cs="宋体"/>
                <w:b/>
                <w:color w:val="000000"/>
                <w:szCs w:val="21"/>
              </w:rPr>
            </w:r>
            <w:r/>
          </w:p>
        </w:tc>
        <w:tc>
          <w:tcPr>
            <w:tcW w:w="1134" w:type="dxa"/>
            <w:vAlign w:val="center"/>
            <w:vMerge w:val="continue"/>
            <w:textDirection w:val="lrTb"/>
            <w:noWrap w:val="false"/>
          </w:tcPr>
          <w:p>
            <w:pPr>
              <w:jc w:val="center"/>
              <w:spacing w:before="156" w:line="360" w:lineRule="auto"/>
              <w:rPr>
                <w:rFonts w:ascii="宋体" w:hAnsi="宋体" w:cs="宋体"/>
                <w:b/>
                <w:color w:val="000000"/>
                <w:szCs w:val="21"/>
              </w:rPr>
            </w:pPr>
            <w:r>
              <w:rPr>
                <w:rFonts w:ascii="宋体" w:hAnsi="宋体" w:cs="宋体"/>
                <w:b/>
                <w:color w:val="000000"/>
                <w:szCs w:val="21"/>
              </w:rPr>
            </w:r>
            <w:r/>
          </w:p>
        </w:tc>
        <w:tc>
          <w:tcPr>
            <w:tcW w:w="1134" w:type="dxa"/>
            <w:vAlign w:val="center"/>
            <w:vMerge w:val="continue"/>
            <w:textDirection w:val="lrTb"/>
            <w:noWrap w:val="false"/>
          </w:tcPr>
          <w:p>
            <w:pPr>
              <w:jc w:val="center"/>
              <w:spacing w:before="156" w:line="360" w:lineRule="auto"/>
              <w:rPr>
                <w:rFonts w:ascii="宋体" w:hAnsi="宋体" w:cs="宋体"/>
                <w:b/>
                <w:color w:val="000000"/>
                <w:szCs w:val="21"/>
              </w:rPr>
            </w:pPr>
            <w:r>
              <w:rPr>
                <w:rFonts w:ascii="宋体" w:hAnsi="宋体" w:cs="宋体"/>
                <w:b/>
                <w:color w:val="000000"/>
                <w:szCs w:val="21"/>
              </w:rPr>
            </w:r>
            <w:r/>
          </w:p>
        </w:tc>
        <w:tc>
          <w:tcPr>
            <w:tcW w:w="5812"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4.2 安全服务项目经理能力（5分）。</w:t>
            </w:r>
            <w:r>
              <w:rPr>
                <w:rFonts w:hint="eastAsia" w:ascii="宋体" w:hAnsi="宋体" w:cs="宋体"/>
                <w:color w:val="000000" w:themeColor="text1"/>
                <w:szCs w:val="21"/>
                <w:highlight w:val="none"/>
                <w14:textFill>
                  <w14:solidFill>
                    <w14:schemeClr w14:val="tx1"/>
                  </w14:solidFill>
                </w14:textFill>
              </w:rPr>
              <w:t xml:space="preserve">投标人或安全服务提供商，需为本项目配备一名项目经理，项目经理具备中国信息安全测评中心注册渗透测试工程师(CISP-PTE)、</w:t>
            </w:r>
            <w:r>
              <w:rPr>
                <w:rFonts w:hint="eastAsia" w:ascii="宋体" w:hAnsi="宋体" w:cs="宋体"/>
                <w:color w:val="000000" w:themeColor="text1"/>
                <w:szCs w:val="21"/>
                <w:highlight w:val="none"/>
                <w14:textFill>
                  <w14:solidFill>
                    <w14:schemeClr w14:val="tx1"/>
                  </w14:solidFill>
                </w14:textFill>
              </w:rPr>
              <w:t xml:space="preserve">中国网络安全审查认证和市场监管大数据中心</w:t>
            </w:r>
            <w:r>
              <w:rPr>
                <w:rFonts w:hint="eastAsia" w:ascii="宋体" w:hAnsi="宋体" w:cs="宋体"/>
                <w:color w:val="000000" w:themeColor="text1"/>
                <w:szCs w:val="21"/>
                <w:highlight w:val="none"/>
                <w:lang w:val="en-US" w:eastAsia="zh-CN"/>
                <w14:textFill>
                  <w14:solidFill>
                    <w14:schemeClr w14:val="tx1"/>
                  </w14:solidFill>
                </w14:textFill>
              </w:rPr>
              <w:t xml:space="preserve">或原名为</w:t>
            </w:r>
            <w:r>
              <w:rPr>
                <w:rFonts w:hint="eastAsia" w:ascii="宋体" w:hAnsi="宋体" w:cs="宋体"/>
                <w:color w:val="000000" w:themeColor="text1"/>
                <w:szCs w:val="21"/>
                <w:highlight w:val="none"/>
                <w14:textFill>
                  <w14:solidFill>
                    <w14:schemeClr w14:val="tx1"/>
                  </w14:solidFill>
                </w14:textFill>
              </w:rPr>
              <w:t xml:space="preserve">中国网络安全技术审查与认证中心</w:t>
            </w:r>
            <w:r>
              <w:rPr>
                <w:rFonts w:hint="eastAsia" w:ascii="宋体" w:hAnsi="宋体" w:cs="宋体"/>
                <w:color w:val="000000" w:themeColor="text1"/>
                <w:szCs w:val="21"/>
                <w:highlight w:val="none"/>
                <w14:textFill>
                  <w14:solidFill>
                    <w14:schemeClr w14:val="tx1"/>
                  </w14:solidFill>
                </w14:textFill>
              </w:rPr>
              <w:t xml:space="preserve">颁发的CSERE应急响应工程师认证证书、CISAW渗透测试方向认证证书、CISAW安全运维方向认证证书、信息安全管理体系主任审核员培训证书，每提供一个得1分。（提供相关证书复印件和投标人或安全服务提供商为该人员缴纳的</w:t>
            </w:r>
            <w:r>
              <w:rPr>
                <w:rFonts w:hint="eastAsia"/>
                <w:color w:val="000000" w:themeColor="text1"/>
                <w:highlight w:val="none"/>
                <w14:textFill>
                  <w14:solidFill>
                    <w14:schemeClr w14:val="tx1"/>
                  </w14:solidFill>
                </w14:textFill>
              </w:rPr>
              <w:t xml:space="preserve">投标截止时间前3个月内任意1个月的社保</w:t>
            </w:r>
            <w:r>
              <w:rPr>
                <w:rFonts w:hint="eastAsia" w:ascii="宋体" w:hAnsi="宋体" w:cs="宋体"/>
                <w:color w:val="000000" w:themeColor="text1"/>
                <w:szCs w:val="21"/>
                <w:highlight w:val="none"/>
                <w14:textFill>
                  <w14:solidFill>
                    <w14:schemeClr w14:val="tx1"/>
                  </w14:solidFill>
                </w14:textFill>
              </w:rPr>
              <w:t xml:space="preserve">证明文件</w:t>
            </w:r>
            <w:r>
              <w:rPr>
                <w:rFonts w:ascii="宋体" w:hAnsi="宋体"/>
                <w:bCs/>
                <w:color w:val="000000" w:themeColor="text1"/>
                <w:szCs w:val="21"/>
                <w:highlight w:val="none"/>
                <w14:textFill>
                  <w14:solidFill>
                    <w14:schemeClr w14:val="tx1"/>
                  </w14:solidFill>
                </w14:textFill>
              </w:rPr>
              <w:t xml:space="preserve">并加盖公章</w:t>
            </w:r>
            <w:r>
              <w:rPr>
                <w:rFonts w:hint="eastAsia" w:ascii="宋体" w:hAnsi="宋体" w:cs="宋体"/>
                <w:color w:val="000000" w:themeColor="text1"/>
                <w:szCs w:val="21"/>
                <w:highlight w:val="none"/>
                <w14:textFill>
                  <w14:solidFill>
                    <w14:schemeClr w14:val="tx1"/>
                  </w14:solidFill>
                </w14:textFill>
              </w:rPr>
              <w:t xml:space="preserve">）</w:t>
            </w:r>
            <w:r>
              <w:rPr>
                <w:highlight w:val="none"/>
              </w:rPr>
            </w:r>
            <w:r/>
          </w:p>
        </w:tc>
      </w:tr>
      <w:tr>
        <w:trPr>
          <w:cantSplit/>
        </w:trPr>
        <w:tc>
          <w:tcPr>
            <w:tcW w:w="675"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w:t>
            </w:r>
            <w:r>
              <w:rPr>
                <w:highlight w:val="none"/>
              </w:rPr>
            </w:r>
            <w:r/>
          </w:p>
        </w:tc>
        <w:tc>
          <w:tcPr>
            <w:tcW w:w="1134" w:type="dxa"/>
            <w:vAlign w:val="center"/>
            <w:vMerge w:val="restart"/>
            <w:textDirection w:val="lrTb"/>
            <w:noWrap w:val="false"/>
          </w:tcPr>
          <w:p>
            <w:pPr>
              <w:jc w:val="center"/>
              <w:spacing w:before="156" w:line="276" w:lineRule="auto"/>
              <w:rPr>
                <w:rFonts w:ascii="宋体" w:hAnsi="宋体"/>
                <w:b/>
                <w:color w:val="000000"/>
                <w:szCs w:val="21"/>
                <w:highlight w:val="none"/>
              </w:rPr>
            </w:pPr>
            <w:r>
              <w:rPr>
                <w:rFonts w:hint="eastAsia" w:ascii="宋体" w:hAnsi="宋体"/>
                <w:b/>
                <w:color w:val="000000"/>
                <w:szCs w:val="21"/>
                <w:highlight w:val="none"/>
              </w:rPr>
              <w:t xml:space="preserve">节能</w:t>
            </w:r>
            <w:r>
              <w:rPr>
                <w:highlight w:val="none"/>
              </w:rPr>
            </w:r>
            <w:r/>
          </w:p>
          <w:p>
            <w:pPr>
              <w:jc w:val="center"/>
              <w:spacing w:before="156" w:line="276" w:lineRule="auto"/>
              <w:rPr>
                <w:rFonts w:ascii="宋体" w:hAnsi="宋体" w:cs="宋体"/>
                <w:b/>
                <w:color w:val="000000"/>
                <w:szCs w:val="21"/>
                <w:highlight w:val="none"/>
              </w:rPr>
            </w:pPr>
            <w:r>
              <w:rPr>
                <w:rFonts w:hint="eastAsia" w:ascii="宋体" w:hAnsi="宋体"/>
                <w:b/>
                <w:color w:val="000000"/>
                <w:szCs w:val="21"/>
                <w:highlight w:val="none"/>
              </w:rPr>
              <w:t xml:space="preserve">环保</w:t>
            </w:r>
            <w:r>
              <w:rPr>
                <w:highlight w:val="none"/>
              </w:rPr>
            </w:r>
            <w:r/>
          </w:p>
        </w:tc>
        <w:tc>
          <w:tcPr>
            <w:tcW w:w="1134" w:type="dxa"/>
            <w:vAlign w:val="center"/>
            <w:vMerge w:val="restart"/>
            <w:textDirection w:val="lrTb"/>
            <w:noWrap w:val="false"/>
          </w:tcPr>
          <w:p>
            <w:pPr>
              <w:jc w:val="center"/>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2分</w:t>
            </w:r>
            <w:r>
              <w:rPr>
                <w:highlight w:val="none"/>
              </w:rPr>
            </w:r>
            <w:r/>
          </w:p>
        </w:tc>
        <w:tc>
          <w:tcPr>
            <w:tcW w:w="5812" w:type="dxa"/>
            <w:textDirection w:val="lrTb"/>
            <w:noWrap w:val="false"/>
          </w:tcPr>
          <w:p>
            <w:pPr>
              <w:spacing w:line="360" w:lineRule="auto"/>
              <w:rPr>
                <w:rFonts w:ascii="宋体" w:hAnsi="宋体"/>
                <w:bCs/>
                <w:color w:val="000000"/>
                <w:szCs w:val="21"/>
                <w:highlight w:val="none"/>
              </w:rPr>
            </w:pPr>
            <w:r>
              <w:rPr>
                <w:rFonts w:hint="eastAsia" w:ascii="宋体" w:hAnsi="宋体" w:cs="宋体"/>
                <w:color w:val="000000"/>
                <w:szCs w:val="21"/>
                <w:highlight w:val="none"/>
              </w:rPr>
              <w:t xml:space="preserve">5.1. 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highlight w:val="none"/>
              </w:rPr>
            </w:r>
            <w:r/>
          </w:p>
        </w:tc>
      </w:tr>
      <w:tr>
        <w:trPr>
          <w:cantSplit/>
        </w:trPr>
        <w:tc>
          <w:tcPr>
            <w:tcW w:w="675" w:type="dxa"/>
            <w:vAlign w:val="center"/>
            <w:vMerge w:val="continue"/>
            <w:textDirection w:val="lrTb"/>
            <w:noWrap w:val="false"/>
          </w:tcPr>
          <w:p>
            <w:pPr>
              <w:jc w:val="center"/>
              <w:spacing w:before="156" w:line="360" w:lineRule="auto"/>
              <w:rPr>
                <w:rFonts w:ascii="宋体" w:hAnsi="宋体" w:cs="宋体"/>
                <w:bCs/>
                <w:color w:val="000000"/>
                <w:szCs w:val="21"/>
              </w:rPr>
            </w:pPr>
            <w:r>
              <w:rPr>
                <w:rFonts w:ascii="宋体" w:hAnsi="宋体" w:cs="宋体"/>
                <w:bCs/>
                <w:color w:val="000000"/>
                <w:szCs w:val="21"/>
              </w:rPr>
            </w:r>
            <w:r/>
          </w:p>
        </w:tc>
        <w:tc>
          <w:tcPr>
            <w:tcW w:w="1134" w:type="dxa"/>
            <w:vAlign w:val="center"/>
            <w:vMerge w:val="continue"/>
            <w:textDirection w:val="lrTb"/>
            <w:noWrap w:val="false"/>
          </w:tcPr>
          <w:p>
            <w:pPr>
              <w:jc w:val="center"/>
              <w:spacing w:before="156" w:line="360" w:lineRule="auto"/>
              <w:rPr>
                <w:rFonts w:ascii="宋体" w:hAnsi="宋体" w:cs="宋体"/>
                <w:bCs/>
                <w:color w:val="000000"/>
                <w:szCs w:val="21"/>
              </w:rPr>
            </w:pPr>
            <w:r>
              <w:rPr>
                <w:rFonts w:ascii="宋体" w:hAnsi="宋体" w:cs="宋体"/>
                <w:bCs/>
                <w:color w:val="000000"/>
                <w:szCs w:val="21"/>
              </w:rPr>
            </w:r>
            <w:r/>
          </w:p>
        </w:tc>
        <w:tc>
          <w:tcPr>
            <w:tcW w:w="1134" w:type="dxa"/>
            <w:vAlign w:val="center"/>
            <w:vMerge w:val="continue"/>
            <w:textDirection w:val="lrTb"/>
            <w:noWrap w:val="false"/>
          </w:tcPr>
          <w:p>
            <w:pPr>
              <w:jc w:val="center"/>
              <w:spacing w:before="156" w:line="360" w:lineRule="auto"/>
              <w:rPr>
                <w:rFonts w:ascii="宋体" w:hAnsi="宋体" w:cs="宋体"/>
                <w:bCs/>
                <w:color w:val="000000"/>
                <w:szCs w:val="21"/>
              </w:rPr>
            </w:pPr>
            <w:r>
              <w:rPr>
                <w:rFonts w:ascii="宋体" w:hAnsi="宋体" w:cs="宋体"/>
                <w:bCs/>
                <w:color w:val="000000"/>
                <w:szCs w:val="21"/>
              </w:rPr>
            </w:r>
            <w:r/>
          </w:p>
        </w:tc>
        <w:tc>
          <w:tcPr>
            <w:tcW w:w="5812" w:type="dxa"/>
            <w:textDirection w:val="lrTb"/>
            <w:noWrap w:val="false"/>
          </w:tcPr>
          <w:p>
            <w:pPr>
              <w:spacing w:line="360" w:lineRule="auto"/>
              <w:rPr>
                <w:rFonts w:ascii="宋体" w:hAnsi="宋体"/>
                <w:bCs/>
                <w:color w:val="000000"/>
                <w:szCs w:val="21"/>
                <w:highlight w:val="none"/>
              </w:rPr>
            </w:pPr>
            <w:r>
              <w:rPr>
                <w:rFonts w:hint="eastAsia" w:ascii="宋体" w:hAnsi="宋体" w:cs="宋体"/>
                <w:color w:val="000000"/>
                <w:szCs w:val="21"/>
                <w:highlight w:val="none"/>
              </w:rPr>
              <w:t xml:space="preserve">5.2. 投标产品属于财政部、生态环境部公布的“环境标志产品品目清单”范围内的，投标人提供国家确定的认证机构出具的、处于有效期内的该环保产品认证证书复印件的，有1个得0.5分，最多得1分。</w:t>
            </w:r>
            <w:r>
              <w:rPr>
                <w:highlight w:val="none"/>
              </w:rPr>
            </w:r>
            <w:r/>
          </w:p>
        </w:tc>
      </w:tr>
    </w:tbl>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r/>
    </w:p>
    <w:p>
      <w:pPr>
        <w:pStyle w:val="74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rPr>
          <w:highlight w:val="none"/>
        </w:rPr>
      </w:r>
      <w:r/>
    </w:p>
    <w:p>
      <w:pPr>
        <w:pStyle w:val="74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rPr>
          <w:highlight w:val="none"/>
        </w:rPr>
      </w:r>
      <w:r/>
    </w:p>
    <w:p>
      <w:pPr>
        <w:pStyle w:val="74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rPr>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第六章  投标</w:t>
      </w:r>
      <w:bookmarkEnd w:id="182"/>
      <w:r>
        <w:rPr>
          <w:highlight w:val="none"/>
        </w:rPr>
      </w:r>
      <w:bookmarkEnd w:id="183"/>
      <w:r>
        <w:rPr>
          <w:highlight w:val="none"/>
        </w:rPr>
      </w:r>
      <w:bookmarkEnd w:id="184"/>
      <w:r>
        <w:rPr>
          <w:rFonts w:hint="eastAsia" w:ascii="黑体" w:hAnsi="Times New Roman" w:eastAsia="黑体"/>
          <w:bCs/>
          <w:color w:val="000000"/>
          <w:sz w:val="44"/>
          <w:szCs w:val="28"/>
          <w:highlight w:val="none"/>
        </w:rPr>
        <w:t xml:space="preserve">文件格式 </w:t>
      </w:r>
      <w:r>
        <w:rPr>
          <w:highlight w:val="none"/>
        </w:rPr>
      </w:r>
      <w:r/>
    </w:p>
    <w:p>
      <w:pPr>
        <w:jc w:val="center"/>
        <w:rPr>
          <w:rFonts w:hint="eastAsia" w:ascii="宋体" w:hAnsi="宋体"/>
          <w:b/>
          <w:color w:val="000000"/>
          <w:sz w:val="72"/>
          <w:szCs w:val="21"/>
          <w:highlight w:val="none"/>
        </w:rPr>
      </w:pPr>
      <w:r>
        <w:rPr>
          <w:highlight w:val="none"/>
        </w:rPr>
      </w:r>
      <w:bookmarkStart w:id="188" w:name="_Hlt26955039"/>
      <w:r>
        <w:rPr>
          <w:highlight w:val="none"/>
        </w:rPr>
      </w:r>
      <w:bookmarkEnd w:id="188"/>
      <w:r>
        <w:rPr>
          <w:highlight w:val="none"/>
        </w:rPr>
      </w:r>
      <w:bookmarkStart w:id="189" w:name="_Hlt26671244"/>
      <w:r>
        <w:rPr>
          <w:highlight w:val="none"/>
        </w:rPr>
      </w:r>
      <w:bookmarkEnd w:id="189"/>
      <w:r>
        <w:rPr>
          <w:highlight w:val="none"/>
        </w:rPr>
      </w:r>
      <w:bookmarkStart w:id="190" w:name="_Toc49090576"/>
      <w:r>
        <w:rPr>
          <w:highlight w:val="none"/>
        </w:rPr>
      </w:r>
      <w:bookmarkStart w:id="191" w:name="_Toc26554094"/>
      <w:r>
        <w:rPr>
          <w:highlight w:val="none"/>
        </w:rPr>
      </w:r>
      <w:bookmarkStart w:id="192" w:name="_Toc120614282"/>
      <w:r>
        <w:rPr>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pStyle w:val="740"/>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pStyle w:val="740"/>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pStyle w:val="740"/>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pStyle w:val="740"/>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r/>
    </w:p>
    <w:p>
      <w:pPr>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highlight w:val="none"/>
        </w:rPr>
      </w:r>
      <w:r/>
    </w:p>
    <w:p>
      <w:pPr>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highlight w:val="non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highlight w:val="non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pStyle w:val="740"/>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highlight w:val="none"/>
        </w:rPr>
      </w:r>
      <w:r/>
    </w:p>
    <w:p>
      <w:pPr>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highlight w:val="none"/>
        </w:rPr>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rPr>
          <w:highlight w:val="none"/>
        </w:rPr>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rPr>
          <w:highlight w:val="none"/>
        </w:rPr>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rPr>
          <w:highlight w:val="none"/>
        </w:rPr>
      </w:r>
      <w:r/>
    </w:p>
    <w:p>
      <w:pPr>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highlight w:val="none"/>
        </w:rPr>
      </w:r>
      <w:r/>
    </w:p>
    <w:p>
      <w:pPr>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rPr>
          <w:highlight w:val="none"/>
        </w:rPr>
      </w:r>
      <w:r/>
    </w:p>
    <w:p>
      <w:pPr>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上一年度的财务状况报告（投标人成立不满一年无需提供）</w:t>
      </w:r>
      <w:r>
        <w:rPr>
          <w:highlight w:val="none"/>
        </w:rPr>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依法缴纳税收和社会保障资金的相关材料（提供提交投标文件截止时间前</w:t>
      </w:r>
      <w:r>
        <w:rPr>
          <w:highlight w:val="none"/>
        </w:rPr>
      </w:r>
      <w:r/>
    </w:p>
    <w:p>
      <w:pPr>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一年内至少一个月依法缴纳税收及缴纳社会保障资金的证明材料。投标人依法享受缓缴、免缴税收、社会保障资金的提供证明材料。）</w:t>
      </w:r>
      <w:r>
        <w:rPr>
          <w:highlight w:val="none"/>
        </w:rPr>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rPr>
          <w:highlight w:val="none"/>
        </w:rPr>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年内在经营活动中没有重大违法记录的书面声明</w:t>
      </w:r>
      <w:r>
        <w:rPr>
          <w:highlight w:val="none"/>
        </w:rPr>
      </w:r>
      <w:r/>
    </w:p>
    <w:p>
      <w:pPr>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（格式见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rPr>
          <w:highlight w:val="none"/>
        </w:rPr>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8.</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rPr>
          <w:highlight w:val="none"/>
        </w:rPr>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rPr>
          <w:highlight w:val="none"/>
        </w:rPr>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highlight w:val="none"/>
        </w:rPr>
      </w:r>
      <w:r/>
    </w:p>
    <w:p>
      <w:pPr>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、9条投标人必须在投标文件</w:t>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中提供相关材料，否则作无效投标处理；6、10、11条如招标文件要求必须提供相关材料而未提供的，作无效投标处理。</w:t>
      </w:r>
      <w:r>
        <w:rPr>
          <w:highlight w:val="none"/>
        </w:rPr>
      </w:r>
      <w:r/>
    </w:p>
    <w:p>
      <w:pPr>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，否则做无效投标处理。（格式见</w:t>
      </w:r>
      <w:r>
        <w:rPr>
          <w:rFonts w:ascii="宋体" w:hAnsi="宋体"/>
          <w:color w:val="000000"/>
          <w:sz w:val="24"/>
          <w:szCs w:val="21"/>
          <w:highlight w:val="none"/>
        </w:rPr>
        <w:t xml:space="preserve">附件12</w:t>
      </w:r>
      <w:r>
        <w:rPr>
          <w:rFonts w:hint="eastAsia" w:ascii="宋体" w:hAnsi="宋体"/>
          <w:color w:val="000000"/>
          <w:sz w:val="24"/>
          <w:szCs w:val="21"/>
          <w:highlight w:val="none"/>
        </w:rPr>
        <w:t xml:space="preserve">）</w:t>
      </w:r>
      <w:r>
        <w:rPr>
          <w:highlight w:val="none"/>
        </w:rPr>
      </w:r>
      <w:r/>
    </w:p>
    <w:p>
      <w:pPr>
        <w:ind w:firstLine="480"/>
        <w:rPr>
          <w:rFonts w:ascii="宋体" w:hAnsi="宋体"/>
          <w:b/>
          <w:color w:val="000000"/>
          <w:sz w:val="24"/>
          <w:szCs w:val="21"/>
          <w:highlight w:val="none"/>
        </w:rPr>
      </w:pPr>
      <w:r>
        <w:rPr>
          <w:rFonts w:hint="eastAsia" w:ascii="宋体" w:hAnsi="宋体"/>
          <w:b/>
          <w:color w:val="000000"/>
          <w:sz w:val="24"/>
          <w:szCs w:val="21"/>
          <w:highlight w:val="none"/>
        </w:rPr>
        <w:t xml:space="preserve">四、价格</w:t>
      </w:r>
      <w:r>
        <w:rPr>
          <w:rFonts w:ascii="宋体" w:hAnsi="宋体"/>
          <w:b/>
          <w:color w:val="000000"/>
          <w:sz w:val="24"/>
          <w:szCs w:val="21"/>
          <w:highlight w:val="none"/>
        </w:rPr>
        <w:t xml:space="preserve">扣除证明文件</w:t>
      </w:r>
      <w:r>
        <w:rPr>
          <w:highlight w:val="none"/>
        </w:rPr>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中小微企业声明函（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highlight w:val="none"/>
        </w:rPr>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jc w:val="center"/>
        <w:rPr>
          <w:rFonts w:hint="eastAsia" w:ascii="Times New Roman" w:hAnsi="Times New Roman" w:eastAsia="仿宋_GB2312"/>
          <w:color w:val="000000"/>
          <w:sz w:val="24"/>
          <w:szCs w:val="20"/>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开标一览表</w:t>
      </w:r>
      <w:r>
        <w:rPr>
          <w:highlight w:val="none"/>
        </w:rPr>
      </w:r>
      <w:r/>
    </w:p>
    <w:p>
      <w:pPr>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highlight w:val="none"/>
        </w:rPr>
      </w:r>
      <w:r/>
    </w:p>
    <w:p>
      <w:pPr>
        <w:ind w:firstLine="482"/>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highlight w:val="none"/>
        </w:rPr>
      </w:r>
      <w:r/>
    </w:p>
    <w:p>
      <w:pPr>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highlight w:val="none"/>
        </w:rPr>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highlight w:val="none"/>
              </w:rPr>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highlight w:val="none"/>
              </w:rPr>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highlight w:val="none"/>
              </w:rPr>
            </w:r>
            <w:r/>
          </w:p>
        </w:tc>
        <w:tc>
          <w:tcPr>
            <w:tcW w:w="6405" w:type="dxa"/>
            <w:vAlign w:val="center"/>
            <w:textDirection w:val="lrTb"/>
            <w:noWrap w:val="false"/>
          </w:tcPr>
          <w:p>
            <w:pPr>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 投标分项报价表</w:t>
      </w:r>
      <w:r>
        <w:rPr>
          <w:highlight w:val="none"/>
        </w:rPr>
      </w:r>
      <w:r/>
    </w:p>
    <w:tbl>
      <w:tblPr>
        <w:tblStyle w:val="7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93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1106"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5</w:t>
            </w:r>
            <w:r>
              <w:rPr>
                <w:highlight w:val="none"/>
              </w:rPr>
            </w:r>
            <w:r/>
          </w:p>
        </w:tc>
        <w:tc>
          <w:tcPr>
            <w:tcW w:w="138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highlight w:val="none"/>
              </w:rPr>
            </w:r>
            <w:r/>
          </w:p>
        </w:tc>
        <w:tc>
          <w:tcPr>
            <w:tcW w:w="100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highlight w:val="none"/>
              </w:rPr>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highlight w:val="none"/>
              </w:rPr>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highlight w:val="none"/>
              </w:rPr>
            </w:r>
            <w:r/>
          </w:p>
        </w:tc>
        <w:tc>
          <w:tcPr>
            <w:tcW w:w="93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highlight w:val="none"/>
              </w:rPr>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rPr>
                <w:highlight w:val="none"/>
              </w:rPr>
            </w:r>
            <w:r/>
          </w:p>
        </w:tc>
        <w:tc>
          <w:tcPr>
            <w:tcW w:w="110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highlight w:val="none"/>
              </w:rPr>
            </w:r>
            <w:r/>
          </w:p>
        </w:tc>
        <w:tc>
          <w:tcPr>
            <w:tcW w:w="138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highlight w:val="none"/>
              </w:rPr>
            </w:r>
            <w:r/>
          </w:p>
        </w:tc>
        <w:tc>
          <w:tcPr>
            <w:tcW w:w="1008"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highlight w:val="none"/>
              </w:rPr>
            </w:r>
            <w:r/>
          </w:p>
        </w:tc>
        <w:tc>
          <w:tcPr>
            <w:tcW w:w="966"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highlight w:val="none"/>
              </w:rPr>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3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0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85" w:type="dxa"/>
            <w:vAlign w:val="center"/>
            <w:textDirection w:val="lrTb"/>
            <w:noWrap w:val="false"/>
          </w:tcPr>
          <w:p>
            <w:pPr>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3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0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8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3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0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8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72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3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0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8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00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249"/>
        </w:trPr>
        <w:tc>
          <w:tcPr>
            <w:tcW w:w="500"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gridSpan w:val="8"/>
            <w:tcW w:w="779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highlight w:val="none"/>
              </w:rPr>
            </w:r>
            <w:r/>
          </w:p>
        </w:tc>
        <w:tc>
          <w:tcPr>
            <w:tcW w:w="966" w:type="dxa"/>
            <w:vAlign w:val="top"/>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highlight w:val="none"/>
        </w:rPr>
      </w:r>
      <w:r/>
    </w:p>
    <w:p>
      <w:pPr>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rPr>
          <w:highlight w:val="none"/>
        </w:rPr>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ascii="宋体" w:hAnsi="宋体"/>
          <w:b/>
          <w:color w:val="000000"/>
          <w:sz w:val="24"/>
          <w:szCs w:val="24"/>
          <w:highlight w:val="none"/>
        </w:rPr>
      </w:pPr>
      <w:r>
        <w:rPr>
          <w:rFonts w:ascii="宋体" w:hAnsi="宋体"/>
          <w:b/>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w:t>
      </w:r>
      <w:r>
        <w:rPr>
          <w:highlight w:val="none"/>
        </w:rPr>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063"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highlight w:val="none"/>
              </w:rPr>
            </w:r>
            <w:r/>
          </w:p>
        </w:tc>
        <w:tc>
          <w:tcPr>
            <w:tcW w:w="3191"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2128"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063"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191"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063" w:type="dxa"/>
            <w:vAlign w:val="top"/>
            <w:textDirection w:val="lrTb"/>
            <w:noWrap w:val="false"/>
          </w:tcPr>
          <w:p>
            <w:pPr>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191"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w:t>
      </w:r>
      <w:r>
        <w:rPr>
          <w:highlight w:val="none"/>
        </w:rPr>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063"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w:t>
            </w:r>
            <w:r>
              <w:rPr>
                <w:highlight w:val="none"/>
              </w:rPr>
            </w:r>
            <w:r/>
          </w:p>
        </w:tc>
        <w:tc>
          <w:tcPr>
            <w:tcW w:w="3191"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2128"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063"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191"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063" w:type="dxa"/>
            <w:vAlign w:val="top"/>
            <w:textDirection w:val="lrTb"/>
            <w:noWrap w:val="false"/>
          </w:tcPr>
          <w:p>
            <w:pPr>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191"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商务要求（未加斜体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rPr>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rPr>
          <w:highlight w:val="none"/>
        </w:rPr>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highlight w:val="none"/>
        </w:rPr>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rPr>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年内在经营活动中没有重大违法记录的书面声明</w:t>
      </w:r>
      <w:r>
        <w:rPr>
          <w:highlight w:val="none"/>
        </w:rPr>
      </w:r>
      <w:r/>
    </w:p>
    <w:p>
      <w:pPr>
        <w:jc w:val="center"/>
        <w:spacing w:line="460" w:lineRule="exact"/>
        <w:rPr>
          <w:rFonts w:ascii="宋体" w:hAnsi="宋体"/>
          <w:b/>
          <w:bCs/>
          <w:color w:val="000000"/>
          <w:sz w:val="24"/>
          <w:szCs w:val="21"/>
          <w:highlight w:val="none"/>
        </w:rPr>
      </w:pPr>
      <w:r>
        <w:rPr>
          <w:rFonts w:ascii="宋体" w:hAnsi="宋体"/>
          <w:b/>
          <w:bCs/>
          <w:color w:val="000000"/>
          <w:sz w:val="24"/>
          <w:szCs w:val="21"/>
          <w:highlight w:val="none"/>
        </w:rPr>
      </w:r>
      <w:r>
        <w:rPr>
          <w:highlight w:val="none"/>
        </w:rPr>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0"/>
      <w:r>
        <w:rPr>
          <w:highlight w:val="none"/>
        </w:rPr>
      </w:r>
      <w:bookmarkEnd w:id="191"/>
      <w:r>
        <w:rPr>
          <w:highlight w:val="none"/>
        </w:rPr>
      </w:r>
      <w:bookmarkEnd w:id="192"/>
      <w:r>
        <w:rPr>
          <w:highlight w:val="none"/>
        </w:rPr>
      </w:r>
      <w:bookmarkStart w:id="193" w:name="_Toc120614284"/>
      <w:r>
        <w:rPr>
          <w:highlight w:val="none"/>
        </w:rPr>
      </w:r>
      <w:r/>
    </w:p>
    <w:p>
      <w:pPr>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rPr>
          <w:highlight w:val="none"/>
        </w:rPr>
      </w:r>
      <w:r/>
    </w:p>
    <w:p>
      <w:pPr>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highlight w:val="none"/>
        </w:rPr>
      </w:r>
      <w:r/>
    </w:p>
    <w:p>
      <w:pPr>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ascii="Times New Roman" w:hAnsi="Times New Roman"/>
          <w:color w:val="000000"/>
          <w:sz w:val="24"/>
          <w:szCs w:val="24"/>
          <w:highlight w:val="none"/>
        </w:rPr>
        <w:t xml:space="preserve">320000-</w:t>
      </w:r>
      <w:r>
        <w:rPr>
          <w:rFonts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highlight w:val="none"/>
        </w:rPr>
      </w:r>
      <w:r/>
    </w:p>
    <w:p>
      <w:pPr>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highlight w:val="none"/>
        </w:rPr>
      </w:r>
      <w:r/>
    </w:p>
    <w:p>
      <w:pPr>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highlight w:val="none"/>
        </w:rPr>
      </w:r>
      <w:r/>
    </w:p>
    <w:p>
      <w:pPr>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highlight w:val="none"/>
        </w:rPr>
      </w:r>
      <w:r/>
    </w:p>
    <w:p>
      <w:pPr>
        <w:ind w:firstLine="1200"/>
        <w:spacing w:line="40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被授权人电子邮箱：</w:t>
      </w:r>
      <w:r>
        <w:rPr>
          <w:rFonts w:hint="eastAsia" w:ascii="Times New Roman" w:hAnsi="Times New Roman"/>
          <w:color w:val="000000"/>
          <w:sz w:val="24"/>
          <w:szCs w:val="24"/>
          <w:highlight w:val="none"/>
          <w:u w:val="single"/>
        </w:rPr>
        <w:t xml:space="preserve">                </w:t>
      </w:r>
      <w:r>
        <w:rPr>
          <w:highlight w:val="none"/>
        </w:rPr>
      </w:r>
      <w:r/>
    </w:p>
    <w:p>
      <w:pPr>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highlight w:val="none"/>
        </w:rPr>
      </w:r>
      <w:r/>
    </w:p>
    <w:p>
      <w:pPr>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highlight w:val="none"/>
        </w:rPr>
      </w:r>
      <w:r/>
    </w:p>
    <w:p>
      <w:pPr>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94" w:name="_格式3__银行出具的资信证明"/>
      <w:r>
        <w:rPr>
          <w:highlight w:val="none"/>
        </w:rPr>
      </w:r>
      <w:bookmarkEnd w:id="194"/>
      <w:r>
        <w:rPr>
          <w:highlight w:val="none"/>
        </w:rPr>
      </w:r>
      <w:bookmarkStart w:id="195" w:name="_Hlt26671380"/>
      <w:r>
        <w:rPr>
          <w:highlight w:val="none"/>
        </w:rPr>
      </w:r>
      <w:bookmarkEnd w:id="195"/>
      <w:r>
        <w:rPr>
          <w:highlight w:val="none"/>
        </w:rPr>
      </w:r>
      <w:bookmarkStart w:id="196" w:name="_Hlt26955070"/>
      <w:r>
        <w:rPr>
          <w:highlight w:val="none"/>
        </w:rPr>
      </w:r>
      <w:bookmarkEnd w:id="196"/>
      <w:r>
        <w:rPr>
          <w:rFonts w:hint="eastAsia" w:ascii="Times New Roman" w:hAnsi="Times New Roman"/>
          <w:color w:val="000000"/>
          <w:sz w:val="24"/>
          <w:szCs w:val="24"/>
          <w:highlight w:val="none"/>
          <w:u w:val="single"/>
        </w:rPr>
        <w:t xml:space="preserve">                                         </w:t>
      </w:r>
      <w:r>
        <w:rPr>
          <w:highlight w:val="none"/>
        </w:rPr>
      </w:r>
      <w:r/>
    </w:p>
    <w:p>
      <w:pPr>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rPr>
          <w:highlight w:val="none"/>
        </w:rPr>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rPr>
          <w:highlight w:val="none"/>
        </w:rPr>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rPr>
          <w:highlight w:val="none"/>
        </w:rPr>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highlight w:val="none"/>
        </w:rPr>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highlight w:val="none"/>
        </w:rPr>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highlight w:val="none"/>
        </w:rPr>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highlight w:val="none"/>
        </w:rPr>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highlight w:val="none"/>
        </w:rPr>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r/>
    </w:p>
    <w:p>
      <w:pPr>
        <w:ind w:firstLine="240"/>
        <w:jc w:val="center"/>
        <w:spacing w:line="560" w:lineRule="exact"/>
        <w:rPr>
          <w:rFonts w:ascii="宋体" w:hAnsi="宋体"/>
          <w:b/>
          <w:color w:val="000000"/>
          <w:sz w:val="24"/>
          <w:szCs w:val="21"/>
          <w:highlight w:val="none"/>
        </w:rPr>
      </w:pPr>
      <w:r>
        <w:rPr>
          <w:rFonts w:ascii="宋体" w:hAnsi="宋体"/>
          <w:b/>
          <w:color w:val="000000"/>
          <w:sz w:val="24"/>
          <w:szCs w:val="21"/>
          <w:highlight w:val="none"/>
        </w:rPr>
      </w:r>
      <w:r>
        <w:rPr>
          <w:highlight w:val="none"/>
        </w:rPr>
      </w:r>
      <w:r/>
    </w:p>
    <w:p>
      <w:pPr>
        <w:ind w:firstLine="240"/>
        <w:jc w:val="center"/>
        <w:spacing w:line="56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中小微企业声明函（货物类项目）</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采购编号为JSZC</w:t>
      </w:r>
      <w:r>
        <w:rPr>
          <w:rFonts w:ascii="宋体" w:hAnsi="宋体"/>
          <w:color w:val="000000"/>
          <w:sz w:val="24"/>
          <w:szCs w:val="24"/>
          <w:highlight w:val="none"/>
        </w:rPr>
        <w:t xml:space="preserve">-320000-</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highlight w:val="none"/>
        </w:rPr>
      </w:r>
      <w:r/>
    </w:p>
    <w:p>
      <w:pPr>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highlight w:val="none"/>
        </w:rPr>
      </w:r>
      <w:r/>
    </w:p>
    <w:p>
      <w:pPr>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highlight w:val="none"/>
        </w:rPr>
      </w:r>
      <w:r/>
    </w:p>
    <w:p>
      <w:pPr>
        <w:ind w:right="480" w:firstLine="48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highlight w:val="none"/>
        </w:rPr>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highlight w:val="none"/>
        </w:rPr>
      </w:r>
      <w:r/>
    </w:p>
    <w:p>
      <w:pPr>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w:t>
      </w:r>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制造商</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残疾人福利性单位声明函（货物类项目）</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1"/>
          <w:highlight w:val="none"/>
        </w:rPr>
        <w:t xml:space="preserve">JSZC-320000-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项目采购活动提供本单位制造的货物，或者提供其他残疾人福利性单位制造的货物（不包括使用非残疾人福利性单位注册商标的货物）。</w:t>
      </w:r>
      <w:r>
        <w:rPr>
          <w:highlight w:val="none"/>
        </w:rPr>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highlight w:val="none"/>
        </w:rPr>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r>
      <w:r>
        <w:rPr>
          <w:highlight w:val="none"/>
        </w:rPr>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highlight w:val="none"/>
        </w:rPr>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highlight w:val="none"/>
        </w:rPr>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highlight w:val="none"/>
        </w:rPr>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highlight w:val="none"/>
        </w:rPr>
      </w:r>
      <w:r/>
    </w:p>
    <w:p>
      <w:pPr>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rPr>
          <w:highlight w:val="none"/>
        </w:rPr>
      </w:r>
      <w:r/>
    </w:p>
    <w:p>
      <w:pPr>
        <w:ind w:right="1559" w:firstLine="624"/>
        <w:jc w:val="center"/>
        <w:spacing w:line="400"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highlight w:val="none"/>
        </w:rPr>
      </w:r>
      <w:r/>
    </w:p>
    <w:p>
      <w:pPr>
        <w:ind w:right="1559" w:firstLine="480"/>
        <w:jc w:val="center"/>
        <w:spacing w:line="40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实质性要求响应及偏离表</w:t>
      </w:r>
      <w:r>
        <w:rPr>
          <w:highlight w:val="none"/>
        </w:rPr>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609"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highlight w:val="none"/>
              </w:rPr>
            </w:r>
            <w:r/>
          </w:p>
        </w:tc>
        <w:tc>
          <w:tcPr>
            <w:tcW w:w="3317"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526"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3609"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1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3609"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31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609" w:type="dxa"/>
            <w:vAlign w:val="top"/>
            <w:textDirection w:val="lrTb"/>
            <w:noWrap w:val="false"/>
          </w:tcPr>
          <w:p>
            <w:pPr>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331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52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3.投标人未对实质性要求逐条作出明确响应的，或未按招标文件要求提供证明材料的，该采购包作无效投标处理。</w:t>
      </w:r>
      <w:r>
        <w:rPr>
          <w:highlight w:val="none"/>
        </w:rPr>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740"/>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740"/>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740"/>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bookmarkEnd w:id="180"/>
      <w:r/>
      <w:bookmarkEnd w:id="181"/>
      <w:r/>
      <w:bookmarkEnd w:id="193"/>
      <w:r>
        <w:rPr>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highlight w:val="none"/>
        </w:rPr>
      </w:r>
      <w:r/>
    </w:p>
    <w:p>
      <w:pPr>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highlight w:val="none"/>
        </w:rPr>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highlight w:val="none"/>
        </w:rPr>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highlight w:val="none"/>
        </w:rPr>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rPr>
          <w:highlight w:val="none"/>
        </w:rPr>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highlight w:val="none"/>
        </w:rPr>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highlight w:val="none"/>
        </w:rPr>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highlight w:val="none"/>
        </w:rPr>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highlight w:val="none"/>
        </w:rPr>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rPr>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Cambria">
    <w:panose1 w:val="02040503050406030204"/>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rPr>
        <w:lang w:val="zh-CN"/>
      </w:rPr>
      <w:t xml:space="preserve">18</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6"/>
        <w:rFonts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21</w:t>
    </w:r>
    <w:r>
      <w:rPr>
        <w:rFonts w:ascii="宋体" w:hAnsi="宋体"/>
      </w:rPr>
      <w:fldChar w:fldCharType="end"/>
    </w:r>
    <w:r/>
  </w:p>
  <w:p>
    <w:pPr>
      <w:pStyle w:val="960"/>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2"/>
      <w:isLgl w:val="false"/>
      <w:suff w:val="tab"/>
      <w:lvlText w:val=""/>
      <w:lvlJc w:val="left"/>
      <w:pPr>
        <w:ind w:left="840" w:hanging="420"/>
        <w:tabs>
          <w:tab w:val="left" w:pos="839" w:leader="none"/>
        </w:tabs>
      </w:pPr>
      <w:rPr>
        <w:rFonts w:ascii="Wingdings" w:hAnsi="Wingdings"/>
        <w:color w:val="00000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1027"/>
    <w:uiPriority w:val="0"/>
    <w:qFormat/>
    <w:pPr>
      <w:jc w:val="both"/>
      <w:widowControl w:val="off"/>
    </w:pPr>
    <w:rPr>
      <w:rFonts w:hint="default" w:ascii="Calibri" w:hAnsi="Calibri" w:eastAsia="宋体" w:cs="Times New Roman"/>
      <w:sz w:val="21"/>
      <w:szCs w:val="22"/>
      <w:lang w:val="en-US" w:eastAsia="zh-CN" w:bidi="ar-SA"/>
    </w:rPr>
  </w:style>
  <w:style w:type="paragraph" w:styleId="729">
    <w:name w:val="Heading 1"/>
    <w:basedOn w:val="728"/>
    <w:next w:val="728"/>
    <w:link w:val="76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7"/>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6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正文文本1"/>
    <w:basedOn w:val="728"/>
    <w:uiPriority w:val="0"/>
    <w:unhideWhenUsed/>
    <w:qFormat/>
    <w:pPr>
      <w:spacing w:after="120"/>
    </w:pPr>
    <w:rPr>
      <w:sz w:val="24"/>
    </w:rPr>
  </w:style>
  <w:style w:type="paragraph" w:styleId="741">
    <w:name w:val="toc 7"/>
    <w:basedOn w:val="728"/>
    <w:next w:val="728"/>
    <w:uiPriority w:val="39"/>
    <w:unhideWhenUsed/>
    <w:qFormat/>
    <w:pPr>
      <w:ind w:left="1701" w:right="0" w:firstLine="0"/>
      <w:spacing w:after="57"/>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Body Text"/>
    <w:basedOn w:val="728"/>
    <w:uiPriority w:val="0"/>
    <w:qFormat/>
    <w:rPr>
      <w:rFonts w:ascii="楷体_GB2312" w:hAnsi="Arial" w:eastAsia="楷体_GB2312"/>
      <w:sz w:val="28"/>
      <w:szCs w:val="28"/>
    </w:rPr>
  </w:style>
  <w:style w:type="paragraph" w:styleId="744">
    <w:name w:val="Body Text Indent"/>
    <w:basedOn w:val="728"/>
    <w:uiPriority w:val="0"/>
    <w:unhideWhenUsed/>
    <w:qFormat/>
    <w:pPr>
      <w:ind w:left="420"/>
      <w:spacing w:after="120"/>
    </w:pPr>
  </w:style>
  <w:style w:type="paragraph" w:styleId="745">
    <w:name w:val="toc 5"/>
    <w:basedOn w:val="728"/>
    <w:next w:val="728"/>
    <w:uiPriority w:val="39"/>
    <w:unhideWhenUsed/>
    <w:qFormat/>
    <w:pPr>
      <w:ind w:left="1134" w:right="0" w:firstLine="0"/>
      <w:spacing w:after="57"/>
    </w:pPr>
  </w:style>
  <w:style w:type="paragraph" w:styleId="746">
    <w:name w:val="toc 3"/>
    <w:basedOn w:val="728"/>
    <w:next w:val="728"/>
    <w:uiPriority w:val="39"/>
    <w:unhideWhenUsed/>
    <w:qFormat/>
    <w:pPr>
      <w:ind w:left="567" w:right="0" w:firstLine="0"/>
      <w:spacing w:after="57"/>
    </w:pPr>
  </w:style>
  <w:style w:type="paragraph" w:styleId="747">
    <w:name w:val="Plain Text"/>
    <w:basedOn w:val="728"/>
    <w:uiPriority w:val="0"/>
    <w:qFormat/>
    <w:rPr>
      <w:rFonts w:ascii="宋体" w:hAnsi="Courier New" w:cs="Courier New"/>
      <w:szCs w:val="21"/>
    </w:rPr>
  </w:style>
  <w:style w:type="paragraph" w:styleId="748">
    <w:name w:val="toc 8"/>
    <w:basedOn w:val="728"/>
    <w:next w:val="728"/>
    <w:uiPriority w:val="39"/>
    <w:unhideWhenUsed/>
    <w:pPr>
      <w:ind w:left="1984" w:right="0" w:firstLine="0"/>
      <w:spacing w:after="57"/>
    </w:pPr>
  </w:style>
  <w:style w:type="paragraph" w:styleId="749">
    <w:name w:val="endnote text"/>
    <w:basedOn w:val="728"/>
    <w:link w:val="912"/>
    <w:uiPriority w:val="99"/>
    <w:semiHidden/>
    <w:unhideWhenUsed/>
    <w:qFormat/>
    <w:pPr>
      <w:spacing w:after="0" w:line="240" w:lineRule="auto"/>
    </w:pPr>
    <w:rPr>
      <w:sz w:val="20"/>
    </w:rPr>
  </w:style>
  <w:style w:type="paragraph" w:styleId="750">
    <w:name w:val="Footer"/>
    <w:basedOn w:val="728"/>
    <w:link w:val="785"/>
    <w:uiPriority w:val="99"/>
    <w:unhideWhenUsed/>
    <w:qFormat/>
    <w:pPr>
      <w:spacing w:after="0" w:line="240" w:lineRule="auto"/>
      <w:tabs>
        <w:tab w:val="center" w:pos="7143" w:leader="none"/>
        <w:tab w:val="right" w:pos="14287" w:leader="none"/>
      </w:tabs>
    </w:pPr>
  </w:style>
  <w:style w:type="paragraph" w:styleId="751">
    <w:name w:val="Header"/>
    <w:basedOn w:val="728"/>
    <w:link w:val="783"/>
    <w:uiPriority w:val="99"/>
    <w:unhideWhenUsed/>
    <w:qFormat/>
    <w:pPr>
      <w:spacing w:after="0" w:line="240" w:lineRule="auto"/>
      <w:tabs>
        <w:tab w:val="center" w:pos="7143" w:leader="none"/>
        <w:tab w:val="right" w:pos="14287" w:leader="none"/>
      </w:tabs>
    </w:pPr>
  </w:style>
  <w:style w:type="paragraph" w:styleId="752">
    <w:name w:val="toc 1"/>
    <w:basedOn w:val="728"/>
    <w:next w:val="728"/>
    <w:uiPriority w:val="39"/>
    <w:unhideWhenUsed/>
    <w:qFormat/>
    <w:pPr>
      <w:ind w:left="0" w:right="0" w:firstLine="0"/>
      <w:spacing w:after="57"/>
    </w:pPr>
  </w:style>
  <w:style w:type="paragraph" w:styleId="753">
    <w:name w:val="toc 4"/>
    <w:basedOn w:val="728"/>
    <w:next w:val="728"/>
    <w:uiPriority w:val="39"/>
    <w:unhideWhenUsed/>
    <w:pPr>
      <w:ind w:left="850" w:right="0" w:firstLine="0"/>
      <w:spacing w:after="57"/>
    </w:pPr>
  </w:style>
  <w:style w:type="paragraph" w:styleId="754">
    <w:name w:val="Subtitle"/>
    <w:basedOn w:val="728"/>
    <w:next w:val="728"/>
    <w:link w:val="778"/>
    <w:uiPriority w:val="11"/>
    <w:qFormat/>
    <w:pPr>
      <w:spacing w:before="200" w:after="200"/>
    </w:pPr>
    <w:rPr>
      <w:sz w:val="24"/>
      <w:szCs w:val="24"/>
    </w:rPr>
  </w:style>
  <w:style w:type="paragraph" w:styleId="755">
    <w:name w:val="footnote text"/>
    <w:basedOn w:val="728"/>
    <w:link w:val="911"/>
    <w:uiPriority w:val="99"/>
    <w:semiHidden/>
    <w:unhideWhenUsed/>
    <w:qFormat/>
    <w:pPr>
      <w:spacing w:after="40" w:line="240" w:lineRule="auto"/>
    </w:pPr>
    <w:rPr>
      <w:sz w:val="18"/>
    </w:rPr>
  </w:style>
  <w:style w:type="paragraph" w:styleId="756">
    <w:name w:val="toc 6"/>
    <w:basedOn w:val="728"/>
    <w:next w:val="728"/>
    <w:uiPriority w:val="39"/>
    <w:unhideWhenUsed/>
    <w:pPr>
      <w:ind w:left="1417" w:right="0" w:firstLine="0"/>
      <w:spacing w:after="57"/>
    </w:pPr>
  </w:style>
  <w:style w:type="paragraph" w:styleId="757">
    <w:name w:val="table of figures"/>
    <w:basedOn w:val="728"/>
    <w:next w:val="728"/>
    <w:uiPriority w:val="99"/>
    <w:unhideWhenUsed/>
    <w:qFormat/>
    <w:pPr>
      <w:spacing w:after="0" w:afterAutospacing="0"/>
    </w:pPr>
  </w:style>
  <w:style w:type="paragraph" w:styleId="758">
    <w:name w:val="toc 2"/>
    <w:basedOn w:val="728"/>
    <w:next w:val="728"/>
    <w:uiPriority w:val="39"/>
    <w:unhideWhenUsed/>
    <w:qFormat/>
    <w:pPr>
      <w:ind w:left="283" w:right="0" w:firstLine="0"/>
      <w:spacing w:after="57"/>
    </w:pPr>
  </w:style>
  <w:style w:type="paragraph" w:styleId="759">
    <w:name w:val="toc 9"/>
    <w:basedOn w:val="728"/>
    <w:next w:val="728"/>
    <w:uiPriority w:val="39"/>
    <w:unhideWhenUsed/>
    <w:pPr>
      <w:ind w:left="2268" w:right="0" w:firstLine="0"/>
      <w:spacing w:after="57"/>
    </w:pPr>
  </w:style>
  <w:style w:type="paragraph" w:styleId="760">
    <w:name w:val="Title"/>
    <w:basedOn w:val="728"/>
    <w:next w:val="728"/>
    <w:link w:val="777"/>
    <w:uiPriority w:val="10"/>
    <w:qFormat/>
    <w:pPr>
      <w:contextualSpacing/>
      <w:spacing w:before="300" w:after="200"/>
    </w:pPr>
    <w:rPr>
      <w:sz w:val="48"/>
      <w:szCs w:val="48"/>
    </w:rPr>
  </w:style>
  <w:style w:type="paragraph" w:styleId="761">
    <w:name w:val="Body Text First Indent 2"/>
    <w:basedOn w:val="744"/>
    <w:next w:val="728"/>
    <w:uiPriority w:val="0"/>
    <w:qFormat/>
    <w:pPr>
      <w:ind w:left="0" w:firstLine="420"/>
      <w:spacing w:after="0" w:line="360" w:lineRule="auto"/>
    </w:pPr>
    <w:rPr>
      <w:rFonts w:ascii="宋体" w:hAnsi="宋体"/>
      <w:szCs w:val="20"/>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character" w:styleId="766" w:customStyle="1">
    <w:name w:val="Heading 1 Char"/>
    <w:link w:val="729"/>
    <w:uiPriority w:val="9"/>
    <w:qFormat/>
    <w:rPr>
      <w:rFonts w:ascii="Arial" w:hAnsi="Arial" w:eastAsia="Arial" w:cs="Arial"/>
      <w:sz w:val="40"/>
      <w:szCs w:val="40"/>
    </w:rPr>
  </w:style>
  <w:style w:type="character" w:styleId="767" w:customStyle="1">
    <w:name w:val="Heading 2 Char"/>
    <w:link w:val="730"/>
    <w:uiPriority w:val="9"/>
    <w:rPr>
      <w:rFonts w:ascii="Arial" w:hAnsi="Arial" w:eastAsia="Arial" w:cs="Arial"/>
      <w:sz w:val="34"/>
    </w:rPr>
  </w:style>
  <w:style w:type="character" w:styleId="768" w:customStyle="1">
    <w:name w:val="Heading 3 Char"/>
    <w:link w:val="731"/>
    <w:uiPriority w:val="9"/>
    <w:qFormat/>
    <w:rPr>
      <w:rFonts w:ascii="Arial" w:hAnsi="Arial" w:eastAsia="Arial" w:cs="Arial"/>
      <w:sz w:val="30"/>
      <w:szCs w:val="30"/>
    </w:rPr>
  </w:style>
  <w:style w:type="character" w:styleId="769" w:customStyle="1">
    <w:name w:val="Heading 4 Char"/>
    <w:link w:val="732"/>
    <w:uiPriority w:val="9"/>
    <w:qFormat/>
    <w:rPr>
      <w:rFonts w:ascii="Arial" w:hAnsi="Arial" w:eastAsia="Arial" w:cs="Arial"/>
      <w:b/>
      <w:bCs/>
      <w:sz w:val="26"/>
      <w:szCs w:val="26"/>
    </w:rPr>
  </w:style>
  <w:style w:type="character" w:styleId="770" w:customStyle="1">
    <w:name w:val="Heading 5 Char"/>
    <w:link w:val="733"/>
    <w:uiPriority w:val="9"/>
    <w:rPr>
      <w:rFonts w:ascii="Arial" w:hAnsi="Arial" w:eastAsia="Arial" w:cs="Arial"/>
      <w:b/>
      <w:bCs/>
      <w:sz w:val="24"/>
      <w:szCs w:val="24"/>
    </w:rPr>
  </w:style>
  <w:style w:type="character" w:styleId="771" w:customStyle="1">
    <w:name w:val="Heading 6 Char"/>
    <w:link w:val="734"/>
    <w:uiPriority w:val="9"/>
    <w:qFormat/>
    <w:rPr>
      <w:rFonts w:ascii="Arial" w:hAnsi="Arial" w:eastAsia="Arial" w:cs="Arial"/>
      <w:b/>
      <w:bCs/>
      <w:sz w:val="22"/>
      <w:szCs w:val="22"/>
    </w:rPr>
  </w:style>
  <w:style w:type="character" w:styleId="772" w:customStyle="1">
    <w:name w:val="Heading 7 Char"/>
    <w:link w:val="735"/>
    <w:uiPriority w:val="9"/>
    <w:qFormat/>
    <w:rPr>
      <w:rFonts w:ascii="Arial" w:hAnsi="Arial" w:eastAsia="Arial" w:cs="Arial"/>
      <w:b/>
      <w:bCs/>
      <w:i/>
      <w:iCs/>
      <w:sz w:val="22"/>
      <w:szCs w:val="22"/>
    </w:rPr>
  </w:style>
  <w:style w:type="character" w:styleId="773" w:customStyle="1">
    <w:name w:val="Heading 8 Char"/>
    <w:link w:val="736"/>
    <w:uiPriority w:val="9"/>
    <w:rPr>
      <w:rFonts w:ascii="Arial" w:hAnsi="Arial" w:eastAsia="Arial" w:cs="Arial"/>
      <w:i/>
      <w:iCs/>
      <w:sz w:val="22"/>
      <w:szCs w:val="22"/>
    </w:rPr>
  </w:style>
  <w:style w:type="character" w:styleId="774" w:customStyle="1">
    <w:name w:val="Heading 9 Char"/>
    <w:link w:val="737"/>
    <w:uiPriority w:val="9"/>
    <w:qFormat/>
    <w:rPr>
      <w:rFonts w:ascii="Arial" w:hAnsi="Arial" w:eastAsia="Arial" w:cs="Arial"/>
      <w:i/>
      <w:iCs/>
      <w:sz w:val="21"/>
      <w:szCs w:val="21"/>
    </w:rPr>
  </w:style>
  <w:style w:type="paragraph" w:styleId="775">
    <w:name w:val="List Paragraph"/>
    <w:basedOn w:val="728"/>
    <w:uiPriority w:val="34"/>
    <w:qFormat/>
    <w:pPr>
      <w:contextualSpacing/>
      <w:ind w:left="720"/>
    </w:pPr>
  </w:style>
  <w:style w:type="paragraph" w:styleId="776">
    <w:name w:val="No Spacing"/>
    <w:uiPriority w:val="1"/>
    <w:qFormat/>
    <w:pPr>
      <w:spacing w:before="0" w:after="0" w:line="240" w:lineRule="auto"/>
    </w:pPr>
    <w:rPr>
      <w:rFonts w:hint="default" w:ascii="Calibri" w:hAnsi="Calibri" w:eastAsia="宋体" w:cs="Times New Roman"/>
    </w:rPr>
  </w:style>
  <w:style w:type="character" w:styleId="777" w:customStyle="1">
    <w:name w:val="Title Char"/>
    <w:link w:val="760"/>
    <w:uiPriority w:val="10"/>
    <w:qFormat/>
    <w:rPr>
      <w:sz w:val="48"/>
      <w:szCs w:val="48"/>
    </w:rPr>
  </w:style>
  <w:style w:type="character" w:styleId="778" w:customStyle="1">
    <w:name w:val="Subtitle Char"/>
    <w:link w:val="754"/>
    <w:uiPriority w:val="11"/>
    <w:qFormat/>
    <w:rPr>
      <w:sz w:val="24"/>
      <w:szCs w:val="24"/>
    </w:rPr>
  </w:style>
  <w:style w:type="paragraph" w:styleId="779">
    <w:name w:val="Quote"/>
    <w:basedOn w:val="728"/>
    <w:next w:val="728"/>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8"/>
    <w:next w:val="7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51"/>
    <w:uiPriority w:val="99"/>
  </w:style>
  <w:style w:type="character" w:styleId="784" w:customStyle="1">
    <w:name w:val="Footer Char"/>
    <w:link w:val="750"/>
    <w:uiPriority w:val="99"/>
    <w:qFormat/>
  </w:style>
  <w:style w:type="character" w:styleId="785" w:customStyle="1">
    <w:name w:val="Caption Char"/>
    <w:link w:val="750"/>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5"/>
    <w:uiPriority w:val="99"/>
    <w:rPr>
      <w:sz w:val="18"/>
    </w:rPr>
  </w:style>
  <w:style w:type="character" w:styleId="912" w:customStyle="1">
    <w:name w:val="Endnote Text Char"/>
    <w:link w:val="749"/>
    <w:uiPriority w:val="99"/>
    <w:qFormat/>
    <w:rPr>
      <w:sz w:val="20"/>
    </w:rPr>
  </w:style>
  <w:style w:type="paragraph" w:styleId="913" w:customStyle="1">
    <w:name w:val="TOC Heading"/>
    <w:uiPriority w:val="39"/>
    <w:unhideWhenUsed/>
    <w:qFormat/>
    <w:rPr>
      <w:rFonts w:hint="default" w:ascii="Calibri" w:hAnsi="Calibri" w:eastAsia="宋体" w:cs="Times New Roman"/>
    </w:rPr>
  </w:style>
  <w:style w:type="paragraph" w:styleId="914" w:customStyle="1">
    <w:name w:val="标题 11"/>
    <w:basedOn w:val="728"/>
    <w:next w:val="728"/>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
    <w:basedOn w:val="728"/>
    <w:next w:val="916"/>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正文缩进1"/>
    <w:basedOn w:val="728"/>
    <w:link w:val="928"/>
    <w:uiPriority w:val="0"/>
    <w:pPr>
      <w:ind w:firstLine="420"/>
    </w:pPr>
    <w:rPr>
      <w:szCs w:val="21"/>
    </w:rPr>
  </w:style>
  <w:style w:type="paragraph" w:styleId="917" w:customStyle="1">
    <w:name w:val="标题 31"/>
    <w:basedOn w:val="728"/>
    <w:next w:val="916"/>
    <w:link w:val="92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8" w:customStyle="1">
    <w:name w:val="标题 41"/>
    <w:basedOn w:val="728"/>
    <w:next w:val="916"/>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8"/>
    <w:next w:val="916"/>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8"/>
    <w:next w:val="728"/>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8"/>
    <w:next w:val="728"/>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8"/>
    <w:next w:val="728"/>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8"/>
    <w:next w:val="728"/>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8"/>
    <w:uiPriority w:val="1"/>
    <w:unhideWhenUsed/>
  </w:style>
  <w:style w:type="table" w:styleId="925" w:customStyle="1">
    <w:name w:val="普通表格1"/>
    <w:uiPriority w:val="99"/>
    <w:unhideWhenUsed/>
    <w:qFormat/>
    <w:tblPr/>
  </w:style>
  <w:style w:type="character" w:styleId="926" w:customStyle="1">
    <w:name w:val="标题 1 Char"/>
    <w:link w:val="914"/>
    <w:uiPriority w:val="0"/>
    <w:qFormat/>
    <w:rPr>
      <w:rFonts w:ascii="楷体_GB2312" w:hAnsi="Times New Roman" w:eastAsia="楷体_GB2312" w:cs="Times New Roman"/>
      <w:sz w:val="28"/>
      <w:szCs w:val="28"/>
    </w:rPr>
  </w:style>
  <w:style w:type="character" w:styleId="927" w:customStyle="1">
    <w:name w:val="标题 2 Char"/>
    <w:link w:val="915"/>
    <w:uiPriority w:val="0"/>
    <w:qFormat/>
    <w:rPr>
      <w:rFonts w:ascii="Arial" w:hAnsi="Arial" w:eastAsia="幼圆" w:cs="Arial"/>
      <w:b/>
      <w:bCs/>
      <w:sz w:val="44"/>
      <w:szCs w:val="44"/>
    </w:rPr>
  </w:style>
  <w:style w:type="character" w:styleId="928" w:customStyle="1">
    <w:name w:val="正文缩进 Char"/>
    <w:link w:val="916"/>
    <w:uiPriority w:val="0"/>
    <w:rPr>
      <w:szCs w:val="21"/>
    </w:rPr>
  </w:style>
  <w:style w:type="character" w:styleId="929" w:customStyle="1">
    <w:name w:val="标题 3 Char"/>
    <w:link w:val="917"/>
    <w:uiPriority w:val="0"/>
    <w:rPr>
      <w:rFonts w:ascii="Times New Roman" w:hAnsi="Times New Roman" w:eastAsia="宋体" w:cs="Times New Roman"/>
      <w:b/>
      <w:bCs/>
      <w:sz w:val="32"/>
      <w:szCs w:val="32"/>
    </w:rPr>
  </w:style>
  <w:style w:type="character" w:styleId="930" w:customStyle="1">
    <w:name w:val="标题 4 Char"/>
    <w:link w:val="918"/>
    <w:uiPriority w:val="0"/>
    <w:qFormat/>
    <w:rPr>
      <w:rFonts w:ascii="Arial" w:hAnsi="Arial" w:eastAsia="黑体" w:cs="Arial"/>
      <w:b/>
      <w:bCs/>
      <w:sz w:val="28"/>
      <w:szCs w:val="28"/>
    </w:rPr>
  </w:style>
  <w:style w:type="character" w:styleId="931" w:customStyle="1">
    <w:name w:val="标题 5 Char"/>
    <w:link w:val="919"/>
    <w:uiPriority w:val="0"/>
    <w:qFormat/>
    <w:rPr>
      <w:rFonts w:ascii="宋体" w:hAnsi="Times New Roman" w:eastAsia="宋体" w:cs="Times New Roman"/>
      <w:color w:val="000000"/>
      <w:sz w:val="28"/>
      <w:szCs w:val="28"/>
    </w:rPr>
  </w:style>
  <w:style w:type="character" w:styleId="932" w:customStyle="1">
    <w:name w:val="标题 6 Char"/>
    <w:link w:val="920"/>
    <w:uiPriority w:val="0"/>
    <w:qFormat/>
    <w:rPr>
      <w:rFonts w:ascii="Arial" w:hAnsi="Arial" w:eastAsia="黑体" w:cs="Times New Roman"/>
      <w:b/>
      <w:bCs/>
      <w:sz w:val="24"/>
      <w:szCs w:val="24"/>
    </w:rPr>
  </w:style>
  <w:style w:type="character" w:styleId="933" w:customStyle="1">
    <w:name w:val="标题 7 Char"/>
    <w:link w:val="921"/>
    <w:uiPriority w:val="0"/>
    <w:rPr>
      <w:rFonts w:ascii="Times New Roman" w:hAnsi="Times New Roman" w:eastAsia="宋体" w:cs="Times New Roman"/>
      <w:b/>
      <w:bCs/>
      <w:sz w:val="24"/>
      <w:szCs w:val="24"/>
    </w:rPr>
  </w:style>
  <w:style w:type="character" w:styleId="934" w:customStyle="1">
    <w:name w:val="标题 8 Char"/>
    <w:link w:val="922"/>
    <w:uiPriority w:val="0"/>
    <w:rPr>
      <w:rFonts w:ascii="Arial" w:hAnsi="Arial" w:eastAsia="黑体" w:cs="Times New Roman"/>
      <w:sz w:val="24"/>
      <w:szCs w:val="24"/>
    </w:rPr>
  </w:style>
  <w:style w:type="character" w:styleId="935" w:customStyle="1">
    <w:name w:val="标题 9 Char"/>
    <w:link w:val="923"/>
    <w:uiPriority w:val="0"/>
    <w:qFormat/>
    <w:rPr>
      <w:rFonts w:ascii="Arial" w:hAnsi="Arial" w:eastAsia="黑体" w:cs="Times New Roman"/>
      <w:szCs w:val="21"/>
    </w:rPr>
  </w:style>
  <w:style w:type="paragraph" w:styleId="936" w:customStyle="1">
    <w:name w:val="列表 31"/>
    <w:basedOn w:val="728"/>
    <w:uiPriority w:val="0"/>
    <w:qFormat/>
    <w:pPr>
      <w:ind w:left="100" w:hanging="200"/>
    </w:pPr>
    <w:rPr>
      <w:rFonts w:ascii="Times New Roman" w:hAnsi="Times New Roman" w:eastAsia="宋体" w:cs="Times New Roman"/>
      <w:szCs w:val="21"/>
    </w:rPr>
  </w:style>
  <w:style w:type="paragraph" w:styleId="937" w:customStyle="1">
    <w:name w:val="目录 71"/>
    <w:basedOn w:val="728"/>
    <w:next w:val="728"/>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8"/>
    <w:link w:val="939"/>
    <w:uiPriority w:val="0"/>
    <w:semiHidden/>
    <w:pPr>
      <w:shd w:val="clear" w:color="auto" w:fill="000080"/>
    </w:pPr>
    <w:rPr>
      <w:rFonts w:ascii="Times New Roman" w:hAnsi="Times New Roman" w:eastAsia="宋体" w:cs="Times New Roman"/>
      <w:szCs w:val="21"/>
    </w:rPr>
  </w:style>
  <w:style w:type="character" w:styleId="939" w:customStyle="1">
    <w:name w:val="文档结构图 Char"/>
    <w:link w:val="938"/>
    <w:uiPriority w:val="0"/>
    <w:semiHidden/>
    <w:rPr>
      <w:rFonts w:ascii="Times New Roman" w:hAnsi="Times New Roman" w:eastAsia="宋体" w:cs="Times New Roman"/>
      <w:szCs w:val="21"/>
      <w:shd w:val="clear" w:color="auto" w:fill="000080"/>
    </w:rPr>
  </w:style>
  <w:style w:type="paragraph" w:styleId="940" w:customStyle="1">
    <w:name w:val="批注文字1"/>
    <w:basedOn w:val="728"/>
    <w:link w:val="941"/>
    <w:uiPriority w:val="0"/>
    <w:unhideWhenUsed/>
    <w:qFormat/>
    <w:pPr>
      <w:jc w:val="left"/>
    </w:pPr>
  </w:style>
  <w:style w:type="character" w:styleId="941" w:customStyle="1">
    <w:name w:val="批注文字 Char"/>
    <w:basedOn w:val="924"/>
    <w:link w:val="940"/>
    <w:uiPriority w:val="99"/>
    <w:semiHidden/>
    <w:qFormat/>
  </w:style>
  <w:style w:type="paragraph" w:styleId="942" w:customStyle="1">
    <w:name w:val="正文文本 31"/>
    <w:basedOn w:val="728"/>
    <w:link w:val="943"/>
    <w:uiPriority w:val="0"/>
    <w:qFormat/>
    <w:rPr>
      <w:rFonts w:ascii="仿宋_GB2312" w:hAnsi="Arial" w:eastAsia="仿宋_GB2312" w:cs="Times New Roman"/>
      <w:sz w:val="32"/>
      <w:szCs w:val="32"/>
    </w:rPr>
  </w:style>
  <w:style w:type="character" w:styleId="943" w:customStyle="1">
    <w:name w:val="正文文本 3 Char"/>
    <w:link w:val="942"/>
    <w:uiPriority w:val="0"/>
    <w:rPr>
      <w:rFonts w:ascii="仿宋_GB2312" w:hAnsi="Arial" w:eastAsia="仿宋_GB2312" w:cs="Times New Roman"/>
      <w:sz w:val="32"/>
      <w:szCs w:val="32"/>
    </w:rPr>
  </w:style>
  <w:style w:type="paragraph" w:styleId="944" w:customStyle="1">
    <w:name w:val="正文文本2"/>
    <w:basedOn w:val="728"/>
    <w:link w:val="945"/>
    <w:uiPriority w:val="0"/>
    <w:rPr>
      <w:rFonts w:ascii="楷体_GB2312" w:hAnsi="Arial" w:eastAsia="楷体_GB2312" w:cs="Times New Roman"/>
      <w:sz w:val="28"/>
      <w:szCs w:val="28"/>
    </w:rPr>
  </w:style>
  <w:style w:type="character" w:styleId="945" w:customStyle="1">
    <w:name w:val="正文文本 Char"/>
    <w:link w:val="944"/>
    <w:uiPriority w:val="0"/>
    <w:qFormat/>
    <w:rPr>
      <w:rFonts w:ascii="楷体_GB2312" w:hAnsi="Arial" w:eastAsia="楷体_GB2312" w:cs="Times New Roman"/>
      <w:sz w:val="28"/>
      <w:szCs w:val="28"/>
    </w:rPr>
  </w:style>
  <w:style w:type="paragraph" w:styleId="946" w:customStyle="1">
    <w:name w:val="正文文本缩进1"/>
    <w:basedOn w:val="728"/>
    <w:link w:val="947"/>
    <w:uiPriority w:val="0"/>
    <w:unhideWhenUsed/>
    <w:qFormat/>
    <w:pPr>
      <w:ind w:left="420"/>
      <w:spacing w:after="120"/>
    </w:pPr>
  </w:style>
  <w:style w:type="character" w:styleId="947" w:customStyle="1">
    <w:name w:val="正文文本缩进 Char"/>
    <w:basedOn w:val="924"/>
    <w:link w:val="946"/>
    <w:uiPriority w:val="99"/>
    <w:semiHidden/>
    <w:qFormat/>
  </w:style>
  <w:style w:type="paragraph" w:styleId="948" w:customStyle="1">
    <w:name w:val="列表 21"/>
    <w:basedOn w:val="728"/>
    <w:uiPriority w:val="0"/>
    <w:pPr>
      <w:ind w:left="100" w:hanging="200"/>
    </w:pPr>
    <w:rPr>
      <w:rFonts w:ascii="Times New Roman" w:hAnsi="Times New Roman" w:eastAsia="宋体" w:cs="Times New Roman"/>
      <w:szCs w:val="21"/>
    </w:rPr>
  </w:style>
  <w:style w:type="paragraph" w:styleId="949" w:customStyle="1">
    <w:name w:val="目录 51"/>
    <w:basedOn w:val="728"/>
    <w:next w:val="728"/>
    <w:uiPriority w:val="0"/>
    <w:semiHidden/>
    <w:pPr>
      <w:ind w:left="840"/>
      <w:jc w:val="left"/>
    </w:pPr>
    <w:rPr>
      <w:rFonts w:ascii="Times New Roman" w:hAnsi="Times New Roman" w:eastAsia="宋体" w:cs="Times New Roman"/>
      <w:szCs w:val="21"/>
    </w:rPr>
  </w:style>
  <w:style w:type="paragraph" w:styleId="950" w:customStyle="1">
    <w:name w:val="目录 31"/>
    <w:basedOn w:val="728"/>
    <w:next w:val="728"/>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8"/>
    <w:link w:val="952"/>
    <w:uiPriority w:val="0"/>
    <w:qFormat/>
    <w:rPr>
      <w:rFonts w:ascii="宋体" w:hAnsi="Courier New" w:eastAsia="宋体" w:cs="Courier New"/>
      <w:szCs w:val="21"/>
    </w:rPr>
  </w:style>
  <w:style w:type="character" w:styleId="952" w:customStyle="1">
    <w:name w:val="纯文本 Char"/>
    <w:link w:val="951"/>
    <w:uiPriority w:val="0"/>
    <w:qFormat/>
    <w:rPr>
      <w:rFonts w:ascii="宋体" w:hAnsi="Courier New" w:eastAsia="宋体" w:cs="Courier New"/>
      <w:szCs w:val="21"/>
    </w:rPr>
  </w:style>
  <w:style w:type="paragraph" w:styleId="953" w:customStyle="1">
    <w:name w:val="目录 81"/>
    <w:basedOn w:val="728"/>
    <w:next w:val="728"/>
    <w:uiPriority w:val="0"/>
    <w:semiHidden/>
    <w:qFormat/>
    <w:pPr>
      <w:ind w:left="1470"/>
      <w:jc w:val="left"/>
    </w:pPr>
    <w:rPr>
      <w:rFonts w:ascii="Times New Roman" w:hAnsi="Times New Roman" w:eastAsia="宋体" w:cs="Times New Roman"/>
      <w:szCs w:val="21"/>
    </w:rPr>
  </w:style>
  <w:style w:type="paragraph" w:styleId="954" w:customStyle="1">
    <w:name w:val="日期1"/>
    <w:basedOn w:val="728"/>
    <w:next w:val="728"/>
    <w:link w:val="955"/>
    <w:uiPriority w:val="0"/>
    <w:qFormat/>
    <w:rPr>
      <w:rFonts w:ascii="Times New Roman" w:hAnsi="Times New Roman" w:eastAsia="宋体" w:cs="Times New Roman"/>
      <w:sz w:val="24"/>
      <w:szCs w:val="24"/>
    </w:rPr>
  </w:style>
  <w:style w:type="character" w:styleId="955" w:customStyle="1">
    <w:name w:val="日期 Char"/>
    <w:link w:val="954"/>
    <w:uiPriority w:val="0"/>
    <w:qFormat/>
    <w:rPr>
      <w:rFonts w:ascii="Times New Roman" w:hAnsi="Times New Roman" w:eastAsia="宋体" w:cs="Times New Roman"/>
      <w:sz w:val="24"/>
      <w:szCs w:val="24"/>
    </w:rPr>
  </w:style>
  <w:style w:type="paragraph" w:styleId="956" w:customStyle="1">
    <w:name w:val="正文文本缩进 21"/>
    <w:basedOn w:val="728"/>
    <w:link w:val="957"/>
    <w:uiPriority w:val="0"/>
    <w:qFormat/>
    <w:pPr>
      <w:ind w:left="630" w:firstLine="645"/>
    </w:pPr>
    <w:rPr>
      <w:rFonts w:ascii="Arial" w:hAnsi="Arial" w:eastAsia="仿宋_GB2312" w:cs="Arial"/>
      <w:sz w:val="32"/>
      <w:szCs w:val="32"/>
    </w:rPr>
  </w:style>
  <w:style w:type="character" w:styleId="957" w:customStyle="1">
    <w:name w:val="正文文本缩进 2 Char"/>
    <w:link w:val="956"/>
    <w:uiPriority w:val="0"/>
    <w:qFormat/>
    <w:rPr>
      <w:rFonts w:ascii="Arial" w:hAnsi="Arial" w:eastAsia="仿宋_GB2312" w:cs="Arial"/>
      <w:sz w:val="32"/>
      <w:szCs w:val="32"/>
    </w:rPr>
  </w:style>
  <w:style w:type="paragraph" w:styleId="958" w:customStyle="1">
    <w:name w:val="批注框文本1"/>
    <w:basedOn w:val="728"/>
    <w:link w:val="959"/>
    <w:uiPriority w:val="0"/>
    <w:semiHidden/>
    <w:qFormat/>
    <w:rPr>
      <w:rFonts w:ascii="Times New Roman" w:hAnsi="Times New Roman" w:eastAsia="宋体" w:cs="Times New Roman"/>
      <w:sz w:val="18"/>
      <w:szCs w:val="18"/>
    </w:rPr>
  </w:style>
  <w:style w:type="character" w:styleId="959" w:customStyle="1">
    <w:name w:val="批注框文本 Char"/>
    <w:link w:val="958"/>
    <w:uiPriority w:val="0"/>
    <w:semiHidden/>
    <w:qFormat/>
    <w:rPr>
      <w:rFonts w:ascii="Times New Roman" w:hAnsi="Times New Roman" w:eastAsia="宋体" w:cs="Times New Roman"/>
      <w:sz w:val="18"/>
      <w:szCs w:val="18"/>
    </w:rPr>
  </w:style>
  <w:style w:type="paragraph" w:styleId="960" w:customStyle="1">
    <w:name w:val="页脚1"/>
    <w:basedOn w:val="728"/>
    <w:link w:val="96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Char"/>
    <w:link w:val="960"/>
    <w:uiPriority w:val="99"/>
    <w:qFormat/>
    <w:rPr>
      <w:rFonts w:ascii="Times New Roman" w:hAnsi="Times New Roman" w:eastAsia="宋体" w:cs="Times New Roman"/>
      <w:sz w:val="18"/>
      <w:szCs w:val="18"/>
    </w:rPr>
  </w:style>
  <w:style w:type="paragraph" w:styleId="962" w:customStyle="1">
    <w:name w:val="寄信人地址1"/>
    <w:basedOn w:val="728"/>
    <w:uiPriority w:val="0"/>
    <w:qFormat/>
    <w:rPr>
      <w:rFonts w:ascii="Arial" w:hAnsi="Arial"/>
      <w:sz w:val="24"/>
    </w:rPr>
  </w:style>
  <w:style w:type="paragraph" w:styleId="963" w:customStyle="1">
    <w:name w:val="页眉1"/>
    <w:basedOn w:val="728"/>
    <w:link w:val="96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4" w:customStyle="1">
    <w:name w:val="页眉 Char"/>
    <w:link w:val="963"/>
    <w:uiPriority w:val="0"/>
    <w:qFormat/>
    <w:rPr>
      <w:rFonts w:ascii="Times New Roman" w:hAnsi="Times New Roman" w:eastAsia="宋体" w:cs="Times New Roman"/>
      <w:sz w:val="18"/>
      <w:szCs w:val="18"/>
    </w:rPr>
  </w:style>
  <w:style w:type="paragraph" w:styleId="965" w:customStyle="1">
    <w:name w:val="目录 11"/>
    <w:basedOn w:val="728"/>
    <w:next w:val="72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6" w:customStyle="1">
    <w:name w:val="目录 41"/>
    <w:basedOn w:val="728"/>
    <w:next w:val="728"/>
    <w:uiPriority w:val="0"/>
    <w:semiHidden/>
    <w:qFormat/>
    <w:pPr>
      <w:ind w:left="630"/>
      <w:jc w:val="left"/>
    </w:pPr>
    <w:rPr>
      <w:rFonts w:ascii="Times New Roman" w:hAnsi="Times New Roman" w:eastAsia="宋体" w:cs="Times New Roman"/>
      <w:szCs w:val="21"/>
    </w:rPr>
  </w:style>
  <w:style w:type="paragraph" w:styleId="967" w:customStyle="1">
    <w:name w:val="列表1"/>
    <w:basedOn w:val="728"/>
    <w:uiPriority w:val="0"/>
    <w:qFormat/>
    <w:pPr>
      <w:ind w:left="200" w:hanging="200"/>
    </w:pPr>
    <w:rPr>
      <w:rFonts w:ascii="Times New Roman" w:hAnsi="Times New Roman" w:eastAsia="宋体" w:cs="Times New Roman"/>
      <w:szCs w:val="21"/>
    </w:rPr>
  </w:style>
  <w:style w:type="paragraph" w:styleId="968" w:customStyle="1">
    <w:name w:val="目录 61"/>
    <w:basedOn w:val="728"/>
    <w:next w:val="728"/>
    <w:uiPriority w:val="0"/>
    <w:semiHidden/>
    <w:qFormat/>
    <w:pPr>
      <w:ind w:left="1050"/>
      <w:jc w:val="left"/>
    </w:pPr>
    <w:rPr>
      <w:rFonts w:ascii="Times New Roman" w:hAnsi="Times New Roman" w:eastAsia="宋体" w:cs="Times New Roman"/>
      <w:szCs w:val="21"/>
    </w:rPr>
  </w:style>
  <w:style w:type="paragraph" w:styleId="969" w:customStyle="1">
    <w:name w:val="正文文本缩进 31"/>
    <w:basedOn w:val="728"/>
    <w:link w:val="970"/>
    <w:uiPriority w:val="0"/>
    <w:qFormat/>
    <w:pPr>
      <w:ind w:left="645" w:firstLine="645"/>
    </w:pPr>
    <w:rPr>
      <w:rFonts w:ascii="Arial" w:hAnsi="Arial" w:eastAsia="仿宋_GB2312" w:cs="Arial"/>
      <w:color w:val="ffff00"/>
      <w:sz w:val="32"/>
      <w:szCs w:val="32"/>
    </w:rPr>
  </w:style>
  <w:style w:type="character" w:styleId="970" w:customStyle="1">
    <w:name w:val="正文文本缩进 3 Char"/>
    <w:link w:val="969"/>
    <w:uiPriority w:val="0"/>
    <w:qFormat/>
    <w:rPr>
      <w:rFonts w:ascii="Arial" w:hAnsi="Arial" w:eastAsia="仿宋_GB2312" w:cs="Arial"/>
      <w:color w:val="ffff00"/>
      <w:sz w:val="32"/>
      <w:szCs w:val="32"/>
    </w:rPr>
  </w:style>
  <w:style w:type="paragraph" w:styleId="971" w:customStyle="1">
    <w:name w:val="图表目录1"/>
    <w:basedOn w:val="728"/>
    <w:next w:val="728"/>
    <w:uiPriority w:val="0"/>
    <w:semiHidden/>
    <w:qFormat/>
    <w:pPr>
      <w:ind w:left="840" w:hanging="420"/>
    </w:pPr>
    <w:rPr>
      <w:rFonts w:ascii="Times New Roman" w:hAnsi="Times New Roman" w:eastAsia="宋体" w:cs="Times New Roman"/>
      <w:szCs w:val="21"/>
    </w:rPr>
  </w:style>
  <w:style w:type="paragraph" w:styleId="972" w:customStyle="1">
    <w:name w:val="目录 21"/>
    <w:basedOn w:val="728"/>
    <w:next w:val="728"/>
    <w:uiPriority w:val="0"/>
    <w:semiHidden/>
    <w:qFormat/>
    <w:pPr>
      <w:ind w:left="210"/>
      <w:jc w:val="left"/>
    </w:pPr>
    <w:rPr>
      <w:rFonts w:ascii="Times New Roman" w:hAnsi="Times New Roman" w:eastAsia="宋体" w:cs="Times New Roman"/>
      <w:smallCaps/>
      <w:szCs w:val="24"/>
    </w:rPr>
  </w:style>
  <w:style w:type="paragraph" w:styleId="973" w:customStyle="1">
    <w:name w:val="目录 91"/>
    <w:basedOn w:val="728"/>
    <w:next w:val="728"/>
    <w:uiPriority w:val="0"/>
    <w:semiHidden/>
    <w:qFormat/>
    <w:pPr>
      <w:ind w:left="1680"/>
      <w:jc w:val="left"/>
    </w:pPr>
    <w:rPr>
      <w:rFonts w:ascii="Times New Roman" w:hAnsi="Times New Roman" w:eastAsia="宋体" w:cs="Times New Roman"/>
      <w:szCs w:val="21"/>
    </w:rPr>
  </w:style>
  <w:style w:type="paragraph" w:styleId="974" w:customStyle="1">
    <w:name w:val="正文文本 21"/>
    <w:basedOn w:val="728"/>
    <w:link w:val="975"/>
    <w:uiPriority w:val="0"/>
    <w:qFormat/>
    <w:pPr>
      <w:jc w:val="center"/>
      <w:widowControl/>
    </w:pPr>
    <w:rPr>
      <w:rFonts w:ascii="楷体_GB2312" w:hAnsi="Times New Roman" w:eastAsia="楷体_GB2312" w:cs="Times New Roman"/>
      <w:sz w:val="28"/>
      <w:szCs w:val="28"/>
    </w:rPr>
  </w:style>
  <w:style w:type="character" w:styleId="975" w:customStyle="1">
    <w:name w:val="正文文本 2 Char"/>
    <w:link w:val="974"/>
    <w:uiPriority w:val="0"/>
    <w:qFormat/>
    <w:rPr>
      <w:rFonts w:ascii="楷体_GB2312" w:hAnsi="Times New Roman" w:eastAsia="楷体_GB2312" w:cs="Times New Roman"/>
      <w:sz w:val="28"/>
      <w:szCs w:val="28"/>
    </w:rPr>
  </w:style>
  <w:style w:type="paragraph" w:styleId="976" w:customStyle="1">
    <w:name w:val="普通(网站)1"/>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977" w:customStyle="1">
    <w:name w:val="索引 11"/>
    <w:basedOn w:val="728"/>
    <w:next w:val="728"/>
    <w:uiPriority w:val="0"/>
    <w:semiHidden/>
    <w:qFormat/>
    <w:pPr>
      <w:spacing w:line="240" w:lineRule="atLeast"/>
    </w:pPr>
    <w:rPr>
      <w:rFonts w:ascii="Times New Roman" w:hAnsi="Times New Roman" w:eastAsia="宋体" w:cs="Times New Roman"/>
      <w:b/>
      <w:bCs/>
      <w:szCs w:val="21"/>
    </w:rPr>
  </w:style>
  <w:style w:type="paragraph" w:styleId="978" w:customStyle="1">
    <w:name w:val="批注主题1"/>
    <w:basedOn w:val="940"/>
    <w:next w:val="940"/>
    <w:link w:val="979"/>
    <w:uiPriority w:val="0"/>
    <w:semiHidden/>
    <w:qFormat/>
    <w:rPr>
      <w:rFonts w:ascii="Times New Roman" w:hAnsi="Times New Roman" w:eastAsia="宋体" w:cs="Times New Roman"/>
      <w:b/>
      <w:bCs/>
      <w:szCs w:val="21"/>
    </w:rPr>
  </w:style>
  <w:style w:type="character" w:styleId="979" w:customStyle="1">
    <w:name w:val="批注主题 Char"/>
    <w:link w:val="978"/>
    <w:uiPriority w:val="0"/>
    <w:semiHidden/>
    <w:qFormat/>
    <w:rPr>
      <w:rFonts w:ascii="Times New Roman" w:hAnsi="Times New Roman" w:eastAsia="宋体" w:cs="Times New Roman"/>
      <w:b/>
      <w:bCs/>
      <w:szCs w:val="21"/>
    </w:rPr>
  </w:style>
  <w:style w:type="paragraph" w:styleId="980" w:customStyle="1">
    <w:name w:val="正文首行缩进1"/>
    <w:basedOn w:val="728"/>
    <w:link w:val="981"/>
    <w:uiPriority w:val="0"/>
    <w:qFormat/>
    <w:pPr>
      <w:ind w:firstLine="200"/>
      <w:spacing w:line="360" w:lineRule="auto"/>
    </w:pPr>
    <w:rPr>
      <w:rFonts w:ascii="仿宋_GB2312" w:hAnsi="Times New Roman" w:eastAsia="仿宋_GB2312" w:cs="Times New Roman"/>
      <w:sz w:val="30"/>
      <w:szCs w:val="30"/>
    </w:rPr>
  </w:style>
  <w:style w:type="character" w:styleId="981" w:customStyle="1">
    <w:name w:val="正文首行缩进 Char"/>
    <w:link w:val="980"/>
    <w:uiPriority w:val="0"/>
    <w:qFormat/>
    <w:rPr>
      <w:rFonts w:ascii="仿宋_GB2312" w:hAnsi="Times New Roman" w:eastAsia="仿宋_GB2312" w:cs="Times New Roman"/>
      <w:sz w:val="30"/>
      <w:szCs w:val="30"/>
    </w:rPr>
  </w:style>
  <w:style w:type="paragraph" w:styleId="982" w:customStyle="1">
    <w:name w:val="正文首行缩进 21"/>
    <w:basedOn w:val="946"/>
    <w:next w:val="728"/>
    <w:link w:val="983"/>
    <w:uiPriority w:val="0"/>
    <w:qFormat/>
    <w:pPr>
      <w:ind w:left="0" w:firstLine="420"/>
      <w:spacing w:after="0" w:line="360" w:lineRule="auto"/>
    </w:pPr>
    <w:rPr>
      <w:rFonts w:ascii="宋体" w:hAnsi="宋体" w:eastAsia="宋体" w:cs="Times New Roman"/>
      <w:szCs w:val="20"/>
    </w:rPr>
  </w:style>
  <w:style w:type="character" w:styleId="983" w:customStyle="1">
    <w:name w:val="正文首行缩进 2 Char"/>
    <w:link w:val="982"/>
    <w:uiPriority w:val="0"/>
    <w:qFormat/>
    <w:rPr>
      <w:rFonts w:ascii="宋体" w:hAnsi="宋体" w:eastAsia="宋体" w:cs="Times New Roman"/>
      <w:szCs w:val="20"/>
    </w:rPr>
  </w:style>
  <w:style w:type="table" w:styleId="984" w:customStyle="1">
    <w:name w:val="网格型11"/>
    <w:basedOn w:val="925"/>
    <w:uiPriority w:val="0"/>
    <w:qFormat/>
    <w:pPr>
      <w:jc w:val="both"/>
      <w:widowControl w:val="off"/>
    </w:pPr>
    <w:rPr>
      <w:rFonts w:ascii="Times New Roman" w:hAnsi="Times New Roman" w:eastAsia="宋体" w:cs="Times New Roman"/>
      <w:sz w:val="20"/>
      <w:szCs w:val="20"/>
    </w:rPr>
    <w:tblPr/>
  </w:style>
  <w:style w:type="character" w:styleId="985" w:customStyle="1">
    <w:name w:val="要点1"/>
    <w:link w:val="728"/>
    <w:uiPriority w:val="0"/>
    <w:qFormat/>
    <w:rPr>
      <w:b/>
      <w:bCs/>
    </w:rPr>
  </w:style>
  <w:style w:type="character" w:styleId="986" w:customStyle="1">
    <w:name w:val="页码1"/>
    <w:link w:val="728"/>
    <w:uiPriority w:val="0"/>
    <w:qFormat/>
  </w:style>
  <w:style w:type="character" w:styleId="987" w:customStyle="1">
    <w:name w:val="已访问的超链接1"/>
    <w:link w:val="728"/>
    <w:uiPriority w:val="0"/>
    <w:qFormat/>
    <w:rPr>
      <w:color w:val="800080"/>
      <w:u w:val="single"/>
    </w:rPr>
  </w:style>
  <w:style w:type="character" w:styleId="988" w:customStyle="1">
    <w:name w:val="超链接1"/>
    <w:link w:val="728"/>
    <w:uiPriority w:val="0"/>
    <w:qFormat/>
    <w:rPr>
      <w:color w:val="0000ff"/>
      <w:u w:val="single"/>
    </w:rPr>
  </w:style>
  <w:style w:type="character" w:styleId="989" w:customStyle="1">
    <w:name w:val="批注引用1"/>
    <w:link w:val="728"/>
    <w:uiPriority w:val="0"/>
    <w:semiHidden/>
    <w:qFormat/>
    <w:rPr>
      <w:sz w:val="21"/>
      <w:szCs w:val="21"/>
    </w:rPr>
  </w:style>
  <w:style w:type="character" w:styleId="990" w:customStyle="1">
    <w:name w:val="font5 Char"/>
    <w:link w:val="728"/>
    <w:uiPriority w:val="0"/>
    <w:qFormat/>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728"/>
    <w:link w:val="99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728"/>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728"/>
    <w:next w:val="944"/>
    <w:uiPriority w:val="0"/>
    <w:qFormat/>
    <w:pPr>
      <w:spacing w:after="120"/>
    </w:pPr>
    <w:rPr>
      <w:rFonts w:ascii="宋体" w:hAnsi="Arial" w:eastAsia="宋体" w:cs="Times New Roman"/>
      <w:bCs/>
      <w:iCs/>
      <w:szCs w:val="24"/>
    </w:rPr>
  </w:style>
  <w:style w:type="paragraph" w:styleId="996"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customStyle="1">
    <w:name w:val="Char"/>
    <w:basedOn w:val="728"/>
    <w:uiPriority w:val="0"/>
    <w:qFormat/>
    <w:pPr>
      <w:ind w:firstLine="200"/>
      <w:tabs>
        <w:tab w:val="left" w:pos="360" w:leader="none"/>
      </w:tabs>
    </w:pPr>
    <w:rPr>
      <w:rFonts w:ascii="Times New Roman" w:hAnsi="Times New Roman" w:eastAsia="宋体" w:cs="Times New Roman"/>
      <w:sz w:val="28"/>
      <w:szCs w:val="30"/>
    </w:rPr>
  </w:style>
  <w:style w:type="paragraph" w:styleId="999" w:customStyle="1">
    <w:name w:val=" Char"/>
    <w:basedOn w:val="938"/>
    <w:uiPriority w:val="0"/>
    <w:qFormat/>
    <w:rPr>
      <w:rFonts w:ascii="Tahoma" w:hAnsi="Tahoma"/>
      <w:sz w:val="24"/>
      <w:szCs w:val="24"/>
    </w:rPr>
  </w:style>
  <w:style w:type="paragraph" w:styleId="1000" w:customStyle="1">
    <w:name w:val="普通正文"/>
    <w:basedOn w:val="728"/>
    <w:uiPriority w:val="0"/>
    <w:qFormat/>
    <w:pPr>
      <w:ind w:firstLine="480"/>
      <w:jc w:val="left"/>
      <w:spacing w:before="120" w:after="120" w:line="360" w:lineRule="auto"/>
    </w:pPr>
    <w:rPr>
      <w:rFonts w:ascii="Arial" w:hAnsi="Arial" w:eastAsia="宋体" w:cs="Times New Roman"/>
      <w:sz w:val="24"/>
      <w:szCs w:val="24"/>
    </w:rPr>
  </w:style>
  <w:style w:type="paragraph" w:styleId="1001" w:customStyle="1">
    <w:name w:val="table_lines"/>
    <w:basedOn w:val="728"/>
    <w:uiPriority w:val="0"/>
    <w:qFormat/>
    <w:pPr>
      <w:jc w:val="left"/>
      <w:widowControl/>
    </w:pPr>
    <w:rPr>
      <w:rFonts w:ascii="Times New Roman" w:hAnsi="Times New Roman" w:eastAsia="宋体" w:cs="Times New Roman"/>
      <w:sz w:val="20"/>
      <w:szCs w:val="20"/>
      <w:lang w:val="de-DE" w:eastAsia="de-DE"/>
    </w:rPr>
  </w:style>
  <w:style w:type="paragraph" w:styleId="100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3" w:customStyle="1">
    <w:name w:val="font7"/>
    <w:basedOn w:val="72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4" w:customStyle="1">
    <w:name w:val=" Char Char Char Char"/>
    <w:basedOn w:val="938"/>
    <w:uiPriority w:val="0"/>
    <w:qFormat/>
    <w:pPr>
      <w:spacing w:line="360" w:lineRule="auto"/>
    </w:pPr>
    <w:rPr>
      <w:rFonts w:ascii="Tahoma" w:hAnsi="Tahoma"/>
      <w:sz w:val="24"/>
      <w:szCs w:val="24"/>
    </w:rPr>
  </w:style>
  <w:style w:type="paragraph" w:styleId="1005" w:customStyle="1">
    <w:name w:val="列出段落"/>
    <w:basedOn w:val="728"/>
    <w:uiPriority w:val="0"/>
    <w:qFormat/>
    <w:pPr>
      <w:contextualSpacing/>
      <w:ind w:left="720"/>
      <w:jc w:val="left"/>
      <w:widowControl/>
    </w:pPr>
    <w:rPr>
      <w:rFonts w:ascii="Calibri" w:hAnsi="Calibri" w:eastAsia="宋体" w:cs="Times New Roman"/>
      <w:sz w:val="24"/>
      <w:szCs w:val="24"/>
      <w:lang w:eastAsia="en-US" w:bidi="en-US"/>
    </w:rPr>
  </w:style>
  <w:style w:type="paragraph" w:styleId="1006" w:customStyle="1">
    <w:name w:val="4"/>
    <w:basedOn w:val="728"/>
    <w:next w:val="969"/>
    <w:uiPriority w:val="0"/>
    <w:qFormat/>
    <w:pPr>
      <w:ind w:firstLine="420"/>
      <w:spacing w:line="360" w:lineRule="auto"/>
    </w:pPr>
    <w:rPr>
      <w:rFonts w:ascii="Times New Roman" w:hAnsi="Times New Roman" w:eastAsia="宋体" w:cs="Times New Roman"/>
      <w:color w:val="ff0000"/>
      <w:sz w:val="24"/>
      <w:szCs w:val="24"/>
    </w:rPr>
  </w:style>
  <w:style w:type="paragraph" w:styleId="1007" w:customStyle="1">
    <w:name w:val="普通 (Web)"/>
    <w:basedOn w:val="728"/>
    <w:uiPriority w:val="0"/>
    <w:qFormat/>
    <w:pPr>
      <w:jc w:val="left"/>
      <w:spacing w:before="100" w:beforeAutospacing="1" w:after="100" w:afterAutospacing="1"/>
      <w:widowControl/>
    </w:pPr>
    <w:rPr>
      <w:rFonts w:ascii="宋体" w:hAnsi="宋体" w:eastAsia="宋体" w:cs="Times New Roman"/>
      <w:sz w:val="24"/>
      <w:szCs w:val="24"/>
    </w:rPr>
  </w:style>
  <w:style w:type="paragraph" w:styleId="1008" w:customStyle="1">
    <w:name w:val=" Char Char Char Char Char Char Char Char Char Char"/>
    <w:basedOn w:val="728"/>
    <w:uiPriority w:val="0"/>
    <w:qFormat/>
    <w:pPr>
      <w:spacing w:line="360" w:lineRule="auto"/>
    </w:pPr>
    <w:rPr>
      <w:rFonts w:ascii="Times New Roman" w:hAnsi="Times New Roman" w:eastAsia="宋体" w:cs="Times New Roman"/>
      <w:sz w:val="24"/>
      <w:szCs w:val="20"/>
    </w:rPr>
  </w:style>
  <w:style w:type="paragraph" w:styleId="1009" w:customStyle="1">
    <w:name w:val="样式1"/>
    <w:basedOn w:val="728"/>
    <w:uiPriority w:val="0"/>
    <w:qFormat/>
    <w:pPr>
      <w:numPr>
        <w:ilvl w:val="0"/>
        <w:numId w:val="3"/>
      </w:numPr>
    </w:pPr>
    <w:rPr>
      <w:rFonts w:ascii="宋体" w:hAnsi="宋体" w:eastAsia="宋体" w:cs="Times New Roman"/>
      <w:szCs w:val="21"/>
    </w:rPr>
  </w:style>
  <w:style w:type="paragraph" w:styleId="1010" w:customStyle="1">
    <w:name w:val="font6"/>
    <w:basedOn w:val="72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1"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3" w:customStyle="1">
    <w:name w:val="标题3"/>
    <w:basedOn w:val="728"/>
    <w:next w:val="728"/>
    <w:uiPriority w:val="0"/>
    <w:qFormat/>
    <w:pPr>
      <w:ind w:firstLine="624"/>
      <w:spacing w:line="590" w:lineRule="atLeast"/>
    </w:pPr>
    <w:rPr>
      <w:rFonts w:ascii="方正黑体_GBK" w:hAnsi="Times New Roman" w:eastAsia="方正黑体_GBK" w:cs="Times New Roman"/>
      <w:sz w:val="32"/>
      <w:szCs w:val="32"/>
    </w:rPr>
  </w:style>
  <w:style w:type="paragraph" w:styleId="1014"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6" w:customStyle="1">
    <w:name w:val="Char Char Char Char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017"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8" w:customStyle="1">
    <w:name w:val=" Char Char Char Char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019" w:customStyle="1">
    <w:name w:val="xl30"/>
    <w:basedOn w:val="72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0" w:customStyle="1">
    <w:name w:val="Char Char Char Char"/>
    <w:basedOn w:val="938"/>
    <w:uiPriority w:val="0"/>
    <w:qFormat/>
    <w:pPr>
      <w:spacing w:line="360" w:lineRule="auto"/>
    </w:pPr>
    <w:rPr>
      <w:rFonts w:ascii="Tahoma" w:hAnsi="Tahoma"/>
      <w:sz w:val="24"/>
      <w:szCs w:val="24"/>
    </w:rPr>
  </w:style>
  <w:style w:type="paragraph" w:styleId="1021" w:customStyle="1">
    <w:name w:val="table_1stline"/>
    <w:basedOn w:val="72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2" w:customStyle="1">
    <w:name w:val="font5"/>
    <w:basedOn w:val="72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3" w:customStyle="1">
    <w:name w:val="标题1"/>
    <w:basedOn w:val="728"/>
    <w:next w:val="7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27" w:customStyle="1">
    <w:name w:val="交叉引用"/>
    <w:basedOn w:val="738"/>
    <w:link w:val="728"/>
    <w:uiPriority w:val="1"/>
    <w:qFormat/>
    <w:rPr>
      <w:color w:val="0000ff"/>
      <w:u w:val="single"/>
    </w:rPr>
  </w:style>
  <w:style w:type="paragraph" w:styleId="1028" w:customStyle="1">
    <w:name w:val="表正文"/>
    <w:basedOn w:val="728"/>
    <w:uiPriority w:val="0"/>
    <w:qFormat/>
    <w:rPr>
      <w:rFonts w:eastAsia="宋体"/>
      <w:sz w:val="18"/>
    </w:rPr>
  </w:style>
  <w:style w:type="table" w:styleId="1029" w:customStyle="1">
    <w:name w:val="表格"/>
    <w:basedOn w:val="984"/>
    <w:uiPriority w:val="0"/>
    <w:qFormat/>
    <w:rPr>
      <w:rFonts w:ascii="Arial" w:hAnsi="Arial"/>
    </w:rPr>
    <w:tblPr/>
  </w:style>
  <w:style w:type="paragraph" w:styleId="1030" w:customStyle="1">
    <w:name w:val="表格正文"/>
    <w:basedOn w:val="728"/>
    <w:uiPriority w:val="0"/>
    <w:qFormat/>
    <w:pPr>
      <w:spacing w:before="40" w:after="40"/>
    </w:pPr>
    <w:rPr>
      <w:sz w:val="24"/>
    </w:rPr>
  </w:style>
  <w:style w:type="paragraph" w:styleId="1031" w:customStyle="1">
    <w:name w:val="表格并列项"/>
    <w:basedOn w:val="1032"/>
    <w:uiPriority w:val="0"/>
    <w:qFormat/>
    <w:pPr>
      <w:ind w:left="840"/>
      <w:spacing w:before="40" w:after="40"/>
      <w:tabs>
        <w:tab w:val="left" w:pos="839" w:leader="none"/>
      </w:tabs>
    </w:pPr>
  </w:style>
  <w:style w:type="paragraph" w:styleId="1032" w:customStyle="1">
    <w:name w:val="并列项"/>
    <w:basedOn w:val="1033"/>
    <w:uiPriority w:val="0"/>
    <w:qFormat/>
    <w:pPr>
      <w:numPr>
        <w:ilvl w:val="0"/>
        <w:numId w:val="4"/>
      </w:numPr>
      <w:ind w:left="420"/>
    </w:pPr>
    <w:rPr>
      <w:rFonts w:ascii="Times New Roman" w:hAnsi="Times New Roman" w:cs="Cambria"/>
    </w:rPr>
  </w:style>
  <w:style w:type="paragraph" w:styleId="1033" w:customStyle="1">
    <w:name w:val="列表段落1"/>
    <w:basedOn w:val="728"/>
    <w:uiPriority w:val="34"/>
    <w:qFormat/>
    <w:pPr>
      <w:ind w:firstLine="420"/>
    </w:pPr>
  </w:style>
  <w:style w:type="table" w:styleId="1034" w:customStyle="1">
    <w:name w:val="网格型1"/>
    <w:basedOn w:val="925"/>
    <w:uiPriority w:val="0"/>
    <w:qFormat/>
    <w:pPr>
      <w:jc w:val="both"/>
      <w:widowControl w:val="off"/>
    </w:pPr>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23</cp:revision>
  <dcterms:created xsi:type="dcterms:W3CDTF">2023-03-16T02:13:00Z</dcterms:created>
  <dcterms:modified xsi:type="dcterms:W3CDTF">2024-12-06T05:43:10Z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498B33F285F84317BBE98A6C50694B7E_12</vt:lpwstr>
  </property>
</Properties>
</file>