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7FD8">
      <w:pPr>
        <w:widowControl/>
        <w:jc w:val="center"/>
        <w:rPr>
          <w:rFonts w:hint="eastAsia" w:asciiTheme="minorEastAsia" w:hAnsiTheme="minorEastAsia" w:cstheme="minorEastAsia"/>
          <w:b/>
          <w:bCs/>
          <w:color w:val="auto"/>
          <w:sz w:val="28"/>
          <w:szCs w:val="28"/>
          <w:highlight w:val="none"/>
        </w:rPr>
      </w:pPr>
      <w:r>
        <w:rPr>
          <w:rFonts w:hint="eastAsia" w:ascii="仿宋_GB2312" w:hAnsi="宋体" w:eastAsia="仿宋_GB2312" w:cs="宋体"/>
          <w:b/>
          <w:bCs/>
          <w:color w:val="auto"/>
          <w:kern w:val="0"/>
          <w:sz w:val="32"/>
          <w:szCs w:val="32"/>
          <w:highlight w:val="none"/>
          <w:lang w:val="en-US" w:eastAsia="zh-CN"/>
        </w:rPr>
        <w:t>工程量清单</w:t>
      </w:r>
      <w:r>
        <w:rPr>
          <w:rFonts w:hint="eastAsia" w:ascii="仿宋_GB2312" w:hAnsi="宋体" w:eastAsia="仿宋_GB2312" w:cs="宋体"/>
          <w:b/>
          <w:bCs/>
          <w:color w:val="auto"/>
          <w:kern w:val="0"/>
          <w:sz w:val="32"/>
          <w:szCs w:val="32"/>
          <w:highlight w:val="none"/>
        </w:rPr>
        <w:t>编制说明</w:t>
      </w:r>
      <w:r>
        <w:rPr>
          <w:rFonts w:hint="eastAsia" w:ascii="宋体" w:hAnsi="宋体" w:cs="宋体"/>
          <w:color w:val="auto"/>
          <w:kern w:val="0"/>
          <w:sz w:val="18"/>
          <w:szCs w:val="18"/>
          <w:highlight w:val="none"/>
        </w:rPr>
        <w:t xml:space="preserve"> </w:t>
      </w:r>
    </w:p>
    <w:p w14:paraId="753BB8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一、工程概况：</w:t>
      </w:r>
    </w:p>
    <w:p w14:paraId="479767CF">
      <w:pPr>
        <w:pStyle w:val="3"/>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班庄镇班庄村中心幼儿园室内装修项目</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本</w:t>
      </w:r>
      <w:r>
        <w:rPr>
          <w:rFonts w:hint="eastAsia" w:ascii="仿宋" w:hAnsi="仿宋" w:eastAsia="仿宋" w:cs="仿宋"/>
          <w:b w:val="0"/>
          <w:bCs w:val="0"/>
          <w:color w:val="auto"/>
          <w:sz w:val="24"/>
          <w:szCs w:val="24"/>
          <w:highlight w:val="none"/>
          <w:lang w:val="en-US" w:eastAsia="zh-CN"/>
        </w:rPr>
        <w:t>工程</w:t>
      </w:r>
      <w:r>
        <w:rPr>
          <w:rFonts w:hint="eastAsia" w:ascii="仿宋" w:hAnsi="仿宋" w:eastAsia="仿宋" w:cs="仿宋"/>
          <w:b w:val="0"/>
          <w:bCs w:val="0"/>
          <w:color w:val="auto"/>
          <w:sz w:val="24"/>
          <w:szCs w:val="24"/>
          <w:highlight w:val="none"/>
        </w:rPr>
        <w:t>位于</w:t>
      </w:r>
      <w:r>
        <w:rPr>
          <w:rFonts w:hint="eastAsia" w:ascii="仿宋" w:hAnsi="仿宋" w:eastAsia="仿宋" w:cs="仿宋"/>
          <w:color w:val="auto"/>
          <w:sz w:val="24"/>
          <w:szCs w:val="24"/>
          <w:highlight w:val="none"/>
          <w:lang w:val="en-US" w:eastAsia="zh-CN"/>
        </w:rPr>
        <w:t>连云港市赣榆区</w:t>
      </w:r>
      <w:r>
        <w:rPr>
          <w:rFonts w:ascii="宋体" w:hAnsi="宋体" w:eastAsia="宋体" w:cs="宋体"/>
          <w:color w:val="auto"/>
          <w:sz w:val="22"/>
          <w:szCs w:val="22"/>
          <w:highlight w:val="none"/>
        </w:rPr>
        <w:t>班庄镇繁荣路东侧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的主要内容为</w:t>
      </w:r>
      <w:r>
        <w:rPr>
          <w:rFonts w:hint="eastAsia" w:ascii="仿宋" w:hAnsi="仿宋" w:eastAsia="仿宋" w:cs="仿宋"/>
          <w:color w:val="auto"/>
          <w:sz w:val="24"/>
          <w:szCs w:val="24"/>
          <w:highlight w:val="none"/>
          <w:lang w:val="en-US" w:eastAsia="zh-CN"/>
        </w:rPr>
        <w:t>装饰、室内安装及室外附属工程</w:t>
      </w:r>
      <w:r>
        <w:rPr>
          <w:rFonts w:hint="eastAsia" w:ascii="仿宋" w:hAnsi="仿宋" w:eastAsia="仿宋" w:cs="仿宋"/>
          <w:color w:val="auto"/>
          <w:sz w:val="24"/>
          <w:szCs w:val="24"/>
          <w:highlight w:val="none"/>
        </w:rPr>
        <w:t>。</w:t>
      </w:r>
    </w:p>
    <w:p w14:paraId="0CE7B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二、编制范围</w:t>
      </w:r>
      <w:r>
        <w:rPr>
          <w:rFonts w:hint="eastAsia" w:ascii="仿宋" w:hAnsi="仿宋" w:eastAsia="仿宋" w:cs="仿宋"/>
          <w:b/>
          <w:bCs/>
          <w:color w:val="auto"/>
          <w:sz w:val="24"/>
          <w:szCs w:val="24"/>
          <w:highlight w:val="none"/>
          <w:lang w:eastAsia="zh-CN"/>
        </w:rPr>
        <w:t>：</w:t>
      </w:r>
    </w:p>
    <w:p w14:paraId="0E92D674">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一、编制范围包含12-20轴装饰、室内安装工程、室外附属工程</w:t>
      </w:r>
    </w:p>
    <w:p w14:paraId="15330173">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二、建筑装饰工程包含：</w:t>
      </w:r>
    </w:p>
    <w:p w14:paraId="03E9E632">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坡道、台阶、外墙面、内墙面、顶棚、地面变形缝、拆除及新砌隔墙、钢结构玻璃雨蓬、防水工程、外墙保温、真石漆工程、门窗工程、楼地面装饰工程、墙、柱面装饰工程、天棚工程、油漆、涂料工程、其他装饰工程等；</w:t>
      </w:r>
    </w:p>
    <w:p w14:paraId="5BF59361">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（2）各类家具、台柜、窗帘未列入本次编制范围内；</w:t>
      </w:r>
    </w:p>
    <w:p w14:paraId="46A834E9">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（3）外墙保温、真石漆及屋面排水管为12-20轴范围内</w:t>
      </w:r>
    </w:p>
    <w:p w14:paraId="667D68FD">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（4）室内门及防火门不在本次编制范围内，本次编制只考虑厨房位置的室内门及防火门；</w:t>
      </w:r>
    </w:p>
    <w:p w14:paraId="2BD8162C">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安装工程包含：12-20轴电气工程（强弱电、应急照明、火灾报警、防雷接地等）、给排水工程（冷热水、排水、太阳能等）、暖通工程（通风、空调新风、空调等），其中应急照明、火灾报警编制范围为1-20轴；</w:t>
      </w:r>
    </w:p>
    <w:p w14:paraId="6B52E438">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1、电气工程：编制范围为一至三层的12-20轴照明、插座系统、空调配电系统。</w:t>
      </w:r>
      <w:bookmarkStart w:id="0" w:name="_GoBack"/>
      <w:bookmarkEnd w:id="0"/>
    </w:p>
    <w:p w14:paraId="22249A64">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（1）包含配电箱ALZ-1,2,3、AL1-2、AL2-2、AL3-2、AL2-3、APG1、APFJZ-1，2,3、AC-FJ及进出线的回路，包含配电箱1ALK1、2ALK1、3ALK1、AP-CF及其出线回路，已列出从配电室低压配电柜至配电箱的电缆及配管。</w:t>
      </w:r>
    </w:p>
    <w:p w14:paraId="779E2F88">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（2）清单中电气配管有一部分预留配管考虑利旧，结算按时调整。</w:t>
      </w:r>
    </w:p>
    <w:p w14:paraId="6C746DE2">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（3）包含防雷接地系统。</w:t>
      </w:r>
    </w:p>
    <w:p w14:paraId="745A2929">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（4）弱电工程按专业工程暂估计取。</w:t>
      </w:r>
    </w:p>
    <w:p w14:paraId="2CD9968C">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2、消防工程</w:t>
      </w:r>
    </w:p>
    <w:p w14:paraId="0537063A">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编制范围为一至三层的1-20轴应急照明系统、火灾报警系统、消防水系统。</w:t>
      </w:r>
    </w:p>
    <w:p w14:paraId="0EA29DB3">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应急照明系统清单工程量包含配电箱ALE及其出线回路，列出从配电室低压配电柜至该配电箱的电缆及配管。</w:t>
      </w:r>
    </w:p>
    <w:p w14:paraId="6644A3FD">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清单中配管有一部分预留配管考虑利旧，结算按时调整。</w:t>
      </w:r>
    </w:p>
    <w:p w14:paraId="765CE1D7">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消火栓系统利用原系统，未做调整。</w:t>
      </w:r>
    </w:p>
    <w:p w14:paraId="719F1A27">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屋面消防水箱现场仅安装了水箱。泵、阀门、管道在本次清单中列出。</w:t>
      </w:r>
    </w:p>
    <w:p w14:paraId="156ADF39">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消防喷淋系统清单包含新增7个喷头，69个喷头由上喷改为下喷及对应的管道调整。</w:t>
      </w:r>
    </w:p>
    <w:p w14:paraId="5C4DE58A">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eastAsia="zh-CN"/>
        </w:rPr>
        <w:t>包含了对原消防水系统的管道及支吊架进行补漆处理，对消防水系统进行冲洗。试压调试，由各投标人综合考虑相应费用，结算时价格不做调整。</w:t>
      </w:r>
    </w:p>
    <w:p w14:paraId="5F02244B">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给排水工程：</w:t>
      </w:r>
    </w:p>
    <w:p w14:paraId="43D859EC">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编制范围为一至三层的12-20轴给排水系统。</w:t>
      </w:r>
    </w:p>
    <w:p w14:paraId="0D9E1621">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给水管道及排水管道以外墙皮1.5m为界，给水管不包含室外水表井，包含水表。</w:t>
      </w:r>
    </w:p>
    <w:p w14:paraId="2F1034B2">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厨房不包含用水设备。</w:t>
      </w:r>
    </w:p>
    <w:p w14:paraId="5FCC5DDD">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不包含雨水系统。</w:t>
      </w:r>
    </w:p>
    <w:p w14:paraId="6EBF05A4">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暖通工程：</w:t>
      </w:r>
    </w:p>
    <w:p w14:paraId="07B8F11F">
      <w:pPr>
        <w:pStyle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清单包含排风系统和分体式空调</w:t>
      </w:r>
    </w:p>
    <w:p w14:paraId="4A0F63B1">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四、室外附属包含：</w:t>
      </w:r>
    </w:p>
    <w:p w14:paraId="5D6B5B8D">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（1）幼儿园活动场地：只做跑道部分；</w:t>
      </w:r>
    </w:p>
    <w:p w14:paraId="23222E87">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（2）教室门前区域地面施工范围为1-20轴教学楼南侧至沥青道路北侧</w:t>
      </w:r>
    </w:p>
    <w:p w14:paraId="147C6DC8">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（3）幼儿园大门出入口现有水泥混凝土路面拆除，重新打混凝土基层铺设沥青，与门口沥青主道路连接；</w:t>
      </w:r>
    </w:p>
    <w:p w14:paraId="5231DDA8">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（4）幼儿园内室外管网已完成，室外管网接入市政管网在本次编制范围内</w:t>
      </w:r>
    </w:p>
    <w:p w14:paraId="79D9D9B9">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（5）景观绿化不在本次编制范围内。</w:t>
      </w:r>
    </w:p>
    <w:p w14:paraId="2DD49ED8">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五、施工范围以上述编制说明范围确定，详细内容见本次招标清单及结合施工图纸。</w:t>
      </w:r>
    </w:p>
    <w:p w14:paraId="700D03A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编制依据：</w:t>
      </w:r>
    </w:p>
    <w:p w14:paraId="06DEC46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《建设工程工程量清单计价规范》（GB50500—2013）及其9本工程量计算规范；</w:t>
      </w:r>
    </w:p>
    <w:p w14:paraId="2CF3E987">
      <w:pPr>
        <w:pStyle w:val="3"/>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 建设工程设计文件及相关资料；建设单位提供的《</w:t>
      </w:r>
      <w:r>
        <w:rPr>
          <w:rFonts w:hint="eastAsia" w:ascii="仿宋" w:hAnsi="仿宋" w:eastAsia="仿宋" w:cs="仿宋"/>
          <w:color w:val="auto"/>
          <w:sz w:val="24"/>
          <w:szCs w:val="24"/>
          <w:highlight w:val="none"/>
          <w:lang w:val="en-US" w:eastAsia="zh-CN"/>
        </w:rPr>
        <w:t>班庄镇班庄村中心幼儿园室内装修项目</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等相关</w:t>
      </w:r>
      <w:r>
        <w:rPr>
          <w:rFonts w:hint="eastAsia" w:ascii="仿宋" w:hAnsi="仿宋" w:eastAsia="仿宋" w:cs="仿宋"/>
          <w:color w:val="auto"/>
          <w:sz w:val="24"/>
          <w:szCs w:val="24"/>
          <w:highlight w:val="none"/>
        </w:rPr>
        <w:t>CAD图纸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施工阶段</w:t>
      </w:r>
      <w:r>
        <w:rPr>
          <w:rFonts w:hint="eastAsia" w:ascii="仿宋" w:hAnsi="仿宋" w:eastAsia="仿宋" w:cs="仿宋"/>
          <w:color w:val="auto"/>
          <w:sz w:val="24"/>
          <w:szCs w:val="24"/>
          <w:highlight w:val="none"/>
          <w:lang w:eastAsia="zh-CN"/>
        </w:rPr>
        <w:t>）；</w:t>
      </w:r>
    </w:p>
    <w:p w14:paraId="427A8B5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3.拟定的招标文件及招标工程量清单；</w:t>
      </w:r>
    </w:p>
    <w:p w14:paraId="4FE1831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4.与建设项目相关的标准、规范、技术资料； </w:t>
      </w:r>
    </w:p>
    <w:p w14:paraId="3F8421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 xml:space="preserve">施工现场情况、工程特点及常规施工方案；  </w:t>
      </w:r>
    </w:p>
    <w:p w14:paraId="589296DC">
      <w:pPr>
        <w:keepNext w:val="0"/>
        <w:keepLines w:val="0"/>
        <w:pageBreakBefore w:val="0"/>
        <w:widowControl w:val="0"/>
        <w:kinsoku/>
        <w:wordWrap/>
        <w:overflowPunct/>
        <w:topLinePunct w:val="0"/>
        <w:autoSpaceDE/>
        <w:autoSpaceDN/>
        <w:bidi w:val="0"/>
        <w:adjustRightInd/>
        <w:snapToGrid/>
        <w:spacing w:line="240" w:lineRule="auto"/>
        <w:ind w:right="250" w:rightChars="119"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其他的相关资料</w:t>
      </w:r>
      <w:r>
        <w:rPr>
          <w:rFonts w:hint="eastAsia" w:ascii="仿宋" w:hAnsi="仿宋" w:eastAsia="仿宋" w:cs="仿宋"/>
          <w:color w:val="auto"/>
          <w:sz w:val="24"/>
          <w:szCs w:val="24"/>
          <w:highlight w:val="none"/>
          <w:lang w:val="en-US" w:eastAsia="zh-CN"/>
        </w:rPr>
        <w:t>：国家或省级、行业建设主管部门颁发的计价依据和办法，</w:t>
      </w:r>
      <w:r>
        <w:rPr>
          <w:rFonts w:hint="eastAsia" w:ascii="仿宋" w:hAnsi="仿宋" w:eastAsia="仿宋" w:cs="仿宋"/>
          <w:color w:val="auto"/>
          <w:sz w:val="24"/>
          <w:szCs w:val="24"/>
          <w:highlight w:val="none"/>
        </w:rPr>
        <w:t>国家及地方关于招投标方面的相关法律、法规文件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相</w:t>
      </w:r>
      <w:r>
        <w:rPr>
          <w:rFonts w:hint="eastAsia" w:ascii="仿宋" w:hAnsi="仿宋" w:eastAsia="仿宋" w:cs="仿宋"/>
          <w:color w:val="auto"/>
          <w:sz w:val="24"/>
          <w:szCs w:val="24"/>
          <w:highlight w:val="none"/>
        </w:rPr>
        <w:t>关技术规范、图集</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p>
    <w:p w14:paraId="05376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en-US" w:eastAsia="zh-CN"/>
        </w:rPr>
        <w:t>编制</w:t>
      </w:r>
      <w:r>
        <w:rPr>
          <w:rFonts w:hint="eastAsia" w:ascii="仿宋" w:hAnsi="仿宋" w:eastAsia="仿宋" w:cs="仿宋"/>
          <w:b/>
          <w:bCs/>
          <w:color w:val="auto"/>
          <w:sz w:val="24"/>
          <w:szCs w:val="24"/>
          <w:highlight w:val="none"/>
        </w:rPr>
        <w:t>说明：</w:t>
      </w:r>
    </w:p>
    <w:p w14:paraId="036F6DA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1.招标工程量清单内容与设计图纸内容不一致时以招标工程量清单为准，投标报价按照招标工程量清单内容报价；</w:t>
      </w:r>
    </w:p>
    <w:p w14:paraId="0344EA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2.分部分项工程：本次招标工程量清单数量根据图纸结合现场实际情况及建设单位相关要求编制；</w:t>
      </w:r>
    </w:p>
    <w:p w14:paraId="286780E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3.总价措施费：按常规工程施工方案计取总价措施项目及按国家或省级、行业建设主管部门颁发的现行计价文件计取相关费率；</w:t>
      </w:r>
    </w:p>
    <w:p w14:paraId="7CF5280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4.其他项目费：未</w:t>
      </w:r>
      <w:r>
        <w:rPr>
          <w:rFonts w:hint="eastAsia" w:ascii="仿宋" w:hAnsi="仿宋" w:eastAsia="仿宋" w:cs="仿宋"/>
          <w:color w:val="auto"/>
          <w:sz w:val="24"/>
          <w:szCs w:val="24"/>
          <w:highlight w:val="none"/>
          <w:lang w:val="en-US" w:eastAsia="zh-CN"/>
        </w:rPr>
        <w:t>设置</w:t>
      </w:r>
      <w:r>
        <w:rPr>
          <w:rFonts w:hint="eastAsia" w:ascii="仿宋" w:hAnsi="仿宋" w:eastAsia="仿宋" w:cs="仿宋"/>
          <w:color w:val="auto"/>
          <w:sz w:val="24"/>
          <w:szCs w:val="24"/>
          <w:highlight w:val="none"/>
        </w:rPr>
        <w:t>暂列金额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未设置</w:t>
      </w:r>
      <w:r>
        <w:rPr>
          <w:rFonts w:hint="eastAsia" w:ascii="仿宋" w:hAnsi="仿宋" w:eastAsia="仿宋" w:cs="仿宋"/>
          <w:color w:val="auto"/>
          <w:sz w:val="24"/>
          <w:szCs w:val="24"/>
          <w:highlight w:val="none"/>
          <w:lang w:val="en-US" w:eastAsia="zh-CN"/>
        </w:rPr>
        <w:t>材料暂估、</w:t>
      </w:r>
      <w:r>
        <w:rPr>
          <w:rFonts w:hint="eastAsia" w:ascii="仿宋" w:hAnsi="仿宋" w:eastAsia="仿宋" w:cs="仿宋"/>
          <w:color w:val="auto"/>
          <w:sz w:val="24"/>
          <w:szCs w:val="24"/>
          <w:highlight w:val="none"/>
          <w:lang w:val="en-US" w:eastAsia="zh-CN"/>
        </w:rPr>
        <w:t>设置</w:t>
      </w:r>
      <w:r>
        <w:rPr>
          <w:rFonts w:hint="eastAsia" w:ascii="仿宋" w:hAnsi="仿宋" w:eastAsia="仿宋" w:cs="仿宋"/>
          <w:color w:val="auto"/>
          <w:sz w:val="24"/>
          <w:szCs w:val="24"/>
          <w:highlight w:val="none"/>
          <w:lang w:val="en-US" w:eastAsia="zh-CN"/>
        </w:rPr>
        <w:t>专业暂估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详见工程量清单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未设置</w:t>
      </w:r>
      <w:r>
        <w:rPr>
          <w:rFonts w:hint="eastAsia" w:ascii="仿宋" w:hAnsi="仿宋" w:eastAsia="仿宋" w:cs="仿宋"/>
          <w:color w:val="auto"/>
          <w:sz w:val="24"/>
          <w:szCs w:val="24"/>
          <w:highlight w:val="none"/>
          <w:lang w:val="en-US" w:eastAsia="zh-CN"/>
        </w:rPr>
        <w:t>计日工、</w:t>
      </w:r>
      <w:r>
        <w:rPr>
          <w:rFonts w:hint="eastAsia" w:ascii="仿宋" w:hAnsi="仿宋" w:eastAsia="仿宋" w:cs="仿宋"/>
          <w:color w:val="auto"/>
          <w:sz w:val="24"/>
          <w:szCs w:val="24"/>
          <w:highlight w:val="none"/>
          <w:lang w:val="en-US" w:eastAsia="zh-CN"/>
        </w:rPr>
        <w:t>未设置</w:t>
      </w:r>
      <w:r>
        <w:rPr>
          <w:rFonts w:hint="eastAsia" w:ascii="仿宋" w:hAnsi="仿宋" w:eastAsia="仿宋" w:cs="仿宋"/>
          <w:color w:val="auto"/>
          <w:sz w:val="24"/>
          <w:szCs w:val="24"/>
          <w:highlight w:val="none"/>
          <w:lang w:val="en-US" w:eastAsia="zh-CN"/>
        </w:rPr>
        <w:t>总承包服务费；</w:t>
      </w:r>
    </w:p>
    <w:p w14:paraId="675BC1C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5.规费、税金：国家或省级、行业建设主管部门颁发的现行计价文件执行；</w:t>
      </w:r>
    </w:p>
    <w:p w14:paraId="3373866A">
      <w:pPr>
        <w:keepNext w:val="0"/>
        <w:keepLines w:val="0"/>
        <w:widowControl/>
        <w:suppressLineNumbers w:val="0"/>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其他：本清单以完成招标范围内所有内容为目的，投标单位需</w:t>
      </w:r>
      <w:r>
        <w:rPr>
          <w:rFonts w:hint="eastAsia" w:ascii="仿宋_GB2312" w:hAnsi="宋体" w:eastAsia="仿宋_GB2312" w:cs="宋体"/>
          <w:color w:val="auto"/>
          <w:kern w:val="0"/>
          <w:sz w:val="24"/>
          <w:szCs w:val="24"/>
          <w:highlight w:val="none"/>
        </w:rPr>
        <w:t>结合设计图纸</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拟定</w:t>
      </w:r>
      <w:r>
        <w:rPr>
          <w:rFonts w:hint="eastAsia" w:ascii="仿宋" w:hAnsi="仿宋" w:eastAsia="仿宋" w:cs="仿宋"/>
          <w:color w:val="auto"/>
          <w:sz w:val="24"/>
          <w:szCs w:val="24"/>
          <w:highlight w:val="none"/>
          <w:lang w:val="en-US" w:eastAsia="zh-CN"/>
        </w:rPr>
        <w:t>的招标文件中要求投标人承担的风险费用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踏勘现场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自行考虑现场实际</w:t>
      </w:r>
      <w:r>
        <w:rPr>
          <w:rFonts w:hint="eastAsia" w:ascii="仿宋" w:hAnsi="仿宋" w:eastAsia="仿宋" w:cs="仿宋"/>
          <w:color w:val="auto"/>
          <w:sz w:val="24"/>
          <w:szCs w:val="24"/>
          <w:highlight w:val="none"/>
          <w:lang w:val="en-US" w:eastAsia="zh-CN"/>
        </w:rPr>
        <w:t>情况综合决定</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满足国家现行产品标准、设计规范、施工验收规范、质量评定标准、安全操作规程等要求施工的费用、完成一个符合完工交付要求的工程量清单必需的施工任务及其辅助工作产生的必要费用、受施工条件、一般气温气候等影响因素发生的费用、一定范围与幅度内的风险费用等因素产生的费用均列入相应工程量清单的综合单价中</w:t>
      </w:r>
      <w:r>
        <w:rPr>
          <w:rFonts w:hint="eastAsia" w:ascii="仿宋" w:hAnsi="仿宋" w:eastAsia="仿宋" w:cs="仿宋"/>
          <w:color w:val="auto"/>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工程量</w:t>
      </w:r>
      <w:r>
        <w:rPr>
          <w:rFonts w:hint="eastAsia" w:ascii="仿宋" w:hAnsi="仿宋" w:eastAsia="仿宋" w:cs="仿宋"/>
          <w:color w:val="auto"/>
          <w:sz w:val="24"/>
          <w:szCs w:val="24"/>
          <w:highlight w:val="none"/>
        </w:rPr>
        <w:t>清单中未详尽之处，须严格按照国家现行的《工程施工及验收规范》及工程所在地方法规执行</w:t>
      </w:r>
      <w:r>
        <w:rPr>
          <w:rFonts w:hint="eastAsia" w:ascii="仿宋" w:hAnsi="仿宋" w:eastAsia="仿宋" w:cs="仿宋"/>
          <w:color w:val="auto"/>
          <w:sz w:val="24"/>
          <w:szCs w:val="24"/>
          <w:highlight w:val="none"/>
          <w:lang w:eastAsia="zh-CN"/>
        </w:rPr>
        <w:t>；</w:t>
      </w:r>
    </w:p>
    <w:p w14:paraId="55EF32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五、其他说明</w:t>
      </w:r>
    </w:p>
    <w:p w14:paraId="216B6A04">
      <w:pPr>
        <w:keepNext w:val="0"/>
        <w:keepLines w:val="0"/>
        <w:widowControl/>
        <w:suppressLineNumbers w:val="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1.经与建设单位沟通：室外附属工程中幼儿园游戏、公共活动场地塑胶地面只做垫层及以下部分，；</w:t>
      </w:r>
    </w:p>
    <w:p w14:paraId="050694C5">
      <w:pPr>
        <w:keepNext w:val="0"/>
        <w:keepLines w:val="0"/>
        <w:widowControl/>
        <w:suppressLineNumbers w:val="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2.经与建设单位沟通：入口及教室门前区域只做垫层及以下部分；</w:t>
      </w:r>
    </w:p>
    <w:p w14:paraId="2313CB76">
      <w:pPr>
        <w:keepNext w:val="0"/>
        <w:keepLines w:val="0"/>
        <w:widowControl/>
        <w:suppressLineNumbers w:val="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3.暖通部分中央空调取消，新风系统保留，幼儿活动室、办公室采用立式或挂式空调</w:t>
      </w:r>
    </w:p>
    <w:p w14:paraId="11A21AFD">
      <w:pPr>
        <w:keepNext w:val="0"/>
        <w:keepLines w:val="0"/>
        <w:widowControl/>
        <w:suppressLineNumbers w:val="0"/>
        <w:ind w:firstLine="480" w:firstLineChars="200"/>
        <w:jc w:val="left"/>
        <w:rPr>
          <w:rFonts w:hint="default" w:ascii="仿宋" w:hAnsi="仿宋" w:eastAsia="仿宋" w:cs="仿宋"/>
          <w:color w:val="auto"/>
          <w:sz w:val="24"/>
          <w:szCs w:val="24"/>
          <w:highlight w:val="none"/>
          <w:lang w:val="en-US" w:eastAsia="zh-CN"/>
        </w:rPr>
      </w:pPr>
    </w:p>
    <w:p w14:paraId="29D357BA">
      <w:pPr>
        <w:keepNext w:val="0"/>
        <w:keepLines w:val="0"/>
        <w:widowControl/>
        <w:suppressLineNumbers w:val="0"/>
        <w:ind w:firstLine="480" w:firstLineChars="200"/>
        <w:jc w:val="left"/>
        <w:rPr>
          <w:rFonts w:hint="default" w:ascii="仿宋" w:hAnsi="仿宋" w:eastAsia="仿宋" w:cs="仿宋"/>
          <w:color w:val="auto"/>
          <w:sz w:val="24"/>
          <w:szCs w:val="24"/>
          <w:highlight w:val="none"/>
          <w:lang w:val="en-US" w:eastAsia="zh-CN"/>
        </w:rPr>
      </w:pPr>
    </w:p>
    <w:p w14:paraId="07324B2A">
      <w:pPr>
        <w:keepNext w:val="0"/>
        <w:keepLines w:val="0"/>
        <w:widowControl/>
        <w:suppressLineNumbers w:val="0"/>
        <w:ind w:firstLine="480" w:firstLineChars="200"/>
        <w:jc w:val="left"/>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CB3DA"/>
    <w:multiLevelType w:val="singleLevel"/>
    <w:tmpl w:val="941CB3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ZmNkZDc3YzA4NTY3NjUyMmZhNWJmNTI1YWU3N2UifQ=="/>
  </w:docVars>
  <w:rsids>
    <w:rsidRoot w:val="00000000"/>
    <w:rsid w:val="009403F3"/>
    <w:rsid w:val="015340C5"/>
    <w:rsid w:val="020C008E"/>
    <w:rsid w:val="02414766"/>
    <w:rsid w:val="02525ED7"/>
    <w:rsid w:val="04633047"/>
    <w:rsid w:val="0541740F"/>
    <w:rsid w:val="056D13DD"/>
    <w:rsid w:val="05DB5831"/>
    <w:rsid w:val="0611423E"/>
    <w:rsid w:val="06691F53"/>
    <w:rsid w:val="07247C28"/>
    <w:rsid w:val="07E800FC"/>
    <w:rsid w:val="08A4676D"/>
    <w:rsid w:val="093E1F1D"/>
    <w:rsid w:val="0AB17A25"/>
    <w:rsid w:val="0AB6328D"/>
    <w:rsid w:val="0C86379A"/>
    <w:rsid w:val="0CF464E3"/>
    <w:rsid w:val="0F977B31"/>
    <w:rsid w:val="135067B9"/>
    <w:rsid w:val="170662AF"/>
    <w:rsid w:val="17AA4179"/>
    <w:rsid w:val="18B232E6"/>
    <w:rsid w:val="191431D9"/>
    <w:rsid w:val="19550B3B"/>
    <w:rsid w:val="1AB0025A"/>
    <w:rsid w:val="1E6F10BD"/>
    <w:rsid w:val="1F522FBD"/>
    <w:rsid w:val="1F996D35"/>
    <w:rsid w:val="24292D13"/>
    <w:rsid w:val="25870455"/>
    <w:rsid w:val="26B85AB8"/>
    <w:rsid w:val="27000DDE"/>
    <w:rsid w:val="279E23E0"/>
    <w:rsid w:val="29D45E7B"/>
    <w:rsid w:val="2B4E749C"/>
    <w:rsid w:val="2B6F150A"/>
    <w:rsid w:val="2CEF1BF0"/>
    <w:rsid w:val="2F49673D"/>
    <w:rsid w:val="31C02F48"/>
    <w:rsid w:val="32056724"/>
    <w:rsid w:val="320F30FF"/>
    <w:rsid w:val="32B31AC0"/>
    <w:rsid w:val="32E77BD8"/>
    <w:rsid w:val="330E3192"/>
    <w:rsid w:val="337148FC"/>
    <w:rsid w:val="33825A9C"/>
    <w:rsid w:val="34AE4850"/>
    <w:rsid w:val="35A90A3E"/>
    <w:rsid w:val="38ED03A5"/>
    <w:rsid w:val="39E9508A"/>
    <w:rsid w:val="3AC938F6"/>
    <w:rsid w:val="3AE63FA0"/>
    <w:rsid w:val="3BEBD063"/>
    <w:rsid w:val="3C7617F3"/>
    <w:rsid w:val="3D3879AE"/>
    <w:rsid w:val="3DE840A7"/>
    <w:rsid w:val="3E146405"/>
    <w:rsid w:val="3EC075D9"/>
    <w:rsid w:val="3F1449AF"/>
    <w:rsid w:val="3F185CE9"/>
    <w:rsid w:val="3F574404"/>
    <w:rsid w:val="400B13AA"/>
    <w:rsid w:val="408C5D5A"/>
    <w:rsid w:val="4295023D"/>
    <w:rsid w:val="447E5DDF"/>
    <w:rsid w:val="45266F9C"/>
    <w:rsid w:val="4644178C"/>
    <w:rsid w:val="473110DC"/>
    <w:rsid w:val="47D32E64"/>
    <w:rsid w:val="48C52312"/>
    <w:rsid w:val="49E8501D"/>
    <w:rsid w:val="4A1F6DDF"/>
    <w:rsid w:val="4A8144F8"/>
    <w:rsid w:val="4BB10137"/>
    <w:rsid w:val="4C7042D7"/>
    <w:rsid w:val="4D4C715F"/>
    <w:rsid w:val="4F90786D"/>
    <w:rsid w:val="51216684"/>
    <w:rsid w:val="51BC6150"/>
    <w:rsid w:val="55713605"/>
    <w:rsid w:val="55A03EEB"/>
    <w:rsid w:val="56467F4B"/>
    <w:rsid w:val="56966A9A"/>
    <w:rsid w:val="590D1A78"/>
    <w:rsid w:val="59554661"/>
    <w:rsid w:val="5A831C61"/>
    <w:rsid w:val="5AD96C09"/>
    <w:rsid w:val="5B552FA9"/>
    <w:rsid w:val="5C384E7D"/>
    <w:rsid w:val="5EC61C02"/>
    <w:rsid w:val="60A16542"/>
    <w:rsid w:val="61CB22EF"/>
    <w:rsid w:val="62326A29"/>
    <w:rsid w:val="634F52FA"/>
    <w:rsid w:val="635F53E5"/>
    <w:rsid w:val="649474DD"/>
    <w:rsid w:val="64BF60D6"/>
    <w:rsid w:val="64DE6ED3"/>
    <w:rsid w:val="656C203B"/>
    <w:rsid w:val="65722427"/>
    <w:rsid w:val="697119CE"/>
    <w:rsid w:val="6A98772F"/>
    <w:rsid w:val="6B264A3A"/>
    <w:rsid w:val="6B8E4AB9"/>
    <w:rsid w:val="6BC24763"/>
    <w:rsid w:val="6C0C59DE"/>
    <w:rsid w:val="6D43716E"/>
    <w:rsid w:val="6E733E42"/>
    <w:rsid w:val="6E7C13D9"/>
    <w:rsid w:val="6EB04D47"/>
    <w:rsid w:val="6F5D7020"/>
    <w:rsid w:val="6F604EE7"/>
    <w:rsid w:val="7040659E"/>
    <w:rsid w:val="70983CE4"/>
    <w:rsid w:val="71B55784"/>
    <w:rsid w:val="71D41B5E"/>
    <w:rsid w:val="73C3376E"/>
    <w:rsid w:val="74806F69"/>
    <w:rsid w:val="753352D6"/>
    <w:rsid w:val="755B5EAC"/>
    <w:rsid w:val="757F36C5"/>
    <w:rsid w:val="75C80A74"/>
    <w:rsid w:val="764337BD"/>
    <w:rsid w:val="76674EB6"/>
    <w:rsid w:val="766866E0"/>
    <w:rsid w:val="77E757C4"/>
    <w:rsid w:val="78747106"/>
    <w:rsid w:val="78CE14A8"/>
    <w:rsid w:val="793A5036"/>
    <w:rsid w:val="7A68279B"/>
    <w:rsid w:val="7ADC3EF9"/>
    <w:rsid w:val="7B00462A"/>
    <w:rsid w:val="7B516286"/>
    <w:rsid w:val="7BF01859"/>
    <w:rsid w:val="7D6C2781"/>
    <w:rsid w:val="7ED3126B"/>
    <w:rsid w:val="7EF5409A"/>
    <w:rsid w:val="7F9B068B"/>
    <w:rsid w:val="7FA226BD"/>
    <w:rsid w:val="BAEFF56B"/>
    <w:rsid w:val="DBB7FA04"/>
    <w:rsid w:val="DFAF4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2011</Words>
  <Characters>2127</Characters>
  <Lines>0</Lines>
  <Paragraphs>0</Paragraphs>
  <TotalTime>1</TotalTime>
  <ScaleCrop>false</ScaleCrop>
  <LinksUpToDate>false</LinksUpToDate>
  <CharactersWithSpaces>2132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2023-03-24T09:51:00Z</dcterms:created>
  <dc:creator>焦小康</dc:creator>
  <cp:lastModifiedBy>南京南大尚诚软件科技有限公司</cp:lastModifiedBy>
  <dcterms:modified xsi:type="dcterms:W3CDTF">2025-06-19T07:10:34Z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D47D1EAA595342B6831029F67F6C32DD_13</vt:lpwstr>
  </property>
  <property fmtid="{D5CDD505-2E9C-101B-9397-08002B2CF9AE}" pid="4" name="KSOTemplateDocerSaveRecord">
    <vt:lpwstr>eyJoZGlkIjoiNDExZDdkMmQxOWRlZjlhZmQ1NWM2YzMwNDdjNmQ3ODkiLCJ1c2VySWQiOiIzODQwNzExOTgifQ==</vt:lpwstr>
  </property>
</Properties>
</file>