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hint="eastAsia" w:ascii="宋体" w:hAnsi="宋体"/>
          <w:b/>
          <w:bCs/>
          <w:sz w:val="44"/>
          <w:szCs w:val="16"/>
          <w:highlight w:val="none"/>
        </w:rPr>
      </w:pPr>
      <w:r>
        <w:rPr>
          <w:rFonts w:hint="eastAsia" w:ascii="宋体" w:hAnsi="宋体"/>
          <w:b/>
          <w:bCs/>
          <w:sz w:val="44"/>
          <w:szCs w:val="16"/>
          <w:highlight w:val="none"/>
        </w:rPr>
      </w:r>
      <w:r/>
    </w:p>
    <w:p>
      <w:pPr>
        <w:jc w:val="center"/>
        <w:rPr>
          <w:rFonts w:hint="eastAsia" w:ascii="宋体" w:hAnsi="宋体"/>
          <w:b/>
          <w:bCs/>
          <w:sz w:val="52"/>
          <w:highlight w:val="none"/>
        </w:rPr>
      </w:pPr>
      <w:r>
        <w:rPr>
          <w:rFonts w:hint="eastAsia" w:ascii="宋体" w:hAnsi="宋体"/>
          <w:b/>
          <w:bCs/>
          <w:sz w:val="52"/>
          <w:highlight w:val="none"/>
        </w:rPr>
        <w:t xml:space="preserve">油车水库智能型界桩建设项目</w:t>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jc w:val="center"/>
        <w:rPr>
          <w:rFonts w:hint="eastAsia" w:ascii="黑体" w:hAnsi="黑体" w:eastAsia="黑体"/>
          <w:b/>
          <w:bCs/>
          <w:sz w:val="96"/>
          <w:szCs w:val="96"/>
          <w:highlight w:val="none"/>
          <w:lang w:eastAsia="zh-CN"/>
        </w:rPr>
      </w:pPr>
      <w:r>
        <w:rPr>
          <w:rFonts w:hint="eastAsia" w:ascii="黑体" w:hAnsi="黑体" w:eastAsia="黑体"/>
          <w:b/>
          <w:bCs/>
          <w:sz w:val="96"/>
          <w:szCs w:val="96"/>
          <w:highlight w:val="none"/>
          <w:lang w:eastAsia="zh-CN"/>
        </w:rPr>
        <w:t xml:space="preserve">招</w:t>
      </w:r>
      <w:r/>
    </w:p>
    <w:p>
      <w:pPr>
        <w:jc w:val="center"/>
        <w:rPr>
          <w:rFonts w:hint="eastAsia" w:ascii="黑体" w:hAnsi="黑体" w:eastAsia="黑体"/>
          <w:b/>
          <w:bCs/>
          <w:sz w:val="96"/>
          <w:szCs w:val="96"/>
          <w:highlight w:val="none"/>
          <w:lang w:eastAsia="zh-CN"/>
        </w:rPr>
      </w:pPr>
      <w:r>
        <w:rPr>
          <w:rFonts w:hint="eastAsia" w:ascii="黑体" w:hAnsi="黑体" w:eastAsia="黑体"/>
          <w:b/>
          <w:bCs/>
          <w:sz w:val="96"/>
          <w:szCs w:val="96"/>
          <w:highlight w:val="none"/>
          <w:lang w:eastAsia="zh-CN"/>
        </w:rPr>
        <w:t xml:space="preserve">标</w:t>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t xml:space="preserve">文</w:t>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t xml:space="preserve">件</w:t>
      </w:r>
      <w:r/>
    </w:p>
    <w:p>
      <w:pPr>
        <w:jc w:val="center"/>
        <w:rPr>
          <w:rFonts w:hint="eastAsia" w:ascii="宋体" w:hAnsi="宋体"/>
          <w:sz w:val="32"/>
          <w:highlight w:val="none"/>
        </w:rPr>
      </w:pPr>
      <w:r>
        <w:rPr>
          <w:rFonts w:hint="eastAsia" w:ascii="宋体" w:hAnsi="宋体"/>
          <w:sz w:val="32"/>
          <w:highlight w:val="none"/>
        </w:rPr>
      </w:r>
      <w:r/>
    </w:p>
    <w:p>
      <w:pPr>
        <w:jc w:val="center"/>
        <w:rPr>
          <w:rFonts w:hint="eastAsia" w:ascii="宋体" w:hAnsi="宋体"/>
          <w:sz w:val="32"/>
          <w:highlight w:val="none"/>
        </w:rPr>
      </w:pPr>
      <w:r>
        <w:rPr>
          <w:rFonts w:hint="eastAsia" w:ascii="宋体" w:hAnsi="宋体"/>
          <w:sz w:val="32"/>
          <w:highlight w:val="none"/>
        </w:rPr>
        <w:t xml:space="preserve">（电子标）</w:t>
      </w:r>
      <w:r/>
    </w:p>
    <w:p>
      <w:pPr>
        <w:jc w:val="center"/>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600" w:lineRule="exact"/>
        <w:widowControl w:val="off"/>
        <w:rPr>
          <w:rFonts w:hint="eastAsia" w:ascii="宋体" w:hAnsi="宋体"/>
          <w:sz w:val="32"/>
          <w:highlight w:val="none"/>
        </w:rPr>
      </w:pPr>
      <w:r>
        <w:rPr>
          <w:rFonts w:hint="eastAsia" w:ascii="宋体" w:hAnsi="宋体"/>
          <w:sz w:val="32"/>
          <w:highlight w:val="none"/>
        </w:rPr>
        <w:t xml:space="preserve">项目编</w:t>
      </w:r>
      <w:r>
        <w:rPr>
          <w:rFonts w:hint="eastAsia" w:ascii="宋体" w:hAnsi="宋体"/>
          <w:color w:val="auto"/>
          <w:sz w:val="32"/>
          <w:highlight w:val="none"/>
        </w:rPr>
        <w:t xml:space="preserve">号:</w:t>
      </w:r>
      <w:r>
        <w:rPr>
          <w:rFonts w:hint="eastAsia" w:ascii="宋体" w:hAnsi="宋体"/>
          <w:color w:val="auto"/>
          <w:sz w:val="32"/>
          <w:highlight w:val="none"/>
          <w:lang w:eastAsia="zh-CN"/>
        </w:rPr>
        <w:t xml:space="preserve">JSZC-320282-JSXY-G2025-0005</w:t>
      </w:r>
      <w:r/>
    </w:p>
    <w:p>
      <w:pPr>
        <w:jc w:val="center"/>
        <w:keepLines w:val="0"/>
        <w:keepNext w:val="0"/>
        <w:pageBreakBefore w:val="0"/>
        <w:spacing w:line="600" w:lineRule="exact"/>
        <w:widowControl w:val="off"/>
        <w:rPr>
          <w:rFonts w:hint="default" w:ascii="宋体" w:hAnsi="宋体"/>
          <w:color w:val="auto"/>
          <w:sz w:val="32"/>
          <w:highlight w:val="none"/>
          <w:lang w:eastAsia="zh-CN"/>
        </w:rPr>
      </w:pPr>
      <w:r>
        <w:rPr>
          <w:rFonts w:hint="eastAsia" w:ascii="宋体" w:hAnsi="宋体"/>
          <w:color w:val="auto"/>
          <w:sz w:val="32"/>
          <w:highlight w:val="none"/>
        </w:rPr>
        <w:t xml:space="preserve">采购人：</w:t>
      </w:r>
      <w:r>
        <w:rPr>
          <w:rFonts w:hint="eastAsia" w:ascii="宋体" w:hAnsi="宋体"/>
          <w:color w:val="auto"/>
          <w:sz w:val="32"/>
          <w:highlight w:val="none"/>
          <w:lang w:eastAsia="zh-CN"/>
        </w:rPr>
        <w:t xml:space="preserve">宜兴市油车水库管理所</w:t>
      </w:r>
      <w:r/>
    </w:p>
    <w:p>
      <w:pPr>
        <w:jc w:val="center"/>
        <w:keepLines w:val="0"/>
        <w:keepNext w:val="0"/>
        <w:pageBreakBefore w:val="0"/>
        <w:spacing w:line="600" w:lineRule="exact"/>
        <w:widowControl w:val="off"/>
        <w:rPr>
          <w:rFonts w:hint="default" w:ascii="宋体" w:hAnsi="宋体"/>
          <w:color w:val="auto"/>
          <w:sz w:val="32"/>
          <w:highlight w:val="none"/>
        </w:rPr>
      </w:pPr>
      <w:r>
        <w:rPr>
          <w:rFonts w:hint="eastAsia" w:ascii="宋体" w:hAnsi="宋体"/>
          <w:color w:val="auto"/>
          <w:sz w:val="32"/>
          <w:highlight w:val="none"/>
        </w:rPr>
        <w:t xml:space="preserve">项目名称：</w:t>
      </w:r>
      <w:r>
        <w:rPr>
          <w:rFonts w:hint="eastAsia" w:ascii="宋体" w:hAnsi="宋体"/>
          <w:color w:val="auto"/>
          <w:sz w:val="32"/>
          <w:highlight w:val="none"/>
          <w:lang w:eastAsia="zh-CN"/>
        </w:rPr>
        <w:t xml:space="preserve">油车水库智能型界桩建设项目</w:t>
      </w:r>
      <w:r/>
    </w:p>
    <w:p>
      <w:pPr>
        <w:jc w:val="center"/>
        <w:keepLines w:val="0"/>
        <w:keepNext w:val="0"/>
        <w:pageBreakBefore w:val="0"/>
        <w:spacing w:line="600" w:lineRule="exact"/>
        <w:widowControl w:val="off"/>
        <w:rPr>
          <w:rFonts w:hint="eastAsia" w:ascii="宋体" w:hAnsi="宋体" w:eastAsia="宋体"/>
          <w:color w:val="auto"/>
          <w:sz w:val="32"/>
          <w:highlight w:val="none"/>
          <w:lang w:eastAsia="zh-CN"/>
        </w:rPr>
      </w:pPr>
      <w:r>
        <w:rPr>
          <w:rFonts w:hint="eastAsia" w:ascii="宋体" w:hAnsi="宋体"/>
          <w:color w:val="auto"/>
          <w:sz w:val="32"/>
          <w:highlight w:val="none"/>
          <w:lang w:eastAsia="zh-CN"/>
        </w:rPr>
        <w:t xml:space="preserve">采购代理机构</w:t>
      </w:r>
      <w:r>
        <w:rPr>
          <w:rFonts w:hint="eastAsia" w:ascii="宋体" w:hAnsi="宋体"/>
          <w:color w:val="auto"/>
          <w:sz w:val="32"/>
          <w:highlight w:val="none"/>
        </w:rPr>
        <w:t xml:space="preserve">：</w:t>
      </w:r>
      <w:r>
        <w:rPr>
          <w:rFonts w:hint="eastAsia" w:ascii="宋体" w:hAnsi="宋体"/>
          <w:color w:val="auto"/>
          <w:sz w:val="32"/>
          <w:highlight w:val="none"/>
          <w:lang w:eastAsia="zh-CN"/>
        </w:rPr>
        <w:t xml:space="preserve">国正工程咨询（江苏）有限责任公司</w:t>
      </w:r>
      <w:r/>
    </w:p>
    <w:p>
      <w:pPr>
        <w:jc w:val="center"/>
        <w:rPr>
          <w:rFonts w:hint="eastAsia" w:ascii="宋体" w:hAnsi="宋体"/>
          <w:sz w:val="32"/>
          <w:highlight w:val="none"/>
        </w:rPr>
      </w:pPr>
      <w:r>
        <w:rPr>
          <w:rFonts w:hint="eastAsia" w:ascii="宋体" w:hAnsi="宋体"/>
          <w:sz w:val="32"/>
          <w:highlight w:val="none"/>
        </w:rPr>
      </w:r>
      <w:r/>
    </w:p>
    <w:p>
      <w:pPr>
        <w:jc w:val="center"/>
        <w:rPr>
          <w:rFonts w:hint="eastAsia" w:ascii="宋体" w:hAnsi="宋体"/>
          <w:sz w:val="32"/>
          <w:highlight w:val="none"/>
        </w:rPr>
        <w:sectPr>
          <w:footerReference w:type="default" r:id="rId9"/>
          <w:footnotePr/>
          <w:endnotePr/>
          <w:type w:val="nextPage"/>
          <w:pgSz w:w="11906" w:h="16838" w:orient="portrait"/>
          <w:pgMar w:top="1440" w:right="1701" w:bottom="1440" w:left="1701" w:header="851" w:footer="992" w:gutter="0"/>
          <w:pgNumType w:start="1"/>
          <w:cols w:num="1" w:sep="0" w:space="720" w:equalWidth="1"/>
          <w:docGrid w:linePitch="360"/>
        </w:sectPr>
      </w:pPr>
      <w:r>
        <w:rPr>
          <w:rFonts w:hint="eastAsia" w:ascii="宋体" w:hAnsi="宋体"/>
          <w:sz w:val="32"/>
          <w:highlight w:val="none"/>
        </w:rPr>
        <w:t xml:space="preserve">二〇二</w:t>
      </w:r>
      <w:r>
        <w:rPr>
          <w:rFonts w:hint="eastAsia" w:ascii="宋体" w:hAnsi="宋体"/>
          <w:sz w:val="32"/>
          <w:highlight w:val="none"/>
          <w:lang w:val="en-US" w:eastAsia="zh-CN"/>
        </w:rPr>
        <w:t xml:space="preserve">五</w:t>
      </w:r>
      <w:r>
        <w:rPr>
          <w:rFonts w:hint="eastAsia" w:ascii="宋体" w:hAnsi="宋体"/>
          <w:sz w:val="32"/>
          <w:highlight w:val="none"/>
        </w:rPr>
        <w:t xml:space="preserve">年</w:t>
      </w:r>
      <w:r>
        <w:rPr>
          <w:rFonts w:hint="eastAsia" w:ascii="宋体" w:hAnsi="宋体"/>
          <w:sz w:val="32"/>
          <w:highlight w:val="none"/>
          <w:lang w:val="en-US" w:eastAsia="zh-CN"/>
        </w:rPr>
        <w:t xml:space="preserve">五</w:t>
      </w:r>
      <w:r>
        <w:rPr>
          <w:rFonts w:hint="eastAsia" w:ascii="宋体" w:hAnsi="宋体"/>
          <w:sz w:val="32"/>
          <w:highlight w:val="none"/>
        </w:rPr>
        <w:t xml:space="preserve">月</w:t>
      </w:r>
      <w:r/>
    </w:p>
    <w:p>
      <w:pPr>
        <w:jc w:val="center"/>
        <w:rPr>
          <w:rStyle w:val="964"/>
          <w:rFonts w:eastAsia="黑体"/>
          <w:bCs/>
          <w:sz w:val="48"/>
          <w:highlight w:val="none"/>
        </w:rPr>
      </w:pPr>
      <w:r>
        <w:rPr>
          <w:rStyle w:val="964"/>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pStyle w:val="961"/>
        <w:keepLines w:val="0"/>
        <w:keepNext w:val="0"/>
        <w:pageBreakBefore w:val="0"/>
        <w:spacing w:line="700" w:lineRule="exact"/>
        <w:widowControl w:val="off"/>
        <w:tabs>
          <w:tab w:val="right" w:pos="8306" w:leader="dot"/>
        </w:tabs>
        <w:rPr>
          <w:rFonts w:hint="eastAsia" w:ascii="黑体" w:hAnsi="黑体" w:eastAsia="黑体" w:cs="黑体"/>
          <w:sz w:val="28"/>
          <w:szCs w:val="24"/>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_Toc9281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第一章 </w:t>
      </w:r>
      <w:r>
        <w:rPr>
          <w:rFonts w:hint="eastAsia" w:ascii="黑体" w:hAnsi="黑体" w:eastAsia="黑体" w:cs="黑体"/>
          <w:sz w:val="28"/>
          <w:szCs w:val="24"/>
          <w:highlight w:val="none"/>
          <w:lang w:eastAsia="zh-CN"/>
        </w:rPr>
        <w:t xml:space="preserve">投标邀请函</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_Toc9281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- 1 -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pStyle w:val="961"/>
        <w:keepLines w:val="0"/>
        <w:keepNext w:val="0"/>
        <w:pageBreakBefore w:val="0"/>
        <w:spacing w:line="700" w:lineRule="exact"/>
        <w:widowControl w:val="off"/>
        <w:tabs>
          <w:tab w:val="right" w:pos="8306" w:leader="dot"/>
        </w:tabs>
        <w:rPr>
          <w:rFonts w:hint="eastAsia" w:ascii="黑体" w:hAnsi="黑体" w:eastAsia="黑体" w:cs="黑体"/>
          <w:sz w:val="28"/>
          <w:szCs w:val="24"/>
        </w:rPr>
      </w:pP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_Toc17426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第二章 </w:t>
      </w:r>
      <w:r>
        <w:rPr>
          <w:rFonts w:hint="eastAsia" w:ascii="黑体" w:hAnsi="黑体" w:eastAsia="黑体" w:cs="黑体"/>
          <w:sz w:val="28"/>
          <w:szCs w:val="24"/>
          <w:highlight w:val="none"/>
          <w:lang w:eastAsia="zh-CN"/>
        </w:rPr>
        <w:t xml:space="preserve">投标人须知</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_Toc17426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- 4 -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pStyle w:val="961"/>
        <w:keepLines w:val="0"/>
        <w:keepNext w:val="0"/>
        <w:pageBreakBefore w:val="0"/>
        <w:spacing w:line="700" w:lineRule="exact"/>
        <w:widowControl w:val="off"/>
        <w:tabs>
          <w:tab w:val="right" w:pos="8306" w:leader="dot"/>
        </w:tabs>
        <w:rPr>
          <w:rFonts w:hint="eastAsia" w:ascii="黑体" w:hAnsi="黑体" w:eastAsia="黑体" w:cs="黑体"/>
          <w:sz w:val="28"/>
          <w:szCs w:val="24"/>
        </w:rPr>
      </w:pP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_Toc15500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第三章 项目技术要求和有关说明</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_Toc15500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- 19 -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pStyle w:val="961"/>
        <w:keepLines w:val="0"/>
        <w:keepNext w:val="0"/>
        <w:pageBreakBefore w:val="0"/>
        <w:spacing w:line="700" w:lineRule="exact"/>
        <w:widowControl w:val="off"/>
        <w:tabs>
          <w:tab w:val="right" w:pos="8306" w:leader="dot"/>
        </w:tabs>
        <w:rPr>
          <w:rFonts w:hint="eastAsia" w:ascii="黑体" w:hAnsi="黑体" w:eastAsia="黑体" w:cs="黑体"/>
          <w:sz w:val="28"/>
          <w:szCs w:val="24"/>
        </w:rPr>
      </w:pP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_Toc17546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第四章 </w:t>
      </w:r>
      <w:r>
        <w:rPr>
          <w:rFonts w:hint="eastAsia" w:ascii="黑体" w:hAnsi="黑体" w:eastAsia="黑体" w:cs="黑体"/>
          <w:bCs/>
          <w:sz w:val="28"/>
          <w:szCs w:val="24"/>
          <w:highlight w:val="none"/>
          <w:lang w:eastAsia="zh-CN"/>
        </w:rPr>
        <w:t xml:space="preserve">评标方法和标准</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_Toc17546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- 26 -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pStyle w:val="961"/>
        <w:keepLines w:val="0"/>
        <w:keepNext w:val="0"/>
        <w:pageBreakBefore w:val="0"/>
        <w:spacing w:line="700" w:lineRule="exact"/>
        <w:widowControl w:val="off"/>
        <w:tabs>
          <w:tab w:val="right" w:pos="8306" w:leader="dot"/>
        </w:tabs>
        <w:rPr>
          <w:rFonts w:hint="eastAsia" w:ascii="黑体" w:hAnsi="黑体" w:eastAsia="黑体" w:cs="黑体"/>
          <w:sz w:val="28"/>
          <w:szCs w:val="24"/>
        </w:rPr>
      </w:pP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_Toc11455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第五章 政府采购合同（格式）</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_Toc11455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- 29 -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pStyle w:val="961"/>
        <w:keepLines w:val="0"/>
        <w:keepNext w:val="0"/>
        <w:pageBreakBefore w:val="0"/>
        <w:spacing w:line="700" w:lineRule="exact"/>
        <w:widowControl w:val="off"/>
        <w:tabs>
          <w:tab w:val="right" w:pos="8306" w:leader="dot"/>
        </w:tabs>
      </w:pPr>
      <w:r>
        <w:rPr>
          <w:rFonts w:hint="eastAsia" w:ascii="黑体" w:hAnsi="黑体" w:eastAsia="黑体" w:cs="黑体"/>
          <w:sz w:val="28"/>
          <w:szCs w:val="44"/>
          <w:highlight w:val="none"/>
        </w:rPr>
        <w:fldChar w:fldCharType="begin"/>
      </w:r>
      <w:r>
        <w:rPr>
          <w:rFonts w:hint="eastAsia" w:ascii="黑体" w:hAnsi="黑体" w:eastAsia="黑体" w:cs="黑体"/>
          <w:sz w:val="28"/>
          <w:szCs w:val="44"/>
          <w:highlight w:val="none"/>
        </w:rPr>
        <w:instrText xml:space="preserve"> HYPERLINK \l _Toc13885 </w:instrText>
      </w:r>
      <w:r>
        <w:rPr>
          <w:rFonts w:hint="eastAsia" w:ascii="黑体" w:hAnsi="黑体" w:eastAsia="黑体" w:cs="黑体"/>
          <w:sz w:val="28"/>
          <w:szCs w:val="44"/>
          <w:highlight w:val="none"/>
        </w:rPr>
        <w:fldChar w:fldCharType="separate"/>
      </w:r>
      <w:r>
        <w:rPr>
          <w:rFonts w:hint="eastAsia" w:ascii="黑体" w:hAnsi="黑体" w:eastAsia="黑体" w:cs="黑体"/>
          <w:sz w:val="28"/>
          <w:szCs w:val="24"/>
          <w:highlight w:val="none"/>
        </w:rPr>
        <w:t xml:space="preserve">第六章 </w:t>
      </w:r>
      <w:r>
        <w:rPr>
          <w:rFonts w:hint="eastAsia" w:ascii="黑体" w:hAnsi="黑体" w:eastAsia="黑体" w:cs="黑体"/>
          <w:sz w:val="28"/>
          <w:szCs w:val="24"/>
          <w:highlight w:val="none"/>
          <w:lang w:eastAsia="zh-CN"/>
        </w:rPr>
        <w:t xml:space="preserve">投标文件</w:t>
      </w:r>
      <w:r>
        <w:rPr>
          <w:rFonts w:hint="eastAsia" w:ascii="黑体" w:hAnsi="黑体" w:eastAsia="黑体" w:cs="黑体"/>
          <w:sz w:val="28"/>
          <w:szCs w:val="24"/>
          <w:highlight w:val="none"/>
        </w:rPr>
        <w:t xml:space="preserve">（格式）</w:t>
      </w:r>
      <w:r>
        <w:rPr>
          <w:rFonts w:hint="eastAsia" w:ascii="黑体" w:hAnsi="黑体" w:eastAsia="黑体" w:cs="黑体"/>
          <w:sz w:val="28"/>
          <w:szCs w:val="24"/>
        </w:rPr>
        <w:tab/>
      </w:r>
      <w:r>
        <w:rPr>
          <w:rFonts w:hint="eastAsia" w:ascii="黑体" w:hAnsi="黑体" w:eastAsia="黑体" w:cs="黑体"/>
          <w:sz w:val="28"/>
          <w:szCs w:val="24"/>
        </w:rPr>
        <w:fldChar w:fldCharType="begin"/>
      </w:r>
      <w:r>
        <w:rPr>
          <w:rFonts w:hint="eastAsia" w:ascii="黑体" w:hAnsi="黑体" w:eastAsia="黑体" w:cs="黑体"/>
          <w:sz w:val="28"/>
          <w:szCs w:val="24"/>
        </w:rPr>
        <w:instrText xml:space="preserve"> PAGEREF _Toc13885 \h </w:instrText>
      </w:r>
      <w:r>
        <w:rPr>
          <w:rFonts w:hint="eastAsia" w:ascii="黑体" w:hAnsi="黑体" w:eastAsia="黑体" w:cs="黑体"/>
          <w:sz w:val="28"/>
          <w:szCs w:val="24"/>
        </w:rPr>
        <w:fldChar w:fldCharType="separate"/>
      </w:r>
      <w:r>
        <w:rPr>
          <w:rFonts w:hint="eastAsia" w:ascii="黑体" w:hAnsi="黑体" w:eastAsia="黑体" w:cs="黑体"/>
          <w:sz w:val="28"/>
          <w:szCs w:val="24"/>
        </w:rPr>
        <w:t xml:space="preserve">- 39 -</w:t>
      </w:r>
      <w:r>
        <w:rPr>
          <w:rFonts w:hint="eastAsia" w:ascii="黑体" w:hAnsi="黑体" w:eastAsia="黑体" w:cs="黑体"/>
          <w:sz w:val="28"/>
          <w:szCs w:val="24"/>
        </w:rPr>
        <w:fldChar w:fldCharType="end"/>
      </w:r>
      <w:r>
        <w:rPr>
          <w:rFonts w:hint="eastAsia" w:ascii="黑体" w:hAnsi="黑体" w:eastAsia="黑体" w:cs="黑体"/>
          <w:sz w:val="28"/>
          <w:szCs w:val="44"/>
          <w:highlight w:val="none"/>
        </w:rPr>
        <w:fldChar w:fldCharType="end"/>
      </w:r>
      <w:r/>
    </w:p>
    <w:p>
      <w:pPr>
        <w:rPr>
          <w:rFonts w:hint="eastAsia" w:ascii="黑体" w:hAnsi="黑体" w:eastAsia="黑体"/>
          <w:sz w:val="28"/>
          <w:highlight w:val="none"/>
        </w:rPr>
      </w:pPr>
      <w:r>
        <w:rPr>
          <w:rFonts w:hint="eastAsia" w:ascii="黑体" w:hAnsi="黑体" w:eastAsia="黑体" w:cs="黑体"/>
          <w:szCs w:val="32"/>
          <w:highlight w:val="none"/>
        </w:rPr>
        <w:fldChar w:fldCharType="end"/>
      </w:r>
      <w:bookmarkStart w:id="0" w:name="_Toc30211"/>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黑体" w:hAnsi="黑体" w:eastAsia="黑体"/>
          <w:sz w:val="28"/>
          <w:highlight w:val="none"/>
        </w:rPr>
        <w:outlineLvl w:val="0"/>
      </w:pPr>
      <w:r>
        <w:rPr>
          <w:rFonts w:hint="eastAsia" w:ascii="黑体" w:hAnsi="黑体" w:eastAsia="黑体"/>
          <w:sz w:val="28"/>
          <w:highlight w:val="none"/>
        </w:rPr>
      </w:r>
      <w:r/>
    </w:p>
    <w:p>
      <w:pPr>
        <w:rPr>
          <w:rFonts w:hint="eastAsia" w:ascii="黑体" w:hAnsi="黑体" w:eastAsia="黑体"/>
          <w:sz w:val="28"/>
          <w:highlight w:val="none"/>
        </w:rPr>
        <w:outlineLvl w:val="0"/>
      </w:pPr>
      <w:r>
        <w:rPr>
          <w:rFonts w:hint="eastAsia" w:ascii="黑体" w:hAnsi="黑体" w:eastAsia="黑体"/>
          <w:sz w:val="28"/>
          <w:highlight w:val="none"/>
        </w:rPr>
      </w:r>
      <w:r/>
    </w:p>
    <w:p>
      <w:pPr>
        <w:ind w:firstLine="560"/>
        <w:jc w:val="left"/>
        <w:rPr>
          <w:rFonts w:hint="eastAsia" w:ascii="黑体" w:hAnsi="黑体" w:eastAsia="黑体"/>
          <w:sz w:val="28"/>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黑体" w:hAnsi="黑体" w:eastAsia="黑体"/>
          <w:sz w:val="28"/>
          <w:highlight w:val="none"/>
        </w:rPr>
      </w:r>
      <w:r/>
    </w:p>
    <w:p>
      <w:pPr>
        <w:jc w:val="center"/>
        <w:rPr>
          <w:rFonts w:hint="eastAsia" w:ascii="黑体" w:hAnsi="黑体" w:eastAsia="黑体"/>
          <w:sz w:val="28"/>
          <w:highlight w:val="none"/>
          <w:lang w:eastAsia="zh-CN"/>
        </w:rPr>
        <w:outlineLvl w:val="0"/>
      </w:pPr>
      <w:r/>
      <w:bookmarkStart w:id="1" w:name="_Toc9281"/>
      <w:r>
        <w:rPr>
          <w:rFonts w:hint="eastAsia" w:ascii="黑体" w:hAnsi="黑体" w:eastAsia="黑体"/>
          <w:sz w:val="28"/>
          <w:highlight w:val="none"/>
        </w:rPr>
        <w:t xml:space="preserve">第一章 </w:t>
      </w:r>
      <w:bookmarkEnd w:id="0"/>
      <w:r/>
      <w:bookmarkEnd w:id="1"/>
      <w:r>
        <w:rPr>
          <w:rFonts w:hint="eastAsia" w:ascii="黑体" w:hAnsi="黑体" w:eastAsia="黑体"/>
          <w:sz w:val="28"/>
          <w:highlight w:val="none"/>
          <w:lang w:eastAsia="zh-CN"/>
        </w:rPr>
        <w:t xml:space="preserve">投标邀请函</w:t>
      </w:r>
      <w:r/>
    </w:p>
    <w:p>
      <w:pPr>
        <w:ind w:firstLine="480"/>
        <w:spacing w:line="360" w:lineRule="auto"/>
        <w:rPr>
          <w:rFonts w:hint="eastAsia" w:ascii="宋体" w:hAnsi="宋体"/>
          <w:bCs/>
          <w:sz w:val="24"/>
          <w:szCs w:val="24"/>
          <w:highlight w:val="none"/>
        </w:rPr>
      </w:pPr>
      <w:r>
        <w:rPr>
          <w:rFonts w:hint="eastAsia" w:ascii="宋体" w:hAnsi="宋体"/>
          <w:sz w:val="24"/>
          <w:szCs w:val="28"/>
          <w:highlight w:val="none"/>
          <w:lang w:eastAsia="zh-CN"/>
        </w:rPr>
        <w:t xml:space="preserve">本项目招标公告已在江苏政府采购网发布，现对本项目进行公开招标，欢迎符合相关条件的供应商（投标人）参与投标并提请遵守下表中的相关事项</w:t>
      </w:r>
      <w:r>
        <w:rPr>
          <w:rFonts w:hint="eastAsia" w:ascii="宋体" w:hAnsi="宋体"/>
          <w:bCs/>
          <w:sz w:val="24"/>
          <w:szCs w:val="24"/>
          <w:highlight w:val="none"/>
        </w:rPr>
        <w:t xml:space="preserve">：</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57" w:type="dxa"/>
        </w:tblCellMar>
        <w:tblLook w:val="04A0" w:firstRow="1" w:lastRow="0" w:firstColumn="1" w:lastColumn="0" w:noHBand="0" w:noVBand="1"/>
      </w:tblPr>
      <w:tblGrid>
        <w:gridCol w:w="885"/>
        <w:gridCol w:w="982"/>
        <w:gridCol w:w="1947"/>
        <w:gridCol w:w="6451"/>
      </w:tblGrid>
      <w:tr>
        <w:trPr>
          <w:jc w:val="center"/>
          <w:trHeight w:val="567"/>
        </w:trPr>
        <w:tc>
          <w:tcPr>
            <w:tcW w:w="88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序号</w:t>
            </w:r>
            <w:r/>
          </w:p>
        </w:tc>
        <w:tc>
          <w:tcPr>
            <w:tcW w:w="982"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8398"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Pr>
        <w:tc>
          <w:tcPr>
            <w:tcW w:w="885"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项目</w:t>
            </w:r>
            <w:r/>
          </w:p>
          <w:p>
            <w:pPr>
              <w:pStyle w:val="965"/>
              <w:jc w:val="center"/>
              <w:spacing w:line="276" w:lineRule="auto"/>
              <w:rPr>
                <w:rFonts w:hint="eastAsia" w:ascii="宋体" w:hAnsi="宋体"/>
                <w:bCs/>
                <w:sz w:val="24"/>
                <w:szCs w:val="24"/>
                <w:highlight w:val="none"/>
              </w:rPr>
            </w:pPr>
            <w:r>
              <w:rPr>
                <w:rFonts w:hint="eastAsia"/>
                <w:b/>
                <w:bCs/>
                <w:highlight w:val="none"/>
                <w:lang w:val="zh-CN"/>
              </w:rPr>
              <w:t xml:space="preserve">信息</w:t>
            </w:r>
            <w:r/>
          </w:p>
        </w:tc>
        <w:tc>
          <w:tcPr>
            <w:gridSpan w:val="2"/>
            <w:tcW w:w="8398"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1.项目名称：</w:t>
            </w:r>
            <w:bookmarkStart w:id="211" w:name="_GoBack"/>
            <w:r>
              <w:rPr>
                <w:rFonts w:hint="eastAsia" w:ascii="宋体" w:hAnsi="宋体"/>
                <w:bCs/>
                <w:sz w:val="24"/>
                <w:szCs w:val="24"/>
                <w:highlight w:val="none"/>
                <w:lang w:eastAsia="zh-CN"/>
              </w:rPr>
              <w:t xml:space="preserve">油车水库智能型界桩建设项目</w:t>
            </w:r>
            <w:bookmarkEnd w:id="211"/>
            <w:r/>
            <w:r/>
          </w:p>
          <w:p>
            <w:pPr>
              <w:keepLines w:val="0"/>
              <w:keepNext w:val="0"/>
              <w:pageBreakBefore w:val="0"/>
              <w:spacing w:line="440" w:lineRule="exact"/>
              <w:widowControl w:val="off"/>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2.项目编号: </w:t>
            </w:r>
            <w:r>
              <w:rPr>
                <w:rFonts w:hint="eastAsia" w:ascii="宋体" w:hAnsi="宋体"/>
                <w:bCs/>
                <w:sz w:val="24"/>
                <w:szCs w:val="24"/>
                <w:highlight w:val="none"/>
                <w:lang w:eastAsia="zh-CN"/>
              </w:rPr>
              <w:t xml:space="preserve">JSZC-320282-JSXY-G2025-0005</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3.项目类型：服务类</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4.采购方式：公开招标</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5.评审方法：参照综合评分法</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6.预算金额：80万元</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7.最高限价：同预算金额</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8.采购标的所属行</w:t>
            </w:r>
            <w:r>
              <w:rPr>
                <w:rFonts w:hint="eastAsia" w:ascii="宋体" w:hAnsi="宋体"/>
                <w:bCs/>
                <w:color w:val="auto"/>
                <w:sz w:val="24"/>
                <w:szCs w:val="24"/>
                <w:highlight w:val="none"/>
                <w:lang w:val="en-US" w:eastAsia="zh-CN"/>
              </w:rPr>
              <w:t xml:space="preserve">业：其他未列明行业</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9.集中考察或答疑：无</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10.本项目不接受联合体</w:t>
            </w:r>
            <w:r>
              <w:rPr>
                <w:rFonts w:hint="eastAsia" w:ascii="宋体" w:hAnsi="宋体"/>
                <w:bCs/>
                <w:sz w:val="24"/>
                <w:szCs w:val="24"/>
                <w:highlight w:val="none"/>
              </w:rPr>
              <w:t xml:space="preserve">，不接受分包。</w:t>
            </w:r>
            <w:r/>
          </w:p>
        </w:tc>
      </w:tr>
      <w:tr>
        <w:trPr>
          <w:jc w:val="center"/>
          <w:trHeight w:val="1327"/>
        </w:trPr>
        <w:tc>
          <w:tcPr>
            <w:tcW w:w="885" w:type="dxa"/>
            <w:vAlign w:val="center"/>
            <w:textDirection w:val="lrTb"/>
            <w:noWrap w:val="false"/>
          </w:tcPr>
          <w:p>
            <w:pPr>
              <w:jc w:val="center"/>
              <w:rPr>
                <w:rFonts w:ascii="宋体" w:hAnsi="宋体"/>
                <w:bCs/>
                <w:sz w:val="24"/>
                <w:szCs w:val="24"/>
                <w:highlight w:val="none"/>
              </w:rPr>
            </w:pPr>
            <w:r/>
            <w:bookmarkStart w:id="2" w:name="_Toc29543"/>
            <w:r>
              <w:rPr>
                <w:rFonts w:ascii="宋体" w:hAnsi="宋体"/>
                <w:bCs/>
                <w:sz w:val="24"/>
                <w:szCs w:val="24"/>
                <w:highlight w:val="none"/>
              </w:rPr>
              <w:t xml:space="preserve">2</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资格</w:t>
            </w:r>
            <w:r/>
          </w:p>
          <w:p>
            <w:pPr>
              <w:pStyle w:val="965"/>
              <w:jc w:val="center"/>
              <w:spacing w:line="276" w:lineRule="auto"/>
              <w:rPr>
                <w:rFonts w:hint="eastAsia"/>
                <w:highlight w:val="none"/>
                <w:lang w:val="zh-CN"/>
              </w:rPr>
            </w:pPr>
            <w:r>
              <w:rPr>
                <w:rFonts w:hint="eastAsia"/>
                <w:b/>
                <w:bCs/>
                <w:highlight w:val="none"/>
                <w:lang w:val="zh-CN"/>
              </w:rPr>
              <w:t xml:space="preserve">条件</w:t>
            </w:r>
            <w:r/>
          </w:p>
        </w:tc>
        <w:tc>
          <w:tcPr>
            <w:gridSpan w:val="2"/>
            <w:tcW w:w="8398"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1.满足《中华人民共和国政府采购法》第二十二条规定，详见“第二章 投标人须知”投标文件的组成中的“资格条件”；</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2.落实政府采购政策需满足的资格要求：本项目专门面向中小企业采购；</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 本项目的特定资格要求：无</w:t>
            </w:r>
            <w:r>
              <w:rPr>
                <w:rFonts w:hint="eastAsia" w:ascii="宋体" w:hAnsi="宋体" w:cs="Times New Roman"/>
                <w:bCs/>
                <w:sz w:val="24"/>
                <w:szCs w:val="24"/>
                <w:highlight w:val="none"/>
                <w:lang w:val="en-US" w:eastAsia="zh-CN"/>
              </w:rPr>
              <w:t xml:space="preserve">。</w:t>
            </w:r>
            <w:r/>
          </w:p>
        </w:tc>
      </w:tr>
      <w:tr>
        <w:trPr>
          <w:jc w:val="center"/>
          <w:trHeight w:val="582"/>
        </w:trPr>
        <w:tc>
          <w:tcPr>
            <w:tcW w:w="885" w:type="dxa"/>
            <w:vAlign w:val="center"/>
            <w:textDirection w:val="lrTb"/>
            <w:noWrap w:val="false"/>
          </w:tcPr>
          <w:p>
            <w:pPr>
              <w:jc w:val="center"/>
              <w:rPr>
                <w:rFonts w:ascii="宋体" w:hAnsi="宋体"/>
                <w:bCs/>
                <w:sz w:val="24"/>
                <w:szCs w:val="24"/>
                <w:highlight w:val="none"/>
                <w:lang w:val="en-US" w:eastAsia="zh-CN" w:bidi="ar-SA"/>
              </w:rPr>
            </w:pPr>
            <w:r>
              <w:rPr>
                <w:rFonts w:ascii="宋体" w:hAnsi="宋体"/>
                <w:bCs/>
                <w:sz w:val="24"/>
                <w:szCs w:val="24"/>
                <w:highlight w:val="none"/>
              </w:rPr>
              <w:t xml:space="preserve">3</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招标</w:t>
            </w:r>
            <w:r/>
          </w:p>
          <w:p>
            <w:pPr>
              <w:pStyle w:val="965"/>
              <w:jc w:val="center"/>
              <w:spacing w:line="276" w:lineRule="auto"/>
              <w:rPr>
                <w:rFonts w:hint="eastAsia"/>
                <w:b/>
                <w:bCs/>
                <w:highlight w:val="none"/>
                <w:lang w:val="zh-CN"/>
              </w:rPr>
            </w:pPr>
            <w:r>
              <w:rPr>
                <w:rFonts w:hint="eastAsia"/>
                <w:b/>
                <w:bCs/>
                <w:highlight w:val="none"/>
                <w:lang w:val="zh-CN"/>
              </w:rPr>
              <w:t xml:space="preserve">文件</w:t>
            </w:r>
            <w:r/>
          </w:p>
        </w:tc>
        <w:tc>
          <w:tcPr>
            <w:gridSpan w:val="2"/>
            <w:tcW w:w="8398"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招标文件”的获取：投标文件提交截止时间前，通过“江苏政府采购网”首页“苏采云”标签进入系统，应在“项目参与”中下载电子招标文件(后缀名为“.kedt”)；可在“江苏政府采购网”采购公告附件中下载word版招标文件。</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2.“CA锁”的使用：投标人须办理有效的CA锁（即有效的CA数字证书及电子签章）才可参与全流程电子政府采购活动，省内各地区办理的“苏采云”系统下的CA锁全省通用。</w:t>
            </w:r>
            <w:r/>
          </w:p>
          <w:p>
            <w:pPr>
              <w:keepLines w:val="0"/>
              <w:keepNext w:val="0"/>
              <w:pageBreakBefore w:val="0"/>
              <w:spacing w:line="440" w:lineRule="exact"/>
              <w:widowControl w:val="off"/>
              <w:rPr>
                <w:rFonts w:hint="eastAsia" w:ascii="宋体" w:hAnsi="宋体"/>
                <w:bCs/>
                <w:sz w:val="24"/>
                <w:szCs w:val="24"/>
                <w:highlight w:val="none"/>
                <w:lang w:val="zh-CN" w:eastAsia="zh-CN"/>
              </w:rPr>
            </w:pPr>
            <w:r>
              <w:rPr>
                <w:rFonts w:hint="eastAsia" w:ascii="宋体" w:hAnsi="宋体"/>
                <w:bCs/>
                <w:sz w:val="24"/>
                <w:szCs w:val="24"/>
                <w:highlight w:val="none"/>
                <w:lang w:val="en-US" w:eastAsia="zh-CN"/>
              </w:rPr>
              <w:t xml:space="preserve">3.CA锁办理方式、“苏采云”系统供应商操作手册及政府采购客户端工具详见江苏政府采购网“办事指南”中的资料下载专栏中的《江苏省政府采购管理交易系统（苏采云)供应商操作指南》。</w:t>
            </w:r>
            <w:r/>
          </w:p>
        </w:tc>
      </w:tr>
      <w:tr>
        <w:trPr>
          <w:jc w:val="center"/>
        </w:trPr>
        <w:tc>
          <w:tcPr>
            <w:tcW w:w="885" w:type="dxa"/>
            <w:vAlign w:val="center"/>
            <w:textDirection w:val="lrTb"/>
            <w:noWrap w:val="false"/>
          </w:tcPr>
          <w:p>
            <w:pPr>
              <w:jc w:val="center"/>
              <w:rPr>
                <w:rFonts w:hint="eastAsia" w:ascii="宋体" w:hAnsi="宋体"/>
                <w:bCs/>
                <w:sz w:val="24"/>
                <w:szCs w:val="24"/>
                <w:highlight w:val="none"/>
                <w:lang w:val="en-US" w:eastAsia="zh-CN" w:bidi="ar-SA"/>
              </w:rPr>
            </w:pPr>
            <w:r>
              <w:rPr>
                <w:rFonts w:hint="eastAsia" w:ascii="宋体" w:hAnsi="宋体"/>
                <w:bCs/>
                <w:sz w:val="24"/>
                <w:szCs w:val="24"/>
                <w:highlight w:val="none"/>
              </w:rPr>
              <w:t xml:space="preserve">4</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投标</w:t>
            </w:r>
            <w:r/>
          </w:p>
          <w:p>
            <w:pPr>
              <w:pStyle w:val="965"/>
              <w:jc w:val="center"/>
              <w:spacing w:line="276" w:lineRule="auto"/>
              <w:rPr>
                <w:rFonts w:hint="eastAsia"/>
                <w:b/>
                <w:bCs/>
                <w:highlight w:val="none"/>
                <w:lang w:val="zh-CN"/>
              </w:rPr>
            </w:pPr>
            <w:r>
              <w:rPr>
                <w:rFonts w:hint="eastAsia"/>
                <w:b/>
                <w:bCs/>
                <w:highlight w:val="none"/>
                <w:lang w:val="zh-CN"/>
              </w:rPr>
              <w:t xml:space="preserve">文件</w:t>
            </w:r>
            <w:r/>
          </w:p>
        </w:tc>
        <w:tc>
          <w:tcPr>
            <w:gridSpan w:val="2"/>
            <w:tcW w:w="8398" w:type="dxa"/>
            <w:vAlign w:val="top"/>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1.“投标文件”制作及提交：将后缀名为“.kedt”的招标文件导入政府采购客户端工具制作投标文件,导出加密的投标文件(后缀名为zip),通过“苏采云”系统上传投标文件。</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 提交投标文件截止时间后的投标文件，恕不接受。</w:t>
            </w:r>
            <w:r/>
          </w:p>
        </w:tc>
      </w:tr>
      <w:tr>
        <w:trPr>
          <w:jc w:val="center"/>
        </w:trPr>
        <w:tc>
          <w:tcPr>
            <w:tcW w:w="885" w:type="dxa"/>
            <w:vAlign w:val="center"/>
            <w:textDirection w:val="lrTb"/>
            <w:noWrap w:val="false"/>
          </w:tcPr>
          <w:p>
            <w:pPr>
              <w:jc w:val="center"/>
              <w:rPr>
                <w:rFonts w:hint="eastAsia" w:ascii="宋体" w:hAnsi="宋体"/>
                <w:bCs/>
                <w:sz w:val="24"/>
                <w:szCs w:val="24"/>
                <w:highlight w:val="none"/>
                <w:lang w:val="en-US" w:eastAsia="zh-CN" w:bidi="ar-SA"/>
              </w:rPr>
            </w:pPr>
            <w:r>
              <w:rPr>
                <w:rFonts w:hint="eastAsia" w:ascii="宋体" w:hAnsi="宋体"/>
                <w:bCs/>
                <w:sz w:val="24"/>
                <w:szCs w:val="24"/>
                <w:highlight w:val="none"/>
              </w:rPr>
              <w:t xml:space="preserve">5</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投标</w:t>
            </w:r>
            <w:r/>
          </w:p>
          <w:p>
            <w:pPr>
              <w:pStyle w:val="965"/>
              <w:jc w:val="center"/>
              <w:spacing w:line="276" w:lineRule="auto"/>
              <w:rPr>
                <w:rFonts w:hint="eastAsia"/>
                <w:b/>
                <w:bCs/>
                <w:highlight w:val="none"/>
                <w:lang w:val="zh-CN"/>
              </w:rPr>
            </w:pPr>
            <w:r>
              <w:rPr>
                <w:rFonts w:hint="eastAsia"/>
                <w:b/>
                <w:bCs/>
                <w:highlight w:val="none"/>
                <w:lang w:val="zh-CN"/>
              </w:rPr>
              <w:t xml:space="preserve">保证金</w:t>
            </w:r>
            <w:r/>
          </w:p>
        </w:tc>
        <w:tc>
          <w:tcPr>
            <w:gridSpan w:val="2"/>
            <w:tcW w:w="8398"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zh-CN" w:eastAsia="zh-CN"/>
              </w:rPr>
            </w:pPr>
            <w:r>
              <w:rPr>
                <w:rFonts w:hint="eastAsia" w:ascii="宋体" w:hAnsi="宋体"/>
                <w:bCs/>
                <w:sz w:val="24"/>
                <w:szCs w:val="24"/>
                <w:highlight w:val="none"/>
                <w:lang w:val="en-US" w:eastAsia="zh-CN"/>
              </w:rPr>
              <w:t xml:space="preserve">本项目免收投标保证金。</w:t>
            </w:r>
            <w:r/>
          </w:p>
        </w:tc>
      </w:tr>
      <w:tr>
        <w:trPr>
          <w:jc w:val="center"/>
        </w:trPr>
        <w:tc>
          <w:tcPr>
            <w:tcW w:w="885" w:type="dxa"/>
            <w:vAlign w:val="center"/>
            <w:textDirection w:val="lrTb"/>
            <w:noWrap w:val="false"/>
          </w:tcPr>
          <w:p>
            <w:pPr>
              <w:jc w:val="center"/>
              <w:rPr>
                <w:rFonts w:hint="eastAsia" w:ascii="宋体" w:hAnsi="宋体"/>
                <w:bCs/>
                <w:sz w:val="24"/>
                <w:szCs w:val="24"/>
                <w:highlight w:val="none"/>
              </w:rPr>
            </w:pPr>
            <w:r/>
            <w:bookmarkStart w:id="3" w:name="OLE_LINK61"/>
            <w:r>
              <w:rPr>
                <w:rFonts w:hint="eastAsia" w:ascii="宋体" w:hAnsi="宋体"/>
                <w:bCs/>
                <w:sz w:val="24"/>
                <w:szCs w:val="24"/>
                <w:highlight w:val="none"/>
              </w:rPr>
              <w:t xml:space="preserve">6</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其他</w:t>
            </w:r>
            <w:r/>
          </w:p>
          <w:p>
            <w:pPr>
              <w:pStyle w:val="965"/>
              <w:jc w:val="center"/>
              <w:spacing w:line="276" w:lineRule="auto"/>
              <w:rPr>
                <w:rFonts w:hint="eastAsia"/>
                <w:b/>
                <w:bCs/>
                <w:highlight w:val="none"/>
                <w:lang w:val="zh-CN"/>
              </w:rPr>
            </w:pPr>
            <w:r>
              <w:rPr>
                <w:rFonts w:hint="eastAsia"/>
                <w:b/>
                <w:bCs/>
                <w:highlight w:val="none"/>
                <w:lang w:val="zh-CN"/>
              </w:rPr>
              <w:t xml:space="preserve">要求</w:t>
            </w:r>
            <w:r/>
          </w:p>
        </w:tc>
        <w:tc>
          <w:tcPr>
            <w:gridSpan w:val="2"/>
            <w:tcW w:w="8398"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1.单位负责人为同一人或者存在直接控股、管理关系的不同供应商（投标人），不得参加同一合同项下的政府采购活动，否则均以无效投标处理。</w:t>
            </w:r>
            <w:r/>
          </w:p>
          <w:p>
            <w:pPr>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2.为本采购项目提供整体设计、规范编制或者项目管理、监理、检测等服务的供应商（投标人），不得再参加本采购项目的采购活动。</w:t>
            </w:r>
            <w:r/>
          </w:p>
        </w:tc>
      </w:tr>
      <w:tr>
        <w:trPr>
          <w:jc w:val="center"/>
        </w:trPr>
        <w:tc>
          <w:tcPr>
            <w:tcW w:w="885"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982" w:type="dxa"/>
            <w:vAlign w:val="center"/>
            <w:textDirection w:val="lrTb"/>
            <w:noWrap w:val="false"/>
          </w:tcPr>
          <w:p>
            <w:pPr>
              <w:pStyle w:val="965"/>
              <w:jc w:val="center"/>
              <w:spacing w:line="276" w:lineRule="auto"/>
              <w:rPr>
                <w:rFonts w:hint="eastAsia"/>
                <w:b/>
                <w:bCs/>
                <w:highlight w:val="none"/>
                <w:lang w:val="zh-CN"/>
              </w:rPr>
            </w:pPr>
            <w:r>
              <w:rPr>
                <w:rFonts w:hint="eastAsia"/>
                <w:b/>
                <w:bCs/>
                <w:highlight w:val="none"/>
                <w:lang w:val="zh-CN"/>
              </w:rPr>
              <w:t xml:space="preserve">不见面开标</w:t>
            </w:r>
            <w:r/>
          </w:p>
        </w:tc>
        <w:tc>
          <w:tcPr>
            <w:gridSpan w:val="2"/>
            <w:tcW w:w="8398" w:type="dxa"/>
            <w:vAlign w:val="top"/>
            <w:textDirection w:val="lrTb"/>
            <w:noWrap w:val="false"/>
          </w:tcPr>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本项目采用远程不见面交易模式，通过“苏采云”不见面交易系统及相应的配套硬件设备（摄像头、话筒、麦克风等）完成远程解密、开标现场异议及回复、开标唱标等交互环节。</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1.不见面开标注意事项：</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1.1不见面开标项目的时间均以国家授时中心发布的时间为准；</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1.2开标当日，投标人不必抵达开标现场，仅需在任意地点通过“苏采云”系统“开标大厅”参与开标过程；</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1.4投标文件提交截止时间后，采购人或采购代理机构将在系统内公布投标人名单，然后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bCs/>
                <w:sz w:val="24"/>
                <w:szCs w:val="24"/>
                <w:highlight w:val="none"/>
                <w:lang w:val="en-US" w:eastAsia="zh-CN"/>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1.5在评审结束前，各投标人（供应商）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供应商）的被授权委托人或法人代表。</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2.采购活动时间：</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2.1提交投标文件截止（即投标截止）时间（同开标时间）：详见本项目招标公告</w:t>
            </w:r>
            <w:r/>
          </w:p>
          <w:p>
            <w:pPr>
              <w:ind w:firstLine="480"/>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2.2确定中标人时间：评标结束后，详见中标结果公告。</w:t>
            </w:r>
            <w:r/>
          </w:p>
        </w:tc>
      </w:tr>
      <w:tr>
        <w:trPr>
          <w:jc w:val="center"/>
          <w:trHeight w:val="1134"/>
        </w:trPr>
        <w:tc>
          <w:tcPr>
            <w:tcW w:w="885" w:type="dxa"/>
            <w:vAlign w:val="center"/>
            <w:vMerge w:val="restart"/>
            <w:textDirection w:val="lrTb"/>
            <w:noWrap w:val="false"/>
          </w:tcPr>
          <w:p>
            <w:pPr>
              <w:jc w:val="center"/>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8</w:t>
            </w:r>
            <w:r/>
          </w:p>
        </w:tc>
        <w:tc>
          <w:tcPr>
            <w:tcW w:w="982" w:type="dxa"/>
            <w:vAlign w:val="center"/>
            <w:vMerge w:val="restart"/>
            <w:textDirection w:val="lrTb"/>
            <w:noWrap w:val="false"/>
          </w:tcPr>
          <w:p>
            <w:pPr>
              <w:pStyle w:val="965"/>
              <w:jc w:val="center"/>
              <w:spacing w:line="276" w:lineRule="auto"/>
              <w:rPr>
                <w:rFonts w:hint="eastAsia"/>
                <w:b/>
                <w:bCs/>
                <w:highlight w:val="none"/>
                <w:lang w:val="zh-CN" w:eastAsia="zh-CN"/>
              </w:rPr>
            </w:pPr>
            <w:r>
              <w:rPr>
                <w:rFonts w:hint="eastAsia"/>
                <w:b/>
                <w:bCs/>
                <w:highlight w:val="none"/>
                <w:lang w:val="zh-CN" w:eastAsia="zh-CN"/>
              </w:rPr>
              <w:t xml:space="preserve">联系</w:t>
            </w:r>
            <w:r/>
          </w:p>
          <w:p>
            <w:pPr>
              <w:pStyle w:val="965"/>
              <w:jc w:val="center"/>
              <w:spacing w:line="276" w:lineRule="auto"/>
              <w:rPr>
                <w:rFonts w:hint="eastAsia"/>
                <w:b/>
                <w:bCs/>
                <w:highlight w:val="none"/>
                <w:lang w:val="zh-CN"/>
              </w:rPr>
            </w:pPr>
            <w:r>
              <w:rPr>
                <w:rFonts w:hint="eastAsia"/>
                <w:b/>
                <w:bCs/>
                <w:highlight w:val="none"/>
                <w:lang w:val="zh-CN" w:eastAsia="zh-CN"/>
              </w:rPr>
              <w:t xml:space="preserve">方式</w:t>
            </w:r>
            <w:r/>
          </w:p>
        </w:tc>
        <w:tc>
          <w:tcPr>
            <w:tcW w:w="194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采购人</w:t>
            </w:r>
            <w:r/>
          </w:p>
        </w:tc>
        <w:tc>
          <w:tcPr>
            <w:tcW w:w="6451" w:type="dxa"/>
            <w:vAlign w:val="center"/>
            <w:textDirection w:val="lrTb"/>
            <w:noWrap w:val="false"/>
          </w:tcPr>
          <w:p>
            <w:pPr>
              <w:jc w:val="left"/>
              <w:rPr>
                <w:rFonts w:hint="eastAsia" w:ascii="宋体" w:hAnsi="宋体"/>
                <w:bCs/>
                <w:sz w:val="24"/>
                <w:szCs w:val="24"/>
                <w:highlight w:val="none"/>
                <w:lang w:val="zh-CN" w:eastAsia="zh-CN"/>
              </w:rPr>
            </w:pPr>
            <w:r>
              <w:rPr>
                <w:rFonts w:hint="eastAsia" w:ascii="宋体" w:hAnsi="宋体"/>
                <w:bCs/>
                <w:sz w:val="24"/>
                <w:szCs w:val="24"/>
                <w:highlight w:val="none"/>
                <w:lang w:val="en-US" w:eastAsia="zh-CN"/>
              </w:rPr>
              <w:t xml:space="preserve">详见本项目</w:t>
            </w:r>
            <w:r>
              <w:rPr>
                <w:rFonts w:hint="eastAsia" w:ascii="宋体" w:hAnsi="宋体"/>
                <w:bCs/>
                <w:sz w:val="24"/>
                <w:szCs w:val="24"/>
                <w:highlight w:val="none"/>
              </w:rPr>
              <w:t xml:space="preserve">招标</w:t>
            </w:r>
            <w:r>
              <w:rPr>
                <w:rFonts w:hint="eastAsia" w:ascii="宋体" w:hAnsi="宋体"/>
                <w:bCs/>
                <w:sz w:val="24"/>
                <w:szCs w:val="24"/>
                <w:highlight w:val="none"/>
                <w:lang w:val="en-US" w:eastAsia="zh-CN"/>
              </w:rPr>
              <w:t xml:space="preserve">公告</w:t>
            </w:r>
            <w:r/>
          </w:p>
        </w:tc>
      </w:tr>
      <w:tr>
        <w:trPr>
          <w:jc w:val="center"/>
          <w:trHeight w:val="1134"/>
        </w:trPr>
        <w:tc>
          <w:tcPr>
            <w:tcW w:w="88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82"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947" w:type="dxa"/>
            <w:vAlign w:val="center"/>
            <w:textDirection w:val="lrTb"/>
            <w:noWrap w:val="false"/>
          </w:tcPr>
          <w:p>
            <w:pPr>
              <w:jc w:val="center"/>
              <w:rPr>
                <w:rFonts w:hint="eastAsia" w:ascii="宋体" w:hAnsi="宋体"/>
                <w:bCs/>
                <w:sz w:val="24"/>
                <w:szCs w:val="24"/>
                <w:highlight w:val="none"/>
                <w:lang w:eastAsia="zh-CN"/>
              </w:rPr>
            </w:pPr>
            <w:r>
              <w:rPr>
                <w:rFonts w:hint="eastAsia" w:ascii="宋体" w:hAnsi="宋体"/>
                <w:bCs/>
                <w:sz w:val="24"/>
                <w:szCs w:val="24"/>
                <w:highlight w:val="none"/>
                <w:lang w:eastAsia="zh-CN"/>
              </w:rPr>
              <w:t xml:space="preserve">采购代理机构</w:t>
            </w:r>
            <w:r/>
          </w:p>
        </w:tc>
        <w:tc>
          <w:tcPr>
            <w:tcW w:w="6451" w:type="dxa"/>
            <w:vAlign w:val="center"/>
            <w:textDirection w:val="lrTb"/>
            <w:noWrap w:val="false"/>
          </w:tcPr>
          <w:p>
            <w:pPr>
              <w:jc w:val="lef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详见本项目</w:t>
            </w:r>
            <w:r>
              <w:rPr>
                <w:rFonts w:hint="eastAsia" w:ascii="宋体" w:hAnsi="宋体"/>
                <w:bCs/>
                <w:sz w:val="24"/>
                <w:szCs w:val="24"/>
                <w:highlight w:val="none"/>
              </w:rPr>
              <w:t xml:space="preserve">招标</w:t>
            </w:r>
            <w:r>
              <w:rPr>
                <w:rFonts w:hint="eastAsia" w:ascii="宋体" w:hAnsi="宋体"/>
                <w:bCs/>
                <w:sz w:val="24"/>
                <w:szCs w:val="24"/>
                <w:highlight w:val="none"/>
                <w:lang w:val="en-US" w:eastAsia="zh-CN"/>
              </w:rPr>
              <w:t xml:space="preserve">公告</w:t>
            </w:r>
            <w:r/>
          </w:p>
        </w:tc>
      </w:tr>
      <w:tr>
        <w:trPr>
          <w:jc w:val="center"/>
          <w:trHeight w:val="1134"/>
        </w:trPr>
        <w:tc>
          <w:tcPr>
            <w:tcW w:w="88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82"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94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“苏采云”客服</w:t>
            </w:r>
            <w:r/>
          </w:p>
        </w:tc>
        <w:tc>
          <w:tcPr>
            <w:tcW w:w="6451" w:type="dxa"/>
            <w:vAlign w:val="center"/>
            <w:textDirection w:val="lrTb"/>
            <w:noWrap w:val="false"/>
          </w:tcPr>
          <w:p>
            <w:pPr>
              <w:keepLines w:val="0"/>
              <w:keepNext w:val="0"/>
              <w:pageBreakBefore w:val="0"/>
              <w:spacing w:line="440" w:lineRule="exact"/>
              <w:widowControl w:val="off"/>
              <w:rPr>
                <w:rFonts w:hint="eastAsia" w:ascii="宋体" w:hAnsi="宋体"/>
                <w:bCs/>
                <w:sz w:val="24"/>
                <w:szCs w:val="24"/>
                <w:highlight w:val="none"/>
                <w:lang w:val="zh-CN" w:eastAsia="zh-CN"/>
              </w:rPr>
            </w:pPr>
            <w:r>
              <w:rPr>
                <w:rFonts w:hint="eastAsia" w:ascii="宋体" w:hAnsi="宋体"/>
                <w:bCs/>
                <w:sz w:val="24"/>
                <w:szCs w:val="24"/>
                <w:highlight w:val="none"/>
                <w:lang w:val="zh-CN" w:eastAsia="zh-CN"/>
              </w:rPr>
              <w:t xml:space="preserve">投标人(</w:t>
            </w:r>
            <w:r>
              <w:rPr>
                <w:rFonts w:hint="eastAsia" w:ascii="宋体" w:hAnsi="宋体"/>
                <w:bCs/>
                <w:sz w:val="24"/>
                <w:szCs w:val="24"/>
                <w:highlight w:val="none"/>
                <w:lang w:val="en-US" w:eastAsia="zh-CN"/>
              </w:rPr>
              <w:t xml:space="preserve">供应商)在“苏采云”系统操作过程中如遇问题，请致电“苏采云”客服，联系电话：17361717606、17312952101；或在“苏采云”系统中发起在线人工客服请求。</w:t>
            </w:r>
            <w:r/>
          </w:p>
        </w:tc>
      </w:tr>
      <w:tr>
        <w:trPr>
          <w:jc w:val="center"/>
          <w:trHeight w:val="1098"/>
        </w:trPr>
        <w:tc>
          <w:tcPr>
            <w:tcW w:w="88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82"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94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财政监管部门</w:t>
            </w:r>
            <w:r/>
          </w:p>
        </w:tc>
        <w:tc>
          <w:tcPr>
            <w:tcW w:w="6451" w:type="dxa"/>
            <w:vAlign w:val="center"/>
            <w:textDirection w:val="lrTb"/>
            <w:noWrap w:val="false"/>
          </w:tcPr>
          <w:p>
            <w:pPr>
              <w:jc w:val="both"/>
              <w:keepLines w:val="0"/>
              <w:keepNext w:val="0"/>
              <w:pageBreakBefore w:val="0"/>
              <w:spacing w:line="440" w:lineRule="exact"/>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政府采购监督管理及投诉处理主体: 宜兴市财政局                   </w:t>
            </w:r>
            <w:r/>
          </w:p>
          <w:p>
            <w:pPr>
              <w:jc w:val="both"/>
              <w:keepLines w:val="0"/>
              <w:keepNext w:val="0"/>
              <w:pageBreakBefore w:val="0"/>
              <w:spacing w:line="440" w:lineRule="exact"/>
              <w:widowControl w:val="off"/>
              <w:rPr>
                <w:rFonts w:hint="eastAsia" w:ascii="宋体" w:hAnsi="宋体"/>
                <w:bCs/>
                <w:sz w:val="24"/>
                <w:szCs w:val="24"/>
                <w:highlight w:val="none"/>
                <w:lang w:val="zh-CN" w:eastAsia="zh-CN"/>
              </w:rPr>
            </w:pPr>
            <w:r>
              <w:rPr>
                <w:rFonts w:hint="eastAsia" w:ascii="宋体" w:hAnsi="宋体"/>
                <w:bCs/>
                <w:sz w:val="24"/>
                <w:szCs w:val="24"/>
                <w:highlight w:val="none"/>
                <w:lang w:val="en-US" w:eastAsia="zh-CN"/>
              </w:rPr>
              <w:t xml:space="preserve">联系地址：宜兴市荆溪中路35号五局大院内</w:t>
            </w:r>
            <w:bookmarkEnd w:id="3"/>
            <w:r/>
            <w:r/>
          </w:p>
        </w:tc>
      </w:tr>
    </w:tbl>
    <w:p>
      <w:pPr>
        <w:jc w:val="center"/>
        <w:spacing w:line="360" w:lineRule="auto"/>
        <w:rPr>
          <w:rFonts w:hint="eastAsia" w:ascii="黑体" w:hAnsi="黑体" w:eastAsia="黑体"/>
          <w:sz w:val="28"/>
          <w:highlight w:val="none"/>
          <w:lang w:eastAsia="zh-CN"/>
        </w:rPr>
        <w:outlineLvl w:val="0"/>
      </w:pPr>
      <w:r>
        <w:rPr>
          <w:rFonts w:hint="eastAsia" w:ascii="黑体" w:hAnsi="黑体" w:eastAsia="黑体"/>
          <w:sz w:val="28"/>
          <w:highlight w:val="none"/>
        </w:rPr>
        <w:br w:type="page" w:clear="all"/>
      </w:r>
      <w:bookmarkStart w:id="4" w:name="_Toc17426"/>
      <w:r>
        <w:rPr>
          <w:rFonts w:hint="eastAsia" w:ascii="黑体" w:hAnsi="黑体" w:eastAsia="黑体"/>
          <w:sz w:val="28"/>
          <w:highlight w:val="none"/>
        </w:rPr>
        <w:t xml:space="preserve">第二章 </w:t>
      </w:r>
      <w:bookmarkEnd w:id="2"/>
      <w:r/>
      <w:bookmarkEnd w:id="4"/>
      <w:r>
        <w:rPr>
          <w:rFonts w:hint="eastAsia" w:ascii="黑体" w:hAnsi="黑体" w:eastAsia="黑体"/>
          <w:sz w:val="28"/>
          <w:highlight w:val="none"/>
          <w:lang w:eastAsia="zh-CN"/>
        </w:rPr>
        <w:t xml:space="preserve">投标人须知</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1、适用法律</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《中华人民共和国政府采购法》、《中华人民共和国政府采购法实施条例》、《政府采购竞争性磋商采购方式管理暂行办法》等有关法律、法规、规章和规定等。</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2、定义</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2.3 “投标人（电子签章）”是指投标人的电子公章，自然人投标即指自然人私章。</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2.4 “服务”指本招标文件中所述服务及相关产品。</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2.5 “响应”指符合招标文件提出的要求并作出回应。</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2.7 “电子交易平台”指本项目政府采购活动所依托的江苏政府采购网(www.ccgp-jiangsu.gov.cn)“苏采云”平台（系统）。</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2.9 “评审因素”是指评标方法和标准中包括的价格因素、技术因素、商务因素等方面。</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2.11 本招标文件中的招标与采购、投标人与供应商、优惠政策与扶持政策，分别为同一概念或意思。</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2.12本招标文件中所称的“以上”、“以来”、“以下”、“不少于”、“不超过”，包括本数；所称的“不足”、“低于”、“高于”、“少于”、“超过”，不包括本数。</w:t>
      </w:r>
      <w:r/>
    </w:p>
    <w:p>
      <w:pPr>
        <w:ind w:firstLine="482"/>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3、政府采购政策</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3.2政府采购支持中小企业发展</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r>
        <w:rPr>
          <w:rFonts w:hint="eastAsia" w:ascii="宋体" w:hAnsi="宋体"/>
          <w:bCs/>
          <w:color w:val="auto"/>
          <w:sz w:val="24"/>
          <w:szCs w:val="24"/>
          <w:highlight w:val="none"/>
          <w:lang w:val="zh-CN"/>
        </w:rPr>
        <w:t xml:space="preserve">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3.2.4 可享受中小企业扶持政策的投标人应按照招标文件要求提供中小企业声明，投标人提供的中小企业声明与实际情况不符的，不享受中小企业扶持政策。对提供《中小企业声明函》的投标人，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3.2.7对于专门面向中小企业采购的项目，供应商未提供有效的中小企业声明，资格审查不予通过；对于非专门面向中小企业采购的项目，供应商未提供有效的中小企业声明，不享受政府采购小微企业优惠政策，即不给予小微企业报价扣除；若投标人同时为小微企业、残疾人福利性单位（或监狱企业），只享受一次针对小微企业的价格优惠。</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3.3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3.4鼓励供应商在参加政府采购过程中开展绿色设计、选择绿色材料、打造绿色制造工艺、开展绿色运输、做好废弃产品回收处理，实现产品全周期的绿色环保。</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3.5落实挥发性有机化合物（VOCs）治理要求，涉及涂料、胶黏剂、油墨、清洗剂等挥发性有机物产品的，属于强制性标准的，供应商应当执行国家和我省VOCs含量限制标准。</w:t>
      </w:r>
      <w:r/>
    </w:p>
    <w:p>
      <w:pPr>
        <w:ind w:firstLine="480"/>
        <w:keepLines w:val="0"/>
        <w:keepNext w:val="0"/>
        <w:pageBreakBefore w:val="0"/>
        <w:spacing w:line="360" w:lineRule="auto"/>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3.6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注：支持中小企业发展及其他政府采购政策详见相关文件规定</w:t>
      </w:r>
      <w:r>
        <w:rPr>
          <w:rFonts w:hint="eastAsia" w:ascii="宋体" w:hAnsi="宋体"/>
          <w:bCs/>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投标费用</w:t>
      </w:r>
      <w:r/>
    </w:p>
    <w:p>
      <w:pPr>
        <w:numPr>
          <w:ilvl w:val="0"/>
          <w:numId w:val="0"/>
        </w:num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numPr>
          <w:ilvl w:val="0"/>
          <w:numId w:val="0"/>
        </w:numPr>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4.2 </w:t>
      </w:r>
      <w:r>
        <w:rPr>
          <w:rFonts w:hint="eastAsia" w:ascii="宋体" w:hAnsi="宋体"/>
          <w:b/>
          <w:bCs w:val="0"/>
          <w:color w:val="auto"/>
          <w:sz w:val="24"/>
          <w:szCs w:val="24"/>
          <w:highlight w:val="none"/>
          <w:lang w:eastAsia="zh-CN"/>
        </w:rPr>
        <w:t xml:space="preserve">代理费收费标准:参照国家计委计价格【2002】1980号《招标代理服务收费管理暂行办法》规定70%计取，由中标供应商支付。</w:t>
      </w:r>
      <w:r/>
    </w:p>
    <w:p>
      <w:pPr>
        <w:numPr>
          <w:ilvl w:val="0"/>
          <w:numId w:val="0"/>
        </w:numPr>
        <w:ind w:firstLine="482"/>
        <w:keepLines w:val="0"/>
        <w:keepNext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lang w:val="en-US" w:eastAsia="zh-CN"/>
        </w:rPr>
        <w:t xml:space="preserve">5、</w:t>
      </w:r>
      <w:r>
        <w:rPr>
          <w:rFonts w:hint="eastAsia" w:ascii="宋体" w:hAnsi="宋体"/>
          <w:b/>
          <w:bCs w:val="0"/>
          <w:sz w:val="24"/>
          <w:szCs w:val="24"/>
          <w:highlight w:val="none"/>
        </w:rPr>
        <w:t xml:space="preserve">保密要求</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二、招标文件</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6、</w:t>
      </w:r>
      <w:r>
        <w:rPr>
          <w:rFonts w:hint="eastAsia" w:ascii="宋体" w:hAnsi="宋体"/>
          <w:b/>
          <w:sz w:val="24"/>
          <w:szCs w:val="24"/>
          <w:highlight w:val="none"/>
          <w:lang w:val="zh-CN"/>
        </w:rPr>
        <w:t xml:space="preserve">招标文件的组成</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6.1 投标人应登录“苏采云”系统下载电子招标文件(后缀名为“.kedt”)。投标人须按招标文件要求提交资料并对招标文件相关内容作出实质性响应，否则投标无效。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6.2 招标文件包括招标公告和本文件目录所列全部内容及其附件，如有缺漏，请立即与采购人或者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宜兴市公共资源交易中心（宜兴市政府采购中心）联系解决。</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6.4相关网站公告、公示信息如有不一致的，以“江苏政府采购网”发布的信息为准。</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7、</w:t>
      </w:r>
      <w:r>
        <w:rPr>
          <w:rFonts w:hint="eastAsia" w:ascii="宋体" w:hAnsi="宋体"/>
          <w:b/>
          <w:sz w:val="24"/>
          <w:szCs w:val="24"/>
          <w:highlight w:val="none"/>
          <w:lang w:val="zh-CN"/>
        </w:rPr>
        <w:t xml:space="preserve">招标文件的解释</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7.1 本文件和“第三章 项目技术要求和有关说明”和“第四章 评标方法和标准”由采购人负责解释，其他部分由采购人和</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负责解释。</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8、</w:t>
      </w:r>
      <w:r>
        <w:rPr>
          <w:rFonts w:hint="eastAsia" w:ascii="宋体" w:hAnsi="宋体"/>
          <w:b/>
          <w:sz w:val="24"/>
          <w:szCs w:val="24"/>
          <w:highlight w:val="none"/>
          <w:lang w:val="zh-CN"/>
        </w:rPr>
        <w:t xml:space="preserve">招标文件的</w:t>
      </w:r>
      <w:bookmarkStart w:id="5" w:name="OLE_LINK20"/>
      <w:r>
        <w:rPr>
          <w:rFonts w:hint="eastAsia" w:ascii="宋体" w:hAnsi="宋体"/>
          <w:b/>
          <w:sz w:val="24"/>
          <w:szCs w:val="24"/>
          <w:highlight w:val="none"/>
          <w:lang w:val="zh-CN"/>
        </w:rPr>
        <w:t xml:space="preserve">澄清、修改</w:t>
      </w:r>
      <w:bookmarkEnd w:id="5"/>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8.1 采购人或者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对已发出的招标文件进行必要澄清或者修改的，将在投标截止时间15日前，在原招标公告媒体发布更正公告，并在系统中通知所有已获取招标文件的潜在投标人, 投标人应登录系统查看相应内容。不足15日的，采购人或者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有权决定是否顺延投标截止时间和开标时间，该澄清或者修改的内容为招标文件的组成部分。以最新发布的补充更正、澄清和修改后的招标文件、公告信息为准。</w:t>
      </w:r>
      <w:r/>
    </w:p>
    <w:p>
      <w:pPr>
        <w:ind w:firstLine="480"/>
        <w:keepLines w:val="0"/>
        <w:keepNext w:val="0"/>
        <w:pageBreakBefore w:val="0"/>
        <w:spacing w:line="360" w:lineRule="auto"/>
        <w:widowControl w:val="off"/>
        <w:rPr>
          <w:rFonts w:hint="eastAsia"/>
          <w:sz w:val="24"/>
          <w:highlight w:val="none"/>
        </w:rPr>
      </w:pPr>
      <w:r>
        <w:rPr>
          <w:rFonts w:hint="eastAsia" w:ascii="宋体" w:hAnsi="宋体"/>
          <w:bCs/>
          <w:sz w:val="24"/>
          <w:szCs w:val="24"/>
          <w:highlight w:val="none"/>
        </w:rPr>
        <w:t xml:space="preserve">8.2 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rPr>
          <w:rFonts w:hint="eastAsia" w:ascii="宋体" w:hAnsi="宋体"/>
          <w:sz w:val="24"/>
          <w:szCs w:val="21"/>
          <w:highlight w:val="none"/>
          <w:lang w:val="zh-CN"/>
        </w:rPr>
        <w:t xml:space="preserve">。</w:t>
      </w:r>
      <w:r/>
    </w:p>
    <w:p>
      <w:pPr>
        <w:ind w:firstLine="482"/>
        <w:keepLines w:val="0"/>
        <w:keepNext w:val="0"/>
        <w:pageBreakBefore w:val="0"/>
        <w:spacing w:line="360" w:lineRule="auto"/>
        <w:widowControl w:val="off"/>
        <w:rPr>
          <w:rFonts w:hint="eastAsia" w:ascii="宋体" w:hAnsi="宋体" w:eastAsia="宋体"/>
          <w:b/>
          <w:sz w:val="24"/>
          <w:szCs w:val="24"/>
          <w:highlight w:val="none"/>
          <w:lang w:eastAsia="zh-CN"/>
        </w:rPr>
      </w:pPr>
      <w:r>
        <w:rPr>
          <w:rFonts w:hint="eastAsia" w:ascii="宋体" w:hAnsi="宋体"/>
          <w:b/>
          <w:sz w:val="24"/>
          <w:szCs w:val="24"/>
          <w:highlight w:val="none"/>
        </w:rPr>
        <w:t xml:space="preserve">三、</w:t>
      </w:r>
      <w:r>
        <w:rPr>
          <w:rFonts w:hint="eastAsia" w:ascii="宋体" w:hAnsi="宋体"/>
          <w:b/>
          <w:sz w:val="24"/>
          <w:szCs w:val="24"/>
          <w:highlight w:val="none"/>
          <w:lang w:eastAsia="zh-CN"/>
        </w:rPr>
        <w:t xml:space="preserve">投标文件</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lang w:val="en-US" w:eastAsia="zh-CN"/>
        </w:rPr>
        <w:t xml:space="preserve">9</w:t>
      </w:r>
      <w:r>
        <w:rPr>
          <w:rFonts w:hint="eastAsia" w:ascii="宋体" w:hAnsi="宋体"/>
          <w:b/>
          <w:sz w:val="24"/>
          <w:szCs w:val="24"/>
          <w:highlight w:val="none"/>
        </w:rPr>
        <w:t xml:space="preserve">、</w:t>
      </w:r>
      <w:r>
        <w:rPr>
          <w:rFonts w:hint="eastAsia" w:ascii="宋体" w:hAnsi="宋体"/>
          <w:b/>
          <w:sz w:val="24"/>
          <w:szCs w:val="24"/>
          <w:highlight w:val="none"/>
          <w:lang w:eastAsia="zh-CN"/>
        </w:rPr>
        <w:t xml:space="preserve">投标文件</w:t>
      </w:r>
      <w:r>
        <w:rPr>
          <w:rFonts w:hint="eastAsia" w:ascii="宋体" w:hAnsi="宋体"/>
          <w:b/>
          <w:sz w:val="24"/>
          <w:szCs w:val="24"/>
          <w:highlight w:val="none"/>
        </w:rPr>
        <w:t xml:space="preserve">的组成</w:t>
      </w:r>
      <w:r>
        <w:rPr>
          <w:rFonts w:hint="eastAsia" w:ascii="宋体" w:hAnsi="宋体"/>
          <w:b/>
          <w:sz w:val="24"/>
          <w:szCs w:val="24"/>
          <w:highlight w:val="none"/>
          <w:lang w:val="zh-CN"/>
        </w:rPr>
        <w:t xml:space="preserve">：</w:t>
      </w:r>
      <w:r>
        <w:rPr>
          <w:rFonts w:hint="eastAsia" w:ascii="宋体" w:hAnsi="宋体"/>
          <w:b/>
          <w:sz w:val="24"/>
          <w:szCs w:val="24"/>
          <w:highlight w:val="none"/>
        </w:rPr>
        <w:t xml:space="preserve">对应第六章</w:t>
      </w:r>
      <w:r>
        <w:rPr>
          <w:rFonts w:hint="eastAsia" w:ascii="宋体" w:hAnsi="宋体"/>
          <w:b/>
          <w:sz w:val="24"/>
          <w:szCs w:val="24"/>
          <w:highlight w:val="none"/>
          <w:lang w:eastAsia="zh-CN"/>
        </w:rPr>
        <w:t xml:space="preserve">投标文件</w:t>
      </w:r>
      <w:r>
        <w:rPr>
          <w:rFonts w:hint="eastAsia" w:ascii="宋体" w:hAnsi="宋体"/>
          <w:b/>
          <w:sz w:val="24"/>
          <w:szCs w:val="24"/>
          <w:highlight w:val="none"/>
        </w:rPr>
        <w:t xml:space="preserve">（格式）。</w:t>
      </w:r>
      <w:r/>
    </w:p>
    <w:p>
      <w:pPr>
        <w:numPr>
          <w:ilvl w:val="0"/>
          <w:numId w:val="1"/>
        </w:numPr>
        <w:ind w:left="0" w:firstLine="482"/>
        <w:keepLines w:val="0"/>
        <w:keepNext w:val="0"/>
        <w:pageBreakBefore w:val="0"/>
        <w:spacing w:line="360" w:lineRule="auto"/>
        <w:widowControl w:val="off"/>
        <w:rPr>
          <w:rFonts w:hint="eastAsia" w:ascii="宋体" w:hAnsi="宋体"/>
          <w:b/>
          <w:bCs/>
          <w:sz w:val="24"/>
          <w:szCs w:val="21"/>
          <w:highlight w:val="none"/>
          <w:lang w:val="zh-CN"/>
        </w:rPr>
      </w:pPr>
      <w:r/>
      <w:bookmarkStart w:id="6" w:name="OLE_LINK114"/>
      <w:r>
        <w:rPr>
          <w:rFonts w:hint="eastAsia" w:ascii="宋体" w:hAnsi="宋体"/>
          <w:b/>
          <w:bCs/>
          <w:sz w:val="24"/>
          <w:szCs w:val="21"/>
          <w:highlight w:val="none"/>
          <w:lang w:val="zh-CN"/>
        </w:rPr>
        <w:t xml:space="preserve">开标一览表</w:t>
      </w:r>
      <w:r/>
    </w:p>
    <w:p>
      <w:pPr>
        <w:numPr>
          <w:ilvl w:val="0"/>
          <w:numId w:val="1"/>
        </w:numPr>
        <w:ind w:left="0" w:firstLine="482"/>
        <w:keepLines w:val="0"/>
        <w:keepNext w:val="0"/>
        <w:pageBreakBefore w:val="0"/>
        <w:spacing w:line="360" w:lineRule="auto"/>
        <w:widowControl w:val="off"/>
        <w:rPr>
          <w:rFonts w:hint="eastAsia" w:ascii="宋体" w:hAnsi="宋体"/>
          <w:b/>
          <w:bCs/>
          <w:sz w:val="24"/>
          <w:szCs w:val="21"/>
          <w:highlight w:val="none"/>
          <w:lang w:val="zh-CN"/>
        </w:rPr>
      </w:pPr>
      <w:r>
        <w:rPr>
          <w:rFonts w:hint="eastAsia" w:ascii="宋体" w:hAnsi="宋体"/>
          <w:b/>
          <w:bCs/>
          <w:sz w:val="24"/>
          <w:szCs w:val="21"/>
          <w:highlight w:val="none"/>
          <w:lang w:val="zh-CN"/>
        </w:rPr>
        <w:t xml:space="preserve">资格条件</w:t>
      </w:r>
      <w:r/>
    </w:p>
    <w:p>
      <w:pPr>
        <w:numPr>
          <w:ilvl w:val="0"/>
          <w:numId w:val="2"/>
        </w:numPr>
        <w:ind w:firstLine="482"/>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
          <w:bCs/>
          <w:sz w:val="24"/>
          <w:szCs w:val="21"/>
          <w:highlight w:val="none"/>
          <w:lang w:val="zh-CN"/>
        </w:rPr>
        <w:t xml:space="preserve">资格声明函：</w:t>
      </w:r>
      <w:r>
        <w:rPr>
          <w:rFonts w:hint="eastAsia" w:ascii="宋体" w:hAnsi="宋体"/>
          <w:sz w:val="24"/>
          <w:szCs w:val="21"/>
          <w:highlight w:val="none"/>
          <w:lang w:val="zh-CN"/>
        </w:rPr>
        <w:t xml:space="preserve">提供《关于资格的声明函》；</w:t>
      </w:r>
      <w:r/>
    </w:p>
    <w:p>
      <w:pPr>
        <w:numPr>
          <w:ilvl w:val="0"/>
          <w:numId w:val="2"/>
        </w:numPr>
        <w:ind w:firstLine="482"/>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
          <w:sz w:val="24"/>
          <w:szCs w:val="24"/>
          <w:highlight w:val="none"/>
          <w:lang w:val="zh-CN"/>
        </w:rPr>
        <w:t xml:space="preserve">被授权代表身份证明</w:t>
      </w:r>
      <w:r>
        <w:rPr>
          <w:rFonts w:hint="eastAsia" w:ascii="宋体" w:hAnsi="宋体"/>
          <w:b/>
          <w:sz w:val="24"/>
          <w:szCs w:val="24"/>
          <w:highlight w:val="none"/>
        </w:rPr>
        <w:t xml:space="preserve">：</w:t>
      </w:r>
      <w:r>
        <w:rPr>
          <w:rFonts w:hint="eastAsia" w:ascii="宋体" w:hAnsi="宋体"/>
          <w:bCs/>
          <w:sz w:val="24"/>
          <w:szCs w:val="24"/>
          <w:highlight w:val="none"/>
          <w:lang w:val="zh-CN"/>
        </w:rPr>
        <w:t xml:space="preserve">提供投标人法定代表人授权委托书（法定代表人亲自参加的无需提供）；</w:t>
      </w:r>
      <w:r/>
    </w:p>
    <w:p>
      <w:pPr>
        <w:numPr>
          <w:ilvl w:val="0"/>
          <w:numId w:val="2"/>
        </w:numPr>
        <w:ind w:firstLine="482"/>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
          <w:sz w:val="24"/>
          <w:szCs w:val="24"/>
          <w:highlight w:val="none"/>
          <w:lang w:val="zh-CN"/>
        </w:rPr>
        <w:t xml:space="preserve">具有独立承担民事责任的能力：</w:t>
      </w:r>
      <w:r>
        <w:rPr>
          <w:rFonts w:hint="eastAsia" w:ascii="宋体" w:hAnsi="宋体"/>
          <w:bCs/>
          <w:sz w:val="24"/>
          <w:szCs w:val="24"/>
          <w:highlight w:val="none"/>
          <w:lang w:val="zh-CN"/>
        </w:rPr>
        <w:t xml:space="preserve">提供投标人营业执照或法人（登记）证书，投标人为自然人的提供自然人身份证；</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具有良好的商业信誉和健全的财务会计制度：</w:t>
      </w: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有依法缴纳税收的良好记录：</w:t>
      </w:r>
      <w:r>
        <w:rPr>
          <w:rFonts w:hint="eastAsia" w:ascii="宋体" w:hAnsi="宋体"/>
          <w:bCs/>
          <w:sz w:val="24"/>
          <w:szCs w:val="24"/>
          <w:highlight w:val="none"/>
          <w:lang w:val="zh-CN"/>
        </w:rPr>
        <w:t xml:space="preserve">提供投标人依法缴纳近十二个月中任意一个月份税收的相关材料（提供相关主管部门证明或银行代扣证明）；</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有依法缴纳社会保障资金的良好记录：</w:t>
      </w:r>
      <w:r>
        <w:rPr>
          <w:rFonts w:hint="eastAsia" w:ascii="宋体" w:hAnsi="宋体"/>
          <w:bCs/>
          <w:sz w:val="24"/>
          <w:szCs w:val="24"/>
          <w:highlight w:val="none"/>
          <w:lang w:val="zh-CN"/>
        </w:rPr>
        <w:t xml:space="preserve">提供投标人依法缴纳近十二个月中任意一个月份社会保障资金的相关材料（提供相关主管部门证明或银行代扣证明）；</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b/>
          <w:sz w:val="24"/>
          <w:szCs w:val="24"/>
          <w:highlight w:val="none"/>
        </w:rPr>
        <w:t xml:space="preserve">无不良信用记录：</w:t>
      </w:r>
      <w:r>
        <w:rPr>
          <w:rFonts w:hint="eastAsia" w:ascii="宋体" w:hAnsi="宋体"/>
          <w:bCs/>
          <w:sz w:val="24"/>
          <w:szCs w:val="24"/>
          <w:highlight w:val="none"/>
        </w:rPr>
        <w:t xml:space="preserve">未被“信用中国”（www.creditchina.gov.cn)、中国政府采购网（www.ccgp.gov.cn）列入失信被执行人、重大税收违法失信主体、政府采购严重违法失信行为记录名单（在限制期内）；</w:t>
      </w:r>
      <w:r>
        <w:rPr>
          <w:rFonts w:hint="eastAsia" w:ascii="宋体" w:hAnsi="宋体"/>
          <w:b/>
          <w:bCs w:val="0"/>
          <w:sz w:val="24"/>
          <w:szCs w:val="24"/>
          <w:highlight w:val="none"/>
        </w:rPr>
        <w:t xml:space="preserve">（若投标人企业信息已录入以上网站的，无需提供相关证明材料；若投标人企业信息未录入以上网站的，以投标人提供的资格声明函中作出的无不良信用记录承诺为准）</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b/>
          <w:bCs/>
          <w:sz w:val="24"/>
          <w:szCs w:val="24"/>
          <w:highlight w:val="none"/>
        </w:rPr>
        <w:t xml:space="preserve">联合体：</w:t>
      </w:r>
      <w:r>
        <w:rPr>
          <w:rFonts w:hint="eastAsia" w:ascii="宋体" w:hAnsi="宋体"/>
          <w:sz w:val="24"/>
          <w:szCs w:val="24"/>
          <w:highlight w:val="none"/>
        </w:rPr>
        <w:t xml:space="preserve">如采购人要求组成联合体或采购人允许组成联合体且投标人组成联合体的，应提供有效的联合体协议书，否则无需提供；</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b/>
          <w:bCs/>
          <w:sz w:val="24"/>
          <w:szCs w:val="24"/>
          <w:highlight w:val="none"/>
        </w:rPr>
        <w:t xml:space="preserve">分包：</w:t>
      </w:r>
      <w:r>
        <w:rPr>
          <w:rFonts w:hint="eastAsia" w:ascii="宋体" w:hAnsi="宋体"/>
          <w:sz w:val="24"/>
          <w:szCs w:val="24"/>
          <w:highlight w:val="none"/>
        </w:rPr>
        <w:t xml:space="preserve">如采购人要求分包或采购人允许分包且投标人有分包意向的，应提供有效的分包情况说明，否则无需提供；</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b/>
          <w:bCs/>
          <w:sz w:val="24"/>
          <w:szCs w:val="24"/>
          <w:highlight w:val="none"/>
        </w:rPr>
        <w:t xml:space="preserve">中小企业声明：</w:t>
      </w:r>
      <w:r>
        <w:rPr>
          <w:rFonts w:hint="eastAsia" w:ascii="宋体" w:hAnsi="宋体"/>
          <w:sz w:val="24"/>
          <w:szCs w:val="24"/>
          <w:highlight w:val="none"/>
        </w:rPr>
        <w:t xml:space="preserve">如专门面向中小企业采购的，投标人应提供有效的《中小企业声明函》或《残疾人福利性单位声明函》或监狱企业的证明文件，否则此处无需提供； </w:t>
      </w:r>
      <w:r/>
    </w:p>
    <w:p>
      <w:pPr>
        <w:numPr>
          <w:ilvl w:val="0"/>
          <w:numId w:val="2"/>
        </w:numPr>
        <w:ind w:left="0" w:firstLine="482"/>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b/>
          <w:bCs/>
          <w:sz w:val="24"/>
          <w:szCs w:val="24"/>
          <w:highlight w:val="none"/>
        </w:rPr>
        <w:t xml:space="preserve">特定资格要求：</w:t>
      </w:r>
      <w:r>
        <w:rPr>
          <w:rFonts w:hint="eastAsia" w:ascii="宋体" w:hAnsi="宋体"/>
          <w:b w:val="0"/>
          <w:bCs w:val="0"/>
          <w:sz w:val="24"/>
          <w:szCs w:val="24"/>
          <w:highlight w:val="none"/>
          <w:lang w:eastAsia="zh-CN"/>
        </w:rPr>
        <w:t xml:space="preserve">无</w:t>
      </w:r>
      <w:r>
        <w:rPr>
          <w:rFonts w:hint="eastAsia" w:ascii="宋体" w:hAnsi="宋体"/>
          <w:sz w:val="24"/>
          <w:szCs w:val="24"/>
          <w:highlight w:val="none"/>
        </w:rPr>
        <w:t xml:space="preserve">。</w:t>
      </w:r>
      <w:r/>
    </w:p>
    <w:p>
      <w:pPr>
        <w:ind w:firstLine="480"/>
        <w:keepLines w:val="0"/>
        <w:keepNext w:val="0"/>
        <w:pageBreakBefore w:val="0"/>
        <w:spacing w:line="360" w:lineRule="auto"/>
        <w:widowControl w:val="off"/>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注：以上近六个月、近十二个月是从提交投标文件截止日向前推算（不含投标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bookmarkEnd w:id="6"/>
      <w:r/>
      <w:r/>
    </w:p>
    <w:p>
      <w:pPr>
        <w:numPr>
          <w:ilvl w:val="0"/>
          <w:numId w:val="1"/>
        </w:numPr>
        <w:ind w:left="0" w:firstLine="482"/>
        <w:keepLines w:val="0"/>
        <w:keepNext w:val="0"/>
        <w:pageBreakBefore w:val="0"/>
        <w:spacing w:line="360" w:lineRule="auto"/>
        <w:widowControl w:val="off"/>
        <w:rPr>
          <w:rFonts w:hint="eastAsia" w:ascii="宋体" w:hAnsi="宋体" w:cs="Times New Roman"/>
          <w:b/>
          <w:bCs/>
          <w:sz w:val="24"/>
          <w:szCs w:val="21"/>
          <w:highlight w:val="none"/>
          <w:lang w:val="zh-CN"/>
        </w:rPr>
      </w:pPr>
      <w:r>
        <w:rPr>
          <w:rFonts w:hint="eastAsia" w:ascii="宋体" w:hAnsi="宋体" w:cs="Times New Roman"/>
          <w:b/>
          <w:bCs/>
          <w:sz w:val="24"/>
          <w:szCs w:val="21"/>
          <w:highlight w:val="none"/>
          <w:lang w:val="zh-CN"/>
        </w:rPr>
        <w:t xml:space="preserve">符合条件</w:t>
      </w:r>
      <w:r/>
    </w:p>
    <w:p>
      <w:pPr>
        <w:numPr>
          <w:ilvl w:val="0"/>
          <w:numId w:val="3"/>
        </w:numPr>
        <w:ind w:left="0" w:firstLine="480"/>
        <w:keepLines w:val="0"/>
        <w:keepNext w:val="0"/>
        <w:pageBreakBefore w:val="0"/>
        <w:spacing w:line="360" w:lineRule="auto"/>
        <w:widowControl w:val="off"/>
        <w:tabs>
          <w:tab w:val="left" w:pos="0" w:leader="none"/>
          <w:tab w:val="left" w:pos="255" w:leader="none"/>
        </w:tabs>
        <w:rPr>
          <w:rFonts w:hint="eastAsia" w:ascii="宋体" w:hAnsi="宋体"/>
          <w:b w:val="0"/>
          <w:bCs w:val="0"/>
          <w:sz w:val="24"/>
          <w:szCs w:val="24"/>
          <w:highlight w:val="none"/>
          <w:lang w:val="zh-CN"/>
        </w:rPr>
      </w:pPr>
      <w:r>
        <w:rPr>
          <w:rFonts w:hint="eastAsia" w:ascii="宋体" w:hAnsi="宋体"/>
          <w:b w:val="0"/>
          <w:bCs w:val="0"/>
          <w:sz w:val="24"/>
          <w:szCs w:val="24"/>
          <w:highlight w:val="none"/>
          <w:lang w:val="zh-CN"/>
        </w:rPr>
        <w:t xml:space="preserve">投标函</w:t>
      </w:r>
      <w:r/>
    </w:p>
    <w:p>
      <w:pPr>
        <w:numPr>
          <w:ilvl w:val="0"/>
          <w:numId w:val="3"/>
        </w:numPr>
        <w:ind w:left="0" w:firstLine="480"/>
        <w:keepLines w:val="0"/>
        <w:keepNext w:val="0"/>
        <w:pageBreakBefore w:val="0"/>
        <w:spacing w:line="360" w:lineRule="auto"/>
        <w:widowControl w:val="off"/>
        <w:tabs>
          <w:tab w:val="left" w:pos="0" w:leader="none"/>
          <w:tab w:val="left" w:pos="255" w:leader="none"/>
        </w:tabs>
        <w:rPr>
          <w:rFonts w:hint="eastAsia" w:ascii="宋体" w:hAnsi="宋体"/>
          <w:b w:val="0"/>
          <w:bCs w:val="0"/>
          <w:sz w:val="24"/>
          <w:szCs w:val="24"/>
          <w:highlight w:val="none"/>
          <w:lang w:val="zh-CN"/>
        </w:rPr>
      </w:pPr>
      <w:r>
        <w:rPr>
          <w:rFonts w:hint="eastAsia" w:ascii="宋体" w:hAnsi="宋体"/>
          <w:b w:val="0"/>
          <w:bCs w:val="0"/>
          <w:sz w:val="24"/>
          <w:szCs w:val="24"/>
          <w:highlight w:val="none"/>
          <w:lang w:val="zh-CN"/>
        </w:rPr>
        <w:t xml:space="preserve">明细报价表</w:t>
      </w:r>
      <w:r/>
    </w:p>
    <w:p>
      <w:pPr>
        <w:numPr>
          <w:ilvl w:val="0"/>
          <w:numId w:val="3"/>
        </w:numPr>
        <w:ind w:left="0" w:firstLine="480"/>
        <w:keepLines w:val="0"/>
        <w:keepNext w:val="0"/>
        <w:pageBreakBefore w:val="0"/>
        <w:spacing w:line="360" w:lineRule="auto"/>
        <w:widowControl w:val="off"/>
        <w:tabs>
          <w:tab w:val="left" w:pos="0" w:leader="none"/>
          <w:tab w:val="left" w:pos="255" w:leader="none"/>
        </w:tabs>
        <w:rPr>
          <w:rFonts w:hint="eastAsia" w:ascii="宋体" w:hAnsi="宋体"/>
          <w:b w:val="0"/>
          <w:bCs w:val="0"/>
          <w:sz w:val="24"/>
          <w:szCs w:val="24"/>
          <w:highlight w:val="none"/>
          <w:lang w:val="zh-CN"/>
        </w:rPr>
      </w:pPr>
      <w:r>
        <w:rPr>
          <w:rFonts w:hint="eastAsia" w:ascii="宋体" w:hAnsi="宋体"/>
          <w:b w:val="0"/>
          <w:bCs w:val="0"/>
          <w:sz w:val="24"/>
          <w:szCs w:val="24"/>
          <w:highlight w:val="none"/>
          <w:lang w:val="zh-CN"/>
        </w:rPr>
        <w:t xml:space="preserve">项目技术要求偏离表</w:t>
      </w:r>
      <w:r/>
    </w:p>
    <w:p>
      <w:pPr>
        <w:numPr>
          <w:ilvl w:val="0"/>
          <w:numId w:val="3"/>
        </w:numPr>
        <w:ind w:left="0" w:firstLine="480"/>
        <w:keepLines w:val="0"/>
        <w:keepNext w:val="0"/>
        <w:pageBreakBefore w:val="0"/>
        <w:spacing w:line="360" w:lineRule="auto"/>
        <w:widowControl w:val="off"/>
        <w:tabs>
          <w:tab w:val="left" w:pos="0" w:leader="none"/>
          <w:tab w:val="left" w:pos="255" w:leader="none"/>
        </w:tabs>
        <w:rPr>
          <w:rFonts w:hint="eastAsia" w:ascii="宋体" w:hAnsi="宋体"/>
          <w:b w:val="0"/>
          <w:bCs w:val="0"/>
          <w:sz w:val="24"/>
          <w:szCs w:val="24"/>
          <w:highlight w:val="none"/>
          <w:lang w:val="zh-CN"/>
        </w:rPr>
      </w:pPr>
      <w:r>
        <w:rPr>
          <w:rFonts w:hint="eastAsia" w:ascii="宋体" w:hAnsi="宋体"/>
          <w:b w:val="0"/>
          <w:bCs w:val="0"/>
          <w:sz w:val="24"/>
          <w:szCs w:val="24"/>
          <w:highlight w:val="none"/>
          <w:lang w:val="zh-CN"/>
        </w:rPr>
        <w:t xml:space="preserve">项目人员配置清单</w:t>
      </w:r>
      <w:r/>
    </w:p>
    <w:p>
      <w:pPr>
        <w:numPr>
          <w:ilvl w:val="0"/>
          <w:numId w:val="3"/>
        </w:numPr>
        <w:ind w:left="0" w:firstLine="480"/>
        <w:keepLines w:val="0"/>
        <w:keepNext w:val="0"/>
        <w:pageBreakBefore w:val="0"/>
        <w:spacing w:line="360" w:lineRule="auto"/>
        <w:widowControl w:val="off"/>
        <w:tabs>
          <w:tab w:val="left" w:pos="0" w:leader="none"/>
          <w:tab w:val="left" w:pos="255" w:leader="none"/>
        </w:tabs>
        <w:rPr>
          <w:rFonts w:hint="eastAsia" w:ascii="宋体" w:hAnsi="宋体"/>
          <w:b w:val="0"/>
          <w:bCs w:val="0"/>
          <w:sz w:val="24"/>
          <w:szCs w:val="24"/>
          <w:highlight w:val="none"/>
          <w:lang w:val="zh-CN"/>
        </w:rPr>
      </w:pPr>
      <w:r>
        <w:rPr>
          <w:rFonts w:hint="eastAsia" w:ascii="宋体" w:hAnsi="宋体"/>
          <w:b w:val="0"/>
          <w:bCs w:val="0"/>
          <w:sz w:val="24"/>
          <w:szCs w:val="24"/>
          <w:highlight w:val="none"/>
          <w:lang w:val="zh-CN"/>
        </w:rPr>
        <w:t xml:space="preserve">服务内容详细说明（格式自拟）</w:t>
      </w:r>
      <w:r/>
    </w:p>
    <w:p>
      <w:pPr>
        <w:numPr>
          <w:ilvl w:val="0"/>
          <w:numId w:val="1"/>
        </w:numPr>
        <w:ind w:left="0" w:firstLine="482"/>
        <w:keepLines w:val="0"/>
        <w:keepNext w:val="0"/>
        <w:pageBreakBefore w:val="0"/>
        <w:spacing w:line="360" w:lineRule="auto"/>
        <w:widowControl w:val="off"/>
        <w:rPr>
          <w:rFonts w:hint="eastAsia" w:ascii="宋体" w:hAnsi="宋体" w:cs="Times New Roman"/>
          <w:b/>
          <w:bCs/>
          <w:sz w:val="24"/>
          <w:szCs w:val="21"/>
          <w:highlight w:val="none"/>
          <w:lang w:val="zh-CN"/>
        </w:rPr>
      </w:pPr>
      <w:r>
        <w:rPr>
          <w:rFonts w:hint="eastAsia" w:ascii="宋体" w:hAnsi="宋体" w:cs="Times New Roman"/>
          <w:b/>
          <w:bCs/>
          <w:sz w:val="24"/>
          <w:szCs w:val="21"/>
          <w:highlight w:val="none"/>
          <w:lang w:val="zh-CN"/>
        </w:rPr>
        <w:t xml:space="preserve">价格折扣文件</w:t>
      </w:r>
      <w:r/>
    </w:p>
    <w:p>
      <w:pPr>
        <w:numPr>
          <w:ilvl w:val="0"/>
          <w:numId w:val="1"/>
        </w:numPr>
        <w:ind w:left="0" w:firstLine="482"/>
        <w:keepLines w:val="0"/>
        <w:keepNext w:val="0"/>
        <w:pageBreakBefore w:val="0"/>
        <w:spacing w:line="360" w:lineRule="auto"/>
        <w:widowControl w:val="off"/>
        <w:rPr>
          <w:rFonts w:hint="eastAsia" w:ascii="宋体" w:hAnsi="宋体" w:cs="Times New Roman"/>
          <w:b/>
          <w:bCs/>
          <w:sz w:val="24"/>
          <w:szCs w:val="21"/>
          <w:highlight w:val="none"/>
          <w:lang w:val="zh-CN"/>
        </w:rPr>
      </w:pPr>
      <w:r>
        <w:rPr>
          <w:rFonts w:hint="eastAsia" w:ascii="宋体" w:hAnsi="宋体" w:cs="Times New Roman"/>
          <w:b/>
          <w:bCs/>
          <w:sz w:val="24"/>
          <w:szCs w:val="21"/>
          <w:highlight w:val="none"/>
          <w:lang w:val="zh-CN"/>
        </w:rPr>
        <w:t xml:space="preserve">其他相关材料</w:t>
      </w:r>
      <w:r/>
    </w:p>
    <w:p>
      <w:pPr>
        <w:ind w:firstLine="482"/>
        <w:keepLines w:val="0"/>
        <w:keepNext w:val="0"/>
        <w:pageBreakBefore w:val="0"/>
        <w:spacing w:line="360" w:lineRule="auto"/>
        <w:widowControl w:val="off"/>
        <w:rPr>
          <w:rFonts w:hint="eastAsia" w:ascii="宋体" w:hAnsi="宋体" w:eastAsia="宋体"/>
          <w:bCs/>
          <w:sz w:val="24"/>
          <w:szCs w:val="24"/>
          <w:highlight w:val="none"/>
          <w:lang w:val="zh-CN" w:eastAsia="zh-CN"/>
        </w:rPr>
      </w:pPr>
      <w:r>
        <w:rPr>
          <w:rFonts w:hint="eastAsia" w:ascii="宋体" w:hAnsi="宋体"/>
          <w:b/>
          <w:bCs w:val="0"/>
          <w:sz w:val="24"/>
          <w:szCs w:val="24"/>
          <w:highlight w:val="none"/>
        </w:rPr>
        <w:t xml:space="preserve">上述（2）和（3）内容投标人应按要求提供有效证明材料，否则投标无效，相关材料格式见“第六章 投标文件（格式）”。</w:t>
      </w:r>
      <w:r>
        <w:rPr>
          <w:rFonts w:hint="eastAsia" w:ascii="宋体" w:hAnsi="宋体"/>
          <w:b w:val="0"/>
          <w:bCs/>
          <w:sz w:val="24"/>
          <w:szCs w:val="24"/>
          <w:highlight w:val="none"/>
        </w:rPr>
        <w:t xml:space="preserve">若未提供被授权代表授权委托书，视为投标人法定代表人亲自参加。如上述证明文件遇年检、换证，则必须提供法定年检、换证单位出具的有效</w:t>
      </w:r>
      <w:r>
        <w:rPr>
          <w:rFonts w:hint="eastAsia" w:ascii="宋体" w:hAnsi="宋体"/>
          <w:b w:val="0"/>
          <w:bCs/>
          <w:sz w:val="24"/>
          <w:szCs w:val="24"/>
          <w:highlight w:val="none"/>
        </w:rPr>
        <w:t xml:space="preserve">证明。具有良好的商业信誉和健全的财务会计制度仅针对供应商为非自然人。如上述“（2）资格条件”第⑤、⑥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r/>
    </w:p>
    <w:p>
      <w:pPr>
        <w:ind w:firstLine="482"/>
        <w:keepLines w:val="0"/>
        <w:keepNext w:val="0"/>
        <w:pageBreakBefore w:val="0"/>
        <w:spacing w:line="360" w:lineRule="auto"/>
        <w:widowControl w:val="off"/>
        <w:rPr>
          <w:rFonts w:hint="eastAsia" w:ascii="宋体" w:hAnsi="宋体"/>
          <w:b/>
          <w:sz w:val="24"/>
          <w:szCs w:val="24"/>
          <w:highlight w:val="none"/>
        </w:rPr>
      </w:pPr>
      <w:r/>
      <w:bookmarkStart w:id="7" w:name="OLE_LINK100"/>
      <w:r>
        <w:rPr>
          <w:rFonts w:hint="eastAsia" w:ascii="宋体" w:hAnsi="宋体"/>
          <w:b/>
          <w:sz w:val="24"/>
          <w:szCs w:val="24"/>
          <w:highlight w:val="none"/>
        </w:rPr>
        <w:t xml:space="preserve">10、投标报价</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10.1 所有投标均以人民币报价。投标人的投标报价应遵守《中华人民共和国价格法》。同时，根据《中华人民共和国政府采购法》第二条的规定，为保证公平竞争，如有货物主体部分的赠与行为，其投标将被认定为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10.2 投标报价应包含完成本服务项目发生的所有含税费用、支付给员工的工资和国家强制缴纳的各种社会保障资金，以及投标人认为需要的其他费用等。</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10.3 投标人所报的各分项投标单价在合同履行过程中是固定不变的，不得以任何理由予以变更。任何包含价格调整要求的投标，其投标将被认定为投标无效。</w:t>
      </w:r>
      <w:r/>
    </w:p>
    <w:p>
      <w:pPr>
        <w:ind w:firstLine="480"/>
        <w:keepLines w:val="0"/>
        <w:keepNext w:val="0"/>
        <w:pageBreakBefore w:val="0"/>
        <w:spacing w:line="360" w:lineRule="auto"/>
        <w:widowControl w:val="off"/>
        <w:rPr>
          <w:rFonts w:hint="eastAsia" w:ascii="宋体" w:hAnsi="宋体"/>
          <w:b/>
          <w:sz w:val="24"/>
          <w:szCs w:val="24"/>
          <w:highlight w:val="none"/>
        </w:rPr>
      </w:pPr>
      <w:r>
        <w:rPr>
          <w:rFonts w:hint="eastAsia" w:ascii="宋体" w:hAnsi="宋体"/>
          <w:bCs/>
          <w:sz w:val="24"/>
          <w:szCs w:val="24"/>
          <w:highlight w:val="none"/>
        </w:rPr>
        <w:t xml:space="preserve">10.4 每种服务只能有一个投标报价。采购人不接受具有附加条件的报价</w:t>
      </w:r>
      <w:r>
        <w:rPr>
          <w:rFonts w:hint="eastAsia" w:ascii="宋体" w:hAnsi="宋体"/>
          <w:bCs/>
          <w:sz w:val="24"/>
          <w:szCs w:val="24"/>
          <w:highlight w:val="none"/>
          <w:lang w:val="zh-CN"/>
        </w:rPr>
        <w:t xml:space="preserve">。</w:t>
      </w:r>
      <w:bookmarkEnd w:id="7"/>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11、投标文件的制作</w:t>
      </w:r>
      <w:r/>
    </w:p>
    <w:p>
      <w:pPr>
        <w:ind w:firstLine="480"/>
        <w:keepLines w:val="0"/>
        <w:keepNext w:val="0"/>
        <w:pageBreakBefore w:val="0"/>
        <w:spacing w:line="360" w:lineRule="auto"/>
        <w:widowControl w:val="off"/>
        <w:rPr>
          <w:rFonts w:hint="eastAsia" w:ascii="宋体" w:hAnsi="宋体"/>
          <w:bCs/>
          <w:sz w:val="24"/>
          <w:szCs w:val="24"/>
          <w:highlight w:val="none"/>
        </w:rPr>
      </w:pPr>
      <w:r/>
      <w:bookmarkStart w:id="8" w:name="OLE_LINK123"/>
      <w:r>
        <w:rPr>
          <w:rFonts w:hint="eastAsia" w:ascii="宋体" w:hAnsi="宋体"/>
          <w:bCs/>
          <w:sz w:val="24"/>
          <w:szCs w:val="24"/>
          <w:highlight w:val="none"/>
        </w:rPr>
        <w:t xml:space="preserve">11.1 所有文件、往来函件均应使用简体中文（规格、型号辅助符号例外）。</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11.2 投标人所使用的计量单位应为国家法定计量单位。</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11.3 如投标人对招标文件的相关内容有不同意见的偏离，应在投标文件中详细说明偏离的情况，如未明确作出偏离情况的说明，则视同投标人承诺实质性响应招标文件的要求。</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11.4 不因投标文件的装订、纸张、文件排序等非实质性的格式、形式而否决投</w:t>
      </w:r>
      <w:r>
        <w:rPr>
          <w:rFonts w:hint="eastAsia" w:ascii="宋体" w:hAnsi="宋体"/>
          <w:bCs/>
          <w:sz w:val="24"/>
          <w:szCs w:val="24"/>
          <w:highlight w:val="none"/>
        </w:rPr>
        <w:t xml:space="preserve">标。本招标文件中要求提供相关证明材料的，原则上投标人在投标文件中提交相关证明材料原件扫描件,若投标人无法提供原件扫描件的，可以以电子照片、截图等其他方式提供。无论以何种方式提供的证明材料，彩色、黑白均认可，但必须保证证明材料的清晰完整、真实有效，否则由投标人自行承担证明材料被判定为无效的风险。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11.5投标人提交的投标文件中加盖的公章，均视为经投标人法定代表人同意或授权。</w:t>
      </w:r>
      <w:bookmarkEnd w:id="8"/>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12、电子投标文件</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1</w:t>
      </w:r>
      <w:r>
        <w:rPr>
          <w:rFonts w:hint="eastAsia" w:ascii="宋体" w:hAnsi="宋体"/>
          <w:b w:val="0"/>
          <w:bCs/>
          <w:sz w:val="24"/>
          <w:szCs w:val="24"/>
          <w:highlight w:val="none"/>
        </w:rPr>
        <w:t xml:space="preserve">2.1 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12.2 截止时间以后传输的投标文件，“苏采云”平台将拒绝接收。投标人应充分考虑网络环境、网络带宽等风险因素。 </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12.3 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 </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12.4 因不可抗力事件造成的投标文件的损坏、丢失的，</w:t>
      </w:r>
      <w:r>
        <w:rPr>
          <w:rFonts w:hint="eastAsia" w:ascii="宋体" w:hAnsi="宋体"/>
          <w:b w:val="0"/>
          <w:bCs/>
          <w:sz w:val="24"/>
          <w:szCs w:val="24"/>
          <w:highlight w:val="none"/>
          <w:lang w:eastAsia="zh-CN"/>
        </w:rPr>
        <w:t xml:space="preserve">采购代理机构</w:t>
      </w:r>
      <w:r>
        <w:rPr>
          <w:rFonts w:hint="eastAsia" w:ascii="宋体" w:hAnsi="宋体"/>
          <w:b w:val="0"/>
          <w:bCs/>
          <w:sz w:val="24"/>
          <w:szCs w:val="24"/>
          <w:highlight w:val="none"/>
        </w:rPr>
        <w:t xml:space="preserve">不承担责任。 </w:t>
      </w:r>
      <w:r/>
    </w:p>
    <w:p>
      <w:pPr>
        <w:ind w:firstLine="482"/>
        <w:keepLines w:val="0"/>
        <w:keepNext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13、</w:t>
      </w:r>
      <w:r>
        <w:rPr>
          <w:rFonts w:hint="eastAsia" w:ascii="宋体" w:hAnsi="宋体"/>
          <w:b/>
          <w:sz w:val="24"/>
          <w:szCs w:val="24"/>
          <w:highlight w:val="none"/>
        </w:rPr>
        <w:t xml:space="preserve">投标</w:t>
      </w:r>
      <w:r>
        <w:rPr>
          <w:rFonts w:hint="eastAsia" w:ascii="宋体" w:hAnsi="宋体"/>
          <w:b/>
          <w:bCs w:val="0"/>
          <w:sz w:val="24"/>
          <w:szCs w:val="24"/>
          <w:highlight w:val="none"/>
        </w:rPr>
        <w:t xml:space="preserve">文件的拒收</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在招标文件要求的投标截止时间之后提交的投标文件和招标文件规定拒收情形的将被拒收。</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、投标文件的真实性</w:t>
      </w:r>
      <w:r/>
    </w:p>
    <w:p>
      <w:pPr>
        <w:ind w:firstLine="480"/>
        <w:keepLines w:val="0"/>
        <w:keepNext w:val="0"/>
        <w:pageBreakBefore w:val="0"/>
        <w:spacing w:line="360" w:lineRule="auto"/>
        <w:widowControl w:val="off"/>
        <w:rPr>
          <w:rFonts w:hint="eastAsia" w:ascii="宋体" w:hAnsi="宋体"/>
          <w:sz w:val="24"/>
          <w:szCs w:val="28"/>
          <w:highlight w:val="none"/>
        </w:rPr>
      </w:pPr>
      <w:r/>
      <w:bookmarkStart w:id="9" w:name="OLE_LINK31"/>
      <w:r>
        <w:rPr>
          <w:rFonts w:hint="eastAsia" w:ascii="宋体" w:hAnsi="宋体"/>
          <w:sz w:val="24"/>
          <w:szCs w:val="28"/>
          <w:highlight w:val="none"/>
        </w:rPr>
        <w:t xml:space="preserve">4.1 投标人（含中标供应商）应对其投标文件中提供的所有材料的真实性负责。</w:t>
      </w:r>
      <w:r/>
    </w:p>
    <w:p>
      <w:pPr>
        <w:ind w:firstLine="480"/>
        <w:keepLines w:val="0"/>
        <w:keepNext w:val="0"/>
        <w:pageBreakBefore w:val="0"/>
        <w:spacing w:line="360" w:lineRule="auto"/>
        <w:widowControl w:val="off"/>
        <w:rPr>
          <w:rFonts w:hint="eastAsia" w:ascii="宋体" w:hAnsi="宋体"/>
          <w:sz w:val="24"/>
          <w:szCs w:val="28"/>
          <w:highlight w:val="none"/>
        </w:rPr>
      </w:pPr>
      <w:r>
        <w:rPr>
          <w:rFonts w:hint="eastAsia" w:ascii="宋体" w:hAnsi="宋体"/>
          <w:sz w:val="24"/>
          <w:szCs w:val="28"/>
          <w:highlight w:val="none"/>
        </w:rPr>
        <w:t xml:space="preserve">14.2 如采购人、</w:t>
      </w:r>
      <w:r>
        <w:rPr>
          <w:rFonts w:hint="eastAsia" w:ascii="宋体" w:hAnsi="宋体"/>
          <w:sz w:val="24"/>
          <w:szCs w:val="28"/>
          <w:highlight w:val="none"/>
          <w:lang w:eastAsia="zh-CN"/>
        </w:rPr>
        <w:t xml:space="preserve">采购代理机构</w:t>
      </w:r>
      <w:r>
        <w:rPr>
          <w:rFonts w:hint="eastAsia" w:ascii="宋体" w:hAnsi="宋体"/>
          <w:sz w:val="24"/>
          <w:szCs w:val="28"/>
          <w:highlight w:val="none"/>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9"/>
      <w:r/>
      <w:r/>
    </w:p>
    <w:p>
      <w:pPr>
        <w:ind w:firstLine="482"/>
        <w:keepLines w:val="0"/>
        <w:keepNext w:val="0"/>
        <w:pageBreakBefore w:val="0"/>
        <w:spacing w:line="360" w:lineRule="auto"/>
        <w:widowControl w:val="off"/>
        <w:rPr>
          <w:rFonts w:hint="eastAsia" w:ascii="宋体" w:hAnsi="宋体"/>
          <w:b/>
          <w:sz w:val="24"/>
          <w:szCs w:val="24"/>
          <w:highlight w:val="none"/>
        </w:rPr>
      </w:pPr>
      <w:r/>
      <w:bookmarkStart w:id="10" w:name="OLE_LINK32"/>
      <w:r>
        <w:rPr>
          <w:rFonts w:hint="eastAsia" w:ascii="宋体" w:hAnsi="宋体"/>
          <w:b/>
          <w:sz w:val="24"/>
          <w:szCs w:val="24"/>
          <w:highlight w:val="none"/>
        </w:rPr>
        <w:t xml:space="preserve">15、投标文件的有效期</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15.1 投标文件的有效期为投标截止之日起的60天（含投标截止当日）。在特殊情况下，采购人、采购</w:t>
      </w:r>
      <w:r>
        <w:rPr>
          <w:rFonts w:hint="eastAsia" w:ascii="宋体" w:hAnsi="宋体"/>
          <w:bCs/>
          <w:sz w:val="24"/>
          <w:szCs w:val="24"/>
          <w:highlight w:val="none"/>
          <w:lang w:eastAsia="zh-CN"/>
        </w:rPr>
        <w:t xml:space="preserve">代理</w:t>
      </w:r>
      <w:r>
        <w:rPr>
          <w:rFonts w:hint="eastAsia" w:ascii="宋体" w:hAnsi="宋体"/>
          <w:bCs/>
          <w:sz w:val="24"/>
          <w:szCs w:val="24"/>
          <w:highlight w:val="none"/>
        </w:rPr>
        <w:t xml:space="preserve">机构可与投标人协商延长投标文件的有效期。</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16、投标文件的退还</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16.1 </w:t>
      </w:r>
      <w:r>
        <w:rPr>
          <w:rFonts w:hint="eastAsia" w:ascii="宋体" w:hAnsi="宋体"/>
          <w:bCs/>
          <w:sz w:val="24"/>
          <w:szCs w:val="24"/>
          <w:highlight w:val="none"/>
          <w:lang w:val="zh-CN"/>
        </w:rPr>
        <w:t xml:space="preserve">投标截止时间后，采购人和采购代理机构对所有投标人的投标文件一律不予退还</w:t>
      </w:r>
      <w:r>
        <w:rPr>
          <w:rFonts w:hint="eastAsia" w:ascii="宋体" w:hAnsi="宋体"/>
          <w:bCs/>
          <w:sz w:val="24"/>
          <w:szCs w:val="24"/>
          <w:highlight w:val="none"/>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17、投标文件的</w:t>
      </w:r>
      <w:r>
        <w:rPr>
          <w:rFonts w:hint="eastAsia" w:ascii="宋体" w:hAnsi="宋体"/>
          <w:b/>
          <w:sz w:val="24"/>
          <w:szCs w:val="24"/>
          <w:highlight w:val="none"/>
          <w:lang w:val="zh-CN"/>
        </w:rPr>
        <w:t xml:space="preserve">补充、修改或撤回</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17.1 投标人在投标截止时间前，可以对所提交的投标文件进行补充、修改或撤回。补充、修改的内容应当按照招标文件要求签署、盖章后，并作为投标文件的组成部分。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17.2 在投标截止时间之后，采购人、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、评标委员会不接受投标人主动对其投标文件做任何补充、修改。</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rPr>
        <w:t xml:space="preserve">18、</w:t>
      </w:r>
      <w:r>
        <w:rPr>
          <w:rFonts w:hint="eastAsia" w:ascii="宋体" w:hAnsi="宋体"/>
          <w:b/>
          <w:sz w:val="24"/>
          <w:szCs w:val="24"/>
          <w:highlight w:val="none"/>
          <w:lang w:val="zh-CN"/>
        </w:rPr>
        <w:t xml:space="preserve">无效投标的确认</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投标人有下列情况之一者，其投标无效：</w:t>
      </w:r>
      <w:bookmarkEnd w:id="10"/>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投标文件未按招标文件规定签署或盖章的；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不具备招标文件中“投标人参加本次政府采购活动应具备的资格条件”或未按招标文件规定的要求提供有效资格证明文件的；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投标文件中有招标文件未允许提供的选择性内容的；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投标文件含有采购人不能接受的附加条件的；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报价超过招标文件中规定的项目（或采购包）预算金额或者最高限价的；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投标文件报价出现前后不一致，且投标人拒绝修正的；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评标委员会认为投标人的报价明显低于其他通过符合性审查投标人的报价，有可能影响产品质量或者不能诚信履约，且投标人不能证明其报价合理性的；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属于招标文件“不得参加本次采购活动”的投标人的；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与其他投标人串通投标的，包括但不限于以下几种情况：</w:t>
      </w:r>
      <w:r/>
    </w:p>
    <w:p>
      <w:pPr>
        <w:numPr>
          <w:ilvl w:val="0"/>
          <w:numId w:val="5"/>
        </w:numPr>
        <w:ind w:firstLine="840"/>
        <w:keepLines w:val="0"/>
        <w:keepNext w:val="0"/>
        <w:pageBreakBefore w:val="0"/>
        <w:spacing w:line="360" w:lineRule="auto"/>
        <w:widowControl w:val="off"/>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不同投标人的投标文件由同一单位或者个人编制；</w:t>
      </w:r>
      <w:r/>
    </w:p>
    <w:p>
      <w:pPr>
        <w:numPr>
          <w:ilvl w:val="0"/>
          <w:numId w:val="5"/>
        </w:numPr>
        <w:ind w:firstLine="840"/>
        <w:keepLines w:val="0"/>
        <w:keepNext w:val="0"/>
        <w:pageBreakBefore w:val="0"/>
        <w:spacing w:line="360" w:lineRule="auto"/>
        <w:widowControl w:val="off"/>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不同投标人委托同一单位或者个人办理报价事宜；</w:t>
      </w:r>
      <w:r/>
    </w:p>
    <w:p>
      <w:pPr>
        <w:numPr>
          <w:ilvl w:val="0"/>
          <w:numId w:val="5"/>
        </w:numPr>
        <w:ind w:firstLine="840"/>
        <w:keepLines w:val="0"/>
        <w:keepNext w:val="0"/>
        <w:pageBreakBefore w:val="0"/>
        <w:spacing w:line="360" w:lineRule="auto"/>
        <w:widowControl w:val="off"/>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不同投标人的投标文件载明的项目管理成员或者联系人员为同一人；</w:t>
      </w:r>
      <w:r/>
    </w:p>
    <w:p>
      <w:pPr>
        <w:numPr>
          <w:ilvl w:val="0"/>
          <w:numId w:val="5"/>
        </w:numPr>
        <w:ind w:firstLine="840"/>
        <w:keepLines w:val="0"/>
        <w:keepNext w:val="0"/>
        <w:pageBreakBefore w:val="0"/>
        <w:spacing w:line="360" w:lineRule="auto"/>
        <w:widowControl w:val="off"/>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不同投标人的投标文件异常一致或者报价呈规律性差异；</w:t>
      </w:r>
      <w:r/>
    </w:p>
    <w:p>
      <w:pPr>
        <w:numPr>
          <w:ilvl w:val="0"/>
          <w:numId w:val="5"/>
        </w:numPr>
        <w:ind w:firstLine="840"/>
        <w:keepLines w:val="0"/>
        <w:keepNext w:val="0"/>
        <w:pageBreakBefore w:val="0"/>
        <w:spacing w:line="360" w:lineRule="auto"/>
        <w:widowControl w:val="off"/>
        <w:tabs>
          <w:tab w:val="left" w:pos="425" w:leader="none"/>
        </w:tabs>
        <w:rPr>
          <w:rFonts w:hint="eastAsia" w:ascii="宋体" w:hAnsi="宋体"/>
          <w:bCs/>
          <w:sz w:val="24"/>
          <w:szCs w:val="24"/>
          <w:highlight w:val="none"/>
          <w:lang w:val="zh-CN"/>
        </w:rPr>
      </w:pPr>
      <w:r>
        <w:rPr>
          <w:rFonts w:hint="eastAsia" w:ascii="宋体" w:hAnsi="宋体" w:cs="宋体"/>
          <w:sz w:val="24"/>
          <w:szCs w:val="24"/>
          <w:highlight w:val="none"/>
          <w:lang w:val="zh-CN"/>
        </w:rPr>
        <w:t xml:space="preserve">不同投标人的投标文件相互混装</w:t>
      </w:r>
      <w:r>
        <w:rPr>
          <w:rFonts w:hint="eastAsia" w:ascii="宋体" w:hAnsi="宋体"/>
          <w:bCs/>
          <w:sz w:val="24"/>
          <w:szCs w:val="24"/>
          <w:highlight w:val="none"/>
          <w:lang w:val="zh-CN"/>
        </w:rPr>
        <w:t xml:space="preserve">。</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提供虚假材料（含虚假承诺）的；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投标文件内容不全、实质性内容无法辨认或自相矛盾、不符合法律法规规定、不符合招标文件中规定的实质性要求，其中之一的；</w:t>
      </w:r>
      <w:r/>
    </w:p>
    <w:p>
      <w:pPr>
        <w:numPr>
          <w:ilvl w:val="0"/>
          <w:numId w:val="4"/>
        </w:numPr>
        <w:keepLines w:val="0"/>
        <w:keepNext w:val="0"/>
        <w:pageBreakBefore w:val="0"/>
        <w:spacing w:line="360" w:lineRule="auto"/>
        <w:widowControl w:val="off"/>
        <w:tabs>
          <w:tab w:val="clear" w:pos="0" w:leader="none"/>
          <w:tab w:val="left" w:pos="425" w:leader="none"/>
        </w:tabs>
        <w:rPr>
          <w:rFonts w:hint="eastAsia" w:ascii="宋体" w:hAnsi="宋体"/>
          <w:sz w:val="24"/>
          <w:szCs w:val="28"/>
          <w:highlight w:val="none"/>
        </w:rPr>
      </w:pPr>
      <w:r>
        <w:rPr>
          <w:rFonts w:hint="eastAsia" w:ascii="宋体" w:hAnsi="宋体" w:cs="宋体"/>
          <w:sz w:val="24"/>
          <w:szCs w:val="24"/>
          <w:highlight w:val="none"/>
          <w:lang w:val="zh-CN"/>
        </w:rPr>
        <w:t xml:space="preserve">法律、法规和招标文件规定的其他无效情形。</w:t>
      </w:r>
      <w:r/>
    </w:p>
    <w:p>
      <w:pPr>
        <w:ind w:left="420"/>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四、四、联合体投标、中标后分包</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19、联合体、中标后分包（如有）</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19.1</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联合体</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两个以上的自然人、法人或者其他组织组成一个联合体，以一个投标人的身份共同参加政府采购。</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以联合体形式参加投标的，联合体各方均应当具备《中华人民共和国政府采购法》第二十二条规定的条件，联合体各方均未被“信用中国”网站、中国政府采购网列入失信被执行人、重大税收违法失信主体、政府采购严重违法失信行为记录名单；联合体中有同类资质的投标人按照联合体分工承担相同工作的，按照资质等级较低的投标人确定资质等级；联合体成员存在不良信用记录的，视同联合体存在不良信用记录。</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以联合体形式参加政府采购活动的，联合体各方不得再单独参加或者与其他投标人另外组成联合体参加同一合同项下的政府采购活动，否则相关投标均将被认定为无效投标。</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以联合体形式参加政府采购活动，联合体各方均为中小企业的，联合体视同中小企业。其中，联合体各方均为小微企业的，联合体视同小微企业。由联合体主体单位出具中小企业声明。</w:t>
      </w:r>
      <w:r/>
    </w:p>
    <w:p>
      <w:pPr>
        <w:ind w:firstLine="47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19.2 中标后分包</w:t>
      </w:r>
      <w:r/>
    </w:p>
    <w:p>
      <w:pPr>
        <w:ind w:firstLine="470"/>
        <w:keepLines w:val="0"/>
        <w:keepNext w:val="0"/>
        <w:pageBreakBefore w:val="0"/>
        <w:spacing w:line="360" w:lineRule="auto"/>
        <w:widowControl w:val="off"/>
        <w:rPr>
          <w:rFonts w:ascii="宋体" w:hAnsi="宋体"/>
          <w:bCs/>
          <w:sz w:val="24"/>
          <w:szCs w:val="24"/>
          <w:highlight w:val="none"/>
        </w:rPr>
      </w:pPr>
      <w:r>
        <w:rPr>
          <w:rFonts w:hint="eastAsia" w:ascii="宋体" w:hAnsi="宋体"/>
          <w:bCs/>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五、开标、资审、评标、定标、废标</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20、</w:t>
      </w:r>
      <w:r>
        <w:rPr>
          <w:rFonts w:hint="eastAsia" w:ascii="宋体" w:hAnsi="宋体"/>
          <w:b/>
          <w:sz w:val="24"/>
          <w:szCs w:val="24"/>
          <w:highlight w:val="none"/>
          <w:lang w:val="zh-CN"/>
        </w:rPr>
        <w:t xml:space="preserve">开标</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提交投标文件或成功解密投标文件的投标人不足3家的，不得开标。</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20.2</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投标文件提交截止时间后，在“苏采云开标大厅”开标，相关注意事项详见投标邀请函。</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20.3</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开标过程由采购人或者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组织，开标过程如果有特殊情况需进行记录，由相关工作人员和采购人代表签字确认后随采购文件一并存档。投标人未参加开标的，视同认可开标结果。</w:t>
      </w:r>
      <w:r/>
    </w:p>
    <w:p>
      <w:pPr>
        <w:ind w:firstLine="480"/>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Cs/>
          <w:sz w:val="24"/>
          <w:szCs w:val="24"/>
          <w:highlight w:val="none"/>
        </w:rPr>
        <w:t xml:space="preserve">20.4 投标人对开标过程和开标记录有疑义，以及认为采购人、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相关工作人员有需要回避的情形的，应当场提出询问或者回避申请。对投标文件报价前后不一致的修正，待进入评标环节以后，由评标委员会做出认定</w:t>
      </w:r>
      <w:r>
        <w:rPr>
          <w:rFonts w:hint="eastAsia" w:ascii="宋体" w:hAnsi="宋体" w:eastAsia="宋体" w:cs="Times New Roman"/>
          <w:bCs/>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21、资格审查</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21.1 开标结束后，采购人依法对投标人的资格进行审查。</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资格审查合格投标人不足3家的，不得评标。</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21.2 资格审查包括两部分内容：</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21.2.1 按照本须知“9、投标文件的组成”中“资格条件”的要求对投标文件中资格证明材料进行审查，不符合要求的，投标人资格审查不通过，其投标无效。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21.2.2 信用查询。</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① 查询时间：采购人在资审环节查询投标人的信用记录，投标人存在不良信用记录的，资格审查不通过，其投标无效。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② 不良信用记录指：被“信用中国”（www.creditchina.gov.cn)、中国政府采购网（www.ccgp.gov.cn）列入失信被执行人、重大税收违法失信主体、政府采购严重违法失信行为记录名单（在限制期内）。存在以上任意一项不良信用记录的，其投标无效。</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szCs w:val="24"/>
          <w:highlight w:val="none"/>
        </w:rPr>
        <w:t xml:space="preserve">③ 查询及记录方式：评审当日，采购人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r>
        <w:rPr>
          <w:rFonts w:hint="eastAsia" w:ascii="宋体" w:hAnsi="宋体"/>
          <w:bCs/>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22、评标</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22.2 评标委员会对通过资格性审查的投标人的投标文件进行符合性审查，以确定其是否满足招标文件的实质性要求。此处实质性要求是指本须知“9、投标文件的组成” 中“符合条件”和招标文件中其他实质性要求，未通过符合性审查的，其投标无效。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22.3 澄清有关问题。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w:t>
      </w:r>
      <w:r>
        <w:rPr>
          <w:rFonts w:hint="eastAsia" w:ascii="宋体" w:hAnsi="宋体"/>
          <w:bCs/>
          <w:sz w:val="24"/>
          <w:szCs w:val="24"/>
          <w:highlight w:val="none"/>
        </w:rPr>
        <w:t xml:space="preserve">。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发文时间或证书落款时间，若投标人同时提供了发文和证书，以发文时间为准。同一合同项下的续签合同、补充合同不单独作为有效证明材料。除以上评标委员会要求投标人作出必要的澄清、说明或者纠正时，需要投标人提供相关证明材料外，投标人提供的投标文件以外的证明材料一概不作为评标依据。</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22.4 比较与评价。评标委员会应当按照招标文件中规定的评标方法和标准，对符合性审查合格的投标文件进行商务和技术评估，综合比较与评价。</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22.5 评标方法和标准。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22.5.1 本次招标采用综合评</w:t>
      </w:r>
      <w:r>
        <w:rPr>
          <w:rFonts w:hint="eastAsia" w:ascii="宋体" w:hAnsi="宋体"/>
          <w:bCs/>
          <w:sz w:val="24"/>
          <w:szCs w:val="24"/>
          <w:highlight w:val="none"/>
        </w:rPr>
        <w:t xml:space="preserve">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 评标方法和标准”。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注：除了算术修正（22.5.2）和落实政府采购政策需进行的价格扣除外，不对投标人的投标价格进行任何调整。如有调整，根据调整后的报价参与评审。</w:t>
      </w:r>
      <w:r/>
    </w:p>
    <w:p>
      <w:pPr>
        <w:ind w:firstLine="480"/>
        <w:keepLines w:val="0"/>
        <w:keepNext w:val="0"/>
        <w:pageBreakBefore w:val="0"/>
        <w:spacing w:line="360" w:lineRule="auto"/>
        <w:widowControl w:val="off"/>
        <w:rPr>
          <w:rFonts w:hint="eastAsia" w:ascii="宋体" w:hAnsi="宋体" w:eastAsia="宋体"/>
          <w:bCs/>
          <w:sz w:val="24"/>
          <w:szCs w:val="24"/>
          <w:highlight w:val="none"/>
          <w:lang w:val="zh-CN" w:eastAsia="zh-CN"/>
        </w:rPr>
      </w:pPr>
      <w:r>
        <w:rPr>
          <w:rFonts w:hint="eastAsia" w:ascii="宋体" w:hAnsi="宋体"/>
          <w:bCs/>
          <w:sz w:val="24"/>
          <w:szCs w:val="24"/>
          <w:highlight w:val="none"/>
        </w:rPr>
        <w:t xml:space="preserve">22.5.2 投标文件报价出现前后不一致的，除招标文件另有规定外，按照下列规定修正</w:t>
      </w:r>
      <w:r>
        <w:rPr>
          <w:rFonts w:hint="eastAsia" w:ascii="宋体" w:hAnsi="宋体"/>
          <w:bCs/>
          <w:sz w:val="24"/>
          <w:szCs w:val="24"/>
          <w:highlight w:val="none"/>
          <w:lang w:eastAsia="zh-CN"/>
        </w:rPr>
        <w:t xml:space="preserve">：</w:t>
      </w:r>
      <w:r/>
    </w:p>
    <w:p>
      <w:pPr>
        <w:numPr>
          <w:ilvl w:val="0"/>
          <w:numId w:val="6"/>
        </w:numPr>
        <w:ind w:left="0" w:firstLine="40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投标文件中开标一览表内容与投标文件中相应内容不一致的，以开标一览表为准；</w:t>
      </w:r>
      <w:r/>
    </w:p>
    <w:p>
      <w:pPr>
        <w:numPr>
          <w:ilvl w:val="0"/>
          <w:numId w:val="6"/>
        </w:numPr>
        <w:ind w:left="0" w:firstLine="40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大写金额和小写金额不一致的，以大写金额为准；</w:t>
      </w:r>
      <w:r/>
    </w:p>
    <w:p>
      <w:pPr>
        <w:numPr>
          <w:ilvl w:val="0"/>
          <w:numId w:val="6"/>
        </w:numPr>
        <w:ind w:left="0" w:firstLine="40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单价金额小数点或者百分比有明显错位的，以开标一览表的总价为准，并修改单价；</w:t>
      </w:r>
      <w:r/>
    </w:p>
    <w:p>
      <w:pPr>
        <w:numPr>
          <w:ilvl w:val="0"/>
          <w:numId w:val="6"/>
        </w:numPr>
        <w:ind w:left="0" w:firstLine="40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总价金额与按单价汇总金额不一致的，以单价金额计算结果为准。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注：同时出现两种以上不一致的，按照前款规定的顺序修正。修正后的报价须加盖投标人公章，或由法定代表人或其授权的代表签字。投标人不确认的，其投标无效。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22.6 评标委员会根据全体评标成员签字的原始评标记录和评标结果编写评标报告。</w:t>
      </w:r>
      <w:r/>
    </w:p>
    <w:p>
      <w:pPr>
        <w:ind w:firstLine="480"/>
        <w:keepLines w:val="0"/>
        <w:keepNext w:val="0"/>
        <w:pageBreakBefore w:val="0"/>
        <w:spacing w:line="360" w:lineRule="auto"/>
        <w:widowControl w:val="off"/>
        <w:rPr>
          <w:rFonts w:hint="eastAsia" w:ascii="宋体" w:hAnsi="宋体" w:eastAsia="宋体"/>
          <w:bCs/>
          <w:sz w:val="24"/>
          <w:szCs w:val="24"/>
          <w:highlight w:val="none"/>
          <w:lang w:eastAsia="zh-CN"/>
        </w:rPr>
      </w:pPr>
      <w:r>
        <w:rPr>
          <w:rFonts w:hint="eastAsia" w:ascii="宋体" w:hAnsi="宋体"/>
          <w:bCs/>
          <w:sz w:val="24"/>
          <w:szCs w:val="24"/>
          <w:highlight w:val="none"/>
        </w:rPr>
        <w:t xml:space="preserve">22.7 采购人或</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宣读评标委员会初步评审意见</w:t>
      </w:r>
      <w:r>
        <w:rPr>
          <w:rFonts w:hint="eastAsia" w:ascii="宋体" w:hAnsi="宋体"/>
          <w:bCs/>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23、定标</w:t>
      </w:r>
      <w:r/>
    </w:p>
    <w:p>
      <w:pPr>
        <w:numPr>
          <w:ilvl w:val="0"/>
          <w:numId w:val="7"/>
        </w:numPr>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23.1 评审结束后，采购人依照法律规定在收到评审报告后5个工作日内，在评审报告推荐的中标候选人中按顺序确定中标供应商。</w:t>
      </w:r>
      <w:r/>
    </w:p>
    <w:p>
      <w:pPr>
        <w:numPr>
          <w:ilvl w:val="0"/>
          <w:numId w:val="7"/>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rPr>
        <w:t xml:space="preserve">23.2 中标结果确认后，</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将向中标供应商发出电子中标通知书，请中标供应商登录“苏采云”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b/>
          <w:bCs w:val="0"/>
          <w:sz w:val="24"/>
          <w:szCs w:val="24"/>
          <w:highlight w:val="none"/>
          <w:lang w:val="zh-CN"/>
        </w:rPr>
      </w:pPr>
      <w:r>
        <w:rPr>
          <w:rFonts w:hint="eastAsia" w:ascii="宋体" w:hAnsi="宋体"/>
          <w:b/>
          <w:bCs w:val="0"/>
          <w:sz w:val="24"/>
          <w:szCs w:val="24"/>
          <w:highlight w:val="none"/>
          <w:lang w:val="zh-CN"/>
        </w:rPr>
        <w:t xml:space="preserve">24、投标截止后投标人不足3家或者通过资格审查或符合性审查的投标人不足3家的，除采购任务取消情形外，按照以下方式处理：</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（1）招标文件存在不合理条款或者招标程序不符合规定的，采购人、采购代理机构改正后依法重新招标；</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（2）招标文件没有不合理条款、招标程序符合规定，采购人依法报财政部门批准后可以采用其他采购方式采购。</w:t>
      </w:r>
      <w:r/>
    </w:p>
    <w:p>
      <w:pPr>
        <w:ind w:firstLine="482"/>
        <w:keepLines w:val="0"/>
        <w:keepNext w:val="0"/>
        <w:pageBreakBefore w:val="0"/>
        <w:spacing w:line="360" w:lineRule="auto"/>
        <w:widowControl w:val="off"/>
        <w:rPr>
          <w:rFonts w:hint="eastAsia" w:ascii="宋体" w:hAnsi="宋体"/>
          <w:b/>
          <w:bCs w:val="0"/>
          <w:sz w:val="24"/>
          <w:szCs w:val="24"/>
          <w:highlight w:val="none"/>
          <w:lang w:val="zh-CN"/>
        </w:rPr>
      </w:pPr>
      <w:r>
        <w:rPr>
          <w:rFonts w:hint="eastAsia" w:ascii="宋体" w:hAnsi="宋体"/>
          <w:b/>
          <w:bCs w:val="0"/>
          <w:sz w:val="24"/>
          <w:szCs w:val="24"/>
          <w:highlight w:val="none"/>
          <w:lang w:val="zh-CN"/>
        </w:rPr>
        <w:t xml:space="preserve">25、废标的确认</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25.1 有下列情形之一的予以废标，同时由采购人或采购代理机构将废标理由通知所有投标人：</w:t>
      </w:r>
      <w:r/>
    </w:p>
    <w:p>
      <w:pPr>
        <w:numPr>
          <w:ilvl w:val="0"/>
          <w:numId w:val="8"/>
        </w:numPr>
        <w:ind w:left="0"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符合专业条件的投标人或者对招标文件作出实质性响应的投标人不足3家，且未采用其他采购方式的；</w:t>
      </w:r>
      <w:r/>
    </w:p>
    <w:p>
      <w:pPr>
        <w:numPr>
          <w:ilvl w:val="0"/>
          <w:numId w:val="8"/>
        </w:numPr>
        <w:ind w:left="0"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w:t>
      </w:r>
      <w:r/>
    </w:p>
    <w:p>
      <w:pPr>
        <w:numPr>
          <w:ilvl w:val="0"/>
          <w:numId w:val="8"/>
        </w:numPr>
        <w:ind w:left="0"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8"/>
        </w:numPr>
        <w:ind w:left="0"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ind w:firstLine="482"/>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六、投标保证金</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26、投标保证金：本项目免收投标保证金。</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27、签订合同</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27.1 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27.2 中标供应商应于中标通知书发出之日起30日内，按照招标文件确定的事项与采购人签订政府采购合同；采购人应于政府采购合同签订之日起2个工作日内对合同进行公告，并于7个工作日内将合同副本报同级财政监管部门备案。</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中标供应商如逾期不办理相关手续、签订合同，财政部门将依据有关规定进行处理。</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如遇特殊情况，采购人及财政部门可延期签订合同。</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27.3 签订合同书及合同条款应以招标文件和中标供应商的投标文件为依据。</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27.4 签订合同前，中标供应商须交纳中标合同总金额</w:t>
      </w:r>
      <w:r>
        <w:rPr>
          <w:rFonts w:hint="eastAsia" w:ascii="宋体" w:hAnsi="宋体"/>
          <w:bCs/>
          <w:sz w:val="24"/>
          <w:szCs w:val="24"/>
          <w:highlight w:val="none"/>
          <w:u w:val="single"/>
        </w:rPr>
        <w:t xml:space="preserve">  /  </w:t>
      </w:r>
      <w:r>
        <w:rPr>
          <w:rFonts w:hint="eastAsia" w:ascii="宋体" w:hAnsi="宋体"/>
          <w:bCs/>
          <w:sz w:val="24"/>
          <w:szCs w:val="24"/>
          <w:highlight w:val="none"/>
        </w:rPr>
        <w:t xml:space="preserve">%的履约保证金。</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rPr>
        <w:t xml:space="preserve">27.4.1以转账、电汇等方式交纳的，按下表要求进行交纳和退还</w:t>
      </w:r>
      <w:r>
        <w:rPr>
          <w:rFonts w:hint="eastAsia" w:ascii="宋体" w:hAnsi="宋体"/>
          <w:bCs/>
          <w:sz w:val="24"/>
          <w:szCs w:val="24"/>
          <w:highlight w:val="none"/>
          <w:lang w:val="zh-CN"/>
        </w:rPr>
        <w:t xml:space="preserve">。</w:t>
      </w:r>
      <w:r/>
    </w:p>
    <w:tbl>
      <w:tblPr>
        <w:tblStyle w:val="959"/>
        <w:tblpPr w:horzAnchor="text" w:tblpXSpec="center" w:vertAnchor="text" w:tblpY="1" w:leftFromText="180" w:topFromText="0" w:rightFromText="180" w:bottomFromText="0"/>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1"/>
        <w:gridCol w:w="3129"/>
        <w:gridCol w:w="883"/>
        <w:gridCol w:w="3637"/>
      </w:tblGrid>
      <w:tr>
        <w:trPr>
          <w:trHeight w:val="457"/>
        </w:trPr>
        <w:tc>
          <w:tcPr>
            <w:tcW w:w="1551" w:type="dxa"/>
            <w:vAlign w:val="center"/>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收款单位</w:t>
            </w:r>
            <w:r/>
          </w:p>
        </w:tc>
        <w:tc>
          <w:tcPr>
            <w:tcW w:w="3129" w:type="dxa"/>
            <w:vAlign w:val="center"/>
            <w:textDirection w:val="lrTb"/>
            <w:noWrap w:val="false"/>
          </w:tcPr>
          <w:p>
            <w:pPr>
              <w:jc w:val="center"/>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w:t>
            </w:r>
            <w:r/>
          </w:p>
        </w:tc>
        <w:tc>
          <w:tcPr>
            <w:tcW w:w="883" w:type="dxa"/>
            <w:vAlign w:val="center"/>
            <w:vMerge w:val="restart"/>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交纳形式</w:t>
            </w:r>
            <w:r/>
          </w:p>
        </w:tc>
        <w:tc>
          <w:tcPr>
            <w:tcW w:w="3637" w:type="dxa"/>
            <w:vAlign w:val="center"/>
            <w:vMerge w:val="restart"/>
            <w:textDirection w:val="lrTb"/>
            <w:noWrap w:val="false"/>
          </w:tcPr>
          <w:p>
            <w:pPr>
              <w:jc w:val="center"/>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w:t>
            </w:r>
            <w:r/>
          </w:p>
        </w:tc>
      </w:tr>
      <w:tr>
        <w:trPr>
          <w:trHeight w:val="457"/>
        </w:trPr>
        <w:tc>
          <w:tcPr>
            <w:tcW w:w="1551" w:type="dxa"/>
            <w:vAlign w:val="center"/>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开户行</w:t>
            </w:r>
            <w:r/>
          </w:p>
        </w:tc>
        <w:tc>
          <w:tcPr>
            <w:tcW w:w="3129" w:type="dxa"/>
            <w:vAlign w:val="center"/>
            <w:textDirection w:val="lrTb"/>
            <w:noWrap w:val="false"/>
          </w:tcPr>
          <w:p>
            <w:pPr>
              <w:jc w:val="center"/>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w:t>
            </w:r>
            <w:r/>
          </w:p>
        </w:tc>
        <w:tc>
          <w:tcPr>
            <w:tcW w:w="883" w:type="dxa"/>
            <w:vAlign w:val="center"/>
            <w:vMerge w:val="continue"/>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r>
            <w:r/>
          </w:p>
        </w:tc>
        <w:tc>
          <w:tcPr>
            <w:tcW w:w="3637" w:type="dxa"/>
            <w:vAlign w:val="center"/>
            <w:vMerge w:val="continue"/>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r>
            <w:r/>
          </w:p>
        </w:tc>
      </w:tr>
      <w:tr>
        <w:trPr>
          <w:trHeight w:val="457"/>
        </w:trPr>
        <w:tc>
          <w:tcPr>
            <w:tcW w:w="1551" w:type="dxa"/>
            <w:vAlign w:val="center"/>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账 号</w:t>
            </w:r>
            <w:r/>
          </w:p>
        </w:tc>
        <w:tc>
          <w:tcPr>
            <w:tcW w:w="3129" w:type="dxa"/>
            <w:vAlign w:val="center"/>
            <w:textDirection w:val="lrTb"/>
            <w:noWrap w:val="false"/>
          </w:tcPr>
          <w:p>
            <w:pPr>
              <w:jc w:val="center"/>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w:t>
            </w:r>
            <w:r/>
          </w:p>
        </w:tc>
        <w:tc>
          <w:tcPr>
            <w:tcW w:w="883" w:type="dxa"/>
            <w:vAlign w:val="center"/>
            <w:vMerge w:val="continue"/>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r>
            <w:r/>
          </w:p>
        </w:tc>
        <w:tc>
          <w:tcPr>
            <w:tcW w:w="3637" w:type="dxa"/>
            <w:vAlign w:val="center"/>
            <w:vMerge w:val="continue"/>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r>
            <w:r/>
          </w:p>
        </w:tc>
      </w:tr>
      <w:tr>
        <w:trPr>
          <w:trHeight w:val="457"/>
        </w:trPr>
        <w:tc>
          <w:tcPr>
            <w:tcW w:w="1551" w:type="dxa"/>
            <w:vAlign w:val="center"/>
            <w:textDirection w:val="lrTb"/>
            <w:noWrap w:val="false"/>
          </w:tcPr>
          <w:p>
            <w:pPr>
              <w:jc w:val="center"/>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退还时间</w:t>
            </w:r>
            <w:r/>
          </w:p>
        </w:tc>
        <w:tc>
          <w:tcPr>
            <w:gridSpan w:val="3"/>
            <w:tcW w:w="7649" w:type="dxa"/>
            <w:vAlign w:val="center"/>
            <w:textDirection w:val="lrTb"/>
            <w:noWrap w:val="false"/>
          </w:tcPr>
          <w:p>
            <w:pPr>
              <w:jc w:val="center"/>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w:t>
            </w:r>
            <w:r/>
          </w:p>
        </w:tc>
      </w:tr>
    </w:tbl>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27.4.2</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27.4.3 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27.5 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采购金额千分之五以上千分之十以下的罚款，列入不良行为记录名单，在一至三年内禁止参加政府采购活动。拒绝签订政府采购合同的中标供应商不得参加对该项目重新开展的采购活动。</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中标候选人放弃中标资格的，参照前款进行处理。</w:t>
      </w:r>
      <w:r/>
    </w:p>
    <w:p>
      <w:pPr>
        <w:ind w:firstLine="480"/>
        <w:keepLines w:val="0"/>
        <w:keepNext w:val="0"/>
        <w:pageBreakBefore w:val="0"/>
        <w:spacing w:line="360" w:lineRule="auto"/>
        <w:widowControl w:val="off"/>
        <w:rPr>
          <w:rFonts w:hint="eastAsia" w:ascii="宋体" w:hAnsi="宋体" w:eastAsia="宋体"/>
          <w:b/>
          <w:sz w:val="24"/>
          <w:szCs w:val="24"/>
          <w:highlight w:val="none"/>
          <w:lang w:eastAsia="zh-CN"/>
        </w:rPr>
      </w:pPr>
      <w:r>
        <w:rPr>
          <w:rFonts w:hint="eastAsia" w:ascii="宋体" w:hAnsi="宋体"/>
          <w:bCs/>
          <w:sz w:val="24"/>
          <w:szCs w:val="24"/>
          <w:highlight w:val="none"/>
        </w:rPr>
        <w:t xml:space="preserve">27.6 采购合同履行中，采购人需追加与合同标的相同货物的，在不改变合同其他条款的前提下，可以与中标供应商协商签订补充合同，但所有补充合同的采购金额不得超过原合同采购金额的百分之十</w:t>
      </w:r>
      <w:r>
        <w:rPr>
          <w:rFonts w:hint="eastAsia" w:ascii="宋体" w:hAnsi="宋体"/>
          <w:bCs/>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28、政府采购合同融资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28.1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w:t>
      </w:r>
      <w:r>
        <w:rPr>
          <w:rFonts w:hint="eastAsia" w:ascii="宋体" w:hAnsi="宋体"/>
          <w:bCs/>
          <w:sz w:val="24"/>
          <w:szCs w:val="24"/>
          <w:highlight w:val="none"/>
        </w:rPr>
        <w:t xml:space="preserve">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b/>
          <w:sz w:val="24"/>
          <w:szCs w:val="24"/>
          <w:highlight w:val="none"/>
          <w:lang w:eastAsia="zh-CN"/>
        </w:rPr>
      </w:pPr>
      <w:r>
        <w:rPr>
          <w:rFonts w:hint="eastAsia" w:ascii="宋体" w:hAnsi="宋体"/>
          <w:bCs/>
          <w:sz w:val="24"/>
          <w:szCs w:val="24"/>
          <w:highlight w:val="none"/>
        </w:rPr>
        <w:t xml:space="preserve">28.2 中标、成交供应商可根据自身情况，自行决定是否选择采用合同融资形式，在江苏政府采购网——政采贷专栏提供的银行名录内自主选择合作银行</w:t>
      </w:r>
      <w:r>
        <w:rPr>
          <w:rFonts w:hint="eastAsia" w:ascii="宋体" w:hAnsi="宋体"/>
          <w:bCs/>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八、投标行为及投标产品</w:t>
      </w:r>
      <w:r/>
    </w:p>
    <w:p>
      <w:pPr>
        <w:ind w:firstLine="482"/>
        <w:keepLines w:val="0"/>
        <w:keepNext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2</w:t>
      </w:r>
      <w:r>
        <w:rPr>
          <w:rFonts w:hint="eastAsia" w:ascii="宋体" w:hAnsi="宋体"/>
          <w:b/>
          <w:bCs w:val="0"/>
          <w:sz w:val="24"/>
          <w:szCs w:val="24"/>
          <w:highlight w:val="none"/>
          <w:lang w:val="en-US" w:eastAsia="zh-CN"/>
        </w:rPr>
        <w:t xml:space="preserve">9</w:t>
      </w:r>
      <w:r>
        <w:rPr>
          <w:rFonts w:hint="eastAsia" w:ascii="宋体" w:hAnsi="宋体"/>
          <w:b/>
          <w:bCs w:val="0"/>
          <w:sz w:val="24"/>
          <w:szCs w:val="24"/>
          <w:highlight w:val="none"/>
        </w:rPr>
        <w:t xml:space="preserve">、投标行为及投标产品：</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bookmarkStart w:id="11" w:name="OLE_LINK17"/>
      <w:r>
        <w:rPr>
          <w:rFonts w:hint="eastAsia" w:ascii="宋体" w:hAnsi="宋体"/>
          <w:bCs/>
          <w:sz w:val="24"/>
          <w:szCs w:val="24"/>
          <w:highlight w:val="none"/>
          <w:lang w:val="zh-CN"/>
        </w:rPr>
        <w:t xml:space="preserve">（1）投标人的投标行为必须遵守各项法律、法规、规章及相关制度的规定。</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（2）投标产品、产品安装（施工）及服务质量等应符合国家、行业等相关标准及要求。</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（3）如投标产品为进口产品的，则投标产品必须为通过中国海关报关验放进入中国境内且产自关境外的产品。</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（4）投标人提供的产品应是全新、未使用过的原装合格正品。投标人中标后，在供货期内如遇产品平滑（自然）升级，中标供应商应提供平滑升级商品不补差价（招标文件中有特殊要求的除外）。</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（5）招标文件中要求投标人出具的证书、证明等相关材料，应当能实质性证明采购需求中的相关要求，且均应在有效期限内，即有效期限应覆盖投标文件评审当日。</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6）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9"/>
        </w:numPr>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lang w:val="zh-CN"/>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bookmarkEnd w:id="11"/>
      <w:r/>
      <w:r/>
    </w:p>
    <w:p>
      <w:pPr>
        <w:ind w:firstLine="482"/>
        <w:keepLines w:val="0"/>
        <w:keepNext w:val="0"/>
        <w:pageBreakBefore w:val="0"/>
        <w:spacing w:line="360" w:lineRule="auto"/>
        <w:widowControl w:val="off"/>
        <w:rPr>
          <w:rFonts w:hint="eastAsia" w:ascii="宋体" w:hAnsi="宋体"/>
          <w:b/>
          <w:sz w:val="24"/>
          <w:szCs w:val="24"/>
          <w:highlight w:val="none"/>
          <w:lang w:val="zh-CN"/>
        </w:rPr>
      </w:pPr>
      <w:r/>
      <w:bookmarkStart w:id="12" w:name="_Toc23122"/>
      <w:r>
        <w:rPr>
          <w:rFonts w:hint="eastAsia" w:ascii="宋体" w:hAnsi="宋体"/>
          <w:b/>
          <w:sz w:val="24"/>
          <w:szCs w:val="24"/>
          <w:highlight w:val="none"/>
          <w:lang w:val="zh-CN"/>
        </w:rPr>
        <w:t xml:space="preserve">九、验收</w:t>
      </w:r>
      <w:r/>
    </w:p>
    <w:p>
      <w:pPr>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highlight w:val="none"/>
        </w:rPr>
        <w:t xml:space="preserve">30、采购人将按照政府采购合同和招标文件的规定以及投标人提供的技术、服务、安全标准等相关承诺，对投标人的履约情况进行验收并出具政府采购项目验收单。由采购人对中标供应商进行履约管理，并及时向中标供应商支付采购资金</w:t>
      </w:r>
      <w:r>
        <w:rPr>
          <w:rFonts w:hint="eastAsia" w:ascii="宋体" w:hAnsi="宋体"/>
          <w:bCs/>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2"/>
        <w:keepLines w:val="0"/>
        <w:keepNext w:val="0"/>
        <w:pageBreakBefore w:val="0"/>
        <w:spacing w:line="360" w:lineRule="auto"/>
        <w:widowControl w:val="off"/>
        <w:rPr>
          <w:rFonts w:hint="eastAsia" w:ascii="宋体" w:hAnsi="宋体"/>
          <w:b/>
          <w:bCs w:val="0"/>
          <w:sz w:val="24"/>
          <w:szCs w:val="24"/>
          <w:highlight w:val="none"/>
        </w:rPr>
      </w:pPr>
      <w:r/>
      <w:bookmarkStart w:id="13" w:name="OLE_LINK229"/>
      <w:r/>
      <w:bookmarkStart w:id="14" w:name="OLE_LINK126"/>
      <w:r/>
      <w:bookmarkStart w:id="15" w:name="OLE_LINK111"/>
      <w:r>
        <w:rPr>
          <w:rFonts w:hint="eastAsia" w:ascii="宋体" w:hAnsi="宋体"/>
          <w:b/>
          <w:bCs w:val="0"/>
          <w:sz w:val="24"/>
          <w:szCs w:val="24"/>
          <w:highlight w:val="none"/>
        </w:rPr>
        <w:t xml:space="preserve">31、询问</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31.1 投标人对采购活动事项有疑问的，可以向采购人提出询问，采购人将在三个工作日内作出答复，但答复的内容不得涉及商业秘密；投标人也可以向采购人委托的代理机构提出询问，代理机构就采购人委托授权范围内的事项作出答复。</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31.2</w:t>
      </w:r>
      <w:r>
        <w:rPr>
          <w:rFonts w:hint="eastAsia" w:ascii="宋体" w:hAnsi="宋体"/>
          <w:b w:val="0"/>
          <w:bCs/>
          <w:sz w:val="24"/>
          <w:szCs w:val="24"/>
          <w:highlight w:val="none"/>
          <w:lang w:eastAsia="zh-CN"/>
        </w:rPr>
        <w:t xml:space="preserve">采购代理机构</w:t>
      </w:r>
      <w:r>
        <w:rPr>
          <w:rFonts w:hint="eastAsia" w:ascii="宋体" w:hAnsi="宋体"/>
          <w:b w:val="0"/>
          <w:bCs/>
          <w:sz w:val="24"/>
          <w:szCs w:val="24"/>
          <w:highlight w:val="none"/>
        </w:rPr>
        <w:t xml:space="preserve">不负责向任何投标人解释评审情况。</w:t>
      </w:r>
      <w:r/>
    </w:p>
    <w:p>
      <w:pPr>
        <w:ind w:firstLine="482"/>
        <w:keepLines w:val="0"/>
        <w:keepNext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32、质疑</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32.1 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政府采购供应商质疑函范本》）。同一项目下的不同采购包，投标人只能对其参与的采购包提出质疑。</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32.2 质疑答复责任主体：</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根据《中华人民共和国政府采购法》五十一条、五十二条、五十三条规定，投标人认为采购文件、采购过程和中标结果使自己的权益受到损害的，可以在知道或者应当知道其权益受到损害之日起七个工作日内，以书面形式向采购人提出质疑。</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投标人认为采购程序及流程操作使自己的权益受到损害的，可以向采购人提出质疑，也可以在法律规定时间内向采购代理机构提出质疑，采购代理机构就采购人委托授权范围内的事项作出答复。</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 32.3 质疑时效期间的起算：对招标文件提出质疑的，应自招标文件公告期限届满之日起计算，本次采购招标人应当收到采购文件期限和招标文件公告届满期限均为采购公告发布之日起五个工作日；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keepLines w:val="0"/>
        <w:keepNext w:val="0"/>
        <w:pageBreakBefore w:val="0"/>
        <w:spacing w:line="360" w:lineRule="auto"/>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32.4 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firstLine="482"/>
        <w:keepLines w:val="0"/>
        <w:keepNext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33、投诉</w:t>
      </w:r>
      <w:r/>
    </w:p>
    <w:p>
      <w:pPr>
        <w:ind w:firstLine="480"/>
        <w:keepLines w:val="0"/>
        <w:keepNext w:val="0"/>
        <w:pageBreakBefore w:val="0"/>
        <w:spacing w:line="360" w:lineRule="auto"/>
        <w:widowControl w:val="off"/>
        <w:rPr>
          <w:rFonts w:hint="eastAsia" w:ascii="宋体" w:hAnsi="宋体"/>
          <w:bCs/>
          <w:sz w:val="24"/>
          <w:szCs w:val="24"/>
          <w:highlight w:val="none"/>
          <w:lang w:val="zh-CN"/>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b w:val="0"/>
          <w:bCs/>
          <w:sz w:val="24"/>
          <w:szCs w:val="24"/>
          <w:highlight w:val="none"/>
        </w:rPr>
        <w:t xml:space="preserve">33.1质疑投标人对采购人的答复不满意或者采购人未在规定的时间内作出答复的，可以在答复期满后十五个工作日内向投标邀请函中的财政监管部门提出投诉</w:t>
      </w:r>
      <w:r>
        <w:rPr>
          <w:rFonts w:hint="eastAsia" w:ascii="宋体" w:hAnsi="宋体"/>
          <w:bCs/>
          <w:sz w:val="24"/>
          <w:szCs w:val="24"/>
          <w:highlight w:val="none"/>
          <w:lang w:val="zh-CN"/>
        </w:rPr>
        <w:t xml:space="preserve">。</w:t>
      </w:r>
      <w:bookmarkEnd w:id="13"/>
      <w:r/>
      <w:bookmarkEnd w:id="14"/>
      <w:r/>
      <w:bookmarkEnd w:id="15"/>
      <w:r/>
      <w:r/>
    </w:p>
    <w:p>
      <w:pPr>
        <w:ind w:firstLine="480"/>
        <w:jc w:val="center"/>
        <w:keepLines w:val="0"/>
        <w:keepNext w:val="0"/>
        <w:pageBreakBefore w:val="0"/>
        <w:spacing w:line="360" w:lineRule="auto"/>
        <w:widowControl w:val="off"/>
        <w:rPr>
          <w:rFonts w:hint="eastAsia" w:ascii="宋体" w:hAnsi="宋体" w:eastAsia="宋体" w:cs="宋体"/>
          <w:sz w:val="28"/>
          <w:highlight w:val="none"/>
        </w:rPr>
        <w:outlineLvl w:val="0"/>
      </w:pPr>
      <w:r/>
      <w:bookmarkStart w:id="16" w:name="_Toc15500"/>
      <w:r>
        <w:rPr>
          <w:rFonts w:hint="eastAsia" w:ascii="黑体" w:hAnsi="黑体" w:eastAsia="黑体" w:cs="Times New Roman"/>
          <w:sz w:val="28"/>
          <w:highlight w:val="none"/>
        </w:rPr>
        <w:t xml:space="preserve">第三章 项目技术要求和有关说明</w:t>
      </w:r>
      <w:bookmarkEnd w:id="12"/>
      <w:r/>
      <w:bookmarkEnd w:id="16"/>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本项目为</w:t>
      </w:r>
      <w:r>
        <w:rPr>
          <w:rFonts w:hint="eastAsia" w:ascii="宋体" w:hAnsi="宋体" w:cs="宋体"/>
          <w:sz w:val="24"/>
          <w:szCs w:val="24"/>
          <w:lang w:eastAsia="zh-CN"/>
        </w:rPr>
        <w:t xml:space="preserve">宜兴市油车水库管理所</w:t>
      </w:r>
      <w:r>
        <w:rPr>
          <w:rFonts w:hint="eastAsia" w:ascii="宋体" w:hAnsi="宋体" w:eastAsia="宋体" w:cs="宋体"/>
          <w:sz w:val="24"/>
          <w:szCs w:val="24"/>
        </w:rPr>
        <w:t xml:space="preserve">的</w:t>
      </w:r>
      <w:r>
        <w:rPr>
          <w:rFonts w:hint="eastAsia" w:ascii="宋体" w:hAnsi="宋体" w:cs="宋体"/>
          <w:sz w:val="24"/>
          <w:szCs w:val="24"/>
          <w:lang w:eastAsia="zh-CN"/>
        </w:rPr>
        <w:t xml:space="preserve">油车水库智能型界桩建设项目</w:t>
      </w:r>
      <w:r>
        <w:rPr>
          <w:rFonts w:hint="default" w:ascii="宋体" w:hAnsi="宋体" w:cs="宋体"/>
          <w:sz w:val="24"/>
          <w:szCs w:val="24"/>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具体要求如下：</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17" w:name="_Toc27627"/>
      <w:r/>
      <w:bookmarkStart w:id="18" w:name="_Toc526779129"/>
      <w:r/>
      <w:bookmarkStart w:id="19" w:name="OLE_LINK91"/>
      <w:r/>
      <w:bookmarkStart w:id="20" w:name="_Toc3082"/>
      <w:r/>
      <w:bookmarkStart w:id="21" w:name="OLE_LINK13"/>
      <w:r>
        <w:rPr>
          <w:rFonts w:hint="eastAsia" w:ascii="宋体" w:hAnsi="宋体" w:eastAsia="宋体" w:cs="宋体"/>
          <w:b/>
          <w:bCs/>
          <w:sz w:val="24"/>
          <w:szCs w:val="24"/>
          <w:lang w:val="en-US" w:eastAsia="zh-CN"/>
        </w:rPr>
        <w:t xml:space="preserve">一、</w:t>
      </w:r>
      <w:r>
        <w:rPr>
          <w:rFonts w:hint="eastAsia" w:ascii="宋体" w:hAnsi="宋体" w:cs="宋体"/>
          <w:b/>
          <w:bCs/>
          <w:sz w:val="24"/>
          <w:szCs w:val="24"/>
          <w:lang w:val="en-US" w:eastAsia="zh-CN"/>
        </w:rPr>
        <w:t xml:space="preserve">项目概况</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利工程用地划界工作是依法保护水资源、水环境和水工程的重要措施。在水利工程中，界桩不仅是工程管理和保护范围界线实地位置的重要法定标志物，还是水库特征水位、河道红线等重要控制线的判别物。传统混凝土界桩功能单一，难以达到界线标志物的警</w:t>
      </w:r>
      <w:r>
        <w:rPr>
          <w:rFonts w:hint="eastAsia" w:ascii="宋体" w:hAnsi="宋体" w:eastAsia="宋体" w:cs="宋体"/>
          <w:sz w:val="24"/>
          <w:szCs w:val="24"/>
          <w:lang w:val="en-US" w:eastAsia="zh-CN"/>
        </w:rPr>
        <w:t xml:space="preserve">示作用，并且生产安装过程中存在诸多问题导致水利工程用地界线运维管理困难。例如，外来人员常常无视界桩非法闯入，威胁水利工程关键部位工程安全，对工程运行管理带来安全隐患；传统界桩安装过程中存在的人员疏忽导致的坐标错误、安装位置不当、安装间距不符合要求等情况，或因材料劣质导致界桩损毁、桩号不明等现象。此类问题使水利工程界桩成为水利精细化管理中的薄弱环节，为一些开发建设项目和生产经营活动随意侵占河湖及水利工程管理范围提供管理漏洞，并且难以单凭人力得以有效根治，从而影响水利工程安全，破坏水生态环境，引起水事矛盾纠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AI视频识别、物联感知技术，开发生产多种型号的电子界桩产品，并在油车水库安装应用，可以实现水库界桩的全覆盖、全天候定位，实现非法闯入识别、界桩定位，水域空间违法监管等多种功能。并接入水库运行管理矩阵平台，解决水库界线管理问题，提升油车水库运行管理水平。</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二、采购标的</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15"/>
        <w:gridCol w:w="2340"/>
        <w:gridCol w:w="975"/>
        <w:gridCol w:w="4200"/>
      </w:tblGrid>
      <w:tr>
        <w:trPr>
          <w:jc w:val="center"/>
          <w:trHeight w:val="570"/>
        </w:trPr>
        <w:tc>
          <w:tcPr>
            <w:tcW w:w="750" w:type="dxa"/>
            <w:vAlign w:val="center"/>
            <w:textDirection w:val="lrTb"/>
            <w:noWrap w:val="false"/>
          </w:tcPr>
          <w:p>
            <w:pPr>
              <w:jc w:val="center"/>
              <w:rPr>
                <w:b/>
                <w:bCs/>
              </w:rPr>
            </w:pPr>
            <w:r>
              <w:rPr>
                <w:rFonts w:hint="eastAsia"/>
                <w:b/>
                <w:bCs/>
              </w:rPr>
              <w:t xml:space="preserve">序号</w:t>
            </w:r>
            <w:r/>
          </w:p>
        </w:tc>
        <w:tc>
          <w:tcPr>
            <w:tcW w:w="1515" w:type="dxa"/>
            <w:vAlign w:val="center"/>
            <w:textDirection w:val="lrTb"/>
            <w:noWrap w:val="false"/>
          </w:tcPr>
          <w:p>
            <w:pPr>
              <w:jc w:val="center"/>
              <w:rPr>
                <w:rFonts w:hint="eastAsia"/>
                <w:b/>
                <w:bCs/>
              </w:rPr>
            </w:pPr>
            <w:r>
              <w:rPr>
                <w:rFonts w:hint="eastAsia"/>
                <w:b/>
                <w:bCs/>
              </w:rPr>
              <w:t xml:space="preserve">任务名称</w:t>
            </w:r>
            <w:r/>
          </w:p>
        </w:tc>
        <w:tc>
          <w:tcPr>
            <w:tcW w:w="2340" w:type="dxa"/>
            <w:vAlign w:val="center"/>
            <w:textDirection w:val="lrTb"/>
            <w:noWrap w:val="false"/>
          </w:tcPr>
          <w:p>
            <w:pPr>
              <w:jc w:val="center"/>
              <w:rPr>
                <w:rFonts w:hint="eastAsia"/>
                <w:b/>
                <w:bCs/>
              </w:rPr>
            </w:pPr>
            <w:r>
              <w:rPr>
                <w:rFonts w:hint="eastAsia"/>
                <w:b/>
                <w:bCs/>
              </w:rPr>
              <w:t xml:space="preserve">主要内容</w:t>
            </w:r>
            <w:r/>
          </w:p>
        </w:tc>
        <w:tc>
          <w:tcPr>
            <w:tcW w:w="975" w:type="dxa"/>
            <w:vAlign w:val="center"/>
            <w:textDirection w:val="lrTb"/>
            <w:noWrap w:val="false"/>
          </w:tcPr>
          <w:p>
            <w:pPr>
              <w:jc w:val="center"/>
              <w:rPr>
                <w:rFonts w:hint="eastAsia"/>
                <w:b/>
                <w:bCs/>
              </w:rPr>
            </w:pPr>
            <w:r>
              <w:rPr>
                <w:rFonts w:hint="eastAsia"/>
                <w:b/>
                <w:bCs/>
              </w:rPr>
              <w:t xml:space="preserve">数量</w:t>
            </w:r>
            <w:r/>
          </w:p>
        </w:tc>
        <w:tc>
          <w:tcPr>
            <w:tcW w:w="4200" w:type="dxa"/>
            <w:vAlign w:val="center"/>
            <w:textDirection w:val="lrTb"/>
            <w:noWrap w:val="false"/>
          </w:tcPr>
          <w:p>
            <w:pPr>
              <w:jc w:val="center"/>
              <w:rPr>
                <w:rFonts w:hint="eastAsia"/>
                <w:b/>
                <w:bCs/>
              </w:rPr>
            </w:pPr>
            <w:r>
              <w:rPr>
                <w:rFonts w:hint="eastAsia"/>
                <w:b/>
                <w:bCs/>
              </w:rPr>
              <w:t xml:space="preserve">备注</w:t>
            </w:r>
            <w:r/>
          </w:p>
        </w:tc>
      </w:tr>
      <w:tr>
        <w:trPr>
          <w:jc w:val="center"/>
          <w:trHeight w:val="454"/>
        </w:trPr>
        <w:tc>
          <w:tcPr>
            <w:tcW w:w="75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1</w:t>
            </w:r>
            <w:r/>
          </w:p>
        </w:tc>
        <w:tc>
          <w:tcPr>
            <w:tcW w:w="1515" w:type="dxa"/>
            <w:vAlign w:val="center"/>
            <w:vMerge w:val="restart"/>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界桩与安装</w:t>
            </w:r>
            <w:r/>
          </w:p>
        </w:tc>
        <w:tc>
          <w:tcPr>
            <w:tcW w:w="234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电子界桩</w:t>
            </w:r>
            <w:r/>
          </w:p>
        </w:tc>
        <w:tc>
          <w:tcPr>
            <w:tcW w:w="97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83</w:t>
            </w:r>
            <w:r>
              <w:rPr>
                <w:rFonts w:hint="eastAsia"/>
                <w:color w:val="auto"/>
                <w:sz w:val="24"/>
                <w:szCs w:val="24"/>
                <w:lang w:val="en-US" w:eastAsia="zh-CN"/>
              </w:rPr>
              <w:t xml:space="preserve">个</w:t>
            </w:r>
            <w:r/>
          </w:p>
        </w:tc>
        <w:tc>
          <w:tcPr>
            <w:tcW w:w="4200" w:type="dxa"/>
            <w:vAlign w:val="center"/>
            <w:vMerge w:val="restart"/>
            <w:textDirection w:val="lrTb"/>
            <w:noWrap w:val="false"/>
          </w:tcPr>
          <w:p>
            <w:pPr>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设备参数详见“</w:t>
            </w:r>
            <w:r>
              <w:rPr>
                <w:rFonts w:hint="eastAsia" w:cs="Times New Roman"/>
                <w:color w:val="auto"/>
                <w:sz w:val="24"/>
                <w:szCs w:val="24"/>
                <w:lang w:eastAsia="zh-CN"/>
              </w:rPr>
              <w:t xml:space="preserve">三、</w:t>
            </w:r>
            <w:r>
              <w:rPr>
                <w:rFonts w:hint="eastAsia" w:ascii="Times New Roman" w:hAnsi="Times New Roman" w:eastAsia="宋体" w:cs="Times New Roman"/>
                <w:color w:val="auto"/>
                <w:sz w:val="24"/>
                <w:szCs w:val="24"/>
              </w:rPr>
              <w:t xml:space="preserve">技术要求”</w:t>
            </w:r>
            <w:r/>
          </w:p>
        </w:tc>
      </w:tr>
      <w:tr>
        <w:trPr>
          <w:jc w:val="center"/>
          <w:trHeight w:val="454"/>
        </w:trPr>
        <w:tc>
          <w:tcPr>
            <w:tcW w:w="75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2</w:t>
            </w:r>
            <w:r/>
          </w:p>
        </w:tc>
        <w:tc>
          <w:tcPr>
            <w:tcW w:w="1515" w:type="dxa"/>
            <w:vAlign w:val="center"/>
            <w:vMerge w:val="continue"/>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c>
          <w:tcPr>
            <w:tcW w:w="2340" w:type="dxa"/>
            <w:vAlign w:val="center"/>
            <w:textDirection w:val="lrTb"/>
            <w:noWrap w:val="false"/>
          </w:tcPr>
          <w:p>
            <w:pPr>
              <w:jc w:val="center"/>
              <w:rPr>
                <w:rFonts w:hint="eastAsia"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rPr>
              <w:t xml:space="preserve">电子界桩</w:t>
            </w:r>
            <w:r>
              <w:rPr>
                <w:rFonts w:hint="eastAsia" w:ascii="Times New Roman" w:hAnsi="Times New Roman" w:eastAsia="宋体" w:cs="Times New Roman"/>
                <w:color w:val="auto"/>
                <w:sz w:val="24"/>
                <w:szCs w:val="24"/>
                <w:lang w:eastAsia="zh-CN"/>
              </w:rPr>
              <w:t xml:space="preserve">（</w:t>
            </w:r>
            <w:r>
              <w:rPr>
                <w:rFonts w:hint="eastAsia" w:cs="Times New Roman"/>
                <w:color w:val="auto"/>
                <w:sz w:val="24"/>
                <w:szCs w:val="24"/>
                <w:lang w:val="en-US" w:eastAsia="zh-CN"/>
              </w:rPr>
              <w:t xml:space="preserve">AI</w:t>
            </w:r>
            <w:r>
              <w:rPr>
                <w:rFonts w:hint="eastAsia" w:ascii="Times New Roman" w:hAnsi="Times New Roman" w:eastAsia="宋体" w:cs="Times New Roman"/>
                <w:color w:val="auto"/>
                <w:sz w:val="24"/>
                <w:szCs w:val="24"/>
                <w:lang w:val="en-US" w:eastAsia="zh-CN"/>
              </w:rPr>
              <w:t xml:space="preserve">视频版</w:t>
            </w:r>
            <w:r>
              <w:rPr>
                <w:rFonts w:hint="eastAsia" w:ascii="Times New Roman" w:hAnsi="Times New Roman" w:eastAsia="宋体" w:cs="Times New Roman"/>
                <w:color w:val="auto"/>
                <w:sz w:val="24"/>
                <w:szCs w:val="24"/>
                <w:lang w:eastAsia="zh-CN"/>
              </w:rPr>
              <w:t xml:space="preserve">）</w:t>
            </w:r>
            <w:r/>
          </w:p>
        </w:tc>
        <w:tc>
          <w:tcPr>
            <w:tcW w:w="97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3</w:t>
            </w:r>
            <w:r>
              <w:rPr>
                <w:rFonts w:hint="eastAsia"/>
                <w:color w:val="auto"/>
                <w:sz w:val="24"/>
                <w:szCs w:val="24"/>
                <w:lang w:val="en-US" w:eastAsia="zh-CN"/>
              </w:rPr>
              <w:t xml:space="preserve">个</w:t>
            </w:r>
            <w:r/>
          </w:p>
        </w:tc>
        <w:tc>
          <w:tcPr>
            <w:tcW w:w="4200" w:type="dxa"/>
            <w:vAlign w:val="center"/>
            <w:vMerge w:val="continue"/>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r>
      <w:tr>
        <w:trPr>
          <w:jc w:val="center"/>
          <w:trHeight w:val="454"/>
        </w:trPr>
        <w:tc>
          <w:tcPr>
            <w:tcW w:w="75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3</w:t>
            </w:r>
            <w:r/>
          </w:p>
        </w:tc>
        <w:tc>
          <w:tcPr>
            <w:tcW w:w="1515" w:type="dxa"/>
            <w:vAlign w:val="center"/>
            <w:vMerge w:val="continue"/>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c>
          <w:tcPr>
            <w:tcW w:w="234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电子围栏</w:t>
            </w:r>
            <w:r/>
          </w:p>
        </w:tc>
        <w:tc>
          <w:tcPr>
            <w:tcW w:w="97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3</w:t>
            </w:r>
            <w:r>
              <w:rPr>
                <w:rFonts w:hint="eastAsia"/>
                <w:color w:val="auto"/>
                <w:sz w:val="24"/>
                <w:szCs w:val="24"/>
                <w:lang w:val="en-US" w:eastAsia="zh-CN"/>
              </w:rPr>
              <w:t xml:space="preserve">个</w:t>
            </w:r>
            <w:r/>
          </w:p>
        </w:tc>
        <w:tc>
          <w:tcPr>
            <w:tcW w:w="4200" w:type="dxa"/>
            <w:vAlign w:val="center"/>
            <w:vMerge w:val="continue"/>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r>
      <w:tr>
        <w:trPr>
          <w:jc w:val="center"/>
          <w:trHeight w:val="454"/>
        </w:trPr>
        <w:tc>
          <w:tcPr>
            <w:tcW w:w="750" w:type="dxa"/>
            <w:vAlign w:val="center"/>
            <w:textDirection w:val="lrTb"/>
            <w:noWrap w:val="false"/>
          </w:tcPr>
          <w:p>
            <w:pPr>
              <w:jc w:val="center"/>
              <w:rPr>
                <w:rFonts w:hint="eastAsia" w:ascii="Times New Roman" w:hAnsi="Times New Roman" w:eastAsia="宋体" w:cs="Times New Roman"/>
                <w:color w:val="auto"/>
                <w:sz w:val="24"/>
                <w:szCs w:val="24"/>
                <w:lang w:eastAsia="zh-CN"/>
              </w:rPr>
            </w:pPr>
            <w:r>
              <w:rPr>
                <w:rFonts w:hint="eastAsia" w:cs="Times New Roman"/>
                <w:color w:val="auto"/>
                <w:sz w:val="24"/>
                <w:szCs w:val="24"/>
                <w:lang w:val="en-US" w:eastAsia="zh-CN"/>
              </w:rPr>
              <w:t xml:space="preserve">4</w:t>
            </w:r>
            <w:r/>
          </w:p>
        </w:tc>
        <w:tc>
          <w:tcPr>
            <w:tcW w:w="1515" w:type="dxa"/>
            <w:vAlign w:val="center"/>
            <w:vMerge w:val="continue"/>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c>
          <w:tcPr>
            <w:tcW w:w="234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设备安装费</w:t>
            </w:r>
            <w:r/>
          </w:p>
        </w:tc>
        <w:tc>
          <w:tcPr>
            <w:tcW w:w="97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1</w:t>
            </w:r>
            <w:r>
              <w:rPr>
                <w:rFonts w:hint="eastAsia"/>
                <w:color w:val="auto"/>
                <w:sz w:val="24"/>
                <w:szCs w:val="24"/>
                <w:lang w:val="en-US" w:eastAsia="zh-CN"/>
              </w:rPr>
              <w:t xml:space="preserve">项</w:t>
            </w:r>
            <w:r/>
          </w:p>
        </w:tc>
        <w:tc>
          <w:tcPr>
            <w:tcW w:w="4200"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包括安装耗材、人工费、车辆运输费等</w:t>
            </w:r>
            <w:r/>
          </w:p>
        </w:tc>
      </w:tr>
      <w:tr>
        <w:trPr>
          <w:jc w:val="center"/>
          <w:trHeight w:val="2543"/>
        </w:trPr>
        <w:tc>
          <w:tcPr>
            <w:tcW w:w="750" w:type="dxa"/>
            <w:vAlign w:val="center"/>
            <w:textDirection w:val="lrTb"/>
            <w:noWrap w:val="false"/>
          </w:tcPr>
          <w:p>
            <w:pPr>
              <w:jc w:val="center"/>
              <w:rPr>
                <w:rFonts w:hint="eastAsia" w:ascii="Times New Roman" w:hAnsi="Times New Roman" w:eastAsia="宋体" w:cs="Times New Roman"/>
                <w:color w:val="auto"/>
                <w:sz w:val="24"/>
                <w:szCs w:val="24"/>
                <w:lang w:eastAsia="zh-CN"/>
              </w:rPr>
            </w:pPr>
            <w:r>
              <w:rPr>
                <w:rFonts w:hint="eastAsia" w:cs="Times New Roman"/>
                <w:color w:val="auto"/>
                <w:sz w:val="24"/>
                <w:szCs w:val="24"/>
                <w:lang w:val="en-US" w:eastAsia="zh-CN"/>
              </w:rPr>
              <w:t xml:space="preserve">5</w:t>
            </w:r>
            <w:r/>
          </w:p>
        </w:tc>
        <w:tc>
          <w:tcPr>
            <w:gridSpan w:val="2"/>
            <w:tcW w:w="385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界桩与界线管理系统</w:t>
            </w:r>
            <w:r/>
          </w:p>
        </w:tc>
        <w:tc>
          <w:tcPr>
            <w:tcW w:w="975" w:type="dxa"/>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1</w:t>
            </w:r>
            <w:r>
              <w:rPr>
                <w:rFonts w:hint="eastAsia"/>
                <w:color w:val="auto"/>
                <w:sz w:val="24"/>
                <w:szCs w:val="24"/>
                <w:lang w:val="en-US" w:eastAsia="zh-CN"/>
              </w:rPr>
              <w:t xml:space="preserve">项</w:t>
            </w:r>
            <w:r/>
          </w:p>
        </w:tc>
        <w:tc>
          <w:tcPr>
            <w:tcW w:w="4200" w:type="dxa"/>
            <w:vAlign w:val="center"/>
            <w:textDirection w:val="lrTb"/>
            <w:noWrap w:val="false"/>
          </w:tcPr>
          <w:p>
            <w:pPr>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基于B/S架构开发</w:t>
            </w:r>
            <w:r>
              <w:rPr>
                <w:rFonts w:hint="eastAsia" w:ascii="宋体" w:hAnsi="宋体" w:cs="宋体"/>
                <w:color w:val="auto"/>
                <w:sz w:val="24"/>
                <w:szCs w:val="24"/>
                <w:lang w:eastAsia="zh-CN"/>
              </w:rPr>
              <w:t xml:space="preserve">油车水库</w:t>
            </w:r>
            <w:r>
              <w:rPr>
                <w:rFonts w:hint="eastAsia" w:ascii="Times New Roman" w:hAnsi="Times New Roman" w:eastAsia="宋体" w:cs="Times New Roman"/>
                <w:color w:val="auto"/>
                <w:sz w:val="24"/>
                <w:szCs w:val="24"/>
              </w:rPr>
              <w:t xml:space="preserve">界桩与界线管理系统，构建</w:t>
            </w:r>
            <w:r>
              <w:rPr>
                <w:rFonts w:hint="eastAsia" w:ascii="宋体" w:hAnsi="宋体" w:cs="宋体"/>
                <w:color w:val="auto"/>
                <w:sz w:val="24"/>
                <w:szCs w:val="24"/>
                <w:lang w:eastAsia="zh-CN"/>
              </w:rPr>
              <w:t xml:space="preserve">油车水库</w:t>
            </w:r>
            <w:r>
              <w:rPr>
                <w:rFonts w:hint="eastAsia" w:ascii="Times New Roman" w:hAnsi="Times New Roman" w:eastAsia="宋体" w:cs="Times New Roman"/>
                <w:color w:val="auto"/>
                <w:sz w:val="24"/>
                <w:szCs w:val="24"/>
              </w:rPr>
              <w:t xml:space="preserve">数字孪生底板，并在孪生底板上实现界桩位置、名称、外观等信息的孪生展示。系统支持电子界桩名称查询、状态查询等功能，支持电子界桩非法闯入报警信息报送，相关监控视频播放，确保用户可以实时查看发生警情的现场画面。</w:t>
            </w:r>
            <w:r/>
          </w:p>
        </w:tc>
      </w:tr>
      <w:tr>
        <w:trPr>
          <w:jc w:val="center"/>
          <w:trHeight w:val="765"/>
        </w:trPr>
        <w:tc>
          <w:tcPr>
            <w:tcW w:w="750" w:type="dxa"/>
            <w:vAlign w:val="center"/>
            <w:textDirection w:val="lrTb"/>
            <w:noWrap w:val="false"/>
          </w:tcPr>
          <w:p>
            <w:pPr>
              <w:jc w:val="center"/>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6</w:t>
            </w:r>
            <w:r/>
          </w:p>
        </w:tc>
        <w:tc>
          <w:tcPr>
            <w:gridSpan w:val="2"/>
            <w:tcW w:w="3855" w:type="dxa"/>
            <w:vAlign w:val="center"/>
            <w:textDirection w:val="lrTb"/>
            <w:noWrap w:val="false"/>
          </w:tcPr>
          <w:p>
            <w:pPr>
              <w:pStyle w:val="971"/>
              <w:ind w:firstLine="0"/>
              <w:rPr>
                <w:rFonts w:ascii="Times New Roman" w:hAnsi="Times New Roman" w:eastAsia="宋体" w:cs="Times New Roman"/>
                <w:color w:val="auto"/>
                <w:sz w:val="24"/>
                <w:szCs w:val="24"/>
              </w:rPr>
            </w:pPr>
            <w:r>
              <w:rPr>
                <w:rFonts w:hint="eastAsia" w:ascii="宋体" w:hAnsi="宋体"/>
                <w:color w:val="auto"/>
                <w:sz w:val="24"/>
                <w:szCs w:val="24"/>
                <w:lang w:val="en-US" w:eastAsia="zh-CN"/>
              </w:rPr>
              <w:t xml:space="preserve">设备质保</w:t>
            </w:r>
            <w:r>
              <w:rPr>
                <w:rFonts w:hint="eastAsia" w:ascii="宋体" w:hAnsi="宋体"/>
                <w:color w:val="auto"/>
                <w:sz w:val="24"/>
                <w:szCs w:val="24"/>
              </w:rPr>
              <w:t xml:space="preserve">服务</w:t>
            </w:r>
            <w:r/>
          </w:p>
        </w:tc>
        <w:tc>
          <w:tcPr>
            <w:tcW w:w="975" w:type="dxa"/>
            <w:vAlign w:val="center"/>
            <w:textDirection w:val="lrTb"/>
            <w:noWrap w:val="false"/>
          </w:tcPr>
          <w:p>
            <w:pPr>
              <w:pStyle w:val="971"/>
              <w:ind w:firstLine="0"/>
              <w:rPr>
                <w:rFonts w:ascii="Times New Roman" w:hAnsi="Times New Roman" w:eastAsia="宋体" w:cs="Times New Roman"/>
                <w:color w:val="auto"/>
                <w:sz w:val="24"/>
                <w:szCs w:val="24"/>
              </w:rPr>
            </w:pPr>
            <w:r>
              <w:rPr>
                <w:rFonts w:hint="eastAsia"/>
                <w:color w:val="auto"/>
                <w:sz w:val="24"/>
                <w:szCs w:val="24"/>
                <w:lang w:val="en-US" w:eastAsia="zh-CN"/>
              </w:rPr>
              <w:t xml:space="preserve">2年</w:t>
            </w:r>
            <w:r/>
          </w:p>
        </w:tc>
        <w:tc>
          <w:tcPr>
            <w:tcW w:w="4200" w:type="dxa"/>
            <w:vAlign w:val="center"/>
            <w:textDirection w:val="lrTb"/>
            <w:noWrap w:val="false"/>
          </w:tcPr>
          <w:p>
            <w:pPr>
              <w:pStyle w:val="971"/>
              <w:ind w:firstLine="0"/>
              <w:jc w:val="left"/>
              <w:rPr>
                <w:rFonts w:ascii="Times New Roman" w:hAnsi="Times New Roman" w:eastAsia="宋体" w:cs="Times New Roman"/>
                <w:color w:val="auto"/>
                <w:sz w:val="24"/>
                <w:szCs w:val="24"/>
              </w:rPr>
            </w:pPr>
            <w:r>
              <w:rPr>
                <w:rFonts w:hint="eastAsia" w:ascii="宋体" w:hAnsi="宋体"/>
                <w:color w:val="auto"/>
                <w:sz w:val="24"/>
                <w:szCs w:val="24"/>
              </w:rPr>
              <w:t xml:space="preserve">自项目竣工验收合格之日起提供两年</w:t>
            </w:r>
            <w:r>
              <w:rPr>
                <w:rFonts w:hint="eastAsia" w:ascii="宋体" w:hAnsi="宋体"/>
                <w:color w:val="auto"/>
                <w:sz w:val="24"/>
                <w:szCs w:val="24"/>
                <w:lang w:val="en-US" w:eastAsia="zh-CN"/>
              </w:rPr>
              <w:t xml:space="preserve">设备</w:t>
            </w:r>
            <w:r>
              <w:rPr>
                <w:rFonts w:hint="eastAsia" w:ascii="宋体" w:hAnsi="宋体"/>
                <w:color w:val="auto"/>
                <w:sz w:val="24"/>
                <w:szCs w:val="24"/>
              </w:rPr>
              <w:t xml:space="preserve">免费</w:t>
            </w:r>
            <w:r>
              <w:rPr>
                <w:rFonts w:hint="eastAsia" w:ascii="宋体" w:hAnsi="宋体"/>
                <w:color w:val="auto"/>
                <w:sz w:val="24"/>
                <w:szCs w:val="24"/>
                <w:lang w:val="en-US" w:eastAsia="zh-CN"/>
              </w:rPr>
              <w:t xml:space="preserve">质保</w:t>
            </w:r>
            <w:r>
              <w:rPr>
                <w:rFonts w:hint="eastAsia" w:ascii="宋体" w:hAnsi="宋体"/>
                <w:color w:val="auto"/>
                <w:sz w:val="24"/>
                <w:szCs w:val="24"/>
              </w:rPr>
              <w:t xml:space="preserve">服务</w:t>
            </w:r>
            <w:r/>
          </w:p>
        </w:tc>
      </w:tr>
      <w:tr>
        <w:trPr>
          <w:jc w:val="center"/>
          <w:trHeight w:val="765"/>
        </w:trPr>
        <w:tc>
          <w:tcPr>
            <w:tcW w:w="750" w:type="dxa"/>
            <w:vAlign w:val="center"/>
            <w:textDirection w:val="lrTb"/>
            <w:noWrap w:val="false"/>
          </w:tcPr>
          <w:p>
            <w:pPr>
              <w:jc w:val="center"/>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7</w:t>
            </w:r>
            <w:r/>
          </w:p>
        </w:tc>
        <w:tc>
          <w:tcPr>
            <w:gridSpan w:val="2"/>
            <w:tcW w:w="3855" w:type="dxa"/>
            <w:vAlign w:val="center"/>
            <w:textDirection w:val="lrTb"/>
            <w:noWrap w:val="false"/>
          </w:tcPr>
          <w:p>
            <w:pPr>
              <w:pStyle w:val="971"/>
              <w:ind w:firstLine="0"/>
              <w:rPr>
                <w:rFonts w:ascii="Times New Roman" w:hAnsi="Times New Roman" w:eastAsia="宋体" w:cs="Times New Roman"/>
                <w:color w:val="auto"/>
                <w:sz w:val="24"/>
                <w:szCs w:val="24"/>
              </w:rPr>
            </w:pPr>
            <w:r>
              <w:rPr>
                <w:rFonts w:hint="eastAsia" w:ascii="宋体" w:hAnsi="宋体"/>
                <w:color w:val="auto"/>
                <w:sz w:val="24"/>
                <w:szCs w:val="24"/>
              </w:rPr>
              <w:t xml:space="preserve">软件</w:t>
            </w:r>
            <w:r>
              <w:rPr>
                <w:rFonts w:hint="eastAsia" w:ascii="宋体" w:hAnsi="宋体"/>
                <w:color w:val="auto"/>
                <w:sz w:val="24"/>
                <w:szCs w:val="24"/>
                <w:lang w:val="en-US" w:eastAsia="zh-CN"/>
              </w:rPr>
              <w:t xml:space="preserve">维保</w:t>
            </w:r>
            <w:r>
              <w:rPr>
                <w:rFonts w:hint="eastAsia" w:ascii="宋体" w:hAnsi="宋体"/>
                <w:color w:val="auto"/>
                <w:sz w:val="24"/>
                <w:szCs w:val="24"/>
              </w:rPr>
              <w:t xml:space="preserve">服务</w:t>
            </w:r>
            <w:r/>
          </w:p>
        </w:tc>
        <w:tc>
          <w:tcPr>
            <w:tcW w:w="975" w:type="dxa"/>
            <w:vAlign w:val="center"/>
            <w:textDirection w:val="lrTb"/>
            <w:noWrap w:val="false"/>
          </w:tcPr>
          <w:p>
            <w:pPr>
              <w:pStyle w:val="971"/>
              <w:ind w:firstLine="0"/>
              <w:rPr>
                <w:rFonts w:ascii="Times New Roman" w:hAnsi="Times New Roman" w:eastAsia="宋体" w:cs="Times New Roman"/>
                <w:color w:val="auto"/>
                <w:sz w:val="24"/>
                <w:szCs w:val="24"/>
              </w:rPr>
            </w:pPr>
            <w:r>
              <w:rPr>
                <w:rFonts w:hint="eastAsia"/>
                <w:color w:val="auto"/>
                <w:sz w:val="24"/>
                <w:szCs w:val="24"/>
                <w:lang w:val="en-US" w:eastAsia="zh-CN"/>
              </w:rPr>
              <w:t xml:space="preserve">5年</w:t>
            </w:r>
            <w:r/>
          </w:p>
        </w:tc>
        <w:tc>
          <w:tcPr>
            <w:tcW w:w="4200" w:type="dxa"/>
            <w:vAlign w:val="center"/>
            <w:textDirection w:val="lrTb"/>
            <w:noWrap w:val="false"/>
          </w:tcPr>
          <w:p>
            <w:pPr>
              <w:pStyle w:val="971"/>
              <w:numPr>
                <w:ilvl w:val="0"/>
                <w:numId w:val="0"/>
              </w:numPr>
              <w:ind w:firstLine="0"/>
              <w:jc w:val="left"/>
              <w:rPr>
                <w:rFonts w:hint="eastAsia" w:ascii="宋体" w:hAnsi="宋体"/>
                <w:color w:val="auto"/>
                <w:sz w:val="24"/>
                <w:szCs w:val="24"/>
              </w:rPr>
            </w:pPr>
            <w:r>
              <w:rPr>
                <w:rFonts w:hint="eastAsia" w:ascii="宋体" w:hAnsi="宋体" w:cs="Times New Roman"/>
                <w:color w:val="auto"/>
                <w:sz w:val="24"/>
                <w:szCs w:val="24"/>
                <w:lang w:val="en-US" w:eastAsia="zh-CN" w:bidi="ar-SA"/>
              </w:rPr>
              <w:t xml:space="preserve">1、</w:t>
            </w:r>
            <w:r>
              <w:rPr>
                <w:rFonts w:hint="eastAsia" w:ascii="宋体" w:hAnsi="宋体"/>
                <w:color w:val="auto"/>
                <w:sz w:val="24"/>
                <w:szCs w:val="24"/>
              </w:rPr>
              <w:t xml:space="preserve">自项目竣工验收合格之日起提供</w:t>
            </w:r>
            <w:r>
              <w:rPr>
                <w:rFonts w:hint="eastAsia" w:ascii="宋体" w:hAnsi="宋体"/>
                <w:color w:val="auto"/>
                <w:sz w:val="24"/>
                <w:szCs w:val="24"/>
                <w:lang w:val="en-US" w:eastAsia="zh-CN"/>
              </w:rPr>
              <w:t xml:space="preserve">五年软件</w:t>
            </w:r>
            <w:r>
              <w:rPr>
                <w:rFonts w:hint="eastAsia" w:ascii="宋体" w:hAnsi="宋体"/>
                <w:color w:val="auto"/>
                <w:sz w:val="24"/>
                <w:szCs w:val="24"/>
              </w:rPr>
              <w:t xml:space="preserve">免费维保服务</w:t>
            </w:r>
            <w:r/>
          </w:p>
          <w:p>
            <w:pPr>
              <w:pStyle w:val="971"/>
              <w:numPr>
                <w:ilvl w:val="0"/>
                <w:numId w:val="0"/>
              </w:numPr>
              <w:ind w:left="0" w:firstLine="0"/>
              <w:jc w:val="left"/>
              <w:rPr>
                <w:rFonts w:ascii="Times New Roman" w:hAnsi="Times New Roman" w:eastAsia="宋体" w:cs="Times New Roman"/>
                <w:color w:val="auto"/>
                <w:sz w:val="24"/>
                <w:szCs w:val="24"/>
              </w:rPr>
            </w:pPr>
            <w:r>
              <w:rPr>
                <w:rFonts w:hint="eastAsia" w:ascii="宋体" w:hAnsi="宋体" w:cs="Times New Roman"/>
                <w:color w:val="auto"/>
                <w:sz w:val="24"/>
                <w:szCs w:val="24"/>
                <w:lang w:val="en-US" w:eastAsia="zh-CN" w:bidi="ar-SA"/>
              </w:rPr>
              <w:t xml:space="preserve">2、提供一次免费电子界桩电池更换服务，保证5年内电子界桩电源稳定。</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三、技术要求</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1、电子界桩（AI视频版）</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（1）概况</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运用了姿态传感、红外入侵、可见光图像传感等复合传感与AI技术和数学模型技术，可用于库区精准划界与界线管理。</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对异常闯入的人、车等进行自动拍照、录像，传输到后台系统，并通知管理者，便于管理。</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在有人入侵时还会触发语音播报提醒，可以起着一定的警示作用。</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遭到人为破坏或因地质等原因发生倾倒、移位、振动时，系统将及时发出警报，方便管理者了解设备运行及其现场环境情况。</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（2）产品功能</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AI视频识别：通过视频识别人员闯入；</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声光报警：人员闯入自动声光报警警示；</w:t>
      </w:r>
      <w:r/>
    </w:p>
    <w:p>
      <w:pPr>
        <w:numPr>
          <w:ilvl w:val="0"/>
          <w:numId w:val="0"/>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IP广播：管理中心可以远程播放提示信息；</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AI互动智慧屏：前面板上加装智慧屏幕，展示水库基本情况、管理范围线、当天天气、水库水位等信息，具备违规事件举报、建议意见留言功能</w:t>
      </w:r>
      <w:r>
        <w:rPr>
          <w:rFonts w:hint="eastAsia" w:ascii="宋体" w:hAnsi="宋体" w:eastAsia="宋体" w:cs="宋体"/>
          <w:sz w:val="24"/>
          <w:szCs w:val="24"/>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SOS求助：通过按SOS按钮，后台系统会实时接收求助信息，并通过语音对讲和求助人员取得联系；</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可扩展性：可外接雨量计、温湿度计、空气质量监测等模块。</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固定方式：化学螺栓固定安装</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（3）规格参数</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1"/>
        <w:gridCol w:w="8263"/>
      </w:tblGrid>
      <w:tr>
        <w:trPr>
          <w:jc w:val="center"/>
          <w:trHeight w:val="567"/>
          <w:tblHeader/>
        </w:trPr>
        <w:tc>
          <w:tcPr>
            <w:tcBorders>
              <w:bottom w:val="single" w:color="auto" w:sz="4" w:space="0"/>
            </w:tcBorders>
            <w:tcW w:w="807"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bottom w:val="single" w:color="auto" w:sz="4" w:space="0"/>
            </w:tcBorders>
            <w:tcW w:w="4192"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桩体</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304不锈钢桩体，喷涂材料具有防水、防晒、防蚀、防冻、坚固、耐用的特性</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尺寸</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高度不小于2m</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AI视觉识别</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支持在感应到人、车辆进入时自动抓拍图片并进行识别</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IP语音广播</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检测到人员车辆进入时，自动语音警示宣传，实现IP语音喊话</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紧急求助</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现场人员可以通过界桩上的求助按钮，向管理中心申请可视通话进行求助</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声光报警器</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人员闯入声光报警提醒</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电源管理</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支持设备电池电压和电量监测，支持定时上传电量电压监测数据</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CPU</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工业级 32 位超低功耗处理器</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LCD显示</w:t>
            </w:r>
            <w:r/>
          </w:p>
        </w:tc>
        <w:tc>
          <w:tcPr>
            <w:tcW w:w="4192" w:type="pct"/>
            <w:vAlign w:val="center"/>
            <w:textDirection w:val="lrTb"/>
            <w:noWrap w:val="false"/>
          </w:tcPr>
          <w:p>
            <w:pPr>
              <w:jc w:val="left"/>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10.1寸LCD显示屏</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远程通信</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以太网光纤通信/4G通信 任选其一</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蓝牙通信</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支持手机APP对终端参数进行本地运维</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雨量计</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支持雨量计接入，可选择是否配置雨量计采集降雨量数据</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温湿度采集</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内置温湿度传感器，对机壳内部工作环境进行监控</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电压采集</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采集供电电压、电池电压并上报</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供电方式</w:t>
            </w:r>
            <w:r/>
          </w:p>
        </w:tc>
        <w:tc>
          <w:tcPr>
            <w:tcW w:w="4192"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1、太阳能+电池组，120W光伏板+65AH12V胶体电池</w:t>
            </w:r>
            <w:r/>
          </w:p>
          <w:p>
            <w:pPr>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2、市电供电方式</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工作温度</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-20~80℃</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防水等级</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IP67</w:t>
            </w:r>
            <w:r/>
          </w:p>
        </w:tc>
      </w:tr>
      <w:tr>
        <w:trPr>
          <w:jc w:val="center"/>
          <w:trHeight w:val="567"/>
        </w:trPr>
        <w:tc>
          <w:tcPr>
            <w:tcW w:w="80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安装方式</w:t>
            </w:r>
            <w:r/>
          </w:p>
        </w:tc>
        <w:tc>
          <w:tcPr>
            <w:tcW w:w="4192" w:type="pct"/>
            <w:vAlign w:val="center"/>
            <w:textDirection w:val="lrTb"/>
            <w:noWrap w:val="false"/>
          </w:tcPr>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4.2米DN100立杆安装</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（4）界桩安装</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4.2米DN100立杆安装，底座采用化学螺栓固定，就近安全取电，确保电力供应稳定，室外线缆使用PVC管铺设，并埋地处理。无法实现埋地的位置，使用镀锌钢管铺设后紧固至地面，并将钢管良好接地。安装在水库坝顶、溢洪道等重要部位，或人员出入频繁不易管理部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电子界桩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（1）电子界桩功能</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电子界桩符合江苏省地标《DB32/T 4402-2022 河湖和水利工程管理范围划定技术规程》标准，界桩内部集成了加速度传感器、振动传感器，能够实时监测界桩的倾斜角度以及周边的振动情况，监测结果可通过4G、LoRa等信号上传至云端服务器，进行实时预警监测。电子界桩采用超低功耗设计，适用于有信号以及偏远无信号等多工况多用途的水利工程界桩的全覆盖、全天候定位，具备界桩定位，水域空间违法监管等多功能。</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（2）规格参数</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4"/>
        <w:gridCol w:w="7850"/>
      </w:tblGrid>
      <w:tr>
        <w:trPr>
          <w:jc w:val="center"/>
          <w:trHeight w:val="567"/>
          <w:tblHeader/>
        </w:trPr>
        <w:tc>
          <w:tcPr>
            <w:tcBorders>
              <w:bottom w:val="single" w:color="auto" w:sz="4" w:space="0"/>
            </w:tcBorders>
            <w:tcW w:w="1017"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bottom w:val="single" w:color="auto" w:sz="4" w:space="0"/>
            </w:tcBorders>
            <w:tcW w:w="3983"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CPU</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工业级 32 位超低功耗处理器</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远程通信</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可以选择4G/LORA中的一种通信模式</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蓝牙通信</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支持BLE5.0蓝牙通信，通过手机APP可以本地运维</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通信天线</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内置天线，一体安装内部安装</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定位方式</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GPS定位，误差10米</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姿态监测</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XYZ三轴90°，倾角精度0.1°</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振动监测</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XYZ三轴监测，振动分辨率±0.1G</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温湿度采集</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内置温湿度传感器，对机壳内部工作环境进行监控</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电压采集</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采集电池电压并上报</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供电方式</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内置电池供电，标配19AH7.2V电池</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工作温度</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-20~80℃</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防水等级</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IP68</w:t>
            </w:r>
            <w:r/>
          </w:p>
        </w:tc>
      </w:tr>
      <w:tr>
        <w:trPr>
          <w:jc w:val="center"/>
          <w:trHeight w:val="567"/>
        </w:trPr>
        <w:tc>
          <w:tcPr>
            <w:tcW w:w="1017"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设备材质</w:t>
            </w:r>
            <w:r/>
          </w:p>
        </w:tc>
        <w:tc>
          <w:tcPr>
            <w:tcW w:w="3983"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304不锈钢+PC面板</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（3）界桩安装</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界桩安装按照现行规范要求进行安装，采用C25混凝土浇筑基础，上覆25厘米回填土。安装点位根据现行油车管理范围线。</w:t>
      </w:r>
      <w:r/>
    </w:p>
    <w:p>
      <w:pPr>
        <w:numPr>
          <w:ilvl w:val="0"/>
          <w:numId w:val="0"/>
        </w:numPr>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ascii="等线" w:hAnsi="等线" w:eastAsia="等线"/>
          <w:szCs w:val="22"/>
        </w:rPr>
        <mc:AlternateContent>
          <mc:Choice Requires="wpg">
            <w:drawing>
              <wp:inline xmlns:wp="http://schemas.openxmlformats.org/drawingml/2006/wordprocessingDrawing" distT="0" distB="0" distL="0" distR="0">
                <wp:extent cx="3848100" cy="2287905"/>
                <wp:effectExtent l="0" t="0" r="0" b="171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4"/>
                        <a:srcRect l="0" t="0" r="14159" b="0"/>
                        <a:stretch/>
                      </pic:blipFill>
                      <pic:spPr bwMode="auto">
                        <a:xfrm>
                          <a:off x="0" y="0"/>
                          <a:ext cx="3848100" cy="228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3.0pt;height:180.1pt;mso-wrap-distance-left:0.0pt;mso-wrap-distance-top:0.0pt;mso-wrap-distance-right:0.0pt;mso-wrap-distance-bottom:0.0pt;" stroked="f">
                <v:path textboxrect="0,0,0,0"/>
                <v:imagedata r:id="rId14" o:title=""/>
              </v:shape>
            </w:pict>
          </mc:Fallback>
        </mc:AlternateContent>
      </w:r>
      <w:r>
        <w:rPr>
          <w:rFonts w:ascii="等线" w:hAnsi="等线" w:eastAsia="等线"/>
          <w:szCs w:val="22"/>
        </w:rPr>
        <mc:AlternateContent>
          <mc:Choice Requires="wpg">
            <w:drawing>
              <wp:inline xmlns:wp="http://schemas.openxmlformats.org/drawingml/2006/wordprocessingDrawing" distT="0" distB="0" distL="0" distR="0">
                <wp:extent cx="4420235" cy="2444115"/>
                <wp:effectExtent l="0" t="0" r="18415" b="133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5"/>
                        <a:stretch/>
                      </pic:blipFill>
                      <pic:spPr bwMode="auto">
                        <a:xfrm>
                          <a:off x="0" y="0"/>
                          <a:ext cx="4420235" cy="2444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8.1pt;height:192.4pt;mso-wrap-distance-left:0.0pt;mso-wrap-distance-top:0.0pt;mso-wrap-distance-right:0.0pt;mso-wrap-distance-bottom:0.0pt;" stroked="f">
                <v:path textboxrect="0,0,0,0"/>
                <v:imagedata r:id="rId15" o:title=""/>
              </v:shape>
            </w:pict>
          </mc:Fallback>
        </mc:AlternateConten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电子围栏</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（1）功能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通过产生和接收脉冲信号，并在前端探测围栏处于触网、短路、断路状态时能产生报警信号，并把入侵信号发送到安全报警中心，达到非法闯入监管作用。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（2）规格参数</w:t>
      </w:r>
      <w:r/>
    </w:p>
    <w:tbl>
      <w:tblPr>
        <w:tblStyle w:val="9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2"/>
        <w:gridCol w:w="7242"/>
      </w:tblGrid>
      <w:tr>
        <w:trPr>
          <w:trHeight w:val="20"/>
          <w:tblHeader/>
        </w:trPr>
        <w:tc>
          <w:tcPr>
            <w:tcW w:w="1325" w:type="pct"/>
            <w:vAlign w:val="top"/>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W w:w="3674" w:type="pct"/>
            <w:vAlign w:val="top"/>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室外警戒距离</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0~300m</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报警方式</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相邻 1、2、3、4 光束遮挡模式可调</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激光波长</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980nm</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电源电压</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DC/AC12V~24V</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激光光源等级</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为ClassI</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工作电流</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90~200mA</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MTBF</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&gt;150000小时</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报警输出</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常闭常开可选 触点容量 AC125V/0.5A、DC24V/1A max</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两个光束间的距离</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15cm</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发射器发散角度</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&lt;8'</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接收器接收角度</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&gt;10°</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光轴调整角度</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水平+15°垂直±15°</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50ms/100ms/300ms/700ms 可调</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报警时间</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1.5s</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射束频率</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每个光束都唯一的频率</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壳体，304 不锈钢;中心支撑柱，铝合金;底座，压铸铝</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防护等级</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IP67</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工作环境</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温度-25℃~70℃/湿度:95% max</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安装孔尺寸</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4个$10孔均匀分布</w:t>
            </w:r>
            <w:r/>
          </w:p>
        </w:tc>
      </w:tr>
      <w:tr>
        <w:trPr>
          <w:trHeight w:val="20"/>
        </w:trPr>
        <w:tc>
          <w:tcPr>
            <w:tcW w:w="1325"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安装位置</w:t>
            </w:r>
            <w:r/>
          </w:p>
        </w:tc>
        <w:tc>
          <w:tcPr>
            <w:tcW w:w="3674" w:type="pct"/>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室内/室外，墙体/杆柱安装</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三、界桩与界线管理系统</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 界桩展示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基于界桩与界线管理系统展示油车水库管理范围内各类型界桩的地理位置。用户可通过点击界桩在地图上定位，并弹窗展示界桩的身份信息，包括界桩名称、具体地点、横纵坐标、高程，以及对应的坐标系统和高程系统，点位缩略图、界桩的远景图和近景图。此外，系统支持界桩名称查询、状态查询功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 界桩预警信息</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界桩通过搭载的监控视频，能够智能识别并预警界桩区域内的异常情况，如非授权入侵或越界行为，并及时报警。系统同时展示相关监控视频，确保用户可以实时查看发生警情的现场画面。</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、服务要求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1、保障</w:t>
      </w:r>
      <w:r>
        <w:rPr>
          <w:rFonts w:hint="eastAsia" w:ascii="宋体" w:hAnsi="宋体" w:cs="宋体"/>
          <w:color w:val="auto"/>
          <w:sz w:val="24"/>
          <w:szCs w:val="24"/>
          <w:lang w:val="en-US" w:eastAsia="zh-CN"/>
        </w:rPr>
        <w:t xml:space="preserve">电子</w:t>
      </w:r>
      <w:r>
        <w:rPr>
          <w:rFonts w:hint="eastAsia" w:ascii="宋体" w:hAnsi="宋体" w:eastAsia="宋体" w:cs="宋体"/>
          <w:color w:val="auto"/>
          <w:sz w:val="24"/>
          <w:szCs w:val="24"/>
          <w:lang w:val="en-US" w:eastAsia="zh-CN"/>
        </w:rPr>
        <w:t xml:space="preserve">界桩定位及非法闯入监管功能稳定运行，出现技术问题需3个工作日内予以回复，并提供解决方案。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2、界桩管理系统稳定在线运行，出现技术问题需3个工作日内修复。</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3、供应商根据项目情况及服务内容为基础，编制详细的服务方案，包括但不限于项目采购安装方案、界桩与界线管理系统、进度方案及保障措施、系统维护及售后服务方案、培训方案等。</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合同生效后立即组建项目团队，选派1名具有丰富实践经验、良好沟通协调能力的项目负责人，以及不少于</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名专业技术人员（不含项目负责人）。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本项目报价应包含完成本服务项目发生的所有含税费用，包括但不限于人工费，技术培训费，保险费，设施设备费，设备维护、升级、改造费，管理运行水费、电费、油料费（应急防控时发电机燃料费除外），管理费，运输费，安装费，税金等费用。供应商投标时请综合考虑相关费用，结算时不作调整、调价。</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、供应商自行承担项目实施过程中可能产生的包括但不限于生产、运输、安装、交通、保险、用工、生产安全、矛盾纠纷调解等所有风险，供应商</w:t>
      </w:r>
      <w:r>
        <w:rPr>
          <w:rFonts w:hint="eastAsia" w:ascii="宋体" w:hAnsi="宋体" w:cs="宋体"/>
          <w:color w:val="auto"/>
          <w:sz w:val="24"/>
          <w:szCs w:val="24"/>
          <w:lang w:val="en-US" w:eastAsia="zh-CN"/>
        </w:rPr>
        <w:t xml:space="preserve">报价</w:t>
      </w:r>
      <w:r>
        <w:rPr>
          <w:rFonts w:hint="eastAsia" w:ascii="宋体" w:hAnsi="宋体" w:eastAsia="宋体" w:cs="宋体"/>
          <w:color w:val="auto"/>
          <w:sz w:val="24"/>
          <w:szCs w:val="24"/>
          <w:lang w:val="en-US" w:eastAsia="zh-CN"/>
        </w:rPr>
        <w:t xml:space="preserve">时请综合考虑所有因素，采购人不承担任何责任。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、在签订合同前，采购人会根据需求组织相关人员对</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供应商投标内容复核检查，如发现</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供应商有造假、弄虚作假或未按照采购需求执行的行为的,采购人会上报相关部门及监督部门按照有关规定进行处罚。</w:t>
      </w:r>
      <w:r/>
    </w:p>
    <w:p>
      <w:pPr>
        <w:numPr>
          <w:ilvl w:val="0"/>
          <w:numId w:val="0"/>
        </w:num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五、商务要求</w:t>
      </w:r>
      <w:r/>
    </w:p>
    <w:p>
      <w:pPr>
        <w:ind w:firstLine="482"/>
        <w:keepLines w:val="0"/>
        <w:keepNext w:val="0"/>
        <w:pageBreakBefore w:val="0"/>
        <w:spacing w:line="360" w:lineRule="auto"/>
        <w:widowControl w:val="off"/>
        <w:rPr>
          <w:rFonts w:hint="default" w:ascii="宋体" w:hAnsi="宋体" w:eastAsia="宋体"/>
          <w:bCs/>
          <w:color w:val="auto"/>
          <w:sz w:val="24"/>
          <w:highlight w:val="none"/>
          <w:lang w:val="en-US" w:eastAsia="zh-CN"/>
        </w:rPr>
      </w:pPr>
      <w:r>
        <w:rPr>
          <w:rFonts w:hint="eastAsia" w:ascii="宋体" w:hAnsi="宋体"/>
          <w:b/>
          <w:bCs/>
          <w:color w:val="auto"/>
          <w:sz w:val="24"/>
          <w:szCs w:val="24"/>
          <w:highlight w:val="none"/>
        </w:rPr>
        <w:t xml:space="preserve">1、服务期限：</w:t>
      </w:r>
      <w:r>
        <w:rPr>
          <w:rFonts w:hint="eastAsia" w:ascii="宋体" w:hAnsi="宋体"/>
          <w:b w:val="0"/>
          <w:bCs w:val="0"/>
          <w:color w:val="auto"/>
          <w:sz w:val="24"/>
          <w:szCs w:val="24"/>
          <w:highlight w:val="none"/>
        </w:rPr>
        <w:t xml:space="preserve">合同签订之日起</w:t>
      </w:r>
      <w:r>
        <w:rPr>
          <w:rFonts w:hint="eastAsia" w:ascii="宋体" w:hAnsi="宋体"/>
          <w:b w:val="0"/>
          <w:bCs w:val="0"/>
          <w:color w:val="auto"/>
          <w:sz w:val="24"/>
          <w:szCs w:val="24"/>
          <w:highlight w:val="none"/>
          <w:lang w:val="en-US" w:eastAsia="zh-CN"/>
        </w:rPr>
        <w:t xml:space="preserve">3个月内完成设备安装及系统运行。</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color w:val="auto"/>
          <w:sz w:val="24"/>
          <w:highlight w:val="none"/>
          <w:lang w:eastAsia="zh-CN"/>
        </w:rPr>
        <w:t xml:space="preserve">采购人指定地点</w:t>
      </w:r>
      <w:r>
        <w:rPr>
          <w:rFonts w:hint="eastAsia" w:ascii="宋体" w:hAnsi="宋体"/>
          <w:color w:val="auto"/>
          <w:sz w:val="24"/>
          <w:highlight w:val="none"/>
        </w:rPr>
        <w:t xml:space="preserve">。</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b/>
          <w:bCs/>
          <w:color w:val="auto"/>
          <w:sz w:val="24"/>
          <w:szCs w:val="24"/>
          <w:highlight w:val="none"/>
        </w:rPr>
        <w:t xml:space="preserve">3、验收标准：</w:t>
      </w:r>
      <w:r>
        <w:rPr>
          <w:rFonts w:hint="eastAsia" w:ascii="宋体" w:hAnsi="宋体"/>
          <w:bCs/>
          <w:color w:val="auto"/>
          <w:sz w:val="24"/>
          <w:highlight w:val="none"/>
        </w:rPr>
        <w:t xml:space="preserve">采购人根据国家有关规定、</w:t>
      </w:r>
      <w:r>
        <w:rPr>
          <w:rFonts w:hint="eastAsia" w:ascii="宋体" w:hAnsi="宋体"/>
          <w:bCs/>
          <w:color w:val="auto"/>
          <w:sz w:val="24"/>
          <w:highlight w:val="none"/>
          <w:lang w:val="en-US" w:eastAsia="zh-CN"/>
        </w:rPr>
        <w:t xml:space="preserve">招投标文件以及合同约定的内容</w:t>
      </w:r>
      <w:r>
        <w:rPr>
          <w:rFonts w:hint="eastAsia" w:ascii="宋体" w:hAnsi="宋体"/>
          <w:bCs/>
          <w:color w:val="auto"/>
          <w:sz w:val="24"/>
          <w:highlight w:val="none"/>
        </w:rPr>
        <w:t xml:space="preserve">组织验收，具体验收办法详见《宜兴市政府采购项目履约验收管理办法》（宜财办〔2016〕20号）。</w:t>
      </w:r>
      <w:r/>
    </w:p>
    <w:p>
      <w:pPr>
        <w:ind w:firstLine="482"/>
        <w:keepLines w:val="0"/>
        <w:keepNext w:val="0"/>
        <w:pageBreakBefore w:val="0"/>
        <w:spacing w:line="360" w:lineRule="auto"/>
        <w:widowControl w:val="off"/>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4、付款步骤：</w:t>
      </w:r>
      <w:r>
        <w:rPr>
          <w:rFonts w:hint="eastAsia" w:ascii="宋体" w:hAnsi="宋体"/>
          <w:bCs/>
          <w:color w:val="auto"/>
          <w:sz w:val="24"/>
          <w:highlight w:val="none"/>
          <w:lang w:val="en-US" w:eastAsia="zh-CN"/>
        </w:rPr>
        <w:t xml:space="preserve">采购服务审计结束且经相关主管部门组织竣工验收合格后付至97%，剩余部分于验收后一年付清。</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六</w:t>
      </w:r>
      <w:r>
        <w:rPr>
          <w:rFonts w:hint="eastAsia" w:ascii="宋体" w:hAnsi="宋体"/>
          <w:b/>
          <w:bCs/>
          <w:color w:val="auto"/>
          <w:sz w:val="24"/>
          <w:szCs w:val="24"/>
          <w:highlight w:val="none"/>
        </w:rPr>
        <w:t xml:space="preserve">、实质性要求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auto"/>
          <w:sz w:val="24"/>
          <w:highlight w:val="none"/>
        </w:rPr>
        <w:t xml:space="preserve">准要求作实质性响应。</w:t>
      </w:r>
      <w:r/>
    </w:p>
    <w:p>
      <w:pPr>
        <w:jc w:val="center"/>
        <w:spacing w:line="360" w:lineRule="auto"/>
        <w:rPr>
          <w:rFonts w:hint="eastAsia" w:ascii="黑体" w:hAnsi="黑体" w:eastAsia="黑体"/>
          <w:bCs/>
          <w:sz w:val="28"/>
          <w:highlight w:val="none"/>
          <w:lang w:eastAsia="zh-CN"/>
        </w:rPr>
        <w:outlineLvl w:val="0"/>
      </w:pPr>
      <w:r/>
      <w:bookmarkStart w:id="22" w:name="_Toc17546"/>
      <w:r>
        <w:rPr>
          <w:rFonts w:hint="eastAsia" w:ascii="黑体" w:hAnsi="黑体" w:eastAsia="黑体"/>
          <w:sz w:val="28"/>
          <w:highlight w:val="none"/>
        </w:rPr>
        <w:t xml:space="preserve">第四章 </w:t>
      </w:r>
      <w:bookmarkEnd w:id="22"/>
      <w:r>
        <w:rPr>
          <w:rFonts w:hint="eastAsia" w:ascii="黑体" w:hAnsi="黑体" w:eastAsia="黑体"/>
          <w:bCs/>
          <w:sz w:val="28"/>
          <w:highlight w:val="none"/>
          <w:lang w:eastAsia="zh-CN"/>
        </w:rPr>
        <w:t xml:space="preserve">评标方法和标准</w:t>
      </w:r>
      <w:r/>
    </w:p>
    <w:p>
      <w:pPr>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一、采用综合评分法（总分100分），其中：</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38"/>
        <w:gridCol w:w="6776"/>
      </w:tblGrid>
      <w:tr>
        <w:trPr>
          <w:jc w:val="center"/>
          <w:trHeight w:val="680"/>
        </w:trPr>
        <w:tc>
          <w:tcPr>
            <w:tcW w:w="3338" w:type="dxa"/>
            <w:vAlign w:val="center"/>
            <w:textDirection w:val="lrTb"/>
            <w:noWrap w:val="false"/>
          </w:tcPr>
          <w:p>
            <w:pPr>
              <w:jc w:val="center"/>
              <w:rPr>
                <w:rFonts w:hint="eastAsia" w:ascii="宋体" w:hAnsi="宋体"/>
                <w:b/>
                <w:bCs/>
                <w:sz w:val="24"/>
                <w:szCs w:val="24"/>
                <w:highlight w:val="none"/>
              </w:rPr>
            </w:pPr>
            <w:r>
              <w:rPr>
                <w:rFonts w:hint="eastAsia" w:ascii="宋体" w:hAnsi="宋体"/>
                <w:b/>
                <w:bCs/>
                <w:sz w:val="24"/>
                <w:szCs w:val="24"/>
                <w:highlight w:val="none"/>
              </w:rPr>
              <w:t xml:space="preserve">技术商务部分</w:t>
            </w:r>
            <w:r/>
          </w:p>
        </w:tc>
        <w:tc>
          <w:tcPr>
            <w:tcW w:w="6776" w:type="dxa"/>
            <w:vAlign w:val="center"/>
            <w:textDirection w:val="lrTb"/>
            <w:noWrap w:val="false"/>
          </w:tcPr>
          <w:p>
            <w:pPr>
              <w:jc w:val="center"/>
              <w:rPr>
                <w:rFonts w:hint="eastAsia" w:ascii="宋体" w:hAnsi="宋体"/>
                <w:b/>
                <w:bCs/>
                <w:sz w:val="24"/>
                <w:szCs w:val="24"/>
                <w:highlight w:val="none"/>
              </w:rPr>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0分</w:t>
            </w:r>
            <w:r/>
          </w:p>
        </w:tc>
      </w:tr>
      <w:tr>
        <w:trPr>
          <w:jc w:val="center"/>
          <w:trHeight w:val="680"/>
        </w:trPr>
        <w:tc>
          <w:tcPr>
            <w:tcW w:w="3338" w:type="dxa"/>
            <w:vAlign w:val="center"/>
            <w:textDirection w:val="lrTb"/>
            <w:noWrap w:val="false"/>
          </w:tcPr>
          <w:p>
            <w:pPr>
              <w:jc w:val="center"/>
              <w:rPr>
                <w:rFonts w:hint="eastAsia" w:ascii="宋体" w:hAnsi="宋体"/>
                <w:b/>
                <w:bCs/>
                <w:sz w:val="24"/>
                <w:szCs w:val="24"/>
                <w:highlight w:val="none"/>
              </w:rPr>
            </w:pPr>
            <w:r>
              <w:rPr>
                <w:rFonts w:hint="eastAsia" w:ascii="宋体" w:hAnsi="宋体"/>
                <w:b/>
                <w:bCs/>
                <w:sz w:val="24"/>
                <w:szCs w:val="24"/>
                <w:highlight w:val="none"/>
              </w:rPr>
              <w:t xml:space="preserve">价格部分</w:t>
            </w:r>
            <w:r/>
          </w:p>
        </w:tc>
        <w:tc>
          <w:tcPr>
            <w:tcW w:w="6776" w:type="dxa"/>
            <w:vAlign w:val="center"/>
            <w:textDirection w:val="lrTb"/>
            <w:noWrap w:val="false"/>
          </w:tcPr>
          <w:p>
            <w:pPr>
              <w:jc w:val="center"/>
              <w:rPr>
                <w:rFonts w:hint="eastAsia" w:ascii="宋体" w:hAnsi="宋体"/>
                <w:b/>
                <w:bCs/>
                <w:sz w:val="24"/>
                <w:szCs w:val="24"/>
                <w:highlight w:val="none"/>
              </w:rPr>
            </w:pPr>
            <w:r>
              <w:rPr>
                <w:rFonts w:hint="eastAsia" w:ascii="宋体"/>
                <w:b/>
                <w:bCs/>
                <w:sz w:val="24"/>
                <w:szCs w:val="24"/>
                <w:highlight w:val="none"/>
                <w:lang w:val="en-US" w:eastAsia="zh-CN"/>
              </w:rPr>
              <w:t xml:space="preserve">2</w:t>
            </w:r>
            <w:r>
              <w:rPr>
                <w:rFonts w:hint="eastAsia" w:ascii="宋体"/>
                <w:b/>
                <w:bCs/>
                <w:sz w:val="24"/>
                <w:szCs w:val="24"/>
                <w:highlight w:val="none"/>
              </w:rPr>
              <w:t xml:space="preserve">0分</w:t>
            </w:r>
            <w:r/>
          </w:p>
        </w:tc>
      </w:tr>
    </w:tbl>
    <w:p>
      <w:pPr>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二、评审内容和标准：</w:t>
      </w:r>
      <w:r/>
    </w:p>
    <w:tbl>
      <w:tblPr>
        <w:tblStyle w:val="959"/>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5"/>
        <w:gridCol w:w="991"/>
        <w:gridCol w:w="859"/>
        <w:gridCol w:w="6753"/>
        <w:gridCol w:w="12"/>
      </w:tblGrid>
      <w:tr>
        <w:trPr>
          <w:cantSplit/>
          <w:gridAfter w:val="1"/>
          <w:jc w:val="center"/>
          <w:trHeight w:val="85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b/>
                <w:bCs/>
                <w:color w:val="auto"/>
                <w:highlight w:val="none"/>
              </w:rPr>
            </w:pPr>
            <w:r>
              <w:rPr>
                <w:rFonts w:hint="eastAsia" w:ascii="宋体" w:hAnsi="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评审</w:t>
            </w:r>
            <w:r/>
          </w:p>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1"/>
              <w:jc w:val="center"/>
              <w:keepLines w:val="0"/>
              <w:keepNext w:val="0"/>
              <w:pageBreakBefore w:val="0"/>
              <w:spacing w:line="44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评审细则</w:t>
            </w:r>
            <w:r/>
          </w:p>
        </w:tc>
      </w:tr>
      <w:tr>
        <w:trPr>
          <w:cantSplit/>
          <w:gridAfter w:val="1"/>
          <w:jc w:val="center"/>
          <w:trHeight w:val="502"/>
        </w:trPr>
        <w:tc>
          <w:tcPr>
            <w:tcBorders>
              <w:top w:val="single" w:color="auto" w:sz="4" w:space="0"/>
              <w:left w:val="single" w:color="auto" w:sz="4" w:space="0"/>
              <w:right w:val="single" w:color="auto" w:sz="4" w:space="0"/>
            </w:tcBorders>
            <w:tcW w:w="796" w:type="dxa"/>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技术部分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项目采购安装方案</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定制生产具备全覆盖、全天候定位信息传输的电子界桩，并于油车水库安装运行。定制生产具备视频识别、非法闯入警示与告警、实时求助呼叫对讲等多种功能的电子界桩，并于油车水库安装运行。</w:t>
            </w:r>
            <w:r/>
          </w:p>
          <w:p>
            <w:pPr>
              <w:numPr>
                <w:ilvl w:val="0"/>
                <w:numId w:val="10"/>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方案合理可行、针对性强的得15分；</w:t>
            </w:r>
            <w:r/>
          </w:p>
          <w:p>
            <w:pPr>
              <w:numPr>
                <w:ilvl w:val="0"/>
                <w:numId w:val="10"/>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方案较可行、针对性一般的得12分；</w:t>
            </w:r>
            <w:r/>
          </w:p>
          <w:p>
            <w:pPr>
              <w:numPr>
                <w:ilvl w:val="0"/>
                <w:numId w:val="10"/>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方案一般、针对性一般的得9分；</w:t>
            </w:r>
            <w:r/>
          </w:p>
          <w:p>
            <w:pPr>
              <w:numPr>
                <w:ilvl w:val="0"/>
                <w:numId w:val="10"/>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方案内容简单、针对性不强的得6分。</w:t>
            </w:r>
            <w:r/>
          </w:p>
          <w:p>
            <w:pPr>
              <w:numPr>
                <w:ilvl w:val="0"/>
                <w:numId w:val="10"/>
              </w:numPr>
              <w:ind w:left="0" w:firstLine="24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sz w:val="24"/>
                <w:szCs w:val="24"/>
              </w:rPr>
              <w:t xml:space="preserve">没有不得分。</w:t>
            </w:r>
            <w:r/>
          </w:p>
        </w:tc>
      </w:tr>
      <w:tr>
        <w:trPr>
          <w:cantSplit/>
          <w:gridAfter w:val="1"/>
          <w:jc w:val="center"/>
          <w:trHeight w:val="502"/>
        </w:trPr>
        <w:tc>
          <w:tcPr>
            <w:tcBorders>
              <w:left w:val="single" w:color="auto" w:sz="4" w:space="0"/>
              <w:right w:val="single" w:color="auto" w:sz="4" w:space="0"/>
            </w:tcBorders>
            <w:tcW w:w="796" w:type="dxa"/>
            <w:vAlign w:val="center"/>
            <w:vMerge w:val="continue"/>
            <w:textDirection w:val="lrTb"/>
            <w:noWrap w:val="false"/>
          </w:tcPr>
          <w:p>
            <w:pPr>
              <w:ind w:firstLine="210"/>
              <w:keepLines w:val="0"/>
              <w:keepNext w:val="0"/>
              <w:pageBreakBefore w:val="0"/>
              <w:spacing w:line="360" w:lineRule="exact"/>
              <w:widowControl w:val="off"/>
            </w:p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界桩与界线管理系统</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0"/>
              <w:jc w:val="left"/>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基于B/S架构开发界桩管理系统，包括界桩点位信息、水库管理范围线等数据标准化处理，水库流域范围、水库管理范围等图层信息管理功能，电子界桩编号、类型、位置、状态等界桩管理功能，界桩、电子围栏的告警功能，提供数据接口接入水库矩阵系统。</w:t>
            </w:r>
            <w:r/>
          </w:p>
          <w:p>
            <w:pPr>
              <w:numPr>
                <w:ilvl w:val="0"/>
                <w:numId w:val="11"/>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方案合理可行、针对性强的得15分；</w:t>
            </w:r>
            <w:r/>
          </w:p>
          <w:p>
            <w:pPr>
              <w:numPr>
                <w:ilvl w:val="0"/>
                <w:numId w:val="11"/>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方案较可行、针对性一般的得12分；</w:t>
            </w:r>
            <w:r/>
          </w:p>
          <w:p>
            <w:pPr>
              <w:numPr>
                <w:ilvl w:val="0"/>
                <w:numId w:val="11"/>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方案一般、针对性一般的得9分；</w:t>
            </w:r>
            <w:r/>
          </w:p>
          <w:p>
            <w:pPr>
              <w:numPr>
                <w:ilvl w:val="0"/>
                <w:numId w:val="11"/>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方案内容简单、针对性不强的得6分。</w:t>
            </w:r>
            <w:r/>
          </w:p>
          <w:p>
            <w:pPr>
              <w:numPr>
                <w:ilvl w:val="0"/>
                <w:numId w:val="11"/>
              </w:numPr>
              <w:ind w:left="0" w:firstLine="24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sz w:val="24"/>
                <w:szCs w:val="24"/>
              </w:rPr>
              <w:t xml:space="preserve">没有不得分。</w:t>
            </w:r>
            <w:r/>
          </w:p>
        </w:tc>
      </w:tr>
      <w:tr>
        <w:trPr>
          <w:cantSplit/>
          <w:gridAfter w:val="1"/>
          <w:jc w:val="center"/>
          <w:trHeight w:val="502"/>
        </w:trPr>
        <w:tc>
          <w:tcPr>
            <w:tcBorders>
              <w:left w:val="single" w:color="auto" w:sz="4" w:space="0"/>
              <w:right w:val="single" w:color="auto" w:sz="4" w:space="0"/>
            </w:tcBorders>
            <w:tcW w:w="796" w:type="dxa"/>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进度方案及保障措施</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0"/>
              <w:jc w:val="left"/>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提出完善合理的进度方案及保障措施。</w:t>
            </w:r>
            <w:r/>
          </w:p>
          <w:p>
            <w:pPr>
              <w:numPr>
                <w:ilvl w:val="0"/>
                <w:numId w:val="12"/>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针对本项目制定的进度计划、保障措施严谨、合理、可行性高，符合本项目对时间的要求的，得10分；</w:t>
            </w:r>
            <w:r/>
          </w:p>
          <w:p>
            <w:pPr>
              <w:numPr>
                <w:ilvl w:val="0"/>
                <w:numId w:val="12"/>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针对本项目制定的进度计划、保障措施较严谨、较合理、可行性较高，符合本项目对时间的要求的，得8分；</w:t>
            </w:r>
            <w:r/>
          </w:p>
          <w:p>
            <w:pPr>
              <w:numPr>
                <w:ilvl w:val="0"/>
                <w:numId w:val="12"/>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针对本项目制定的进度计划、保障措施合理性、可行性一般，基本符合本项目对时间的要求，得6分；</w:t>
            </w:r>
            <w:r/>
          </w:p>
          <w:p>
            <w:pPr>
              <w:numPr>
                <w:ilvl w:val="0"/>
                <w:numId w:val="12"/>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针对本项目制定的进度计划、保障措施合理性、可行性较差，得4分；</w:t>
            </w:r>
            <w:r/>
          </w:p>
          <w:p>
            <w:pPr>
              <w:numPr>
                <w:ilvl w:val="0"/>
                <w:numId w:val="12"/>
              </w:numPr>
              <w:ind w:left="0" w:firstLine="24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sz w:val="24"/>
                <w:szCs w:val="24"/>
              </w:rPr>
              <w:t xml:space="preserve">没有不得分。</w:t>
            </w:r>
            <w:r/>
          </w:p>
        </w:tc>
      </w:tr>
      <w:tr>
        <w:trPr>
          <w:cantSplit/>
          <w:gridAfter w:val="1"/>
          <w:jc w:val="center"/>
          <w:trHeight w:val="502"/>
        </w:trPr>
        <w:tc>
          <w:tcPr>
            <w:tcBorders>
              <w:left w:val="single" w:color="auto" w:sz="4" w:space="0"/>
              <w:right w:val="single" w:color="auto" w:sz="4" w:space="0"/>
            </w:tcBorders>
            <w:tcW w:w="796" w:type="dxa"/>
            <w:vAlign w:val="center"/>
            <w:vMerge w:val="continue"/>
            <w:textDirection w:val="lrTb"/>
            <w:noWrap w:val="false"/>
          </w:tcPr>
          <w:p>
            <w:pPr>
              <w:ind w:firstLine="210"/>
              <w:keepLines w:val="0"/>
              <w:keepNext w:val="0"/>
              <w:pageBreakBefore w:val="0"/>
              <w:spacing w:line="400" w:lineRule="exact"/>
              <w:widowControl w:val="off"/>
            </w:p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系统维护及售后服务方案</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拟制完善合理的系统维护及售后服务方案。</w:t>
            </w:r>
            <w:r/>
          </w:p>
          <w:p>
            <w:pPr>
              <w:numPr>
                <w:ilvl w:val="0"/>
                <w:numId w:val="13"/>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系统维护及售后服务方案科学合理、可行性强、维保范围全面的，得10分；</w:t>
            </w:r>
            <w:r/>
          </w:p>
          <w:p>
            <w:pPr>
              <w:numPr>
                <w:ilvl w:val="0"/>
                <w:numId w:val="13"/>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系统维护及售后服务方案科学合理、可行性较强、维保范围一般的，得7分；</w:t>
            </w:r>
            <w:r/>
          </w:p>
          <w:p>
            <w:pPr>
              <w:numPr>
                <w:ilvl w:val="0"/>
                <w:numId w:val="13"/>
              </w:numPr>
              <w:ind w:left="0" w:firstLine="24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系统维护及售后服务方案可行性差、维保范围小的，得4分；</w:t>
            </w:r>
            <w:r/>
          </w:p>
          <w:p>
            <w:pPr>
              <w:numPr>
                <w:ilvl w:val="0"/>
                <w:numId w:val="13"/>
              </w:numPr>
              <w:ind w:left="0" w:firstLine="24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sz w:val="24"/>
                <w:szCs w:val="24"/>
              </w:rPr>
              <w:t xml:space="preserve">没有不得分。</w:t>
            </w:r>
            <w:r/>
          </w:p>
        </w:tc>
      </w:tr>
      <w:tr>
        <w:trPr>
          <w:cantSplit/>
          <w:gridAfter w:val="1"/>
          <w:jc w:val="center"/>
          <w:trHeight w:val="502"/>
        </w:trPr>
        <w:tc>
          <w:tcPr>
            <w:tcBorders>
              <w:left w:val="single" w:color="auto" w:sz="4" w:space="0"/>
              <w:right w:val="single" w:color="auto" w:sz="4" w:space="0"/>
            </w:tcBorders>
            <w:tcW w:w="796" w:type="dxa"/>
            <w:vAlign w:val="center"/>
            <w:vMerge w:val="continue"/>
            <w:textDirection w:val="lrTb"/>
            <w:noWrap w:val="false"/>
          </w:tcPr>
          <w:p>
            <w:pPr>
              <w:ind w:firstLine="210"/>
              <w:keepLines w:val="0"/>
              <w:keepNext w:val="0"/>
              <w:pageBreakBefore w:val="0"/>
              <w:spacing w:line="400" w:lineRule="exact"/>
              <w:widowControl w:val="off"/>
            </w:p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培训</w:t>
            </w:r>
            <w:r/>
          </w:p>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24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针对本项目提供技术培训方案，包括但不限于培训方案的方式、内容、人数及培训后的效果等内容。</w:t>
            </w:r>
            <w:r/>
          </w:p>
          <w:p>
            <w:pPr>
              <w:numPr>
                <w:ilvl w:val="0"/>
                <w:numId w:val="14"/>
              </w:numPr>
              <w:ind w:left="0" w:firstLine="240"/>
              <w:keepLines w:val="0"/>
              <w:keepNext w:val="0"/>
              <w:pageBreakBefore w:val="0"/>
              <w:spacing w:line="44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培训方案内容全面、内容详细、可行性强得10分；</w:t>
            </w:r>
            <w:r/>
          </w:p>
          <w:p>
            <w:pPr>
              <w:numPr>
                <w:ilvl w:val="0"/>
                <w:numId w:val="14"/>
              </w:numPr>
              <w:ind w:left="0" w:firstLine="240"/>
              <w:keepLines w:val="0"/>
              <w:keepNext w:val="0"/>
              <w:pageBreakBefore w:val="0"/>
              <w:spacing w:line="44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培训方案内容较全面、内容较详细、具备可行性得7分；</w:t>
            </w:r>
            <w:r/>
          </w:p>
          <w:p>
            <w:pPr>
              <w:numPr>
                <w:ilvl w:val="0"/>
                <w:numId w:val="14"/>
              </w:numPr>
              <w:ind w:left="0" w:firstLine="240"/>
              <w:keepLines w:val="0"/>
              <w:keepNext w:val="0"/>
              <w:pageBreakBefore w:val="0"/>
              <w:spacing w:line="44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培训内容不全面、方案简单、可行性不强得4分；</w:t>
            </w:r>
            <w:r/>
          </w:p>
          <w:p>
            <w:pPr>
              <w:numPr>
                <w:ilvl w:val="0"/>
                <w:numId w:val="14"/>
              </w:numPr>
              <w:ind w:left="0" w:firstLine="24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sz w:val="24"/>
                <w:szCs w:val="24"/>
                <w:lang w:val="en-US" w:eastAsia="zh-CN"/>
              </w:rPr>
              <w:t xml:space="preserve">没有不得分。</w:t>
            </w:r>
            <w:r/>
          </w:p>
        </w:tc>
      </w:tr>
      <w:tr>
        <w:trPr>
          <w:cantSplit/>
          <w:gridAfter w:val="1"/>
          <w:jc w:val="center"/>
          <w:trHeight w:val="2764"/>
        </w:trPr>
        <w:tc>
          <w:tcPr>
            <w:tcBorders>
              <w:left w:val="single" w:color="auto" w:sz="4" w:space="0"/>
              <w:right w:val="single" w:color="auto" w:sz="4" w:space="0"/>
            </w:tcBorders>
            <w:tcW w:w="796" w:type="dxa"/>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商务部分</w:t>
            </w:r>
            <w:r/>
          </w:p>
        </w:tc>
        <w:tc>
          <w:tcPr>
            <w:tcBorders>
              <w:top w:val="single" w:color="auto" w:sz="4" w:space="0"/>
              <w:left w:val="single" w:color="auto" w:sz="4" w:space="0"/>
              <w:right w:val="single" w:color="auto" w:sz="4" w:space="0"/>
            </w:tcBorders>
            <w:tcW w:w="72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numPr>
                <w:ilvl w:val="0"/>
                <w:numId w:val="15"/>
              </w:numPr>
              <w:ind w:left="0" w:firstLine="240"/>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项目负责人具水利工程或计算机类高级及以上职称的得2分；具有水利工程或计算机类高级以下职称的得1分。</w:t>
            </w:r>
            <w:r/>
          </w:p>
          <w:p>
            <w:pPr>
              <w:numPr>
                <w:ilvl w:val="0"/>
                <w:numId w:val="0"/>
              </w:numPr>
              <w:ind w:firstLine="241"/>
              <w:keepLines w:val="0"/>
              <w:keepNext w:val="0"/>
              <w:pageBreakBefore w:val="0"/>
              <w:spacing w:line="440" w:lineRule="exact"/>
              <w:widowControl w:val="off"/>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【须提供职称证明及投标</w:t>
            </w:r>
            <w:r>
              <w:rPr>
                <w:rFonts w:hint="eastAsia" w:ascii="宋体" w:hAnsi="宋体" w:eastAsia="宋体" w:cs="宋体"/>
                <w:b/>
                <w:bCs/>
                <w:color w:val="auto"/>
                <w:sz w:val="24"/>
                <w:szCs w:val="24"/>
                <w:highlight w:val="none"/>
                <w:lang w:val="en-US" w:eastAsia="zh-CN"/>
              </w:rPr>
              <w:t xml:space="preserve">截止时间前</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个月内任意连续3个月（不含</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rPr>
              <w:t xml:space="preserve">当月）</w:t>
            </w:r>
            <w:r>
              <w:rPr>
                <w:rFonts w:hint="eastAsia" w:ascii="宋体" w:hAnsi="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为</w:t>
            </w:r>
            <w:r>
              <w:rPr>
                <w:rFonts w:hint="eastAsia" w:ascii="宋体" w:hAnsi="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en-US" w:eastAsia="zh-CN"/>
              </w:rPr>
              <w:t xml:space="preserve">缴纳的社保证明</w:t>
            </w:r>
            <w:r>
              <w:rPr>
                <w:rFonts w:hint="eastAsia" w:ascii="宋体" w:hAnsi="宋体"/>
                <w:b/>
                <w:bCs/>
                <w:color w:val="auto"/>
                <w:sz w:val="24"/>
                <w:szCs w:val="24"/>
                <w:lang w:val="en-US" w:eastAsia="zh-CN"/>
              </w:rPr>
              <w:t xml:space="preserve">】</w:t>
            </w:r>
            <w:r/>
          </w:p>
          <w:p>
            <w:pPr>
              <w:numPr>
                <w:ilvl w:val="0"/>
                <w:numId w:val="15"/>
              </w:numPr>
              <w:ind w:left="0" w:firstLine="240"/>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项目负责人自2022年1月1日以来（以合同签订时间为准），承担过类似业绩(包含水利或水库电子界桩建设、水利数字孪生、水利信息化系统等)的，每有一个得2分，最高得4分。</w:t>
            </w:r>
            <w:r/>
          </w:p>
          <w:p>
            <w:pPr>
              <w:numPr>
                <w:ilvl w:val="0"/>
                <w:numId w:val="0"/>
              </w:numP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b/>
                <w:bCs/>
                <w:color w:val="auto"/>
                <w:sz w:val="24"/>
                <w:szCs w:val="24"/>
                <w:lang w:val="en-US" w:eastAsia="zh-CN"/>
              </w:rPr>
              <w:t xml:space="preserve">【须提供项目合同】</w:t>
            </w:r>
            <w:r/>
          </w:p>
        </w:tc>
      </w:tr>
      <w:tr>
        <w:trPr>
          <w:cantSplit/>
          <w:gridAfter w:val="1"/>
          <w:jc w:val="center"/>
          <w:trHeight w:val="1364"/>
        </w:trPr>
        <w:tc>
          <w:tcPr>
            <w:tcBorders>
              <w:left w:val="single" w:color="auto" w:sz="4" w:space="0"/>
              <w:right w:val="single" w:color="auto" w:sz="4" w:space="0"/>
            </w:tcBorders>
            <w:tcW w:w="796" w:type="dxa"/>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项目组成员</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除项目负责人外，其他拟投入人员中：具有水利工程或计算机类高级及以上职称的每有一个得2分；具有水利工程或计算机类高级以下职称的每有1个得1分。本项最高得6分。</w:t>
            </w:r>
            <w:r/>
          </w:p>
          <w:p>
            <w:pPr>
              <w:numPr>
                <w:ilvl w:val="0"/>
                <w:numId w:val="0"/>
              </w:numPr>
              <w:ind w:firstLine="241"/>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【须提供职称证明及投标</w:t>
            </w:r>
            <w:r>
              <w:rPr>
                <w:rFonts w:hint="eastAsia" w:ascii="宋体" w:hAnsi="宋体" w:eastAsia="宋体" w:cs="宋体"/>
                <w:b/>
                <w:bCs/>
                <w:color w:val="auto"/>
                <w:sz w:val="24"/>
                <w:szCs w:val="24"/>
                <w:highlight w:val="none"/>
                <w:lang w:val="en-US" w:eastAsia="zh-CN"/>
              </w:rPr>
              <w:t xml:space="preserve">截止时间前</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个月内任意连续3个月（不含</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rPr>
              <w:t xml:space="preserve">当月）</w:t>
            </w:r>
            <w:r>
              <w:rPr>
                <w:rFonts w:hint="eastAsia" w:ascii="宋体" w:hAnsi="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为</w:t>
            </w:r>
            <w:r>
              <w:rPr>
                <w:rFonts w:hint="eastAsia" w:ascii="宋体" w:hAnsi="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en-US" w:eastAsia="zh-CN"/>
              </w:rPr>
              <w:t xml:space="preserve">缴纳的社保证明</w:t>
            </w:r>
            <w:r>
              <w:rPr>
                <w:rFonts w:hint="eastAsia" w:ascii="宋体" w:hAnsi="宋体"/>
                <w:b/>
                <w:bCs/>
                <w:color w:val="auto"/>
                <w:sz w:val="24"/>
                <w:szCs w:val="24"/>
                <w:lang w:val="en-US" w:eastAsia="zh-CN"/>
              </w:rPr>
              <w:t xml:space="preserve">】</w:t>
            </w:r>
            <w:r/>
          </w:p>
        </w:tc>
      </w:tr>
      <w:tr>
        <w:trPr>
          <w:cantSplit/>
          <w:gridAfter w:val="1"/>
          <w:jc w:val="center"/>
          <w:trHeight w:val="890"/>
        </w:trPr>
        <w:tc>
          <w:tcPr>
            <w:tcBorders>
              <w:left w:val="single" w:color="auto" w:sz="4" w:space="0"/>
              <w:right w:val="single" w:color="auto" w:sz="4" w:space="0"/>
            </w:tcBorders>
            <w:tcW w:w="796" w:type="dxa"/>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企业</w:t>
            </w:r>
            <w:r/>
          </w:p>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荣誉</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投标人自2022年1月1日以来（以证书颁布时间为准），获得过省级及以上主管部门颁发的水利类奖项，每有一个得2分；获得过省级以下主管部门颁发的水利类奖项，每有一个得1分。本项最高得4分。</w:t>
            </w:r>
            <w:r/>
          </w:p>
          <w:p>
            <w:pPr>
              <w:numPr>
                <w:ilvl w:val="0"/>
                <w:numId w:val="0"/>
              </w:numPr>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【须提供相关证明材料】</w:t>
            </w:r>
            <w:r/>
          </w:p>
        </w:tc>
      </w:tr>
      <w:tr>
        <w:trPr>
          <w:cantSplit/>
          <w:gridAfter w:val="1"/>
          <w:jc w:val="center"/>
          <w:trHeight w:val="890"/>
        </w:trPr>
        <w:tc>
          <w:tcPr>
            <w:tcBorders>
              <w:left w:val="single" w:color="auto" w:sz="4" w:space="0"/>
              <w:right w:val="single" w:color="auto" w:sz="4" w:space="0"/>
            </w:tcBorders>
            <w:tcW w:w="796" w:type="dxa"/>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企业</w:t>
            </w:r>
            <w:r/>
          </w:p>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类似</w:t>
            </w:r>
            <w:r/>
          </w:p>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投标人自2022年1月1日以来（以合同签订时间为准），承担过类似业绩（包含水利或水库电子界桩建设、水利数字孪生、水利信息化系统等）的，有一个得2分，本项最多得4分。</w:t>
            </w:r>
            <w:r/>
          </w:p>
          <w:p>
            <w:pPr>
              <w:numPr>
                <w:ilvl w:val="0"/>
                <w:numId w:val="0"/>
              </w:numPr>
              <w:keepLines w:val="0"/>
              <w:keepNext w:val="0"/>
              <w:pageBreakBefore w:val="0"/>
              <w:spacing w:line="440" w:lineRule="exact"/>
              <w:widowControl w:val="off"/>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【须提供项目合同】</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000000"/>
                <w:sz w:val="24"/>
                <w:szCs w:val="24"/>
              </w:rPr>
            </w:pPr>
            <w:r>
              <w:rPr>
                <w:rFonts w:hint="eastAsia" w:ascii="宋体" w:hAnsi="宋体" w:cs="宋体"/>
                <w:color w:val="auto"/>
                <w:sz w:val="24"/>
                <w:szCs w:val="24"/>
              </w:rPr>
              <w:t xml:space="preserve">价格部分</w:t>
            </w:r>
            <w:r/>
          </w:p>
        </w:tc>
        <w:tc>
          <w:tcPr>
            <w:tcBorders>
              <w:top w:val="single" w:color="auto" w:sz="4" w:space="0"/>
              <w:left w:val="single" w:color="auto" w:sz="4" w:space="0"/>
              <w:right w:val="single" w:color="auto" w:sz="4" w:space="0"/>
            </w:tcBorders>
            <w:tcW w:w="72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Borders>
              <w:top w:val="single" w:color="auto" w:sz="4" w:space="0"/>
              <w:left w:val="single" w:color="auto" w:sz="4" w:space="0"/>
              <w:right w:val="single" w:color="auto" w:sz="4" w:space="0"/>
            </w:tcBorders>
            <w:tcW w:w="991"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p>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报价</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0分</w:t>
            </w:r>
            <w:r/>
          </w:p>
        </w:tc>
        <w:tc>
          <w:tcPr>
            <w:gridSpan w:val="2"/>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ind w:firstLine="24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价格分采用低价优先法，即满足招标文件要求且投标价格最低的投标报价为评标基准价，其价格分为满分。其他投标人的价格分统一按照下列公式计算：</w:t>
            </w:r>
            <w:r/>
          </w:p>
          <w:p>
            <w:pPr>
              <w:ind w:firstLine="24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投标报价得分=（评标基准价/投标报价）×20</w:t>
            </w:r>
            <w:r/>
          </w:p>
          <w:p>
            <w:pPr>
              <w:ind w:firstLine="24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注：因算术修正和落实政府采购政策进行价格调整的，以调整后的价格计算评标基准价和投标报价。</w:t>
            </w:r>
            <w:r/>
          </w:p>
        </w:tc>
      </w:tr>
    </w:tbl>
    <w:p>
      <w:pPr>
        <w:jc w:val="left"/>
        <w:keepLines w:val="0"/>
        <w:keepNext w:val="0"/>
        <w:pageBreakBefore w:val="0"/>
        <w:spacing w:line="400" w:lineRule="exact"/>
        <w:widowControl w:val="off"/>
        <w:rPr>
          <w:rFonts w:hint="eastAsia" w:ascii="宋体" w:hAnsi="宋体"/>
          <w:b/>
          <w:bCs/>
          <w:sz w:val="24"/>
          <w:szCs w:val="24"/>
        </w:rPr>
      </w:pPr>
      <w:r>
        <w:rPr>
          <w:rFonts w:hint="eastAsia" w:ascii="宋体" w:hAnsi="宋体"/>
          <w:b/>
          <w:bCs/>
          <w:sz w:val="24"/>
          <w:szCs w:val="24"/>
        </w:rPr>
        <w:t xml:space="preserve">备注：</w:t>
      </w:r>
      <w:r/>
    </w:p>
    <w:p>
      <w:pPr>
        <w:ind w:firstLine="482"/>
        <w:jc w:val="left"/>
        <w:keepLines w:val="0"/>
        <w:keepNext w:val="0"/>
        <w:pageBreakBefore w:val="0"/>
        <w:spacing w:line="400" w:lineRule="exact"/>
        <w:widowControl w:val="off"/>
        <w:rPr>
          <w:rFonts w:hint="eastAsia" w:ascii="宋体" w:hAnsi="宋体"/>
          <w:b/>
          <w:bCs/>
          <w:sz w:val="24"/>
          <w:szCs w:val="24"/>
        </w:rPr>
      </w:pPr>
      <w:r>
        <w:rPr>
          <w:rFonts w:hint="eastAsia" w:ascii="宋体" w:hAnsi="宋体"/>
          <w:b/>
          <w:bCs/>
          <w:sz w:val="24"/>
          <w:szCs w:val="24"/>
        </w:rPr>
        <w:t xml:space="preserve">1、评分过程中如出现小数点后三位，采用四舍五入法，最终保留两位小数；</w:t>
      </w:r>
      <w:r/>
    </w:p>
    <w:p>
      <w:pPr>
        <w:numPr>
          <w:ilvl w:val="0"/>
          <w:numId w:val="0"/>
        </w:numPr>
        <w:ind w:firstLine="482"/>
        <w:jc w:val="left"/>
        <w:keepLines w:val="0"/>
        <w:keepNext w:val="0"/>
        <w:pageBreakBefore w:val="0"/>
        <w:spacing w:line="400" w:lineRule="exact"/>
        <w:widowControl w:val="off"/>
        <w:rPr>
          <w:rFonts w:hint="eastAsia" w:ascii="宋体" w:hAnsi="宋体"/>
          <w:b/>
          <w:bCs/>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sz w:val="24"/>
          <w:szCs w:val="24"/>
        </w:rPr>
        <w:t xml:space="preserve">2、</w:t>
      </w:r>
      <w:r>
        <w:rPr>
          <w:rFonts w:hint="eastAsia" w:ascii="宋体" w:hAnsi="宋体"/>
          <w:b/>
          <w:bCs/>
          <w:sz w:val="24"/>
          <w:szCs w:val="24"/>
          <w:lang w:eastAsia="zh-CN"/>
        </w:rPr>
        <w:t xml:space="preserve">投标</w:t>
      </w:r>
      <w:r>
        <w:rPr>
          <w:rFonts w:hint="eastAsia" w:ascii="宋体" w:hAnsi="宋体"/>
          <w:b/>
          <w:bCs/>
          <w:sz w:val="24"/>
          <w:szCs w:val="24"/>
        </w:rPr>
        <w:t xml:space="preserve">文件中必须提供以上相关证明材料</w:t>
      </w:r>
      <w:r>
        <w:rPr>
          <w:rFonts w:hint="eastAsia" w:ascii="宋体" w:hAnsi="宋体"/>
          <w:b/>
          <w:bCs/>
          <w:sz w:val="24"/>
          <w:szCs w:val="24"/>
          <w:lang w:val="en-US" w:eastAsia="zh-CN"/>
        </w:rPr>
        <w:t xml:space="preserve">扫描件并加盖投标人公章，</w:t>
      </w:r>
      <w:r>
        <w:rPr>
          <w:rFonts w:hint="eastAsia" w:ascii="宋体" w:hAnsi="宋体"/>
          <w:b/>
          <w:bCs/>
          <w:sz w:val="24"/>
          <w:szCs w:val="24"/>
        </w:rPr>
        <w:t xml:space="preserve">否则</w:t>
      </w:r>
      <w:r>
        <w:rPr>
          <w:rFonts w:hint="eastAsia" w:ascii="宋体" w:hAnsi="宋体"/>
          <w:b/>
          <w:bCs/>
          <w:sz w:val="24"/>
          <w:szCs w:val="24"/>
          <w:lang w:val="en-US" w:eastAsia="zh-CN"/>
        </w:rPr>
        <w:t xml:space="preserve">相关评分</w:t>
      </w:r>
      <w:r>
        <w:rPr>
          <w:rFonts w:hint="eastAsia" w:ascii="宋体" w:hAnsi="宋体"/>
          <w:b/>
          <w:bCs/>
          <w:sz w:val="24"/>
          <w:szCs w:val="24"/>
        </w:rPr>
        <w:t xml:space="preserve">不予加分</w:t>
      </w:r>
      <w:r>
        <w:rPr>
          <w:rFonts w:hint="eastAsia" w:ascii="宋体" w:hAnsi="宋体"/>
          <w:b/>
          <w:bCs/>
          <w:sz w:val="24"/>
          <w:szCs w:val="24"/>
          <w:highlight w:val="none"/>
        </w:rPr>
        <w:t xml:space="preserve">。</w:t>
      </w:r>
      <w:r/>
    </w:p>
    <w:p>
      <w:pPr>
        <w:numPr>
          <w:ilvl w:val="0"/>
          <w:numId w:val="0"/>
        </w:numPr>
        <w:jc w:val="center"/>
        <w:keepLines w:val="0"/>
        <w:keepNext w:val="0"/>
        <w:pageBreakBefore w:val="0"/>
        <w:spacing w:line="360" w:lineRule="auto"/>
        <w:widowControl w:val="off"/>
        <w:rPr>
          <w:rFonts w:hint="eastAsia" w:ascii="黑体" w:hAnsi="黑体" w:eastAsia="黑体"/>
          <w:sz w:val="28"/>
          <w:highlight w:val="none"/>
        </w:rPr>
        <w:outlineLvl w:val="0"/>
      </w:pPr>
      <w:r/>
      <w:bookmarkStart w:id="23" w:name="_Toc11455"/>
      <w:r>
        <w:rPr>
          <w:rFonts w:hint="eastAsia" w:ascii="黑体" w:hAnsi="黑体" w:eastAsia="黑体"/>
          <w:sz w:val="28"/>
          <w:highlight w:val="none"/>
        </w:rPr>
        <w:t xml:space="preserve">第五章 政府采购合同（格式）</w:t>
      </w:r>
      <w:bookmarkEnd w:id="17"/>
      <w:r/>
      <w:bookmarkEnd w:id="18"/>
      <w:r/>
      <w:bookmarkEnd w:id="23"/>
      <w:r/>
      <w:r/>
    </w:p>
    <w:p>
      <w:pPr>
        <w:pStyle w:val="966"/>
        <w:ind w:firstLine="0"/>
        <w:jc w:val="right"/>
        <w:rPr>
          <w:rFonts w:hint="eastAsia" w:hAnsi="宋体" w:cs="宋体"/>
          <w:b/>
          <w:color w:val="auto"/>
          <w:szCs w:val="24"/>
          <w:highlight w:val="none"/>
        </w:rPr>
      </w:pPr>
      <w:r>
        <w:rPr>
          <w:rFonts w:hint="eastAsia" w:hAnsi="宋体" w:cs="宋体"/>
          <w:b/>
          <w:color w:val="auto"/>
          <w:szCs w:val="24"/>
          <w:highlight w:val="none"/>
        </w:rPr>
      </w:r>
      <w:r/>
    </w:p>
    <w:p>
      <w:pPr>
        <w:pStyle w:val="966"/>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966"/>
        <w:ind w:firstLine="0"/>
        <w:jc w:val="right"/>
        <w:rPr>
          <w:rFonts w:hint="eastAsia" w:hAnsi="宋体" w:cs="宋体"/>
          <w:szCs w:val="24"/>
          <w:highlight w:val="none"/>
        </w:rPr>
      </w:pPr>
      <w:r>
        <w:rPr>
          <w:rFonts w:hint="eastAsia" w:hAnsi="宋体" w:cs="宋体"/>
          <w:szCs w:val="24"/>
          <w:highlight w:val="none"/>
        </w:rPr>
      </w:r>
      <w:r/>
    </w:p>
    <w:p>
      <w:pPr>
        <w:pStyle w:val="966"/>
        <w:ind w:firstLine="0"/>
        <w:rPr>
          <w:rFonts w:hint="eastAsia" w:hAnsi="宋体" w:cs="宋体"/>
          <w:szCs w:val="24"/>
          <w:highlight w:val="none"/>
        </w:rPr>
      </w:pPr>
      <w:r>
        <w:rPr>
          <w:rFonts w:hint="eastAsia" w:hAnsi="宋体" w:cs="宋体"/>
          <w:szCs w:val="24"/>
          <w:highlight w:val="none"/>
        </w:rPr>
      </w:r>
      <w:r/>
    </w:p>
    <w:p>
      <w:pPr>
        <w:pStyle w:val="966"/>
        <w:ind w:firstLine="0"/>
        <w:rPr>
          <w:rFonts w:hint="eastAsia" w:hAnsi="宋体" w:cs="宋体"/>
          <w:szCs w:val="24"/>
          <w:highlight w:val="none"/>
        </w:rPr>
      </w:pPr>
      <w:r>
        <w:rPr>
          <w:rFonts w:hint="eastAsia" w:hAnsi="宋体" w:cs="宋体"/>
          <w:szCs w:val="24"/>
          <w:highlight w:val="none"/>
        </w:rPr>
      </w:r>
      <w:r/>
    </w:p>
    <w:p>
      <w:pPr>
        <w:pStyle w:val="966"/>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966"/>
        <w:ind w:firstLine="0"/>
        <w:rPr>
          <w:rFonts w:hint="eastAsia" w:hAnsi="宋体" w:cs="宋体"/>
          <w:szCs w:val="24"/>
          <w:highlight w:val="none"/>
        </w:rPr>
      </w:pPr>
      <w:r>
        <w:rPr>
          <w:rFonts w:hint="eastAsia" w:hAnsi="宋体" w:cs="宋体"/>
          <w:szCs w:val="24"/>
          <w:highlight w:val="none"/>
        </w:rPr>
      </w:r>
      <w:r/>
    </w:p>
    <w:p>
      <w:pPr>
        <w:pStyle w:val="966"/>
        <w:ind w:firstLine="0"/>
        <w:rPr>
          <w:rFonts w:hint="eastAsia" w:hAnsi="宋体" w:cs="宋体"/>
          <w:szCs w:val="24"/>
          <w:highlight w:val="none"/>
        </w:rPr>
      </w:pPr>
      <w:r>
        <w:rPr>
          <w:rFonts w:hint="eastAsia" w:hAnsi="宋体" w:cs="宋体"/>
          <w:szCs w:val="24"/>
          <w:highlight w:val="none"/>
        </w:rPr>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960"/>
        <w:keepLines w:val="0"/>
        <w:keepNext w:val="0"/>
        <w:pageBreakBefore w:val="0"/>
        <w:spacing w:line="22" w:lineRule="atLeast"/>
        <w:widowControl w:val="off"/>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967"/>
        <w:ind w:firstLine="960"/>
        <w:keepLines w:val="0"/>
        <w:keepNext w:val="0"/>
        <w:pageBreakBefore w:val="0"/>
        <w:spacing w:line="22"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r>
      <w:r/>
    </w:p>
    <w:p>
      <w:pPr>
        <w:pStyle w:val="967"/>
        <w:ind w:firstLine="960"/>
        <w:keepLines w:val="0"/>
        <w:keepNext w:val="0"/>
        <w:pageBreakBefore w:val="0"/>
        <w:spacing w:line="22" w:lineRule="atLeast"/>
        <w:widowControl w:val="off"/>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default" w:ascii="宋体" w:hAnsi="宋体" w:eastAsia="宋体" w:cs="宋体"/>
          <w:bCs/>
          <w:highlight w:val="none"/>
          <w:u w:val="single"/>
          <w:lang w:val="en-US"/>
        </w:rPr>
        <w:t xml:space="preserve">  </w:t>
      </w:r>
      <w:r>
        <w:rPr>
          <w:rFonts w:hint="default" w:ascii="宋体" w:hAnsi="宋体" w:eastAsia="宋体" w:cs="宋体"/>
          <w:bCs/>
          <w:color w:val="auto"/>
          <w:highlight w:val="none"/>
          <w:u w:val="single"/>
          <w:lang w:val="en-US"/>
        </w:rPr>
        <w:t xml:space="preserve">  </w:t>
      </w:r>
      <w:r>
        <w:rPr>
          <w:rFonts w:hint="eastAsia" w:ascii="宋体" w:hAnsi="宋体" w:eastAsia="宋体" w:cs="宋体"/>
          <w:bCs/>
          <w:color w:val="auto"/>
          <w:highlight w:val="none"/>
          <w:u w:val="single"/>
          <w:lang w:eastAsia="zh-CN"/>
        </w:rPr>
        <w:t xml:space="preserve">JSZC-320282-JSXY-G2025-0005</w:t>
      </w:r>
      <w:r>
        <w:rPr>
          <w:rFonts w:hint="default" w:ascii="宋体" w:hAnsi="宋体" w:eastAsia="宋体" w:cs="宋体"/>
          <w:bCs/>
          <w:color w:val="auto"/>
          <w:highlight w:val="none"/>
          <w:u w:val="single"/>
          <w:lang w:val="en-US"/>
        </w:rPr>
        <w:t xml:space="preserve"> </w:t>
      </w:r>
      <w:r>
        <w:rPr>
          <w:rFonts w:hint="default" w:ascii="宋体" w:hAnsi="宋体" w:eastAsia="宋体" w:cs="宋体"/>
          <w:bCs/>
          <w:highlight w:val="none"/>
          <w:u w:val="single"/>
          <w:lang w:val="en-US"/>
        </w:rPr>
        <w:t xml:space="preserve">   </w:t>
      </w:r>
      <w:r/>
    </w:p>
    <w:p>
      <w:pPr>
        <w:ind w:firstLine="840"/>
        <w:keepLines w:val="0"/>
        <w:keepNext w:val="0"/>
        <w:pageBreakBefore w:val="0"/>
        <w:widowControl w:val="off"/>
        <w:rPr>
          <w:rFonts w:hint="eastAsia" w:ascii="宋体" w:hAnsi="宋体" w:cs="宋体"/>
          <w:highlight w:val="none"/>
        </w:rPr>
      </w:pPr>
      <w:r>
        <w:rPr>
          <w:rFonts w:hint="eastAsia" w:ascii="宋体" w:hAnsi="宋体" w:cs="宋体"/>
          <w:highlight w:val="none"/>
        </w:rPr>
      </w:r>
      <w:r/>
    </w:p>
    <w:p>
      <w:pPr>
        <w:ind w:left="960" w:firstLine="960"/>
        <w:keepLines w:val="0"/>
        <w:keepNext w:val="0"/>
        <w:pageBreakBefore w:val="0"/>
        <w:spacing w:line="22" w:lineRule="atLeast"/>
        <w:widowControl w:val="off"/>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ind w:firstLine="960"/>
        <w:keepLines w:val="0"/>
        <w:keepNext w:val="0"/>
        <w:pageBreakBefore w:val="0"/>
        <w:spacing w:line="22" w:lineRule="atLeast"/>
        <w:widowControl w:val="off"/>
        <w:rPr>
          <w:rFonts w:hint="eastAsia" w:ascii="宋体" w:hAnsi="宋体" w:cs="宋体"/>
          <w:sz w:val="24"/>
          <w:highlight w:val="none"/>
        </w:rPr>
      </w:pPr>
      <w:r>
        <w:rPr>
          <w:rFonts w:hint="eastAsia" w:ascii="宋体" w:hAnsi="宋体" w:cs="宋体"/>
          <w:sz w:val="24"/>
          <w:highlight w:val="none"/>
        </w:rPr>
      </w:r>
      <w:r/>
    </w:p>
    <w:p>
      <w:pPr>
        <w:ind w:left="960" w:firstLine="960"/>
        <w:keepLines w:val="0"/>
        <w:keepNext w:val="0"/>
        <w:pageBreakBefore w:val="0"/>
        <w:spacing w:line="22" w:lineRule="atLeast"/>
        <w:widowControl w:val="off"/>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ind w:left="960" w:firstLine="960"/>
        <w:keepLines w:val="0"/>
        <w:keepNext w:val="0"/>
        <w:pageBreakBefore w:val="0"/>
        <w:spacing w:line="22" w:lineRule="atLeast"/>
        <w:widowControl w:val="off"/>
        <w:rPr>
          <w:rFonts w:hint="eastAsia" w:ascii="宋体" w:hAnsi="宋体" w:cs="宋体"/>
          <w:sz w:val="24"/>
          <w:highlight w:val="none"/>
          <w:u w:val="single"/>
        </w:rPr>
      </w:pPr>
      <w:r>
        <w:rPr>
          <w:rFonts w:hint="eastAsia" w:ascii="宋体" w:hAnsi="宋体" w:cs="宋体"/>
          <w:sz w:val="24"/>
          <w:highlight w:val="none"/>
          <w:u w:val="single"/>
        </w:rPr>
      </w:r>
      <w:r/>
    </w:p>
    <w:p>
      <w:pPr>
        <w:ind w:left="960" w:firstLine="960"/>
        <w:keepLines w:val="0"/>
        <w:keepNext w:val="0"/>
        <w:pageBreakBefore w:val="0"/>
        <w:spacing w:line="22" w:lineRule="atLeast"/>
        <w:widowControl w:val="off"/>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ind w:left="960" w:firstLine="960"/>
        <w:keepLines w:val="0"/>
        <w:keepNext w:val="0"/>
        <w:pageBreakBefore w:val="0"/>
        <w:spacing w:line="22" w:lineRule="atLeast"/>
        <w:widowControl w:val="off"/>
        <w:rPr>
          <w:rFonts w:hint="eastAsia" w:ascii="宋体" w:hAnsi="宋体" w:cs="宋体"/>
          <w:sz w:val="24"/>
          <w:highlight w:val="none"/>
        </w:rPr>
      </w:pPr>
      <w:r>
        <w:rPr>
          <w:rFonts w:hint="eastAsia" w:ascii="宋体" w:hAnsi="宋体" w:cs="宋体"/>
          <w:sz w:val="24"/>
          <w:highlight w:val="none"/>
        </w:rPr>
      </w:r>
      <w:r/>
    </w:p>
    <w:p>
      <w:pPr>
        <w:ind w:left="960" w:firstLine="960"/>
        <w:keepLines w:val="0"/>
        <w:keepNext w:val="0"/>
        <w:pageBreakBefore w:val="0"/>
        <w:spacing w:line="22" w:lineRule="atLeast"/>
        <w:widowControl w:val="off"/>
        <w:rPr>
          <w:rFonts w:hint="eastAsia" w:ascii="宋体" w:hAnsi="宋体" w:cs="宋体"/>
          <w:sz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560" w:lineRule="exact"/>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bookmarkStart w:id="24" w:name="_Hlk151450445"/>
      <w:r>
        <w:rPr>
          <w:rFonts w:hint="eastAsia" w:ascii="宋体" w:hAnsi="宋体" w:cs="宋体"/>
          <w:sz w:val="24"/>
          <w:highlight w:val="none"/>
          <w:u w:val="single"/>
        </w:rPr>
        <w:t xml:space="preserve"> （采购人）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w:t>
      </w:r>
      <w:bookmarkEnd w:id="24"/>
      <w:r>
        <w:rPr>
          <w:rFonts w:hint="eastAsia" w:ascii="宋体" w:hAnsi="宋体" w:cs="宋体"/>
          <w:sz w:val="24"/>
          <w:highlight w:val="none"/>
        </w:rPr>
        <w:t xml:space="preserve">经</w:t>
      </w:r>
      <w:r>
        <w:rPr>
          <w:rFonts w:hint="eastAsia" w:ascii="宋体" w:hAnsi="宋体"/>
          <w:bCs/>
          <w:sz w:val="24"/>
          <w:szCs w:val="24"/>
          <w:highlight w:val="none"/>
          <w:lang w:val="zh-CN"/>
        </w:rPr>
        <w:t xml:space="preserve">评标委员会</w:t>
      </w:r>
      <w:r>
        <w:rPr>
          <w:rFonts w:hint="eastAsia" w:ascii="宋体" w:hAnsi="宋体" w:cs="宋体"/>
          <w:sz w:val="24"/>
          <w:highlight w:val="none"/>
        </w:rPr>
        <w:t xml:space="preserve">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w:t>
      </w:r>
      <w:bookmarkStart w:id="25" w:name="_Hlk151450466"/>
      <w:r>
        <w:rPr>
          <w:rFonts w:hint="eastAsia" w:ascii="宋体" w:hAnsi="宋体" w:cs="宋体"/>
          <w:sz w:val="24"/>
          <w:highlight w:val="none"/>
          <w:lang w:val="zh-CN"/>
        </w:rPr>
        <w:t xml:space="preserve">经</w:t>
      </w:r>
      <w:r>
        <w:rPr>
          <w:rFonts w:hint="eastAsia" w:ascii="宋体" w:hAnsi="宋体" w:cs="宋体"/>
          <w:sz w:val="24"/>
          <w:highlight w:val="none"/>
          <w:u w:val="single"/>
        </w:rPr>
        <w:t xml:space="preserve"> （采购人）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w:t>
      </w:r>
      <w:bookmarkEnd w:id="25"/>
      <w:r>
        <w:rPr>
          <w:rFonts w:hint="eastAsia" w:ascii="宋体" w:hAnsi="宋体" w:cs="宋体"/>
          <w:sz w:val="24"/>
          <w:highlight w:val="none"/>
          <w:lang w:val="zh-CN"/>
        </w:rPr>
        <w:t xml:space="preserve">约定以下合同</w:t>
      </w:r>
      <w:r>
        <w:rPr>
          <w:rFonts w:hint="eastAsia" w:ascii="宋体" w:hAnsi="宋体" w:cs="宋体"/>
          <w:sz w:val="24"/>
          <w:highlight w:val="none"/>
        </w:rPr>
        <w:t xml:space="preserve">条款，以兹共同遵守、全面履行。</w:t>
      </w:r>
      <w:r/>
    </w:p>
    <w:p>
      <w:pPr>
        <w:ind w:firstLine="482"/>
        <w:spacing w:line="560" w:lineRule="exact"/>
        <w:rPr>
          <w:rFonts w:hint="eastAsia" w:ascii="宋体" w:hAnsi="宋体" w:cs="宋体"/>
          <w:sz w:val="24"/>
          <w:szCs w:val="24"/>
          <w:highlight w:val="none"/>
        </w:rPr>
      </w:pPr>
      <w:r/>
      <w:bookmarkStart w:id="26" w:name="_Toc22967"/>
      <w:r/>
      <w:bookmarkStart w:id="27" w:name="_Toc20421"/>
      <w:r/>
      <w:bookmarkStart w:id="28" w:name="_Toc19273"/>
      <w:r/>
      <w:bookmarkStart w:id="29" w:name="_Toc28855"/>
      <w:r/>
      <w:bookmarkStart w:id="30" w:name="_Toc15367"/>
      <w:r>
        <w:rPr>
          <w:rFonts w:hint="eastAsia" w:ascii="宋体" w:hAnsi="宋体" w:cs="宋体"/>
          <w:b/>
          <w:sz w:val="24"/>
          <w:szCs w:val="24"/>
          <w:highlight w:val="none"/>
        </w:rPr>
        <w:t xml:space="preserve">1.1 合同组成部分</w:t>
      </w:r>
      <w:bookmarkEnd w:id="26"/>
      <w:r/>
      <w:bookmarkEnd w:id="27"/>
      <w:r/>
      <w:bookmarkEnd w:id="28"/>
      <w:r/>
      <w:bookmarkEnd w:id="29"/>
      <w:r/>
      <w:bookmarkEnd w:id="3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560" w:lineRule="exact"/>
        <w:rPr>
          <w:rFonts w:hint="eastAsia" w:ascii="宋体" w:hAnsi="宋体" w:cs="宋体"/>
          <w:b/>
          <w:sz w:val="24"/>
          <w:szCs w:val="24"/>
          <w:highlight w:val="none"/>
        </w:rPr>
      </w:pPr>
      <w:r/>
      <w:bookmarkStart w:id="31" w:name="_Toc22185"/>
      <w:r/>
      <w:bookmarkStart w:id="32" w:name="_Toc6773"/>
      <w:r/>
      <w:bookmarkStart w:id="33" w:name="_Toc6311"/>
      <w:r/>
      <w:bookmarkStart w:id="34" w:name="_Toc2918"/>
      <w:r/>
      <w:bookmarkStart w:id="35" w:name="_Toc18585"/>
      <w:r>
        <w:rPr>
          <w:rFonts w:hint="eastAsia" w:ascii="宋体" w:hAnsi="宋体" w:cs="宋体"/>
          <w:b/>
          <w:sz w:val="24"/>
          <w:szCs w:val="24"/>
          <w:highlight w:val="none"/>
        </w:rPr>
        <w:t xml:space="preserve">1.2 标的</w:t>
      </w:r>
      <w:bookmarkEnd w:id="31"/>
      <w:r/>
      <w:bookmarkEnd w:id="32"/>
      <w:r/>
      <w:bookmarkEnd w:id="33"/>
      <w:r/>
      <w:bookmarkEnd w:id="34"/>
      <w:r/>
      <w:bookmarkEnd w:id="35"/>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hint="eastAsia" w:ascii="宋体" w:hAnsi="宋体" w:cs="宋体"/>
          <w:b/>
          <w:sz w:val="24"/>
          <w:szCs w:val="24"/>
          <w:highlight w:val="none"/>
        </w:rPr>
      </w:pPr>
      <w:r/>
      <w:bookmarkStart w:id="36" w:name="_Toc1386"/>
      <w:r/>
      <w:bookmarkStart w:id="37" w:name="_Toc4929"/>
      <w:r/>
      <w:bookmarkStart w:id="38" w:name="_Toc5635"/>
      <w:r/>
      <w:bookmarkStart w:id="39" w:name="_Toc21124"/>
      <w:r/>
      <w:bookmarkStart w:id="40" w:name="_Toc13918"/>
      <w:r>
        <w:rPr>
          <w:rFonts w:hint="eastAsia" w:ascii="宋体" w:hAnsi="宋体" w:cs="宋体"/>
          <w:b/>
          <w:sz w:val="24"/>
          <w:szCs w:val="24"/>
          <w:highlight w:val="none"/>
        </w:rPr>
        <w:t xml:space="preserve">1.3 价款</w:t>
      </w:r>
      <w:bookmarkEnd w:id="36"/>
      <w:r/>
      <w:bookmarkEnd w:id="37"/>
      <w:r/>
      <w:bookmarkEnd w:id="38"/>
      <w:r/>
      <w:bookmarkEnd w:id="39"/>
      <w:r/>
      <w:bookmarkEnd w:id="4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分项价格：</w:t>
      </w:r>
      <w:r/>
    </w:p>
    <w:tbl>
      <w:tblPr>
        <w:tblStyle w:val="959"/>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57" w:type="dxa"/>
        </w:tblCellMar>
        <w:tblLook w:val="04A0" w:firstRow="1" w:lastRow="0" w:firstColumn="1" w:lastColumn="0" w:noHBand="0" w:noVBand="1"/>
      </w:tblPr>
      <w:tblGrid>
        <w:gridCol w:w="1201"/>
        <w:gridCol w:w="3402"/>
        <w:gridCol w:w="2552"/>
      </w:tblGrid>
      <w:tr>
        <w:trPr>
          <w:jc w:val="center"/>
          <w:trHeight w:val="567"/>
        </w:trPr>
        <w:tc>
          <w:tcPr>
            <w:tcW w:w="1201"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序号</w:t>
            </w:r>
            <w:r/>
          </w:p>
        </w:tc>
        <w:tc>
          <w:tcPr>
            <w:tcW w:w="340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分项名称</w:t>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分项价格</w:t>
            </w:r>
            <w:r/>
          </w:p>
        </w:tc>
      </w:tr>
      <w:tr>
        <w:trPr>
          <w:jc w:val="center"/>
          <w:trHeight w:val="567"/>
        </w:trPr>
        <w:tc>
          <w:tcPr>
            <w:tcW w:w="1201"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340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567"/>
        </w:trPr>
        <w:tc>
          <w:tcPr>
            <w:tcW w:w="1201"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340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567"/>
        </w:trPr>
        <w:tc>
          <w:tcPr>
            <w:tcW w:w="1201"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340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567"/>
        </w:trPr>
        <w:tc>
          <w:tcPr>
            <w:tcW w:w="1201"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340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567"/>
        </w:trPr>
        <w:tc>
          <w:tcPr>
            <w:gridSpan w:val="2"/>
            <w:tcW w:w="4603"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总价</w:t>
            </w:r>
            <w:r/>
          </w:p>
        </w:tc>
        <w:tc>
          <w:tcPr>
            <w:tcW w:w="255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bl>
    <w:p>
      <w:pPr>
        <w:ind w:firstLine="482"/>
        <w:spacing w:line="560" w:lineRule="exact"/>
        <w:rPr>
          <w:rFonts w:hint="eastAsia" w:ascii="宋体" w:hAnsi="宋体" w:cs="宋体"/>
          <w:b/>
          <w:sz w:val="24"/>
          <w:szCs w:val="24"/>
          <w:highlight w:val="none"/>
        </w:rPr>
      </w:pPr>
      <w:r/>
      <w:bookmarkStart w:id="41" w:name="_Toc14993"/>
      <w:r/>
      <w:bookmarkStart w:id="42" w:name="_Toc26916"/>
      <w:r/>
      <w:bookmarkStart w:id="43" w:name="_Toc30158"/>
      <w:r/>
      <w:bookmarkStart w:id="44" w:name="_Toc30506"/>
      <w:r/>
      <w:bookmarkStart w:id="45" w:name="_Toc3654"/>
      <w:r>
        <w:rPr>
          <w:rFonts w:hint="eastAsia" w:ascii="宋体" w:hAnsi="宋体" w:cs="宋体"/>
          <w:b/>
          <w:sz w:val="24"/>
          <w:szCs w:val="24"/>
          <w:highlight w:val="none"/>
        </w:rPr>
        <w:t xml:space="preserve">1.4 付款方式和发票开具方式</w:t>
      </w:r>
      <w:bookmarkEnd w:id="41"/>
      <w:r/>
      <w:bookmarkEnd w:id="42"/>
      <w:r/>
      <w:bookmarkEnd w:id="43"/>
      <w:r/>
      <w:bookmarkEnd w:id="44"/>
      <w:r/>
      <w:bookmarkEnd w:id="4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hint="eastAsia" w:ascii="宋体" w:hAnsi="宋体" w:cs="宋体"/>
          <w:b/>
          <w:sz w:val="24"/>
          <w:szCs w:val="24"/>
          <w:highlight w:val="none"/>
        </w:rPr>
      </w:pPr>
      <w:r/>
      <w:bookmarkStart w:id="46" w:name="_Toc8772"/>
      <w:r/>
      <w:bookmarkStart w:id="47" w:name="_Toc4760"/>
      <w:r/>
      <w:bookmarkStart w:id="48" w:name="_Toc31421"/>
      <w:r/>
      <w:bookmarkStart w:id="49" w:name="_Toc11108"/>
      <w:r/>
      <w:bookmarkStart w:id="50" w:name="_Toc3625"/>
      <w:r>
        <w:rPr>
          <w:rFonts w:hint="eastAsia" w:ascii="宋体" w:hAnsi="宋体" w:cs="宋体"/>
          <w:b/>
          <w:sz w:val="24"/>
          <w:szCs w:val="24"/>
          <w:highlight w:val="none"/>
        </w:rPr>
        <w:t xml:space="preserve">1.5 履行期限、地点和方式</w:t>
      </w:r>
      <w:bookmarkEnd w:id="46"/>
      <w:r/>
      <w:bookmarkEnd w:id="47"/>
      <w:r/>
      <w:bookmarkEnd w:id="48"/>
      <w:r/>
      <w:bookmarkEnd w:id="49"/>
      <w:r/>
      <w:bookmarkEnd w:id="50"/>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 xml:space="preserve">；</w:t>
      </w:r>
      <w:r/>
    </w:p>
    <w:p>
      <w:pPr>
        <w:ind w:firstLine="482"/>
        <w:spacing w:line="560" w:lineRule="exact"/>
        <w:rPr>
          <w:rFonts w:hint="eastAsia" w:ascii="宋体" w:hAnsi="宋体" w:cs="宋体"/>
          <w:sz w:val="24"/>
          <w:szCs w:val="24"/>
          <w:highlight w:val="none"/>
          <w:u w:val="single"/>
        </w:rPr>
      </w:pPr>
      <w:r/>
      <w:bookmarkStart w:id="51" w:name="_Toc2375"/>
      <w:r/>
      <w:bookmarkStart w:id="52" w:name="_Toc8586"/>
      <w:r/>
      <w:bookmarkStart w:id="53" w:name="_Toc3079"/>
      <w:r/>
      <w:bookmarkStart w:id="54" w:name="_Toc5698"/>
      <w:r/>
      <w:bookmarkStart w:id="55" w:name="_Toc24662"/>
      <w:r>
        <w:rPr>
          <w:rFonts w:hint="eastAsia" w:ascii="宋体" w:hAnsi="宋体" w:cs="宋体"/>
          <w:b/>
          <w:sz w:val="24"/>
          <w:szCs w:val="24"/>
          <w:highlight w:val="none"/>
        </w:rPr>
        <w:t xml:space="preserve">1.6 违约责任</w:t>
      </w:r>
      <w:bookmarkEnd w:id="51"/>
      <w:r/>
      <w:bookmarkEnd w:id="52"/>
      <w:r/>
      <w:bookmarkEnd w:id="53"/>
      <w:r/>
      <w:bookmarkEnd w:id="54"/>
      <w:r/>
      <w:bookmarkEnd w:id="55"/>
      <w:r/>
      <w:r/>
    </w:p>
    <w:p>
      <w:pPr>
        <w:ind w:firstLine="480"/>
        <w:spacing w:line="560" w:lineRule="exact"/>
        <w:rPr>
          <w:rFonts w:hint="eastAsia" w:ascii="宋体" w:hAnsi="宋体" w:cs="宋体"/>
          <w:sz w:val="24"/>
          <w:szCs w:val="24"/>
        </w:rPr>
      </w:pPr>
      <w:r/>
      <w:bookmarkStart w:id="56" w:name="_Toc26807"/>
      <w:r/>
      <w:bookmarkStart w:id="57" w:name="_Toc30329"/>
      <w:r/>
      <w:bookmarkStart w:id="58" w:name="_Toc9497"/>
      <w:r/>
      <w:bookmarkStart w:id="59" w:name="_Toc18683"/>
      <w:r/>
      <w:bookmarkStart w:id="60" w:name="_Toc32454"/>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1.6.5 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1.7 合同争议的解决</w:t>
      </w:r>
      <w:bookmarkEnd w:id="56"/>
      <w:r/>
      <w:bookmarkEnd w:id="57"/>
      <w:r/>
      <w:bookmarkEnd w:id="58"/>
      <w:r/>
      <w:bookmarkEnd w:id="59"/>
      <w:r/>
      <w:bookmarkEnd w:id="6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spacing w:line="560" w:lineRule="exact"/>
        <w:rPr>
          <w:rFonts w:hint="eastAsia" w:ascii="宋体" w:hAnsi="宋体" w:cs="宋体"/>
          <w:b/>
          <w:sz w:val="24"/>
          <w:szCs w:val="24"/>
          <w:highlight w:val="none"/>
        </w:rPr>
      </w:pPr>
      <w:r/>
      <w:bookmarkStart w:id="61" w:name="_Toc12273"/>
      <w:r/>
      <w:bookmarkStart w:id="62" w:name="_Toc16417"/>
      <w:r/>
      <w:bookmarkStart w:id="63" w:name="_Toc23784"/>
      <w:r/>
      <w:bookmarkStart w:id="64" w:name="_Toc26227"/>
      <w:r/>
      <w:bookmarkStart w:id="65" w:name="_Toc15827"/>
      <w:r>
        <w:rPr>
          <w:rFonts w:hint="eastAsia" w:ascii="宋体" w:hAnsi="宋体" w:cs="宋体"/>
          <w:b/>
          <w:sz w:val="24"/>
          <w:szCs w:val="24"/>
          <w:highlight w:val="none"/>
        </w:rPr>
        <w:t xml:space="preserve">1.8 合同生效</w:t>
      </w:r>
      <w:bookmarkEnd w:id="61"/>
      <w:r/>
      <w:bookmarkEnd w:id="62"/>
      <w:r/>
      <w:bookmarkEnd w:id="63"/>
      <w:r/>
      <w:bookmarkEnd w:id="64"/>
      <w:r/>
      <w:bookmarkEnd w:id="65"/>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1.8.2 本合同一式</w:t>
      </w:r>
      <w:r>
        <w:rPr>
          <w:rFonts w:hint="eastAsia" w:ascii="宋体" w:hAnsi="宋体" w:cs="宋体"/>
          <w:sz w:val="24"/>
          <w:highlight w:val="none"/>
          <w:lang w:val="en-US" w:eastAsia="zh-CN"/>
        </w:rPr>
        <w:t xml:space="preserve">捌</w:t>
      </w:r>
      <w:r>
        <w:rPr>
          <w:rFonts w:hint="eastAsia" w:ascii="宋体" w:hAnsi="宋体" w:cs="宋体"/>
          <w:sz w:val="24"/>
          <w:highlight w:val="none"/>
        </w:rPr>
        <w:t xml:space="preserve">份，供需双方各持</w:t>
      </w:r>
      <w:r>
        <w:rPr>
          <w:rFonts w:hint="eastAsia" w:ascii="宋体" w:hAnsi="宋体" w:cs="宋体"/>
          <w:sz w:val="24"/>
          <w:highlight w:val="none"/>
          <w:lang w:val="en-US" w:eastAsia="zh-CN"/>
        </w:rPr>
        <w:t xml:space="preserve">叁</w:t>
      </w:r>
      <w:r>
        <w:rPr>
          <w:rFonts w:hint="eastAsia" w:ascii="宋体" w:hAnsi="宋体" w:cs="宋体"/>
          <w:sz w:val="24"/>
          <w:highlight w:val="none"/>
        </w:rPr>
        <w:t xml:space="preserve">份，报送财政监管部门备案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招标代理</w:t>
      </w:r>
      <w:r>
        <w:rPr>
          <w:rFonts w:hint="eastAsia" w:ascii="宋体" w:hAnsi="宋体" w:cs="宋体"/>
          <w:sz w:val="24"/>
        </w:rPr>
        <w:t xml:space="preserve">存档各</w:t>
      </w:r>
      <w:r>
        <w:rPr>
          <w:rFonts w:hint="eastAsia" w:ascii="宋体" w:hAnsi="宋体" w:cs="宋体"/>
          <w:sz w:val="24"/>
          <w:lang w:eastAsia="zh-CN"/>
        </w:rPr>
        <w:t xml:space="preserve">壹</w:t>
      </w:r>
      <w:r>
        <w:rPr>
          <w:rFonts w:hint="eastAsia" w:ascii="宋体" w:hAnsi="宋体" w:cs="宋体"/>
          <w:sz w:val="24"/>
        </w:rPr>
        <w:t xml:space="preserve">份</w:t>
      </w:r>
      <w:r>
        <w:rPr>
          <w:rFonts w:hint="eastAsia" w:ascii="宋体" w:hAnsi="宋体" w:cs="宋体"/>
          <w:sz w:val="24"/>
          <w:highlight w:val="none"/>
        </w:rPr>
        <w:t xml:space="preserve">。</w:t>
      </w:r>
      <w:r/>
    </w:p>
    <w:p>
      <w:pPr>
        <w:ind w:firstLine="1267"/>
        <w:spacing w:line="560" w:lineRule="exact"/>
        <w:tabs>
          <w:tab w:val="left" w:pos="1514" w:leader="none"/>
        </w:tabs>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bookmarkStart w:id="66" w:name="_Toc331685783"/>
      <w:r/>
      <w:r/>
    </w:p>
    <w:p>
      <w:pPr>
        <w:pStyle w:val="966"/>
        <w:ind w:firstLine="200"/>
        <w:jc w:val="center"/>
        <w:spacing w:line="560" w:lineRule="exact"/>
        <w:rPr>
          <w:rFonts w:hint="eastAsia" w:hAnsi="宋体" w:cs="宋体"/>
          <w:b/>
          <w:szCs w:val="24"/>
          <w:highlight w:val="none"/>
        </w:rPr>
      </w:pPr>
      <w:r>
        <w:rPr>
          <w:rFonts w:hint="eastAsia" w:hAnsi="宋体" w:cs="宋体"/>
          <w:b/>
          <w:szCs w:val="24"/>
          <w:highlight w:val="none"/>
        </w:rPr>
        <w:t xml:space="preserve">第二部分 合同一般条款</w:t>
      </w:r>
      <w:bookmarkEnd w:id="66"/>
      <w:r/>
      <w:r/>
    </w:p>
    <w:p>
      <w:pPr>
        <w:ind w:firstLine="482"/>
        <w:spacing w:line="560" w:lineRule="exact"/>
        <w:rPr>
          <w:rFonts w:hint="eastAsia" w:ascii="宋体" w:hAnsi="宋体" w:cs="宋体"/>
          <w:b/>
          <w:sz w:val="24"/>
          <w:szCs w:val="24"/>
          <w:highlight w:val="none"/>
        </w:rPr>
      </w:pPr>
      <w:r/>
      <w:bookmarkStart w:id="67" w:name="_Ref467379225"/>
      <w:r/>
      <w:bookmarkStart w:id="68" w:name="_Ref467379101"/>
      <w:r/>
      <w:bookmarkStart w:id="69" w:name="_Toc31297"/>
      <w:r/>
      <w:bookmarkStart w:id="70" w:name="_Ref467379205"/>
      <w:r/>
      <w:bookmarkStart w:id="71" w:name="_Toc487900349"/>
      <w:r/>
      <w:bookmarkStart w:id="72" w:name="_Toc25079"/>
      <w:r/>
      <w:bookmarkStart w:id="73" w:name="_Ref467378499"/>
      <w:r/>
      <w:bookmarkStart w:id="74" w:name="_Toc5228"/>
      <w:r/>
      <w:bookmarkStart w:id="75" w:name="_Toc19680"/>
      <w:r/>
      <w:bookmarkStart w:id="76" w:name="_Ref467378404"/>
      <w:r/>
      <w:bookmarkStart w:id="77" w:name="_Ref467379195"/>
      <w:r/>
      <w:bookmarkStart w:id="78" w:name="_Ref467379214"/>
      <w:r/>
      <w:bookmarkStart w:id="79" w:name="_Ref467379094"/>
      <w:r/>
      <w:bookmarkStart w:id="80" w:name="_Ref467379109"/>
      <w:r/>
      <w:bookmarkStart w:id="81" w:name="_Toc14021"/>
      <w:r/>
      <w:bookmarkStart w:id="82" w:name="_Toc259093669"/>
      <w:r/>
      <w:bookmarkStart w:id="83" w:name="_Ref467378463"/>
      <w:r/>
      <w:bookmarkStart w:id="84" w:name="_Toc279701240"/>
      <w:r>
        <w:rPr>
          <w:rFonts w:hint="eastAsia" w:ascii="宋体" w:hAnsi="宋体" w:cs="宋体"/>
          <w:b/>
          <w:sz w:val="24"/>
          <w:szCs w:val="24"/>
          <w:highlight w:val="none"/>
        </w:rPr>
        <w:t xml:space="preserve">2.1 定义</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80"/>
        <w:spacing w:line="560" w:lineRule="exact"/>
        <w:rPr>
          <w:rFonts w:hint="eastAsia" w:ascii="宋体" w:hAnsi="宋体" w:cs="宋体"/>
          <w:sz w:val="24"/>
          <w:szCs w:val="24"/>
          <w:highlight w:val="none"/>
        </w:rPr>
      </w:pPr>
      <w:r/>
      <w:bookmarkStart w:id="85" w:name="_Ref467379436"/>
      <w:r>
        <w:rPr>
          <w:rFonts w:hint="eastAsia" w:ascii="宋体" w:hAnsi="宋体" w:cs="宋体"/>
          <w:sz w:val="24"/>
          <w:szCs w:val="24"/>
          <w:highlight w:val="none"/>
        </w:rPr>
        <w:t xml:space="preserve">本合同中的下列词语应按以下内容进行解释：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 “现场”系指合同约定提供服务的地点。</w:t>
      </w:r>
      <w:bookmarkEnd w:id="85"/>
      <w:r/>
      <w:r/>
    </w:p>
    <w:p>
      <w:pPr>
        <w:ind w:firstLine="482"/>
        <w:spacing w:line="560" w:lineRule="exact"/>
        <w:rPr>
          <w:rFonts w:hint="eastAsia" w:ascii="宋体" w:hAnsi="宋体" w:cs="宋体"/>
          <w:b/>
          <w:sz w:val="24"/>
          <w:szCs w:val="24"/>
          <w:highlight w:val="none"/>
        </w:rPr>
      </w:pPr>
      <w:r/>
      <w:bookmarkStart w:id="86" w:name="_Toc3769"/>
      <w:r/>
      <w:bookmarkStart w:id="87" w:name="_Toc259093670"/>
      <w:r/>
      <w:bookmarkStart w:id="88" w:name="_Toc23289"/>
      <w:r/>
      <w:bookmarkStart w:id="89" w:name="_Toc279701241"/>
      <w:r/>
      <w:bookmarkStart w:id="90" w:name="_Toc16752"/>
      <w:r/>
      <w:bookmarkStart w:id="91" w:name="_Toc487900350"/>
      <w:r/>
      <w:bookmarkStart w:id="92" w:name="_Toc31402"/>
      <w:r/>
      <w:bookmarkStart w:id="93" w:name="_Toc19539"/>
      <w:r>
        <w:rPr>
          <w:rFonts w:hint="eastAsia" w:ascii="宋体" w:hAnsi="宋体" w:cs="宋体"/>
          <w:b/>
          <w:sz w:val="24"/>
          <w:szCs w:val="24"/>
          <w:highlight w:val="none"/>
        </w:rPr>
        <w:t xml:space="preserve">2.2 技术规范</w:t>
      </w:r>
      <w:bookmarkEnd w:id="86"/>
      <w:r/>
      <w:bookmarkEnd w:id="87"/>
      <w:r/>
      <w:bookmarkEnd w:id="88"/>
      <w:r/>
      <w:bookmarkEnd w:id="89"/>
      <w:r/>
      <w:bookmarkEnd w:id="90"/>
      <w:r/>
      <w:bookmarkEnd w:id="91"/>
      <w:r/>
      <w:bookmarkEnd w:id="92"/>
      <w:r/>
      <w:bookmarkEnd w:id="93"/>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highlight w:val="none"/>
        </w:rPr>
      </w:pPr>
      <w:r/>
      <w:bookmarkStart w:id="94" w:name="_Toc487900351"/>
      <w:r/>
      <w:bookmarkStart w:id="95" w:name="_Toc12412"/>
      <w:r/>
      <w:bookmarkStart w:id="96" w:name="_Toc279701242"/>
      <w:r/>
      <w:bookmarkStart w:id="97" w:name="_Toc13673"/>
      <w:r/>
      <w:bookmarkStart w:id="98" w:name="_Toc259093671"/>
      <w:r/>
      <w:bookmarkStart w:id="99" w:name="_Toc27945"/>
      <w:r/>
      <w:bookmarkStart w:id="100" w:name="_Toc9161"/>
      <w:r/>
      <w:bookmarkStart w:id="101" w:name="_Toc4133"/>
      <w:r>
        <w:rPr>
          <w:rFonts w:hint="eastAsia" w:ascii="宋体" w:hAnsi="宋体" w:cs="宋体"/>
          <w:b/>
          <w:sz w:val="24"/>
          <w:szCs w:val="24"/>
          <w:highlight w:val="none"/>
        </w:rPr>
        <w:t xml:space="preserve">2.3 知识产权</w:t>
      </w:r>
      <w:bookmarkEnd w:id="94"/>
      <w:r/>
      <w:bookmarkEnd w:id="95"/>
      <w:r/>
      <w:bookmarkEnd w:id="96"/>
      <w:r/>
      <w:bookmarkEnd w:id="97"/>
      <w:r/>
      <w:bookmarkEnd w:id="98"/>
      <w:r/>
      <w:bookmarkEnd w:id="99"/>
      <w:r/>
      <w:bookmarkEnd w:id="100"/>
      <w:r/>
      <w:bookmarkEnd w:id="101"/>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乙方享有署名权，并有权为科学研究、学术交流研讨、单位成果宣传、行业评奖评优等原因自行使用项目合同成果，除上述约定外，乙方未经甲方同意不得自行或授权给其他方使用，否则甲方有权要求乙方赔偿实际损失。</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spacing w:line="560" w:lineRule="exact"/>
        <w:rPr>
          <w:rFonts w:hint="eastAsia" w:ascii="宋体" w:hAnsi="宋体" w:cs="宋体"/>
          <w:sz w:val="24"/>
          <w:szCs w:val="24"/>
          <w:highlight w:val="none"/>
        </w:rPr>
      </w:pPr>
      <w:r/>
      <w:bookmarkStart w:id="102" w:name="_Ref467379807"/>
      <w:r/>
      <w:bookmarkStart w:id="103" w:name="_Toc186431855"/>
      <w:r/>
      <w:bookmarkStart w:id="104" w:name="_Ref467379793"/>
      <w:r/>
      <w:bookmarkStart w:id="105" w:name="_Toc279701247"/>
      <w:r/>
      <w:bookmarkStart w:id="106" w:name="_Toc259093676"/>
      <w:r/>
      <w:bookmarkStart w:id="107" w:name="_Toc487900357"/>
      <w:r>
        <w:rPr>
          <w:rFonts w:hint="eastAsia" w:ascii="宋体" w:hAnsi="宋体" w:cs="宋体"/>
          <w:sz w:val="24"/>
          <w:szCs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02"/>
      <w:r/>
      <w:bookmarkEnd w:id="103"/>
      <w:r/>
      <w:bookmarkEnd w:id="104"/>
      <w:r/>
      <w:bookmarkEnd w:id="105"/>
      <w:r/>
      <w:bookmarkEnd w:id="106"/>
      <w:r/>
      <w:bookmarkEnd w:id="107"/>
      <w:r/>
      <w:r/>
    </w:p>
    <w:p>
      <w:pPr>
        <w:ind w:firstLine="482"/>
        <w:spacing w:line="560" w:lineRule="exact"/>
        <w:rPr>
          <w:rFonts w:hint="eastAsia" w:ascii="宋体" w:hAnsi="宋体" w:cs="宋体"/>
          <w:b/>
          <w:sz w:val="24"/>
          <w:szCs w:val="24"/>
          <w:highlight w:val="none"/>
        </w:rPr>
      </w:pPr>
      <w:r/>
      <w:bookmarkStart w:id="108" w:name="_Ref467379863"/>
      <w:r/>
      <w:bookmarkStart w:id="109" w:name="_Toc487900358"/>
      <w:r/>
      <w:bookmarkStart w:id="110" w:name="_Toc279701248"/>
      <w:r/>
      <w:bookmarkStart w:id="111" w:name="_Ref467379852"/>
      <w:r/>
      <w:bookmarkStart w:id="112" w:name="_Toc259093677"/>
      <w:r/>
      <w:bookmarkStart w:id="113" w:name="_Ref467379923"/>
      <w:r/>
      <w:bookmarkStart w:id="114" w:name="_Toc13467"/>
      <w:r/>
      <w:bookmarkStart w:id="115" w:name="_Toc18990"/>
      <w:r/>
      <w:bookmarkStart w:id="116" w:name="_Toc16163"/>
      <w:r/>
      <w:bookmarkStart w:id="117" w:name="_Toc30507"/>
      <w:r/>
      <w:bookmarkStart w:id="118" w:name="_Toc13154"/>
      <w:r>
        <w:rPr>
          <w:rFonts w:hint="eastAsia" w:ascii="宋体" w:hAnsi="宋体" w:cs="宋体"/>
          <w:b/>
          <w:sz w:val="24"/>
          <w:szCs w:val="24"/>
          <w:highlight w:val="none"/>
        </w:rPr>
        <w:t xml:space="preserve">2.5 技术资料</w:t>
      </w:r>
      <w:bookmarkEnd w:id="108"/>
      <w:r/>
      <w:bookmarkEnd w:id="109"/>
      <w:r/>
      <w:bookmarkEnd w:id="110"/>
      <w:r/>
      <w:bookmarkEnd w:id="111"/>
      <w:r/>
      <w:bookmarkEnd w:id="112"/>
      <w:r/>
      <w:bookmarkEnd w:id="113"/>
      <w:r>
        <w:rPr>
          <w:rFonts w:hint="eastAsia" w:ascii="宋体" w:hAnsi="宋体" w:cs="宋体"/>
          <w:b/>
          <w:sz w:val="24"/>
          <w:szCs w:val="24"/>
          <w:highlight w:val="none"/>
        </w:rPr>
        <w:t xml:space="preserve">和保密义务</w:t>
      </w:r>
      <w:bookmarkEnd w:id="114"/>
      <w:r/>
      <w:bookmarkEnd w:id="115"/>
      <w:r/>
      <w:bookmarkEnd w:id="116"/>
      <w:r/>
      <w:bookmarkEnd w:id="117"/>
      <w:r/>
      <w:bookmarkEnd w:id="118"/>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highlight w:val="none"/>
        </w:rPr>
      </w:pPr>
      <w:r/>
      <w:bookmarkStart w:id="119" w:name="_Toc19069"/>
      <w:r/>
      <w:bookmarkStart w:id="120" w:name="_Toc487900362"/>
      <w:r/>
      <w:bookmarkStart w:id="121" w:name="_Toc259093681"/>
      <w:r/>
      <w:bookmarkStart w:id="122" w:name="_Toc279701252"/>
      <w:r>
        <w:rPr>
          <w:rFonts w:hint="eastAsia" w:ascii="宋体" w:hAnsi="宋体" w:cs="宋体"/>
          <w:b/>
          <w:sz w:val="24"/>
          <w:szCs w:val="24"/>
          <w:highlight w:val="none"/>
        </w:rPr>
        <w:t xml:space="preserve">2.6 质量保证</w:t>
      </w:r>
      <w:bookmarkEnd w:id="119"/>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highlight w:val="none"/>
        </w:rPr>
      </w:pPr>
      <w:r/>
      <w:bookmarkStart w:id="123" w:name="_Toc22267"/>
      <w:r>
        <w:rPr>
          <w:rFonts w:hint="eastAsia" w:ascii="宋体" w:hAnsi="宋体" w:cs="宋体"/>
          <w:b/>
          <w:sz w:val="24"/>
          <w:szCs w:val="24"/>
          <w:highlight w:val="none"/>
        </w:rPr>
        <w:t xml:space="preserve">2.7 延迟</w:t>
      </w:r>
      <w:bookmarkEnd w:id="120"/>
      <w:r/>
      <w:bookmarkEnd w:id="121"/>
      <w:r/>
      <w:bookmarkEnd w:id="122"/>
      <w:r>
        <w:rPr>
          <w:rFonts w:hint="eastAsia" w:ascii="宋体" w:hAnsi="宋体" w:cs="宋体"/>
          <w:b/>
          <w:sz w:val="24"/>
          <w:szCs w:val="24"/>
          <w:highlight w:val="none"/>
        </w:rPr>
        <w:t xml:space="preserve">履行</w:t>
      </w:r>
      <w:bookmarkEnd w:id="123"/>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highlight w:val="none"/>
        </w:rPr>
      </w:pPr>
      <w:r/>
      <w:bookmarkStart w:id="124" w:name="_Toc10611"/>
      <w:r/>
      <w:bookmarkStart w:id="125" w:name="_Ref467378121"/>
      <w:r/>
      <w:bookmarkStart w:id="126" w:name="_Toc487900364"/>
      <w:r/>
      <w:bookmarkStart w:id="127" w:name="_Toc259093683"/>
      <w:r/>
      <w:bookmarkStart w:id="128" w:name="_Toc279701254"/>
      <w:r>
        <w:rPr>
          <w:rFonts w:hint="eastAsia" w:ascii="宋体" w:hAnsi="宋体" w:cs="宋体"/>
          <w:b/>
          <w:sz w:val="24"/>
          <w:szCs w:val="24"/>
          <w:highlight w:val="none"/>
        </w:rPr>
        <w:t xml:space="preserve">2.8 合同变更</w:t>
      </w:r>
      <w:bookmarkEnd w:id="12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29" w:name="_Toc279701259"/>
      <w:r/>
      <w:bookmarkStart w:id="130" w:name="_Toc259093688"/>
      <w:r/>
      <w:bookmarkStart w:id="131" w:name="_Toc487900369"/>
      <w:r/>
      <w:r/>
    </w:p>
    <w:p>
      <w:pPr>
        <w:ind w:firstLine="482"/>
        <w:spacing w:line="560" w:lineRule="exact"/>
        <w:rPr>
          <w:rFonts w:hint="eastAsia" w:ascii="宋体" w:hAnsi="宋体" w:cs="宋体"/>
          <w:b/>
          <w:sz w:val="24"/>
          <w:szCs w:val="24"/>
          <w:highlight w:val="none"/>
        </w:rPr>
      </w:pPr>
      <w:r/>
      <w:bookmarkStart w:id="132" w:name="_Toc21830"/>
      <w:r/>
      <w:bookmarkStart w:id="133" w:name="_Toc23368"/>
      <w:r/>
      <w:bookmarkStart w:id="134" w:name="_Toc10663"/>
      <w:r/>
      <w:bookmarkStart w:id="135" w:name="_Toc42"/>
      <w:r/>
      <w:bookmarkStart w:id="136" w:name="_Toc26689"/>
      <w:r>
        <w:rPr>
          <w:rFonts w:hint="eastAsia" w:ascii="宋体" w:hAnsi="宋体" w:cs="宋体"/>
          <w:b/>
          <w:sz w:val="24"/>
          <w:szCs w:val="24"/>
          <w:highlight w:val="none"/>
        </w:rPr>
        <w:t xml:space="preserve">2.9 合同转让</w:t>
      </w:r>
      <w:bookmarkEnd w:id="129"/>
      <w:r/>
      <w:bookmarkEnd w:id="130"/>
      <w:r/>
      <w:bookmarkEnd w:id="131"/>
      <w:r>
        <w:rPr>
          <w:rFonts w:hint="eastAsia" w:ascii="宋体" w:hAnsi="宋体" w:cs="宋体"/>
          <w:b/>
          <w:sz w:val="24"/>
          <w:szCs w:val="24"/>
          <w:highlight w:val="none"/>
        </w:rPr>
        <w:t xml:space="preserve">和分包</w:t>
      </w:r>
      <w:bookmarkEnd w:id="132"/>
      <w:r/>
      <w:bookmarkEnd w:id="133"/>
      <w:r/>
      <w:bookmarkEnd w:id="134"/>
      <w:r/>
      <w:bookmarkEnd w:id="135"/>
      <w:r/>
      <w:bookmarkEnd w:id="136"/>
      <w:r/>
      <w:r/>
    </w:p>
    <w:p>
      <w:pPr>
        <w:ind w:firstLine="480"/>
        <w:spacing w:line="560" w:lineRule="exact"/>
        <w:tabs>
          <w:tab w:val="left" w:pos="2700" w:leader="none"/>
        </w:tabs>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zCs w:val="24"/>
          <w:highlight w:val="none"/>
        </w:rPr>
        <w:t xml:space="preserve">。</w:t>
      </w:r>
      <w:r/>
    </w:p>
    <w:p>
      <w:pPr>
        <w:ind w:firstLine="482"/>
        <w:spacing w:line="560" w:lineRule="exact"/>
        <w:rPr>
          <w:rFonts w:hint="eastAsia" w:ascii="宋体" w:hAnsi="宋体" w:cs="宋体"/>
          <w:b/>
          <w:sz w:val="24"/>
          <w:szCs w:val="24"/>
          <w:highlight w:val="none"/>
        </w:rPr>
      </w:pPr>
      <w:r/>
      <w:bookmarkStart w:id="137" w:name="_Toc4720"/>
      <w:r/>
      <w:bookmarkStart w:id="138" w:name="_Toc32494"/>
      <w:r/>
      <w:bookmarkStart w:id="139" w:name="_Toc26633"/>
      <w:r/>
      <w:bookmarkStart w:id="140" w:name="_Toc25571"/>
      <w:r/>
      <w:bookmarkStart w:id="141" w:name="_Toc14371"/>
      <w:r>
        <w:rPr>
          <w:rFonts w:hint="eastAsia" w:ascii="宋体" w:hAnsi="宋体" w:cs="宋体"/>
          <w:b/>
          <w:sz w:val="24"/>
          <w:szCs w:val="24"/>
          <w:highlight w:val="none"/>
        </w:rPr>
        <w:t xml:space="preserve">2.10 不可抗力</w:t>
      </w:r>
      <w:bookmarkEnd w:id="137"/>
      <w:r/>
      <w:bookmarkEnd w:id="138"/>
      <w:r/>
      <w:bookmarkEnd w:id="139"/>
      <w:r/>
      <w:bookmarkEnd w:id="140"/>
      <w:r/>
      <w:bookmarkEnd w:id="141"/>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因不可抗力致使合同有变更必要的，双方当事人应在约定时间内以书面形式变更合同；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2.10.4 如遭遇不可抗力事件，遭遇不可抗力的一方应尽快以书面形式将不可抗力的情况和原因通知另一方，并将有关部门出具的证明文件送达对方当事人，积极采取措施防止损失扩大。因不可抗力造成的损失，甲乙双方按照法律规定处理；</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2.10.5 “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hint="eastAsia" w:ascii="宋体" w:hAnsi="宋体"/>
          <w:bCs/>
          <w:sz w:val="24"/>
          <w:highlight w:val="none"/>
          <w:lang w:val="zh-CN"/>
        </w:rPr>
        <w:t xml:space="preserve">。</w:t>
      </w:r>
      <w:r/>
    </w:p>
    <w:p>
      <w:pPr>
        <w:ind w:firstLine="482"/>
        <w:spacing w:line="560" w:lineRule="exact"/>
        <w:rPr>
          <w:rFonts w:hint="eastAsia" w:ascii="宋体" w:hAnsi="宋体" w:cs="宋体"/>
          <w:b/>
          <w:sz w:val="24"/>
          <w:szCs w:val="24"/>
          <w:highlight w:val="none"/>
        </w:rPr>
      </w:pPr>
      <w:r/>
      <w:bookmarkStart w:id="142" w:name="_Toc259093684"/>
      <w:r/>
      <w:bookmarkStart w:id="143" w:name="_Toc25783"/>
      <w:r/>
      <w:bookmarkStart w:id="144" w:name="_Toc487900365"/>
      <w:r/>
      <w:bookmarkStart w:id="145" w:name="_Toc23854"/>
      <w:r/>
      <w:bookmarkStart w:id="146" w:name="_Toc279701255"/>
      <w:r/>
      <w:bookmarkStart w:id="147" w:name="_Toc14115"/>
      <w:r/>
      <w:bookmarkStart w:id="148" w:name="_Toc24465"/>
      <w:r/>
      <w:bookmarkStart w:id="149" w:name="_Toc3638"/>
      <w:r>
        <w:rPr>
          <w:rFonts w:hint="eastAsia" w:ascii="宋体" w:hAnsi="宋体" w:cs="宋体"/>
          <w:b/>
          <w:sz w:val="24"/>
          <w:szCs w:val="24"/>
          <w:highlight w:val="none"/>
        </w:rPr>
        <w:t xml:space="preserve">2.11 税费</w:t>
      </w:r>
      <w:bookmarkEnd w:id="142"/>
      <w:r/>
      <w:bookmarkEnd w:id="143"/>
      <w:r/>
      <w:bookmarkEnd w:id="144"/>
      <w:r/>
      <w:bookmarkEnd w:id="145"/>
      <w:r/>
      <w:bookmarkEnd w:id="146"/>
      <w:r/>
      <w:bookmarkEnd w:id="147"/>
      <w:r/>
      <w:bookmarkEnd w:id="148"/>
      <w:r/>
      <w:bookmarkEnd w:id="149"/>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sz w:val="24"/>
          <w:szCs w:val="24"/>
          <w:highlight w:val="none"/>
        </w:rPr>
      </w:pPr>
      <w:r/>
      <w:bookmarkStart w:id="150" w:name="_Toc7315"/>
      <w:r/>
      <w:bookmarkStart w:id="151" w:name="_Toc279701258"/>
      <w:r/>
      <w:bookmarkStart w:id="152" w:name="_Toc487900368"/>
      <w:r/>
      <w:bookmarkStart w:id="153" w:name="_Toc259093687"/>
      <w:r/>
      <w:bookmarkStart w:id="154" w:name="_Toc14814"/>
      <w:r/>
      <w:bookmarkStart w:id="155" w:name="_Toc26883"/>
      <w:r/>
      <w:bookmarkStart w:id="156" w:name="_Toc25525"/>
      <w:r/>
      <w:bookmarkStart w:id="157" w:name="_Toc30105"/>
      <w:r>
        <w:rPr>
          <w:rFonts w:hint="eastAsia" w:ascii="宋体" w:hAnsi="宋体" w:cs="宋体"/>
          <w:b/>
          <w:sz w:val="24"/>
          <w:szCs w:val="24"/>
          <w:highlight w:val="none"/>
        </w:rPr>
        <w:t xml:space="preserve">2.12 乙方破产</w:t>
      </w:r>
      <w:bookmarkEnd w:id="150"/>
      <w:r/>
      <w:bookmarkEnd w:id="151"/>
      <w:r/>
      <w:bookmarkEnd w:id="152"/>
      <w:r/>
      <w:bookmarkEnd w:id="153"/>
      <w:r/>
      <w:bookmarkEnd w:id="154"/>
      <w:r/>
      <w:bookmarkEnd w:id="155"/>
      <w:r/>
      <w:bookmarkEnd w:id="156"/>
      <w:r/>
      <w:bookmarkEnd w:id="157"/>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highlight w:val="none"/>
        </w:rPr>
      </w:pPr>
      <w:r/>
      <w:bookmarkStart w:id="158" w:name="_Toc1123"/>
      <w:r/>
      <w:bookmarkStart w:id="159" w:name="_Toc2016"/>
      <w:r/>
      <w:bookmarkStart w:id="160" w:name="_Toc23323"/>
      <w:r>
        <w:rPr>
          <w:rFonts w:hint="eastAsia" w:ascii="宋体" w:hAnsi="宋体" w:cs="宋体"/>
          <w:b/>
          <w:sz w:val="24"/>
          <w:szCs w:val="24"/>
          <w:highlight w:val="none"/>
        </w:rPr>
        <w:t xml:space="preserve">2.13 合同中止、终止</w:t>
      </w:r>
      <w:bookmarkEnd w:id="158"/>
      <w:r/>
      <w:bookmarkEnd w:id="159"/>
      <w:r/>
      <w:bookmarkEnd w:id="16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highlight w:val="none"/>
        </w:rPr>
      </w:pPr>
      <w:r/>
      <w:bookmarkStart w:id="161" w:name="_Toc17363"/>
      <w:r/>
      <w:bookmarkStart w:id="162" w:name="_Toc14525"/>
      <w:r/>
      <w:bookmarkStart w:id="163" w:name="_Toc1969"/>
      <w:r>
        <w:rPr>
          <w:rFonts w:hint="eastAsia" w:ascii="宋体" w:hAnsi="宋体" w:cs="宋体"/>
          <w:b/>
          <w:sz w:val="24"/>
          <w:szCs w:val="24"/>
          <w:highlight w:val="none"/>
        </w:rPr>
        <w:t xml:space="preserve">2.14 检验和验收</w:t>
      </w:r>
      <w:bookmarkEnd w:id="161"/>
      <w:r/>
      <w:bookmarkEnd w:id="162"/>
      <w:r/>
      <w:bookmarkEnd w:id="163"/>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25"/>
      <w:r/>
      <w:bookmarkEnd w:id="126"/>
      <w:r/>
      <w:bookmarkEnd w:id="127"/>
      <w:r/>
      <w:bookmarkEnd w:id="128"/>
      <w:r/>
      <w:r/>
    </w:p>
    <w:p>
      <w:pPr>
        <w:ind w:firstLine="482"/>
        <w:spacing w:line="560" w:lineRule="exact"/>
        <w:rPr>
          <w:rFonts w:hint="eastAsia" w:ascii="宋体" w:hAnsi="宋体" w:cs="宋体"/>
          <w:b/>
          <w:sz w:val="24"/>
          <w:szCs w:val="24"/>
          <w:highlight w:val="none"/>
        </w:rPr>
      </w:pPr>
      <w:r/>
      <w:bookmarkStart w:id="164" w:name="_Toc487900371"/>
      <w:r/>
      <w:bookmarkStart w:id="165" w:name="_Toc259093690"/>
      <w:r/>
      <w:bookmarkStart w:id="166" w:name="_Toc279701261"/>
      <w:r/>
      <w:bookmarkStart w:id="167" w:name="_Toc31892"/>
      <w:r/>
      <w:bookmarkStart w:id="168" w:name="_Toc9808"/>
      <w:r/>
      <w:bookmarkStart w:id="169" w:name="_Toc12666"/>
      <w:r/>
      <w:bookmarkStart w:id="170" w:name="_Toc25198"/>
      <w:r/>
      <w:bookmarkStart w:id="171" w:name="_Toc2308"/>
      <w:r>
        <w:rPr>
          <w:rFonts w:hint="eastAsia" w:ascii="宋体" w:hAnsi="宋体" w:cs="宋体"/>
          <w:b/>
          <w:sz w:val="24"/>
          <w:szCs w:val="24"/>
          <w:highlight w:val="none"/>
        </w:rPr>
        <w:t xml:space="preserve">2.15 通知</w:t>
      </w:r>
      <w:bookmarkEnd w:id="164"/>
      <w:r/>
      <w:bookmarkEnd w:id="165"/>
      <w:r/>
      <w:bookmarkEnd w:id="166"/>
      <w:r>
        <w:rPr>
          <w:rFonts w:hint="eastAsia" w:ascii="宋体" w:hAnsi="宋体" w:cs="宋体"/>
          <w:b/>
          <w:sz w:val="24"/>
          <w:szCs w:val="24"/>
          <w:highlight w:val="none"/>
        </w:rPr>
        <w:t xml:space="preserve">和送达</w:t>
      </w:r>
      <w:bookmarkEnd w:id="167"/>
      <w:r/>
      <w:bookmarkEnd w:id="168"/>
      <w:r/>
      <w:bookmarkEnd w:id="169"/>
      <w:r/>
      <w:bookmarkEnd w:id="170"/>
      <w:r/>
      <w:bookmarkEnd w:id="171"/>
      <w:r/>
      <w:r/>
    </w:p>
    <w:p>
      <w:pPr>
        <w:ind w:firstLine="480"/>
        <w:spacing w:line="560" w:lineRule="exact"/>
        <w:rPr>
          <w:rFonts w:hint="eastAsia" w:ascii="宋体" w:hAnsi="宋体" w:cs="宋体"/>
          <w:sz w:val="24"/>
          <w:szCs w:val="24"/>
          <w:highlight w:val="none"/>
        </w:rPr>
      </w:pPr>
      <w:r/>
      <w:bookmarkStart w:id="172" w:name="_Toc7073"/>
      <w:r/>
      <w:bookmarkStart w:id="173" w:name="_Toc29220"/>
      <w:r/>
      <w:bookmarkStart w:id="174" w:name="_Toc487900372"/>
      <w:r/>
      <w:bookmarkStart w:id="175" w:name="_Toc279701262"/>
      <w:r/>
      <w:bookmarkStart w:id="176" w:name="_Toc259093691"/>
      <w:r>
        <w:rPr>
          <w:rFonts w:hint="eastAsia" w:ascii="宋体" w:hAnsi="宋体" w:cs="宋体"/>
          <w:sz w:val="24"/>
          <w:szCs w:val="24"/>
          <w:highlight w:val="none"/>
        </w:rPr>
        <w:t xml:space="preserve">2.15.1 </w:t>
      </w:r>
      <w:bookmarkEnd w:id="172"/>
      <w:r/>
      <w:bookmarkEnd w:id="173"/>
      <w:r/>
      <w:bookmarkStart w:id="177" w:name="_Toc18401"/>
      <w:r/>
      <w:bookmarkStart w:id="178" w:name="_Toc27674"/>
      <w:r>
        <w:rPr>
          <w:rFonts w:hint="eastAsia" w:ascii="宋体" w:hAnsi="宋体" w:cs="宋体"/>
          <w:sz w:val="24"/>
          <w:szCs w:val="24"/>
          <w:highlight w:val="none"/>
        </w:rPr>
        <w:t xml:space="preserve">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177"/>
      <w:r/>
      <w:bookmarkEnd w:id="178"/>
      <w:r/>
      <w:bookmarkEnd w:id="174"/>
      <w:r/>
      <w:bookmarkEnd w:id="175"/>
      <w:r/>
      <w:bookmarkEnd w:id="176"/>
      <w:r/>
      <w:r/>
    </w:p>
    <w:p>
      <w:pPr>
        <w:ind w:firstLine="482"/>
        <w:spacing w:line="560" w:lineRule="exact"/>
        <w:rPr>
          <w:rFonts w:hint="eastAsia" w:ascii="宋体" w:hAnsi="宋体" w:cs="宋体"/>
          <w:b/>
          <w:sz w:val="24"/>
          <w:szCs w:val="24"/>
          <w:highlight w:val="none"/>
        </w:rPr>
      </w:pPr>
      <w:r/>
      <w:bookmarkStart w:id="179" w:name="_Toc259093692"/>
      <w:r/>
      <w:bookmarkStart w:id="180" w:name="_Toc20808"/>
      <w:r/>
      <w:bookmarkStart w:id="181" w:name="_Toc28906"/>
      <w:r/>
      <w:bookmarkStart w:id="182" w:name="_Toc279701263"/>
      <w:r/>
      <w:bookmarkStart w:id="183" w:name="_Toc487900373"/>
      <w:r/>
      <w:bookmarkStart w:id="184" w:name="_Toc12254"/>
      <w:r/>
      <w:bookmarkStart w:id="185" w:name="_Toc27644"/>
      <w:r/>
      <w:bookmarkStart w:id="186" w:name="_Toc5063"/>
      <w:r>
        <w:rPr>
          <w:rFonts w:hint="eastAsia" w:ascii="宋体" w:hAnsi="宋体" w:cs="宋体"/>
          <w:b/>
          <w:sz w:val="24"/>
          <w:szCs w:val="24"/>
          <w:highlight w:val="none"/>
        </w:rPr>
        <w:t xml:space="preserve">2.16 合同使用的文字和适用的法律</w:t>
      </w:r>
      <w:bookmarkEnd w:id="179"/>
      <w:r/>
      <w:bookmarkEnd w:id="180"/>
      <w:r/>
      <w:bookmarkEnd w:id="181"/>
      <w:r/>
      <w:bookmarkEnd w:id="182"/>
      <w:r/>
      <w:bookmarkEnd w:id="183"/>
      <w:r/>
      <w:bookmarkEnd w:id="184"/>
      <w:r/>
      <w:bookmarkEnd w:id="185"/>
      <w:r/>
      <w:bookmarkEnd w:id="186"/>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2.17 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2.17.1 签订合同前，中标供应商须交纳中标合同总金额</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sz w:val="24"/>
          <w:szCs w:val="24"/>
          <w:highlight w:val="none"/>
          <w:lang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sz w:val="24"/>
          <w:szCs w:val="24"/>
          <w:highlight w:val="none"/>
        </w:rPr>
        <w:t xml:space="preserve">2.17.3 如果甲方未及时退还履约保证金，相关责任由甲乙双方在合同中自行约定</w:t>
      </w:r>
      <w:r>
        <w:rPr>
          <w:rFonts w:hint="eastAsia" w:ascii="宋体" w:hAnsi="宋体" w:cs="宋体"/>
          <w:sz w:val="24"/>
          <w:szCs w:val="24"/>
          <w:highlight w:val="none"/>
          <w:lang w:eastAsia="zh-CN"/>
        </w:rPr>
        <w:t xml:space="preserve">。</w:t>
      </w:r>
      <w:bookmarkEnd w:id="19"/>
      <w:r/>
      <w:bookmarkEnd w:id="20"/>
      <w:r/>
      <w:bookmarkEnd w:id="21"/>
      <w:r/>
      <w:r/>
    </w:p>
    <w:p>
      <w:pPr>
        <w:jc w:val="center"/>
        <w:spacing w:line="360" w:lineRule="auto"/>
        <w:rPr>
          <w:rFonts w:hint="eastAsia" w:ascii="黑体" w:hAnsi="黑体" w:eastAsia="黑体"/>
          <w:sz w:val="28"/>
          <w:highlight w:val="none"/>
        </w:rPr>
        <w:outlineLvl w:val="0"/>
      </w:pPr>
      <w:r/>
      <w:bookmarkStart w:id="187" w:name="_Toc13885"/>
      <w:r/>
      <w:bookmarkStart w:id="188" w:name="_Toc19193"/>
      <w:r/>
      <w:bookmarkStart w:id="189" w:name="_Toc24602"/>
      <w:r>
        <w:rPr>
          <w:rFonts w:hint="eastAsia" w:ascii="黑体" w:hAnsi="黑体" w:eastAsia="黑体"/>
          <w:sz w:val="28"/>
          <w:highlight w:val="none"/>
        </w:rPr>
        <w:t xml:space="preserve">第六章</w:t>
      </w:r>
      <w:bookmarkStart w:id="190" w:name="_Toc11185"/>
      <w:r>
        <w:rPr>
          <w:rFonts w:hint="eastAsia" w:ascii="黑体" w:hAnsi="黑体" w:eastAsia="黑体"/>
          <w:sz w:val="28"/>
          <w:highlight w:val="none"/>
        </w:rPr>
        <w:t xml:space="preserve"> </w:t>
      </w:r>
      <w:r>
        <w:rPr>
          <w:rFonts w:hint="eastAsia" w:ascii="黑体" w:hAnsi="黑体" w:eastAsia="黑体"/>
          <w:sz w:val="28"/>
          <w:highlight w:val="none"/>
          <w:lang w:eastAsia="zh-CN"/>
        </w:rPr>
        <w:t xml:space="preserve">投标文件</w:t>
      </w:r>
      <w:r>
        <w:rPr>
          <w:rFonts w:hint="eastAsia" w:ascii="黑体" w:hAnsi="黑体" w:eastAsia="黑体"/>
          <w:sz w:val="28"/>
          <w:highlight w:val="none"/>
        </w:rPr>
        <w:t xml:space="preserve">（格式）</w:t>
      </w:r>
      <w:bookmarkEnd w:id="187"/>
      <w:r/>
      <w:bookmarkEnd w:id="190"/>
      <w:r/>
      <w:r/>
    </w:p>
    <w:p>
      <w:pPr>
        <w:spacing w:line="360" w:lineRule="auto"/>
        <w:rPr>
          <w:rFonts w:hint="eastAsia" w:ascii="黑体" w:hAnsi="黑体" w:eastAsia="黑体"/>
          <w:sz w:val="28"/>
          <w:highlight w:val="none"/>
        </w:rPr>
        <w:outlineLvl w:val="0"/>
      </w:pPr>
      <w:r>
        <w:rPr>
          <w:rFonts w:hint="eastAsia" w:ascii="黑体" w:hAnsi="黑体" w:eastAsia="黑体"/>
          <w:sz w:val="28"/>
          <w:highlight w:val="none"/>
        </w:rPr>
      </w:r>
      <w:r/>
    </w:p>
    <w:p>
      <w:pPr>
        <w:spacing w:line="360" w:lineRule="auto"/>
        <w:rPr>
          <w:rFonts w:hint="eastAsia" w:ascii="黑体" w:hAnsi="黑体" w:eastAsia="黑体"/>
          <w:sz w:val="28"/>
          <w:highlight w:val="none"/>
        </w:rPr>
        <w:outlineLvl w:val="0"/>
      </w:pPr>
      <w:r>
        <w:rPr>
          <w:rFonts w:hint="eastAsia" w:ascii="黑体" w:hAnsi="黑体" w:eastAsia="黑体"/>
          <w:sz w:val="28"/>
          <w:highlight w:val="none"/>
        </w:rPr>
      </w:r>
      <w:r/>
    </w:p>
    <w:p>
      <w:pPr>
        <w:spacing w:line="360" w:lineRule="auto"/>
        <w:rPr>
          <w:rFonts w:hint="eastAsia" w:ascii="黑体" w:hAnsi="黑体" w:eastAsia="黑体"/>
          <w:sz w:val="28"/>
          <w:highlight w:val="none"/>
        </w:rPr>
        <w:outlineLvl w:val="0"/>
      </w:pPr>
      <w:r>
        <w:rPr>
          <w:rFonts w:hint="eastAsia" w:ascii="黑体" w:hAnsi="黑体" w:eastAsia="黑体"/>
          <w:sz w:val="28"/>
          <w:highlight w:val="none"/>
        </w:rPr>
      </w:r>
      <w:r/>
    </w:p>
    <w:p>
      <w:pPr>
        <w:jc w:val="center"/>
        <w:rPr>
          <w:rFonts w:hint="eastAsia" w:ascii="宋体" w:hAnsi="宋体"/>
          <w:b/>
          <w:sz w:val="120"/>
          <w:szCs w:val="120"/>
          <w:highlight w:val="none"/>
        </w:rPr>
      </w:pPr>
      <w:r>
        <w:rPr>
          <w:rFonts w:hint="eastAsia" w:ascii="宋体" w:hAnsi="宋体"/>
          <w:b/>
          <w:sz w:val="120"/>
          <w:szCs w:val="120"/>
          <w:highlight w:val="none"/>
        </w:rPr>
        <w:t xml:space="preserve">投标文件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ind w:firstLine="1807"/>
        <w:rPr>
          <w:rFonts w:hint="eastAsia" w:ascii="宋体" w:hAnsi="宋体"/>
          <w:b/>
          <w:sz w:val="30"/>
          <w:szCs w:val="30"/>
          <w:highlight w:val="none"/>
        </w:rPr>
      </w:pPr>
      <w:r/>
      <w:bookmarkStart w:id="191" w:name="_Toc24371"/>
      <w:r/>
      <w:r/>
    </w:p>
    <w:p>
      <w:pPr>
        <w:ind w:firstLine="2711"/>
        <w:rPr>
          <w:rFonts w:hint="eastAsia" w:ascii="宋体" w:hAnsi="宋体"/>
          <w:b/>
          <w:sz w:val="30"/>
          <w:szCs w:val="30"/>
          <w:highlight w:val="none"/>
          <w:u w:val="single"/>
        </w:rPr>
      </w:pPr>
      <w:r>
        <w:rPr>
          <w:rFonts w:hint="eastAsia" w:ascii="宋体" w:hAnsi="宋体"/>
          <w:b/>
          <w:sz w:val="30"/>
          <w:szCs w:val="30"/>
          <w:highlight w:val="none"/>
        </w:rPr>
        <w:t xml:space="preserve">项目名称：</w:t>
      </w:r>
      <w:r>
        <w:rPr>
          <w:rFonts w:hint="eastAsia" w:ascii="宋体" w:hAnsi="宋体"/>
          <w:b/>
          <w:sz w:val="30"/>
          <w:szCs w:val="30"/>
          <w:highlight w:val="none"/>
          <w:u w:val="single"/>
        </w:rPr>
        <w:t xml:space="preserve">                   </w:t>
      </w:r>
      <w:r/>
    </w:p>
    <w:p>
      <w:pPr>
        <w:ind w:firstLine="2711"/>
        <w:rPr>
          <w:rFonts w:hint="eastAsia" w:ascii="宋体" w:hAnsi="宋体"/>
          <w:b/>
          <w:sz w:val="30"/>
          <w:szCs w:val="30"/>
          <w:highlight w:val="none"/>
        </w:rPr>
      </w:pPr>
      <w:r>
        <w:rPr>
          <w:rFonts w:hint="eastAsia" w:ascii="宋体" w:hAnsi="宋体"/>
          <w:b/>
          <w:sz w:val="30"/>
          <w:szCs w:val="30"/>
          <w:highlight w:val="none"/>
        </w:rPr>
        <w:t xml:space="preserve">项目编号：</w:t>
      </w:r>
      <w:r>
        <w:rPr>
          <w:rFonts w:hint="eastAsia" w:ascii="宋体" w:hAnsi="宋体"/>
          <w:b/>
          <w:sz w:val="30"/>
          <w:szCs w:val="30"/>
          <w:highlight w:val="none"/>
          <w:u w:val="single"/>
        </w:rPr>
        <w:t xml:space="preserve">                   </w:t>
      </w:r>
      <w:r>
        <w:rPr>
          <w:rFonts w:hint="eastAsia" w:ascii="宋体" w:hAnsi="宋体"/>
          <w:b/>
          <w:sz w:val="30"/>
          <w:szCs w:val="30"/>
          <w:highlight w:val="none"/>
        </w:rPr>
        <w:t xml:space="preserve">           </w:t>
      </w:r>
      <w:r/>
    </w:p>
    <w:p>
      <w:pPr>
        <w:ind w:firstLine="2711"/>
        <w:rPr>
          <w:rFonts w:hint="eastAsia" w:ascii="宋体" w:hAnsi="宋体"/>
          <w:b/>
          <w:sz w:val="30"/>
          <w:szCs w:val="30"/>
          <w:highlight w:val="none"/>
        </w:rPr>
      </w:pPr>
      <w:r>
        <w:rPr>
          <w:rFonts w:hint="eastAsia" w:ascii="宋体" w:hAnsi="宋体"/>
          <w:b/>
          <w:sz w:val="30"/>
          <w:szCs w:val="30"/>
          <w:highlight w:val="none"/>
        </w:rPr>
        <w:t xml:space="preserve">投 标 人：</w:t>
      </w:r>
      <w:r>
        <w:rPr>
          <w:rFonts w:hint="eastAsia" w:ascii="宋体" w:hAnsi="宋体"/>
          <w:b/>
          <w:sz w:val="30"/>
          <w:szCs w:val="30"/>
          <w:highlight w:val="none"/>
          <w:u w:val="single"/>
        </w:rPr>
        <w:t xml:space="preserve">                   </w:t>
      </w:r>
      <w:r>
        <w:rPr>
          <w:rFonts w:hint="eastAsia" w:ascii="宋体" w:hAnsi="宋体"/>
          <w:b/>
          <w:sz w:val="30"/>
          <w:szCs w:val="30"/>
          <w:highlight w:val="none"/>
        </w:rPr>
        <w:t xml:space="preserve">                    </w:t>
      </w:r>
      <w:r/>
    </w:p>
    <w:p>
      <w:pPr>
        <w:ind w:firstLine="2711"/>
        <w:rPr>
          <w:rFonts w:hint="eastAsia" w:ascii="楷体_GB2312" w:eastAsia="楷体_GB2312"/>
          <w:b/>
          <w:sz w:val="32"/>
          <w:szCs w:val="32"/>
          <w:highlight w:val="none"/>
        </w:rPr>
      </w:pPr>
      <w:r>
        <w:rPr>
          <w:rFonts w:hint="eastAsia" w:ascii="宋体" w:hAnsi="宋体"/>
          <w:b/>
          <w:sz w:val="30"/>
          <w:szCs w:val="30"/>
          <w:highlight w:val="none"/>
        </w:rPr>
        <w:t xml:space="preserve">日    期：</w:t>
      </w:r>
      <w:r>
        <w:rPr>
          <w:rFonts w:hint="eastAsia" w:ascii="宋体" w:hAnsi="宋体"/>
          <w:b/>
          <w:sz w:val="30"/>
          <w:szCs w:val="30"/>
          <w:highlight w:val="none"/>
          <w:u w:val="single"/>
        </w:rPr>
        <w:t xml:space="preserve">                   </w:t>
      </w:r>
      <w:r>
        <w:rPr>
          <w:rFonts w:hint="eastAsia" w:ascii="宋体" w:hAnsi="宋体"/>
          <w:b/>
          <w:sz w:val="30"/>
          <w:szCs w:val="30"/>
          <w:highlight w:val="none"/>
        </w:rPr>
        <w:t xml:space="preserve">                    </w:t>
      </w:r>
      <w:r>
        <w:rPr>
          <w:rFonts w:hint="eastAsia" w:ascii="宋体" w:hAnsi="宋体"/>
          <w:b/>
          <w:sz w:val="32"/>
          <w:szCs w:val="32"/>
          <w:highlight w:val="none"/>
        </w:rPr>
        <w:t xml:space="preserve">              </w:t>
      </w:r>
      <w:bookmarkEnd w:id="191"/>
      <w:r/>
      <w:r/>
    </w:p>
    <w:p>
      <w:pPr>
        <w:rPr>
          <w:rFonts w:hint="eastAsia" w:ascii="楷体_GB2312" w:eastAsia="楷体_GB2312"/>
          <w:b/>
          <w:sz w:val="32"/>
          <w:szCs w:val="32"/>
          <w:highlight w:val="none"/>
        </w:rPr>
      </w:pPr>
      <w:r>
        <w:rPr>
          <w:rFonts w:hint="eastAsia" w:ascii="楷体_GB2312" w:eastAsia="楷体_GB2312"/>
          <w:b/>
          <w:sz w:val="32"/>
          <w:szCs w:val="32"/>
          <w:highlight w:val="none"/>
        </w:rPr>
      </w:r>
      <w:bookmarkEnd w:id="188"/>
      <w:r/>
      <w:r/>
    </w:p>
    <w:p>
      <w:pPr>
        <w:spacing w:line="360" w:lineRule="auto"/>
        <w:rPr>
          <w:rFonts w:hint="eastAsia" w:ascii="黑体" w:hAnsi="宋体" w:eastAsia="黑体" w:cs="Times New Roman"/>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（一）开标一览表：</w:t>
      </w:r>
      <w:bookmarkEnd w:id="189"/>
      <w:r/>
      <w:r/>
    </w:p>
    <w:p>
      <w:pPr>
        <w:ind w:firstLine="480"/>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1、开标一览表（格式）：</w:t>
      </w:r>
      <w:r/>
    </w:p>
    <w:p>
      <w:pPr>
        <w:jc w:val="center"/>
        <w:spacing w:before="156" w:after="156"/>
        <w:rPr>
          <w:rFonts w:hint="eastAsia" w:ascii="黑体" w:eastAsia="黑体"/>
          <w:bCs/>
          <w:sz w:val="28"/>
          <w:szCs w:val="28"/>
          <w:highlight w:val="none"/>
        </w:rPr>
      </w:pPr>
      <w:r>
        <w:rPr>
          <w:rFonts w:hint="eastAsia" w:ascii="黑体" w:eastAsia="黑体"/>
          <w:bCs/>
          <w:sz w:val="28"/>
          <w:szCs w:val="28"/>
          <w:highlight w:val="none"/>
        </w:rPr>
        <w:t xml:space="preserve">开标一览表</w:t>
      </w:r>
      <w:r/>
    </w:p>
    <w:p>
      <w:pPr>
        <w:jc w:val="both"/>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项目编号：</w:t>
      </w:r>
      <w:r/>
    </w:p>
    <w:p>
      <w:pPr>
        <w:pStyle w:val="969"/>
        <w:ind w:left="0" w:firstLine="0"/>
        <w:jc w:val="both"/>
        <w:keepLines w:val="0"/>
        <w:keepNext w:val="0"/>
        <w:pageBreakBefore w:val="0"/>
        <w:spacing w:line="360" w:lineRule="auto"/>
        <w:widowControl w:val="off"/>
        <w:rPr>
          <w:rFonts w:hint="eastAsia" w:ascii="宋体" w:hAnsi="宋体"/>
          <w:b/>
          <w:bCs/>
          <w:color w:val="000000"/>
          <w:sz w:val="24"/>
          <w:szCs w:val="24"/>
        </w:rPr>
      </w:pPr>
      <w:r>
        <w:rPr>
          <w:rFonts w:hint="eastAsia" w:ascii="宋体" w:hAnsi="宋体"/>
          <w:sz w:val="24"/>
          <w:szCs w:val="24"/>
          <w:highlight w:val="none"/>
        </w:rPr>
        <w:t xml:space="preserve">货币单位：人民币元</w:t>
      </w:r>
      <w:r/>
    </w:p>
    <w:tbl>
      <w:tblPr>
        <w:tblStyle w:val="959"/>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208"/>
        <w:gridCol w:w="3259"/>
        <w:gridCol w:w="3201"/>
      </w:tblGrid>
      <w:tr>
        <w:trPr>
          <w:trHeight w:val="850"/>
        </w:trPr>
        <w:tc>
          <w:tcPr>
            <w:tcW w:w="3208"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t xml:space="preserve">项目名称</w:t>
            </w:r>
            <w:r/>
          </w:p>
        </w:tc>
        <w:tc>
          <w:tcPr>
            <w:tcW w:w="3259"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t xml:space="preserve">项目内容</w:t>
            </w:r>
            <w:r/>
          </w:p>
        </w:tc>
        <w:tc>
          <w:tcPr>
            <w:tcW w:w="3201"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t xml:space="preserve">总价（小写）</w:t>
            </w:r>
            <w:r/>
          </w:p>
        </w:tc>
      </w:tr>
      <w:tr>
        <w:trPr>
          <w:trHeight w:val="850"/>
        </w:trPr>
        <w:tc>
          <w:tcPr>
            <w:tcW w:w="3208" w:type="dxa"/>
            <w:vAlign w:val="center"/>
            <w:textDirection w:val="lrTb"/>
            <w:noWrap w:val="false"/>
          </w:tcPr>
          <w:p>
            <w:pPr>
              <w:pStyle w:val="970"/>
              <w:jc w:val="center"/>
              <w:widowControl/>
              <w:rPr>
                <w:rFonts w:hint="eastAsia" w:ascii="宋体" w:hAnsi="宋体" w:eastAsia="宋体" w:cs="Times New Roman"/>
                <w:bCs/>
                <w:color w:val="000000"/>
                <w:sz w:val="24"/>
                <w:szCs w:val="24"/>
                <w:u w:val="none"/>
                <w:lang w:val="en-US" w:eastAsia="zh-CN" w:bidi="ar-SA"/>
              </w:rPr>
            </w:pPr>
            <w:r>
              <w:rPr>
                <w:rFonts w:hint="eastAsia" w:ascii="宋体" w:hAnsi="宋体" w:eastAsia="宋体" w:cs="Times New Roman"/>
                <w:bCs/>
                <w:color w:val="000000"/>
                <w:sz w:val="24"/>
                <w:szCs w:val="24"/>
                <w:u w:val="none"/>
                <w:lang w:val="en-US" w:eastAsia="zh-CN" w:bidi="ar-SA"/>
              </w:rPr>
            </w:r>
            <w:r/>
          </w:p>
        </w:tc>
        <w:tc>
          <w:tcPr>
            <w:tcW w:w="3259" w:type="dxa"/>
            <w:vAlign w:val="center"/>
            <w:textDirection w:val="lrTb"/>
            <w:noWrap w:val="false"/>
          </w:tcPr>
          <w:p>
            <w:pPr>
              <w:pStyle w:val="970"/>
              <w:jc w:val="center"/>
              <w:widowControl/>
              <w:rPr>
                <w:rFonts w:hint="eastAsia" w:ascii="宋体" w:hAnsi="宋体" w:eastAsia="宋体" w:cs="Times New Roman"/>
                <w:bCs/>
                <w:color w:val="000000"/>
                <w:sz w:val="24"/>
                <w:szCs w:val="24"/>
                <w:u w:val="none"/>
                <w:lang w:val="en-US" w:eastAsia="zh-CN" w:bidi="ar-SA"/>
              </w:rPr>
            </w:pPr>
            <w:r>
              <w:rPr>
                <w:rFonts w:hint="eastAsia" w:ascii="宋体" w:hAnsi="宋体" w:eastAsia="宋体" w:cs="Times New Roman"/>
                <w:bCs/>
                <w:color w:val="000000"/>
                <w:sz w:val="24"/>
                <w:szCs w:val="24"/>
                <w:u w:val="none"/>
                <w:lang w:val="en-US" w:eastAsia="zh-CN" w:bidi="ar-SA"/>
              </w:rPr>
              <w:t xml:space="preserve">详见投标文件</w:t>
            </w:r>
            <w:r/>
          </w:p>
        </w:tc>
        <w:tc>
          <w:tcPr>
            <w:tcW w:w="3201" w:type="dxa"/>
            <w:vAlign w:val="center"/>
            <w:textDirection w:val="lrTb"/>
            <w:noWrap w:val="false"/>
          </w:tcPr>
          <w:p>
            <w:pPr>
              <w:pStyle w:val="970"/>
              <w:jc w:val="center"/>
              <w:widowControl/>
              <w:rPr>
                <w:rFonts w:hint="eastAsia" w:ascii="宋体" w:hAnsi="宋体" w:eastAsia="宋体" w:cs="Times New Roman"/>
                <w:bCs/>
                <w:color w:val="000000"/>
                <w:sz w:val="24"/>
                <w:szCs w:val="24"/>
                <w:u w:val="none"/>
                <w:lang w:val="en-US" w:eastAsia="zh-CN" w:bidi="ar-SA"/>
              </w:rPr>
            </w:pPr>
            <w:r>
              <w:rPr>
                <w:rFonts w:hint="eastAsia" w:ascii="宋体" w:hAnsi="宋体" w:eastAsia="宋体" w:cs="Times New Roman"/>
                <w:bCs/>
                <w:color w:val="000000"/>
                <w:sz w:val="24"/>
                <w:szCs w:val="24"/>
                <w:u w:val="none"/>
                <w:lang w:val="en-US" w:eastAsia="zh-CN" w:bidi="ar-SA"/>
              </w:rPr>
              <w:t xml:space="preserve">元</w:t>
            </w:r>
            <w:r/>
          </w:p>
        </w:tc>
      </w:tr>
      <w:tr>
        <w:trPr>
          <w:trHeight w:val="850"/>
        </w:trPr>
        <w:tc>
          <w:tcPr>
            <w:tcW w:w="3208" w:type="dxa"/>
            <w:vAlign w:val="center"/>
            <w:textDirection w:val="lrTb"/>
            <w:noWrap w:val="false"/>
          </w:tcPr>
          <w:p>
            <w:pPr>
              <w:pStyle w:val="970"/>
              <w:jc w:val="center"/>
              <w:widowControl/>
              <w:rPr>
                <w:rFonts w:hint="eastAsia" w:ascii="宋体" w:hAnsi="宋体" w:eastAsia="宋体" w:cs="Times New Roman"/>
                <w:bCs/>
                <w:color w:val="000000"/>
                <w:sz w:val="24"/>
                <w:szCs w:val="24"/>
                <w:u w:val="none"/>
                <w:lang w:val="en-US" w:eastAsia="zh-CN" w:bidi="ar-SA"/>
              </w:rPr>
            </w:pPr>
            <w:r>
              <w:rPr>
                <w:rFonts w:hint="eastAsia" w:ascii="宋体" w:hAnsi="宋体" w:eastAsia="宋体" w:cs="Times New Roman"/>
                <w:bCs/>
                <w:color w:val="000000"/>
                <w:sz w:val="24"/>
                <w:szCs w:val="24"/>
                <w:u w:val="none"/>
                <w:lang w:val="en-US" w:eastAsia="zh-CN" w:bidi="ar-SA"/>
              </w:rPr>
              <w:t xml:space="preserve">总价（大写）：</w:t>
            </w:r>
            <w:r/>
          </w:p>
        </w:tc>
        <w:tc>
          <w:tcPr>
            <w:gridSpan w:val="2"/>
            <w:tcW w:w="6460" w:type="dxa"/>
            <w:vAlign w:val="center"/>
            <w:textDirection w:val="lrTb"/>
            <w:noWrap w:val="false"/>
          </w:tcPr>
          <w:p>
            <w:pPr>
              <w:pStyle w:val="970"/>
              <w:jc w:val="both"/>
              <w:widowControl/>
              <w:rPr>
                <w:rFonts w:hint="eastAsia" w:ascii="宋体" w:hAnsi="宋体" w:eastAsia="宋体" w:cs="Times New Roman"/>
                <w:bCs/>
                <w:color w:val="000000"/>
                <w:sz w:val="24"/>
                <w:szCs w:val="24"/>
                <w:u w:val="none"/>
                <w:lang w:val="en-US" w:eastAsia="zh-CN" w:bidi="ar-SA"/>
              </w:rPr>
            </w:pPr>
            <w:r>
              <w:rPr>
                <w:rFonts w:hint="eastAsia" w:ascii="宋体" w:hAnsi="宋体" w:eastAsia="宋体" w:cs="Times New Roman"/>
                <w:bCs/>
                <w:color w:val="000000"/>
                <w:sz w:val="24"/>
                <w:szCs w:val="24"/>
                <w:u w:val="none"/>
                <w:lang w:val="en-US" w:eastAsia="zh-CN" w:bidi="ar-SA"/>
              </w:rPr>
              <w:t xml:space="preserve">金额大写</w:t>
            </w:r>
            <w:r/>
          </w:p>
        </w:tc>
      </w:tr>
    </w:tbl>
    <w:p>
      <w:pPr>
        <w:ind w:left="1"/>
        <w:jc w:val="right"/>
        <w:rPr>
          <w:rFonts w:hint="eastAsia" w:ascii="宋体" w:hAnsi="宋体"/>
          <w:sz w:val="24"/>
          <w:szCs w:val="24"/>
          <w:highlight w:val="none"/>
        </w:rPr>
      </w:pPr>
      <w:r>
        <w:rPr>
          <w:rFonts w:hint="eastAsia" w:ascii="宋体" w:hAnsi="宋体"/>
          <w:sz w:val="24"/>
          <w:szCs w:val="24"/>
          <w:highlight w:val="none"/>
        </w:rPr>
      </w:r>
      <w:r/>
    </w:p>
    <w:p>
      <w:pPr>
        <w:ind w:left="5460" w:hanging="5460"/>
        <w:jc w:val="both"/>
        <w:spacing w:line="360" w:lineRule="auto"/>
        <w:rPr>
          <w:rFonts w:hint="eastAsia" w:ascii="宋体" w:hAnsi="宋体"/>
          <w:bCs/>
          <w:sz w:val="24"/>
          <w:highlight w:val="none"/>
        </w:rPr>
      </w:pPr>
      <w:r>
        <w:rPr>
          <w:rFonts w:hint="eastAsia" w:ascii="宋体" w:hAnsi="宋体"/>
          <w:bCs/>
          <w:sz w:val="24"/>
          <w:highlight w:val="none"/>
        </w:rPr>
        <w:t xml:space="preserve">注：</w:t>
      </w:r>
      <w:r/>
    </w:p>
    <w:p>
      <w:pPr>
        <w:ind w:left="0" w:firstLine="480"/>
        <w:jc w:val="both"/>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1、报价包括完成项目的所有费用。采购人不再支付报价以外的任何费用。</w:t>
      </w:r>
      <w:r/>
    </w:p>
    <w:p>
      <w:pPr>
        <w:ind w:left="0" w:firstLine="480"/>
        <w:jc w:val="both"/>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2、报价以总价为准，大小写不一致以大写为准。</w:t>
      </w:r>
      <w:r/>
    </w:p>
    <w:p>
      <w:pPr>
        <w:ind w:left="0" w:firstLine="480"/>
        <w:jc w:val="both"/>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rPr>
      </w:pPr>
      <w:r>
        <w:rPr>
          <w:rFonts w:hint="eastAsia" w:ascii="宋体" w:hAnsi="宋体"/>
          <w:bCs/>
          <w:sz w:val="24"/>
          <w:highlight w:val="none"/>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投标人公章（电子签章）：</w:t>
      </w:r>
      <w:r/>
    </w:p>
    <w:p>
      <w:pPr>
        <w:pStyle w:val="962"/>
        <w:rPr>
          <w:rFonts w:hint="eastAsia" w:ascii="宋体" w:hAnsi="宋体"/>
          <w:bCs/>
          <w:sz w:val="24"/>
          <w:highlight w:val="none"/>
          <w:lang w:val="zh-CN"/>
        </w:rPr>
      </w:pPr>
      <w:r>
        <w:rPr>
          <w:rFonts w:hint="eastAsia" w:ascii="宋体" w:hAnsi="宋体"/>
          <w:bCs/>
          <w:sz w:val="24"/>
          <w:highlight w:val="none"/>
          <w:lang w:val="zh-CN"/>
        </w:rPr>
      </w:r>
      <w:r/>
    </w:p>
    <w:p>
      <w:pPr>
        <w:rPr>
          <w:rFonts w:hint="eastAsia"/>
          <w:lang w:val="zh-CN"/>
        </w:rPr>
      </w:pPr>
      <w:r>
        <w:rPr>
          <w:rFonts w:hint="eastAsia"/>
          <w:lang w:val="zh-CN"/>
        </w:rPr>
        <w:br w:type="page" w:clear="all"/>
      </w:r>
      <w:r/>
    </w:p>
    <w:p>
      <w:pPr>
        <w:rPr>
          <w:rFonts w:hint="eastAsia"/>
          <w:lang w:val="zh-CN"/>
        </w:rPr>
        <w:sectPr>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（二）资格条件</w:t>
      </w:r>
      <w:r/>
    </w:p>
    <w:p>
      <w:pPr>
        <w:ind w:firstLine="480"/>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pPr>
      <w:r>
        <w:rPr>
          <w:rFonts w:hint="eastAsia" w:ascii="黑体" w:hAnsi="宋体" w:eastAsia="黑体"/>
          <w:bCs/>
          <w:sz w:val="24"/>
          <w:szCs w:val="24"/>
          <w:highlight w:val="none"/>
        </w:rPr>
        <w:t xml:space="preserve">1、关于资格的声明函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hint="eastAsia" w:ascii="黑体" w:eastAsia="黑体"/>
          <w:bCs/>
          <w:sz w:val="28"/>
          <w:szCs w:val="28"/>
          <w:highlight w:val="none"/>
        </w:rPr>
      </w:pPr>
      <w:r>
        <w:rPr>
          <w:rFonts w:hint="eastAsia" w:ascii="黑体" w:eastAsia="黑体"/>
          <w:bCs/>
          <w:sz w:val="28"/>
          <w:szCs w:val="28"/>
          <w:highlight w:val="none"/>
        </w:rPr>
        <w:t xml:space="preserve">关于资格的声明函</w:t>
      </w:r>
      <w:r/>
    </w:p>
    <w:p>
      <w:pPr>
        <w:pStyle w:val="969"/>
        <w:ind w:left="0" w:firstLine="0"/>
        <w:rPr>
          <w:rFonts w:hint="eastAsia"/>
          <w:lang w:val="zh-CN"/>
        </w:rPr>
      </w:pPr>
      <w:r>
        <w:rPr>
          <w:rFonts w:hint="eastAsia"/>
          <w:lang w:val="zh-CN"/>
        </w:rPr>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宜兴市油车水库管理所</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我公司参加贵单位本项目（项目编号：</w:t>
      </w:r>
      <w:r>
        <w:rPr>
          <w:rFonts w:hint="eastAsia" w:ascii="宋体" w:hAnsi="宋体"/>
          <w:bCs/>
          <w:sz w:val="24"/>
          <w:szCs w:val="24"/>
          <w:highlight w:val="none"/>
          <w:lang w:val="en-US" w:eastAsia="zh-CN"/>
        </w:rPr>
        <w:t xml:space="preserve">JSZC-320282-JSXY-G2025-0005</w:t>
      </w:r>
      <w:r>
        <w:rPr>
          <w:rFonts w:hint="eastAsia" w:ascii="宋体" w:hAnsi="宋体"/>
          <w:bCs/>
          <w:sz w:val="24"/>
          <w:szCs w:val="24"/>
          <w:highlight w:val="none"/>
        </w:rPr>
        <w:t xml:space="preserve">）政府采购活动前三年内在经营活动中没有重大违法记录；同时，投标时不存在有效期限内的政府采购严重违法失信行为的处罚记录，未被列入失信名单或重大税收违法失信主体；且具备履行合同所必需的设备和专业技术能力。我公司（单位）愿针对本次项目进行投标，投标文件中所有关于投标资格的文件、证明、陈述均是真实的、准确的。若有违背，我公司（单位）同意监管部门做出的相关决定并承担由此而产生的一切后果</w:t>
      </w:r>
      <w:r>
        <w:rPr>
          <w:rFonts w:hint="eastAsia" w:ascii="宋体"/>
          <w:bCs/>
          <w:sz w:val="24"/>
          <w:szCs w:val="24"/>
          <w:highlight w:val="none"/>
        </w:rPr>
        <w:t xml:space="preserve">。</w:t>
      </w:r>
      <w:r/>
    </w:p>
    <w:p>
      <w:pPr>
        <w:pStyle w:val="969"/>
        <w:ind w:left="0" w:firstLine="0"/>
        <w:rPr>
          <w:rFonts w:hint="eastAsia"/>
          <w:lang w:val="zh-CN"/>
        </w:rPr>
      </w:pPr>
      <w:r>
        <w:rPr>
          <w:rFonts w:hint="eastAsia"/>
          <w:lang w:val="zh-CN"/>
        </w:rPr>
      </w:r>
      <w:r/>
    </w:p>
    <w:p>
      <w:pPr>
        <w:pStyle w:val="969"/>
        <w:ind w:left="0" w:firstLine="0"/>
        <w:rPr>
          <w:rFonts w:hint="eastAsia"/>
          <w:lang w:val="zh-CN"/>
        </w:rPr>
      </w:pPr>
      <w:r>
        <w:rPr>
          <w:rFonts w:hint="eastAsia"/>
          <w:lang w:val="zh-CN"/>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投标人（电子签章）：</w:t>
      </w:r>
      <w:r/>
    </w:p>
    <w:p>
      <w:pPr>
        <w:pStyle w:val="969"/>
        <w:ind w:left="0" w:firstLine="0"/>
        <w:rPr>
          <w:rFonts w:hint="eastAsia" w:ascii="宋体" w:hAnsi="宋体"/>
          <w:bCs/>
          <w:sz w:val="24"/>
          <w:highlight w:val="none"/>
          <w:lang w:val="zh-CN"/>
        </w:rPr>
      </w:pPr>
      <w:r>
        <w:rPr>
          <w:rFonts w:hint="eastAsia" w:ascii="宋体" w:hAnsi="宋体"/>
          <w:bCs/>
          <w:sz w:val="24"/>
          <w:highlight w:val="none"/>
          <w:lang w:val="zh-CN"/>
        </w:rPr>
      </w:r>
      <w:r/>
    </w:p>
    <w:p>
      <w:pPr>
        <w:pStyle w:val="969"/>
        <w:ind w:left="0" w:firstLine="0"/>
        <w:rPr>
          <w:rFonts w:hint="eastAsia" w:ascii="宋体" w:hAnsi="宋体"/>
          <w:bCs/>
          <w:sz w:val="24"/>
          <w:highlight w:val="none"/>
          <w:lang w:val="zh-CN"/>
        </w:rPr>
      </w:pPr>
      <w:r>
        <w:rPr>
          <w:rFonts w:hint="eastAsia" w:ascii="宋体" w:hAnsi="宋体"/>
          <w:bCs/>
          <w:sz w:val="24"/>
          <w:highlight w:val="none"/>
          <w:lang w:val="zh-CN"/>
        </w:rPr>
      </w:r>
      <w:r/>
    </w:p>
    <w:p>
      <w:pPr>
        <w:pStyle w:val="969"/>
        <w:ind w:left="0" w:firstLine="440"/>
        <w:rPr>
          <w:rFonts w:hint="eastAsia" w:ascii="宋体" w:hAnsi="宋体"/>
          <w:bCs/>
          <w:sz w:val="22"/>
          <w:szCs w:val="18"/>
          <w:highlight w:val="none"/>
          <w:lang w:val="zh-CN"/>
        </w:rPr>
      </w:pPr>
      <w:r>
        <w:rPr>
          <w:rFonts w:hint="eastAsia" w:ascii="宋体" w:hAnsi="宋体"/>
          <w:bCs/>
          <w:sz w:val="22"/>
          <w:szCs w:val="18"/>
          <w:highlight w:val="none"/>
          <w:lang w:val="zh-CN"/>
        </w:rPr>
        <w:t xml:space="preserve">注：上述所称“重大违法记录”是指投标人因违法经营受到刑事处罚或者责令停产停业、吊销许可证或者执照、较大数额罚款等行政处罚。</w:t>
      </w:r>
      <w:r/>
    </w:p>
    <w:p>
      <w:pPr>
        <w:pStyle w:val="969"/>
        <w:ind w:left="0" w:firstLine="0"/>
        <w:rPr>
          <w:rFonts w:hint="eastAsia" w:ascii="宋体" w:hAnsi="宋体"/>
          <w:bCs/>
          <w:sz w:val="24"/>
          <w:highlight w:val="none"/>
          <w:lang w:val="zh-CN"/>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sz w:val="24"/>
          <w:highlight w:val="none"/>
          <w:lang w:val="zh-CN"/>
        </w:rPr>
      </w:r>
      <w:r/>
    </w:p>
    <w:p>
      <w:pPr>
        <w:ind w:firstLine="480"/>
        <w:rPr>
          <w:rFonts w:hint="eastAsia" w:ascii="黑体" w:eastAsia="黑体"/>
          <w:bCs/>
          <w:sz w:val="28"/>
          <w:szCs w:val="28"/>
          <w:highlight w:val="none"/>
        </w:rPr>
      </w:pPr>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（格式）：</w:t>
      </w:r>
      <w:r/>
    </w:p>
    <w:p>
      <w:pPr>
        <w:jc w:val="center"/>
        <w:spacing w:before="156" w:after="156"/>
        <w:rPr>
          <w:rFonts w:hint="eastAsia" w:ascii="黑体" w:eastAsia="黑体"/>
          <w:bCs/>
          <w:sz w:val="28"/>
          <w:szCs w:val="28"/>
          <w:highlight w:val="none"/>
        </w:rPr>
      </w:pPr>
      <w:r>
        <w:rPr>
          <w:rFonts w:hint="eastAsia" w:ascii="黑体" w:eastAsia="黑体"/>
          <w:bCs/>
          <w:sz w:val="28"/>
          <w:szCs w:val="28"/>
          <w:highlight w:val="none"/>
        </w:rPr>
        <w:t xml:space="preserve">法定代表人授权委托书</w:t>
      </w:r>
      <w:r/>
    </w:p>
    <w:p>
      <w:pP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rPr>
          <w:rFonts w:hint="eastAsia" w:ascii="宋体" w:hAnsi="宋体"/>
          <w:bCs/>
          <w:sz w:val="24"/>
          <w:szCs w:val="24"/>
          <w:highlight w:val="none"/>
          <w:lang w:eastAsia="zh-CN"/>
        </w:rPr>
        <w:t xml:space="preserve">宜兴市油车水库管理所</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国正工程咨询（江苏）有限责任公司：</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代表我公司（单位）全权办理针对本项目（项目编号：</w:t>
      </w:r>
      <w:r>
        <w:rPr>
          <w:rFonts w:hint="eastAsia" w:ascii="宋体" w:hAnsi="宋体"/>
          <w:color w:val="auto"/>
          <w:sz w:val="24"/>
          <w:szCs w:val="21"/>
          <w:highlight w:val="none"/>
          <w:lang w:eastAsia="zh-CN"/>
        </w:rPr>
        <w:t xml:space="preserve">JSZC-320282-JSXY-G2025-0005</w:t>
      </w:r>
      <w:r>
        <w:rPr>
          <w:rFonts w:hint="eastAsia" w:ascii="宋体" w:hAnsi="宋体"/>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eastAsia="宋体"/>
          <w:sz w:val="24"/>
          <w:szCs w:val="21"/>
          <w:highlight w:val="none"/>
          <w:lang w:val="zh-CN" w:eastAsia="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bCs/>
          <w:sz w:val="24"/>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              </w:t>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pStyle w:val="969"/>
        <w:rPr>
          <w:rFonts w:hint="eastAsia" w:ascii="黑体" w:eastAsia="黑体"/>
          <w:bCs/>
          <w:sz w:val="28"/>
          <w:szCs w:val="28"/>
          <w:highlight w:val="none"/>
        </w:rPr>
      </w:pPr>
      <w:r>
        <w:rPr>
          <w:rFonts w:hint="eastAsia" w:ascii="黑体" w:eastAsia="黑体"/>
          <w:bCs/>
          <w:sz w:val="28"/>
          <w:szCs w:val="28"/>
          <w:highlight w:val="none"/>
        </w:rPr>
      </w:r>
      <w:r/>
    </w:p>
    <w:p>
      <w:pPr>
        <w:ind w:left="0" w:firstLine="6240"/>
        <w:jc w:val="both"/>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投标人（电子签章）：</w:t>
      </w:r>
      <w:r/>
    </w:p>
    <w:p>
      <w:pPr>
        <w:ind w:left="0" w:firstLine="5280"/>
        <w:jc w:val="center"/>
        <w:keepLines w:val="0"/>
        <w:keepNext w:val="0"/>
        <w:pageBreakBefore w:val="0"/>
        <w:spacing w:line="360" w:lineRule="auto"/>
        <w:widowControl w:val="off"/>
        <w:rPr>
          <w:rFonts w:hint="eastAsia" w:ascii="黑体" w:hAnsi="宋体" w:eastAsia="黑体"/>
          <w:bCs/>
          <w:sz w:val="24"/>
          <w:szCs w:val="24"/>
          <w:highlight w:val="none"/>
        </w:rPr>
      </w:pPr>
      <w:r>
        <w:rPr>
          <w:rFonts w:hint="eastAsia" w:ascii="宋体" w:hAnsi="宋体"/>
          <w:bCs/>
          <w:sz w:val="24"/>
          <w:highlight w:val="none"/>
          <w:lang w:val="zh-CN"/>
        </w:rPr>
        <w:t xml:space="preserve">日期：___年___月__日</w:t>
      </w:r>
      <w:r/>
    </w:p>
    <w:p>
      <w:pPr>
        <w:pStyle w:val="969"/>
        <w:ind w:left="0" w:firstLine="0"/>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黑体" w:hAnsi="宋体" w:eastAsia="黑体"/>
          <w:bCs/>
          <w:sz w:val="24"/>
          <w:szCs w:val="24"/>
          <w:highlight w:val="none"/>
        </w:rPr>
        <w:br w:type="page" w:clear="all"/>
      </w:r>
      <w:r/>
    </w:p>
    <w:p>
      <w:pPr>
        <w:pStyle w:val="969"/>
        <w:rPr>
          <w:rFonts w:hint="eastAsia"/>
          <w:color w:val="auto"/>
          <w:lang w:val="zh-CN"/>
        </w:rPr>
      </w:pPr>
      <w:r>
        <w:rPr>
          <w:rFonts w:hint="eastAsia" w:ascii="黑体" w:hAnsi="宋体" w:eastAsia="黑体" w:cs="Times New Roman"/>
          <w:bCs/>
          <w:color w:val="auto"/>
          <w:sz w:val="24"/>
          <w:szCs w:val="24"/>
          <w:highlight w:val="none"/>
          <w:lang w:val="zh-CN" w:eastAsia="zh-CN" w:bidi="ar-SA"/>
        </w:rPr>
        <w:t xml:space="preserve">3、具有独立承担民事责任的能力：</w:t>
      </w:r>
      <w:r>
        <w:rPr>
          <w:rFonts w:hint="eastAsia"/>
          <w:color w:val="auto"/>
          <w:lang w:val="zh-CN"/>
        </w:rPr>
        <w:t xml:space="preserve">按第二章投标人须知要求提供相关证明材料</w:t>
      </w:r>
      <w:r/>
    </w:p>
    <w:p>
      <w:pPr>
        <w:pStyle w:val="969"/>
        <w:rPr>
          <w:rFonts w:hint="eastAsia"/>
          <w:lang w:val="zh-CN"/>
        </w:rPr>
      </w:pPr>
      <w:r>
        <w:rPr>
          <w:rFonts w:hint="eastAsia"/>
          <w:lang w:val="zh-CN"/>
        </w:rPr>
      </w:r>
      <w:r/>
    </w:p>
    <w:p>
      <w:pPr>
        <w:pStyle w:val="969"/>
        <w:rPr>
          <w:rFonts w:hint="eastAsia"/>
          <w:lang w:val="zh-CN"/>
        </w:rPr>
      </w:pPr>
      <w:r>
        <w:rPr>
          <w:rFonts w:hint="eastAsia" w:ascii="黑体" w:eastAsia="黑体" w:cs="Times New Roman"/>
          <w:bCs/>
          <w:sz w:val="24"/>
          <w:szCs w:val="24"/>
          <w:highlight w:val="none"/>
          <w:lang w:val="en-US" w:eastAsia="zh-CN" w:bidi="ar-SA"/>
        </w:rPr>
        <w:t xml:space="preserve">4</w:t>
      </w:r>
      <w:r>
        <w:rPr>
          <w:rFonts w:hint="eastAsia" w:ascii="黑体" w:hAnsi="宋体" w:eastAsia="黑体" w:cs="Times New Roman"/>
          <w:bCs/>
          <w:sz w:val="24"/>
          <w:szCs w:val="24"/>
          <w:highlight w:val="none"/>
          <w:lang w:val="zh-CN" w:eastAsia="zh-CN" w:bidi="ar-SA"/>
        </w:rPr>
        <w:t xml:space="preserve">、具有良好的商业信誉和健全的财务会计制度：</w:t>
      </w:r>
      <w:r>
        <w:rPr>
          <w:rFonts w:hint="eastAsia"/>
          <w:lang w:val="zh-CN"/>
        </w:rPr>
        <w:t xml:space="preserve">按第二章投标人须知要求提供相关证明材料</w:t>
      </w:r>
      <w:r/>
    </w:p>
    <w:p>
      <w:pPr>
        <w:pStyle w:val="969"/>
        <w:rPr>
          <w:rFonts w:hint="eastAsia"/>
          <w:lang w:val="zh-CN"/>
        </w:rPr>
      </w:pPr>
      <w:r>
        <w:rPr>
          <w:rFonts w:hint="eastAsia"/>
          <w:lang w:val="zh-CN"/>
        </w:rPr>
      </w:r>
      <w:r/>
    </w:p>
    <w:p>
      <w:pPr>
        <w:pStyle w:val="969"/>
        <w:rPr>
          <w:rFonts w:hint="eastAsia"/>
          <w:lang w:val="zh-CN"/>
        </w:rPr>
      </w:pPr>
      <w:r>
        <w:rPr>
          <w:rFonts w:hint="eastAsia" w:ascii="黑体" w:eastAsia="黑体" w:cs="Times New Roman"/>
          <w:bCs/>
          <w:sz w:val="24"/>
          <w:szCs w:val="24"/>
          <w:highlight w:val="none"/>
          <w:lang w:val="en-US" w:eastAsia="zh-CN" w:bidi="ar-SA"/>
        </w:rPr>
        <w:t xml:space="preserve">5</w:t>
      </w:r>
      <w:r>
        <w:rPr>
          <w:rFonts w:hint="eastAsia" w:ascii="黑体" w:hAnsi="宋体" w:eastAsia="黑体" w:cs="Times New Roman"/>
          <w:bCs/>
          <w:sz w:val="24"/>
          <w:szCs w:val="24"/>
          <w:highlight w:val="none"/>
          <w:lang w:val="zh-CN" w:eastAsia="zh-CN" w:bidi="ar-SA"/>
        </w:rPr>
        <w:t xml:space="preserve">、有依法缴纳税收的良好记录：</w:t>
      </w:r>
      <w:r>
        <w:rPr>
          <w:rFonts w:hint="eastAsia"/>
          <w:lang w:val="zh-CN"/>
        </w:rPr>
        <w:t xml:space="preserve">按第二章投标人须知要求提供相关证明材料</w:t>
      </w:r>
      <w:r/>
    </w:p>
    <w:p>
      <w:pPr>
        <w:pStyle w:val="969"/>
        <w:rPr>
          <w:rFonts w:hint="eastAsia"/>
          <w:lang w:val="zh-CN"/>
        </w:rPr>
      </w:pPr>
      <w:r>
        <w:rPr>
          <w:rFonts w:hint="eastAsia"/>
          <w:lang w:val="zh-CN"/>
        </w:rPr>
      </w:r>
      <w:r/>
    </w:p>
    <w:p>
      <w:pPr>
        <w:pStyle w:val="969"/>
        <w:rPr>
          <w:rFonts w:hint="eastAsia"/>
          <w:lang w:val="zh-CN"/>
        </w:rPr>
      </w:pPr>
      <w:r>
        <w:rPr>
          <w:rFonts w:hint="eastAsia" w:ascii="黑体" w:eastAsia="黑体" w:cs="Times New Roman"/>
          <w:bCs/>
          <w:sz w:val="24"/>
          <w:szCs w:val="24"/>
          <w:highlight w:val="none"/>
          <w:lang w:val="en-US" w:eastAsia="zh-CN" w:bidi="ar-SA"/>
        </w:rPr>
        <w:t xml:space="preserve">6</w:t>
      </w:r>
      <w:r>
        <w:rPr>
          <w:rFonts w:hint="eastAsia" w:ascii="黑体" w:hAnsi="宋体" w:eastAsia="黑体" w:cs="Times New Roman"/>
          <w:bCs/>
          <w:sz w:val="24"/>
          <w:szCs w:val="24"/>
          <w:highlight w:val="none"/>
          <w:lang w:val="zh-CN" w:eastAsia="zh-CN" w:bidi="ar-SA"/>
        </w:rPr>
        <w:t xml:space="preserve">、有依法缴纳社会保障资金的良好记录：</w:t>
      </w:r>
      <w:r>
        <w:rPr>
          <w:rFonts w:hint="eastAsia"/>
          <w:lang w:val="zh-CN"/>
        </w:rPr>
        <w:t xml:space="preserve">按第二章投标人须知要求提供相关证明材料</w:t>
      </w:r>
      <w:r/>
    </w:p>
    <w:p>
      <w:pPr>
        <w:pStyle w:val="969"/>
        <w:rPr>
          <w:rFonts w:hint="eastAsia"/>
          <w:lang w:val="zh-CN"/>
        </w:rPr>
      </w:pPr>
      <w:r>
        <w:rPr>
          <w:rFonts w:hint="eastAsia"/>
          <w:lang w:val="zh-CN"/>
        </w:rPr>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eastAsia="黑体" w:cs="Times New Roman"/>
          <w:bCs/>
          <w:sz w:val="24"/>
          <w:szCs w:val="24"/>
          <w:highlight w:val="none"/>
          <w:lang w:val="en-US" w:eastAsia="zh-CN" w:bidi="ar-SA"/>
        </w:rPr>
        <w:t xml:space="preserve">7</w:t>
      </w:r>
      <w:r>
        <w:rPr>
          <w:rFonts w:hint="eastAsia" w:ascii="黑体" w:hAnsi="宋体" w:eastAsia="黑体" w:cs="Times New Roman"/>
          <w:bCs/>
          <w:sz w:val="24"/>
          <w:szCs w:val="24"/>
          <w:highlight w:val="none"/>
          <w:lang w:val="zh-CN" w:eastAsia="zh-CN" w:bidi="ar-SA"/>
        </w:rPr>
        <w:t xml:space="preserve">、无不良信用记录：</w:t>
      </w:r>
      <w:r>
        <w:rPr>
          <w:rFonts w:hint="eastAsia"/>
          <w:lang w:val="zh-CN"/>
        </w:rPr>
        <w:t xml:space="preserve">详见第二章</w:t>
      </w:r>
      <w:r>
        <w:rPr>
          <w:rFonts w:hint="eastAsia" w:ascii="宋体" w:hAnsi="宋体"/>
          <w:sz w:val="24"/>
          <w:szCs w:val="21"/>
          <w:highlight w:val="none"/>
          <w:lang w:val="zh-CN"/>
        </w:rPr>
        <w:t xml:space="preserve">投标人</w:t>
      </w:r>
      <w:r>
        <w:rPr>
          <w:rFonts w:hint="eastAsia"/>
          <w:lang w:val="zh-CN"/>
        </w:rPr>
        <w:t xml:space="preserve">须知相关要求</w:t>
      </w:r>
      <w:r/>
    </w:p>
    <w:p>
      <w:pPr>
        <w:ind w:firstLine="480"/>
        <w:spacing w:line="360" w:lineRule="auto"/>
        <w:rPr>
          <w:rFonts w:hint="eastAsia" w:ascii="黑体" w:hAnsi="宋体" w:eastAsia="黑体" w:cs="Times New Roman"/>
          <w:bCs/>
          <w:sz w:val="24"/>
          <w:szCs w:val="24"/>
          <w:highlight w:val="none"/>
          <w:lang w:val="zh-CN" w:eastAsia="zh-CN" w:bidi="ar-SA"/>
        </w:rPr>
      </w:pPr>
      <w:r>
        <w:rPr>
          <w:rFonts w:hint="eastAsia" w:ascii="黑体" w:hAnsi="宋体" w:eastAsia="黑体" w:cs="Times New Roman"/>
          <w:bCs/>
          <w:sz w:val="24"/>
          <w:szCs w:val="24"/>
          <w:highlight w:val="none"/>
          <w:lang w:val="zh-CN" w:eastAsia="zh-CN" w:bidi="ar-SA"/>
        </w:rPr>
        <w:t xml:space="preserve">9、联合体协议书（格式）：</w:t>
      </w:r>
      <w:r/>
    </w:p>
    <w:p>
      <w:pPr>
        <w:jc w:val="center"/>
        <w:spacing w:before="156" w:after="156"/>
        <w:rPr>
          <w:rFonts w:hint="eastAsia" w:ascii="黑体" w:eastAsia="黑体"/>
          <w:bCs/>
          <w:sz w:val="28"/>
          <w:szCs w:val="28"/>
          <w:highlight w:val="none"/>
          <w:lang w:val="zh-CN"/>
        </w:rPr>
      </w:pPr>
      <w:r>
        <w:rPr>
          <w:rFonts w:hint="eastAsia" w:ascii="黑体" w:eastAsia="黑体"/>
          <w:bCs/>
          <w:sz w:val="28"/>
          <w:szCs w:val="28"/>
          <w:highlight w:val="none"/>
          <w:lang w:val="zh-CN"/>
        </w:rPr>
        <w:t xml:space="preserve">联合体协议书</w:t>
      </w:r>
      <w:r/>
    </w:p>
    <w:p>
      <w:pPr>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bookmarkStart w:id="192"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JSZC-320282-JSXY-G2025-0005</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的投标。现就联合体投标事宜订立如下协议。</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bookmarkStart w:id="193" w:name="_Hlk144982230"/>
      <w:r>
        <w:rPr>
          <w:rFonts w:hint="eastAsia" w:ascii="宋体" w:hAnsi="宋体"/>
          <w:sz w:val="24"/>
          <w:szCs w:val="21"/>
          <w:highlight w:val="none"/>
          <w:lang w:val="zh-CN"/>
        </w:rPr>
        <w:t xml:space="preserve">2、</w:t>
      </w:r>
      <w:bookmarkEnd w:id="192"/>
      <w:r>
        <w:rPr>
          <w:rFonts w:hint="eastAsia" w:ascii="宋体" w:hAnsi="宋体"/>
          <w:sz w:val="24"/>
          <w:szCs w:val="21"/>
          <w:highlight w:val="none"/>
          <w:lang w:val="zh-CN"/>
        </w:rPr>
        <w:t xml:space="preserve">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6"/>
        </w:num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jc w:val="left"/>
        <w:keepLines w:val="0"/>
        <w:keepNext w:val="0"/>
        <w:pageBreakBefore w:val="0"/>
        <w:spacing w:line="360" w:lineRule="auto"/>
        <w:widowControl w:val="off"/>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bookmarkEnd w:id="193"/>
      <w:r/>
      <w:r/>
    </w:p>
    <w:p>
      <w:pPr>
        <w:ind w:right="240"/>
        <w:jc w:val="right"/>
        <w:spacing w:line="480" w:lineRule="auto"/>
        <w:rPr>
          <w:rFonts w:ascii="宋体" w:hAnsi="宋体"/>
          <w:sz w:val="24"/>
          <w:szCs w:val="21"/>
          <w:highlight w:val="none"/>
          <w:lang w:val="zh-CN"/>
        </w:rPr>
      </w:pPr>
      <w:r>
        <w:rPr>
          <w:rFonts w:ascii="宋体" w:hAnsi="宋体"/>
          <w:sz w:val="24"/>
          <w:szCs w:val="21"/>
          <w:highlight w:val="none"/>
          <w:lang w:val="zh-CN"/>
        </w:rPr>
      </w:r>
      <w:r/>
    </w:p>
    <w:p>
      <w:pPr>
        <w:ind w:right="240" w:firstLine="4800"/>
        <w:jc w:val="both"/>
        <w:keepLines w:val="0"/>
        <w:keepNext w:val="0"/>
        <w:pageBreakBefore w:val="0"/>
        <w:spacing w:line="480" w:lineRule="auto"/>
        <w:widowControl w:val="off"/>
        <w:rPr>
          <w:rFonts w:hint="eastAsia"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240" w:firstLine="4800"/>
        <w:jc w:val="both"/>
        <w:keepLines w:val="0"/>
        <w:keepNext w:val="0"/>
        <w:pageBreakBefore w:val="0"/>
        <w:spacing w:line="480" w:lineRule="auto"/>
        <w:widowControl w:val="off"/>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firstLine="4800"/>
        <w:jc w:val="both"/>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hint="eastAsia" w:ascii="宋体" w:hAnsi="宋体"/>
          <w:sz w:val="24"/>
          <w:szCs w:val="21"/>
          <w:highlight w:val="none"/>
        </w:rPr>
      </w:pPr>
      <w:r>
        <w:rPr>
          <w:rFonts w:hint="eastAsia" w:ascii="宋体" w:hAnsi="宋体"/>
          <w:sz w:val="24"/>
          <w:szCs w:val="21"/>
          <w:highlight w:val="none"/>
        </w:rPr>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sz w:val="24"/>
          <w:szCs w:val="24"/>
          <w:highlight w:val="none"/>
        </w:rPr>
        <w:t xml:space="preserve">注：如采购人要求组成联合体或采购人允许组成联合体且投标人组成联合体的，应提供有效的联合体协议书，否则无需提供。</w:t>
      </w:r>
      <w:r/>
    </w:p>
    <w:p>
      <w:pPr>
        <w:ind w:firstLine="480"/>
        <w:spacing w:line="360" w:lineRule="auto"/>
        <w:rPr>
          <w:rFonts w:hint="eastAsia" w:ascii="黑体" w:hAnsi="宋体" w:eastAsia="黑体" w:cs="Times New Roman"/>
          <w:bCs/>
          <w:sz w:val="24"/>
          <w:szCs w:val="24"/>
          <w:highlight w:val="none"/>
          <w:lang w:val="zh-CN" w:eastAsia="zh-CN" w:bidi="ar-SA"/>
        </w:rPr>
      </w:pPr>
      <w:r>
        <w:rPr>
          <w:rFonts w:hint="eastAsia" w:ascii="黑体" w:hAnsi="宋体" w:eastAsia="黑体" w:cs="Times New Roman"/>
          <w:bCs/>
          <w:sz w:val="24"/>
          <w:szCs w:val="24"/>
          <w:highlight w:val="none"/>
          <w:lang w:val="zh-CN" w:eastAsia="zh-CN" w:bidi="ar-SA"/>
        </w:rPr>
        <w:t xml:space="preserve">10、分包情况说明（格式）</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before="156" w:after="156"/>
        <w:rPr>
          <w:rFonts w:hint="eastAsia" w:ascii="黑体" w:eastAsia="黑体"/>
          <w:bCs/>
          <w:sz w:val="28"/>
          <w:szCs w:val="28"/>
          <w:highlight w:val="none"/>
          <w:lang w:val="zh-CN"/>
        </w:rPr>
      </w:pPr>
      <w:r>
        <w:rPr>
          <w:rFonts w:hint="eastAsia" w:ascii="黑体" w:eastAsia="黑体"/>
          <w:bCs/>
          <w:sz w:val="28"/>
          <w:szCs w:val="28"/>
          <w:highlight w:val="none"/>
          <w:lang w:val="zh-CN"/>
        </w:rPr>
        <w:t xml:space="preserve">分包情况说明</w:t>
      </w:r>
      <w:r/>
    </w:p>
    <w:p>
      <w:pPr>
        <w:jc w:val="both"/>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jc w:val="both"/>
        <w:spacing w:line="480" w:lineRule="auto"/>
        <w:rPr>
          <w:rFonts w:hint="eastAsia"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JSZC-320282-JSXY-G2025-0005</w:t>
      </w:r>
      <w:r>
        <w:rPr>
          <w:rFonts w:hint="eastAsia" w:ascii="宋体" w:hAnsi="宋体"/>
          <w:bCs/>
          <w:sz w:val="24"/>
          <w:szCs w:val="24"/>
          <w:highlight w:val="none"/>
        </w:rPr>
        <w:t xml:space="preserve">）</w:t>
      </w:r>
      <w:r>
        <w:rPr>
          <w:rFonts w:hint="eastAsia" w:ascii="宋体" w:hAnsi="宋体" w:cs="宋体"/>
          <w:sz w:val="24"/>
          <w:szCs w:val="24"/>
          <w:highlight w:val="none"/>
        </w:rPr>
        <w:t xml:space="preserve">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pStyle w:val="969"/>
        <w:ind w:left="0" w:firstLine="0"/>
        <w:rPr>
          <w:rFonts w:hint="eastAsia"/>
          <w:lang w:val="zh-CN"/>
        </w:rPr>
      </w:pPr>
      <w:r>
        <w:rPr>
          <w:rFonts w:hint="eastAsia"/>
          <w:lang w:val="zh-CN"/>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供应商（电子签章）：</w:t>
      </w:r>
      <w:r/>
    </w:p>
    <w:p>
      <w:pPr>
        <w:pStyle w:val="969"/>
        <w:rPr>
          <w:rFonts w:hint="eastAsia"/>
          <w:lang w:val="zh-CN"/>
        </w:rPr>
      </w:pPr>
      <w:r>
        <w:rPr>
          <w:rFonts w:hint="eastAsia"/>
          <w:lang w:val="zh-CN"/>
        </w:rPr>
      </w:r>
      <w:r/>
    </w:p>
    <w:p>
      <w:pPr>
        <w:pStyle w:val="969"/>
        <w:rPr>
          <w:rFonts w:hint="eastAsia"/>
          <w:lang w:val="zh-CN"/>
        </w:rPr>
      </w:pPr>
      <w:r>
        <w:rPr>
          <w:rFonts w:hint="eastAsia"/>
          <w:lang w:val="zh-CN"/>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注：如采购人要求分包或采购人允许分包且投标人有分包意向的，应提供有效的分包情况说明，否则无需提供。</w:t>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ind w:firstLine="480"/>
        <w:spacing w:line="360" w:lineRule="auto"/>
        <w:rPr>
          <w:rFonts w:hint="eastAsia" w:ascii="黑体" w:hAnsi="宋体" w:eastAsia="黑体" w:cs="Times New Roman"/>
          <w:bCs/>
          <w:sz w:val="24"/>
          <w:szCs w:val="24"/>
          <w:highlight w:val="none"/>
          <w:lang w:val="zh-CN" w:eastAsia="zh-CN" w:bidi="ar-SA"/>
        </w:rPr>
      </w:pPr>
      <w:r/>
      <w:bookmarkStart w:id="194" w:name="_Hlk131843680"/>
      <w:r/>
      <w:bookmarkStart w:id="195" w:name="_Hlk130922293"/>
      <w:r>
        <w:rPr>
          <w:rFonts w:hint="eastAsia" w:ascii="黑体" w:hAnsi="宋体" w:eastAsia="黑体" w:cs="Times New Roman"/>
          <w:bCs/>
          <w:sz w:val="24"/>
          <w:szCs w:val="24"/>
          <w:highlight w:val="none"/>
          <w:lang w:val="zh-CN" w:eastAsia="zh-CN" w:bidi="ar-SA"/>
        </w:rPr>
        <w:t xml:space="preserve">11、中小企业声明</w:t>
      </w:r>
      <w:bookmarkEnd w:id="194"/>
      <w:r/>
      <w:bookmarkEnd w:id="195"/>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注：如专门面向中小企业采购的，投标人应提供有效的《中小企业声明函》（格式见附件1），或《残疾人福利性单位声明函》（格式见附件2），或监狱企业的证明文件；否则无需提供。</w:t>
      </w:r>
      <w:r/>
    </w:p>
    <w:p>
      <w:pPr>
        <w:pStyle w:val="969"/>
        <w:rPr>
          <w:rFonts w:hint="eastAsia"/>
          <w:lang w:val="zh-CN"/>
        </w:rPr>
      </w:pPr>
      <w:r>
        <w:rPr>
          <w:rFonts w:hint="eastAsia"/>
          <w:lang w:val="zh-CN"/>
        </w:rPr>
      </w:r>
      <w:r/>
    </w:p>
    <w:p>
      <w:pPr>
        <w:ind w:firstLine="480"/>
        <w:spacing w:line="360" w:lineRule="auto"/>
        <w:rPr>
          <w:rFonts w:hint="eastAsia" w:ascii="黑体" w:hAnsi="宋体" w:eastAsia="黑体" w:cs="Times New Roman"/>
          <w:bCs/>
          <w:sz w:val="24"/>
          <w:szCs w:val="24"/>
          <w:highlight w:val="none"/>
          <w:lang w:val="zh-CN" w:eastAsia="zh-CN" w:bidi="ar-SA"/>
        </w:rPr>
      </w:pPr>
      <w:r>
        <w:rPr>
          <w:rFonts w:hint="eastAsia" w:ascii="黑体" w:hAnsi="宋体" w:eastAsia="黑体" w:cs="Times New Roman"/>
          <w:bCs/>
          <w:sz w:val="24"/>
          <w:szCs w:val="24"/>
          <w:highlight w:val="none"/>
          <w:lang w:val="zh-CN" w:eastAsia="zh-CN" w:bidi="ar-SA"/>
        </w:rPr>
        <w:t xml:space="preserve">12、特定资格要求</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注：如本项目有特定资格要求的，按招标文件要求提供证明材料，否则无需提供。</w:t>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（三）符合条件</w:t>
      </w:r>
      <w:r/>
    </w:p>
    <w:p>
      <w:pPr>
        <w:ind w:firstLine="480"/>
        <w:rPr>
          <w:rFonts w:hint="eastAsia" w:ascii="黑体" w:hAnsi="宋体" w:eastAsia="黑体"/>
          <w:bCs/>
          <w:sz w:val="24"/>
          <w:szCs w:val="24"/>
          <w:highlight w:val="none"/>
        </w:rPr>
      </w:pPr>
      <w:r>
        <w:rPr>
          <w:rFonts w:hint="eastAsia" w:ascii="黑体" w:hAnsi="宋体" w:eastAsia="黑体"/>
          <w:bCs/>
          <w:sz w:val="24"/>
          <w:szCs w:val="24"/>
          <w:highlight w:val="none"/>
        </w:rPr>
        <w:t xml:space="preserve">1、响应函（格式）：</w:t>
      </w:r>
      <w:r/>
    </w:p>
    <w:p>
      <w:pPr>
        <w:jc w:val="center"/>
        <w:spacing w:before="156" w:after="156"/>
        <w:rPr>
          <w:rFonts w:hint="eastAsia"/>
          <w:lang w:val="zh-CN"/>
        </w:rPr>
      </w:pPr>
      <w:r>
        <w:rPr>
          <w:rFonts w:hint="eastAsia" w:ascii="黑体" w:eastAsia="黑体"/>
          <w:bCs/>
          <w:sz w:val="28"/>
          <w:szCs w:val="28"/>
          <w:highlight w:val="none"/>
        </w:rPr>
        <w:t xml:space="preserve">响应函</w:t>
      </w:r>
      <w:r/>
    </w:p>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w:t>
      </w:r>
      <w:r>
        <w:rPr>
          <w:rFonts w:hint="eastAsia" w:ascii="宋体" w:hAnsi="宋体"/>
          <w:bCs/>
          <w:sz w:val="24"/>
          <w:highlight w:val="none"/>
          <w:lang w:eastAsia="zh-CN"/>
        </w:rPr>
        <w:t xml:space="preserve">宜兴市油车水库管理所</w:t>
      </w:r>
      <w:r>
        <w:rPr>
          <w:rFonts w:hint="eastAsia" w:ascii="宋体" w:hAnsi="宋体"/>
          <w:bCs/>
          <w:sz w:val="24"/>
          <w:highlight w:val="none"/>
          <w:lang w:val="zh-CN"/>
        </w:rPr>
        <w:t xml:space="preserve">、国正工程咨询（江苏）有限责任公司：</w:t>
      </w:r>
      <w:r/>
    </w:p>
    <w:p>
      <w:pPr>
        <w:numPr>
          <w:ilvl w:val="0"/>
          <w:numId w:val="0"/>
        </w:numPr>
        <w:ind w:firstLine="480"/>
        <w:spacing w:line="360" w:lineRule="auto"/>
        <w:rPr>
          <w:rFonts w:hint="eastAsia" w:ascii="宋体" w:hAnsi="宋体"/>
          <w:bCs/>
          <w:sz w:val="24"/>
          <w:highlight w:val="none"/>
          <w:lang w:val="zh-CN"/>
        </w:rPr>
      </w:pPr>
      <w:r/>
      <w:bookmarkStart w:id="196" w:name="OLE_LINK115"/>
      <w:r/>
      <w:bookmarkStart w:id="197" w:name="OLE_LINK233"/>
      <w:r>
        <w:rPr>
          <w:rFonts w:hint="eastAsia" w:ascii="宋体" w:hAnsi="宋体"/>
          <w:bCs/>
          <w:sz w:val="24"/>
          <w:highlight w:val="none"/>
          <w:lang w:val="zh-CN"/>
        </w:rPr>
        <w:t xml:space="preserve">我方收到你们本项目（项目编号：</w:t>
      </w:r>
      <w:r>
        <w:rPr>
          <w:rFonts w:hint="eastAsia" w:ascii="宋体" w:hAnsi="宋体"/>
          <w:bCs/>
          <w:sz w:val="24"/>
          <w:highlight w:val="none"/>
          <w:lang w:val="en-US" w:eastAsia="zh-CN"/>
        </w:rPr>
        <w:t xml:space="preserve">JSZC-320282-JSXY-G2025-0005</w:t>
      </w:r>
      <w:r>
        <w:rPr>
          <w:rFonts w:hint="eastAsia" w:ascii="宋体" w:hAnsi="宋体"/>
          <w:bCs/>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我方已对照招标文件要求，填写了服务的偏离情况，详见《项目技术要求偏离表》。</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我方愿意根据贵方及评标委员会的要求，提供投标文件中所有材料的原件及相关证明性资料，并保证我方已提供和将要提供的资料是真实的、准确的。</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我方认为采购人有权确定中标供应商。除因不可抗力或招标文件认可的情形以外，我方绝不放弃中标资格。</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我方愿意按《中华人民共和国民法典》和合同条款履行自己的全部责任。</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我方不是为本项目提供整体设计、规范编制或者项目管理、监理、检测等服务的供应商。</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关联单位情况说明：</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与我方</w:t>
            </w:r>
            <w:r>
              <w:rPr>
                <w:rFonts w:hint="eastAsia" w:ascii="宋体" w:hAnsi="宋体"/>
                <w:color w:val="000000"/>
                <w:sz w:val="24"/>
                <w:szCs w:val="24"/>
              </w:rPr>
              <w:t xml:space="preserve">单位负责人为同一人的其他单位</w:t>
            </w:r>
            <w:r/>
          </w:p>
        </w:tc>
        <w:tc>
          <w:tcPr>
            <w:tcW w:w="468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663"/>
        </w:trPr>
        <w:tc>
          <w:tcPr>
            <w:tcW w:w="4707"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与我方</w:t>
            </w:r>
            <w:r>
              <w:rPr>
                <w:rFonts w:hint="eastAsia" w:ascii="宋体" w:hAnsi="宋体"/>
                <w:color w:val="000000"/>
                <w:sz w:val="24"/>
                <w:szCs w:val="24"/>
              </w:rPr>
              <w:t xml:space="preserve">存在直接控股、管理关系的其他单位</w:t>
            </w:r>
            <w:r/>
          </w:p>
        </w:tc>
        <w:tc>
          <w:tcPr>
            <w:tcW w:w="468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注：没有请填无。</w:t>
      </w:r>
      <w:r/>
    </w:p>
    <w:p>
      <w:pPr>
        <w:numPr>
          <w:ilvl w:val="0"/>
          <w:numId w:val="17"/>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bookmarkStart w:id="198" w:name="OLE_LINK249"/>
            <w:r>
              <w:rPr>
                <w:rFonts w:hint="eastAsia" w:ascii="宋体" w:hAnsi="宋体"/>
                <w:color w:val="000000"/>
                <w:sz w:val="24"/>
                <w:szCs w:val="24"/>
                <w:lang w:val="zh-CN"/>
              </w:rPr>
              <w:t xml:space="preserve">地址</w:t>
            </w:r>
            <w:r/>
          </w:p>
        </w:tc>
        <w:tc>
          <w:tcPr>
            <w:tcW w:w="29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25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邮编</w:t>
            </w:r>
            <w:r/>
          </w:p>
        </w:tc>
        <w:tc>
          <w:tcPr>
            <w:tcW w:w="3675"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传真</w:t>
            </w:r>
            <w:r/>
          </w:p>
        </w:tc>
        <w:tc>
          <w:tcPr>
            <w:tcW w:w="29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25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办公电话</w:t>
            </w:r>
            <w:r/>
          </w:p>
        </w:tc>
        <w:tc>
          <w:tcPr>
            <w:tcW w:w="3675"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rPr>
              <w:t xml:space="preserve">法定代表人</w:t>
            </w:r>
            <w:r/>
          </w:p>
        </w:tc>
        <w:tc>
          <w:tcPr>
            <w:tcW w:w="29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25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手机号码</w:t>
            </w:r>
            <w:r/>
          </w:p>
        </w:tc>
        <w:tc>
          <w:tcPr>
            <w:tcW w:w="3675"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联系人</w:t>
            </w:r>
            <w:r/>
          </w:p>
        </w:tc>
        <w:tc>
          <w:tcPr>
            <w:tcW w:w="29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25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手机号码</w:t>
            </w:r>
            <w:r/>
          </w:p>
        </w:tc>
        <w:tc>
          <w:tcPr>
            <w:tcW w:w="3675"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开户名称</w:t>
            </w:r>
            <w:r/>
          </w:p>
        </w:tc>
        <w:tc>
          <w:tcPr>
            <w:gridSpan w:val="3"/>
            <w:tcW w:w="784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开户银行</w:t>
            </w:r>
            <w:r/>
          </w:p>
        </w:tc>
        <w:tc>
          <w:tcPr>
            <w:tcW w:w="29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25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开户账号</w:t>
            </w:r>
            <w:r/>
          </w:p>
        </w:tc>
        <w:tc>
          <w:tcPr>
            <w:tcW w:w="3675"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bookmarkEnd w:id="196"/>
            <w:r/>
            <w:bookmarkEnd w:id="197"/>
            <w:r/>
            <w:bookmarkEnd w:id="198"/>
            <w:r/>
            <w:r/>
          </w:p>
        </w:tc>
      </w:tr>
    </w:tbl>
    <w:p>
      <w:pPr>
        <w:pStyle w:val="969"/>
        <w:ind w:left="0" w:firstLine="0"/>
        <w:rPr>
          <w:rFonts w:hint="eastAsia"/>
          <w:lang w:val="zh-CN"/>
        </w:rPr>
      </w:pPr>
      <w:r>
        <w:rPr>
          <w:rFonts w:hint="eastAsia"/>
          <w:lang w:val="zh-CN"/>
        </w:rPr>
      </w:r>
      <w:r/>
    </w:p>
    <w:p>
      <w:pPr>
        <w:pStyle w:val="969"/>
        <w:ind w:left="0" w:firstLine="0"/>
        <w:rPr>
          <w:rFonts w:hint="eastAsia"/>
          <w:lang w:val="zh-CN"/>
        </w:rPr>
      </w:pPr>
      <w:r>
        <w:rPr>
          <w:rFonts w:hint="eastAsia"/>
          <w:lang w:val="zh-CN"/>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投标人（电子签章）：</w:t>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ind w:firstLine="480"/>
        <w:rPr>
          <w:rFonts w:hint="eastAsia" w:ascii="宋体" w:hAnsi="宋体"/>
          <w:color w:val="000000"/>
          <w:sz w:val="28"/>
          <w:szCs w:val="28"/>
        </w:rPr>
      </w:pPr>
      <w:r/>
      <w:bookmarkStart w:id="199" w:name="_Toc4946"/>
      <w:r>
        <w:rPr>
          <w:rFonts w:hint="eastAsia" w:ascii="黑体" w:hAnsi="宋体" w:eastAsia="黑体"/>
          <w:bCs/>
          <w:color w:val="000000"/>
          <w:sz w:val="24"/>
          <w:szCs w:val="24"/>
        </w:rPr>
        <w:t xml:space="preserve">2、明细报价表（格式）：</w:t>
      </w:r>
      <w:bookmarkEnd w:id="199"/>
      <w:r/>
      <w:r/>
    </w:p>
    <w:p>
      <w:pPr>
        <w:jc w:val="center"/>
        <w:rPr>
          <w:rFonts w:hint="eastAsia" w:ascii="黑体" w:hAnsi="黑体" w:eastAsia="黑体"/>
          <w:bCs/>
          <w:sz w:val="28"/>
          <w:szCs w:val="28"/>
          <w:highlight w:val="none"/>
        </w:rPr>
      </w:pPr>
      <w:r>
        <w:rPr>
          <w:rFonts w:hint="eastAsia" w:ascii="黑体" w:hAnsi="黑体" w:eastAsia="黑体"/>
          <w:bCs/>
          <w:sz w:val="28"/>
          <w:szCs w:val="28"/>
          <w:highlight w:val="none"/>
        </w:rPr>
        <w:t xml:space="preserve">明细报价表 </w:t>
      </w:r>
      <w:r/>
    </w:p>
    <w:p>
      <w:pPr>
        <w:jc w:val="left"/>
        <w:spacing w:before="156"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油车水库智能型界桩建设项目</w:t>
      </w:r>
      <w:r>
        <w:rPr>
          <w:rFonts w:hint="default" w:ascii="宋体" w:hAnsi="宋体"/>
          <w:sz w:val="24"/>
          <w:szCs w:val="24"/>
          <w:highlight w:val="none"/>
          <w:lang w:eastAsia="zh-CN"/>
        </w:rPr>
        <w:t xml:space="preserve"> </w:t>
      </w:r>
      <w:r>
        <w:rPr>
          <w:rFonts w:hint="eastAsia" w:ascii="宋体" w:hAnsi="宋体"/>
          <w:sz w:val="24"/>
          <w:szCs w:val="24"/>
          <w:highlight w:val="none"/>
          <w:lang w:eastAsia="zh-CN"/>
        </w:rPr>
        <w:t xml:space="preserve">  </w:t>
      </w:r>
      <w:r>
        <w:rPr>
          <w:rFonts w:hint="eastAsia" w:ascii="宋体" w:hAnsi="宋体"/>
          <w:sz w:val="24"/>
          <w:szCs w:val="24"/>
          <w:highlight w:val="none"/>
        </w:rPr>
        <w:t xml:space="preserve">                         </w:t>
      </w:r>
      <w:r/>
    </w:p>
    <w:p>
      <w:pPr>
        <w:jc w:val="left"/>
        <w:spacing w:before="156" w:after="156"/>
        <w:rPr>
          <w:rFonts w:hint="eastAsia" w:ascii="宋体" w:hAnsi="宋体"/>
          <w:color w:val="000000"/>
          <w:sz w:val="28"/>
          <w:szCs w:val="28"/>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JSZC-320282-JSXY-G2025-0005</w:t>
      </w:r>
      <w:r>
        <w:rPr>
          <w:rFonts w:hint="eastAsia" w:ascii="宋体" w:hAnsi="宋体"/>
          <w:sz w:val="24"/>
          <w:szCs w:val="24"/>
          <w:highlight w:val="none"/>
        </w:rPr>
        <w:t xml:space="preserve"> </w:t>
      </w:r>
      <w:r>
        <w:rPr>
          <w:rFonts w:hint="eastAsia" w:ascii="宋体" w:hAnsi="宋体"/>
          <w:color w:val="000000"/>
          <w:sz w:val="24"/>
          <w:szCs w:val="24"/>
        </w:rPr>
        <w:t xml:space="preserve">                                                                  </w:t>
      </w:r>
      <w:r/>
    </w:p>
    <w:tbl>
      <w:tblPr>
        <w:tblStyle w:val="959"/>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491"/>
        <w:gridCol w:w="1492"/>
        <w:gridCol w:w="1311"/>
        <w:gridCol w:w="1320"/>
      </w:tblGrid>
      <w:tr>
        <w:trPr>
          <w:jc w:val="center"/>
          <w:trHeight w:val="771"/>
        </w:trPr>
        <w:tc>
          <w:tcPr>
            <w:tcW w:w="82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06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服务名称</w:t>
            </w:r>
            <w:r/>
          </w:p>
        </w:tc>
        <w:tc>
          <w:tcPr>
            <w:tcW w:w="14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单位</w:t>
            </w:r>
            <w:r/>
          </w:p>
        </w:tc>
        <w:tc>
          <w:tcPr>
            <w:tcW w:w="14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数量</w:t>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单价</w:t>
            </w:r>
            <w:r/>
          </w:p>
          <w:p>
            <w:pPr>
              <w:jc w:val="center"/>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元</w:t>
            </w:r>
            <w:r>
              <w:rPr>
                <w:rFonts w:hint="eastAsia" w:ascii="宋体" w:hAnsi="宋体"/>
                <w:color w:val="000000"/>
                <w:sz w:val="24"/>
                <w:szCs w:val="24"/>
                <w:lang w:eastAsia="zh-CN"/>
              </w:rPr>
              <w:t xml:space="preserve">）</w:t>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合计报价</w:t>
            </w:r>
            <w:r/>
          </w:p>
          <w:p>
            <w:pPr>
              <w:jc w:val="center"/>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元</w:t>
            </w:r>
            <w:r>
              <w:rPr>
                <w:rFonts w:hint="eastAsia" w:ascii="宋体" w:hAnsi="宋体"/>
                <w:color w:val="000000"/>
                <w:sz w:val="24"/>
                <w:szCs w:val="24"/>
                <w:lang w:eastAsia="zh-CN"/>
              </w:rPr>
              <w:t xml:space="preserve">）</w:t>
            </w:r>
            <w:r/>
          </w:p>
        </w:tc>
      </w:tr>
      <w:tr>
        <w:trPr>
          <w:jc w:val="center"/>
          <w:trHeight w:val="755"/>
        </w:trPr>
        <w:tc>
          <w:tcPr>
            <w:tcW w:w="82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6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92" w:type="dxa"/>
            <w:vAlign w:val="center"/>
            <w:textDirection w:val="lrTb"/>
            <w:noWrap w:val="false"/>
          </w:tcPr>
          <w:p>
            <w:pPr>
              <w:jc w:val="center"/>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W w:w="3060"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491"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492"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491"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492"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92"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9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9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92"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55"/>
        </w:trPr>
        <w:tc>
          <w:tcPr>
            <w:tcW w:w="82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060"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9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31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790"/>
        </w:trPr>
        <w:tc>
          <w:tcPr>
            <w:gridSpan w:val="2"/>
            <w:tcW w:w="3888" w:type="dxa"/>
            <w:vAlign w:val="center"/>
            <w:textDirection w:val="lrTb"/>
            <w:noWrap w:val="false"/>
          </w:tcPr>
          <w:p>
            <w:pPr>
              <w:jc w:val="center"/>
              <w:rPr>
                <w:rFonts w:hint="eastAsia" w:ascii="宋体" w:hAnsi="宋体"/>
                <w:color w:val="000000"/>
                <w:sz w:val="24"/>
                <w:szCs w:val="24"/>
              </w:rPr>
            </w:pPr>
            <w:r>
              <w:rPr>
                <w:rFonts w:hint="eastAsia" w:ascii="宋体" w:hAnsi="宋体" w:eastAsia="宋体" w:cs="宋体"/>
                <w:b/>
                <w:bCs/>
                <w:sz w:val="24"/>
                <w:szCs w:val="24"/>
              </w:rPr>
              <w:t xml:space="preserve">合计总价</w:t>
            </w:r>
            <w:r>
              <w:rPr>
                <w:rFonts w:hint="eastAsia" w:ascii="宋体" w:hAnsi="宋体"/>
                <w:color w:val="000000"/>
                <w:sz w:val="24"/>
                <w:szCs w:val="24"/>
                <w:lang w:eastAsia="zh-CN"/>
              </w:rPr>
              <w:t xml:space="preserve">（</w:t>
            </w:r>
            <w:r>
              <w:rPr>
                <w:rFonts w:hint="eastAsia" w:ascii="宋体" w:hAnsi="宋体"/>
                <w:color w:val="000000"/>
                <w:sz w:val="24"/>
                <w:szCs w:val="24"/>
              </w:rPr>
              <w:t xml:space="preserve">元</w:t>
            </w:r>
            <w:r>
              <w:rPr>
                <w:rFonts w:hint="eastAsia" w:ascii="宋体" w:hAnsi="宋体"/>
                <w:color w:val="000000"/>
                <w:sz w:val="24"/>
                <w:szCs w:val="24"/>
                <w:lang w:eastAsia="zh-CN"/>
              </w:rPr>
              <w:t xml:space="preserve">）</w:t>
            </w:r>
            <w:r/>
          </w:p>
        </w:tc>
        <w:tc>
          <w:tcPr>
            <w:gridSpan w:val="4"/>
            <w:tcW w:w="5614" w:type="dxa"/>
            <w:vAlign w:val="center"/>
            <w:textDirection w:val="lrTb"/>
            <w:noWrap w:val="false"/>
          </w:tcPr>
          <w:p>
            <w:pPr>
              <w:jc w:val="left"/>
              <w:rPr>
                <w:rFonts w:hint="eastAsia" w:ascii="宋体" w:hAnsi="宋体"/>
                <w:color w:val="000000"/>
                <w:sz w:val="24"/>
                <w:szCs w:val="24"/>
              </w:rPr>
            </w:pPr>
            <w:r>
              <w:rPr>
                <w:rFonts w:hint="eastAsia" w:ascii="宋体" w:hAnsi="宋体"/>
                <w:color w:val="000000"/>
                <w:sz w:val="24"/>
                <w:szCs w:val="24"/>
              </w:rPr>
            </w:r>
            <w:r/>
          </w:p>
        </w:tc>
      </w:tr>
    </w:tbl>
    <w:p>
      <w:pPr>
        <w:ind w:firstLine="420"/>
        <w:spacing w:line="360" w:lineRule="auto"/>
        <w:tabs>
          <w:tab w:val="left" w:pos="6660" w:leader="none"/>
        </w:tabs>
        <w:rPr>
          <w:rFonts w:hint="eastAsia" w:ascii="宋体" w:hAnsi="宋体"/>
          <w:bCs/>
          <w:color w:val="000000"/>
          <w:szCs w:val="21"/>
        </w:rPr>
      </w:pPr>
      <w:r>
        <w:rPr>
          <w:rFonts w:ascii="宋体" w:hAnsi="宋体"/>
          <w:bCs/>
          <w:color w:val="000000"/>
          <w:szCs w:val="21"/>
        </w:rPr>
        <w:tab/>
      </w:r>
      <w:r/>
    </w:p>
    <w:p>
      <w:pPr>
        <w:pStyle w:val="969"/>
        <w:ind w:left="0" w:firstLine="0"/>
        <w:rPr>
          <w:rFonts w:hint="eastAsia"/>
          <w:lang w:val="zh-CN"/>
        </w:rPr>
      </w:pPr>
      <w:r/>
      <w:bookmarkStart w:id="200" w:name="_Toc8000"/>
      <w:r>
        <w:rPr>
          <w:rFonts w:hint="eastAsia" w:ascii="宋体" w:hAnsi="宋体"/>
          <w:bCs/>
          <w:color w:val="000000"/>
          <w:sz w:val="24"/>
          <w:lang w:val="zh-CN"/>
        </w:rPr>
        <w:t xml:space="preserve">                             </w:t>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投标人（电子签章）：</w:t>
      </w:r>
      <w:r/>
    </w:p>
    <w:p>
      <w:pPr>
        <w:ind w:left="5460" w:hanging="5460"/>
        <w:jc w:val="center"/>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left"/>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jc w:val="left"/>
        <w:spacing w:line="360" w:lineRule="auto"/>
        <w:rPr>
          <w:rFonts w:hint="eastAsia" w:ascii="宋体" w:hAnsi="宋体"/>
          <w:bCs/>
          <w:color w:val="000000"/>
          <w:szCs w:val="21"/>
        </w:rPr>
      </w:pPr>
      <w:r>
        <w:rPr>
          <w:rFonts w:hint="eastAsia" w:ascii="宋体" w:hAnsi="宋体"/>
          <w:color w:val="000000"/>
          <w:szCs w:val="21"/>
          <w:lang w:val="zh-CN"/>
        </w:rPr>
        <w:t xml:space="preserve">注：</w:t>
      </w:r>
      <w:bookmarkEnd w:id="200"/>
      <w:r>
        <w:rPr>
          <w:rFonts w:hint="eastAsia" w:ascii="宋体" w:hAnsi="宋体"/>
          <w:bCs/>
          <w:color w:val="000000"/>
          <w:szCs w:val="21"/>
        </w:rPr>
        <w:t xml:space="preserve">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pStyle w:val="962"/>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ind w:firstLine="480"/>
        <w:rPr>
          <w:rFonts w:hint="eastAsia" w:ascii="黑体" w:hAnsi="宋体" w:eastAsia="黑体"/>
          <w:bCs/>
          <w:color w:val="000000"/>
          <w:sz w:val="24"/>
          <w:szCs w:val="24"/>
          <w:lang w:val="zh-CN"/>
        </w:rPr>
      </w:pPr>
      <w:r>
        <w:rPr>
          <w:rFonts w:hint="eastAsia" w:ascii="黑体" w:hAnsi="宋体" w:eastAsia="黑体"/>
          <w:bCs/>
          <w:color w:val="000000"/>
          <w:sz w:val="24"/>
          <w:szCs w:val="24"/>
        </w:rPr>
        <w:t xml:space="preserve">3、</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p>
    <w:p>
      <w:pPr>
        <w:jc w:val="center"/>
        <w:rPr>
          <w:rFonts w:hint="eastAsia" w:ascii="黑体" w:hAnsi="黑体" w:eastAsia="黑体"/>
          <w:bCs/>
          <w:sz w:val="28"/>
          <w:szCs w:val="28"/>
          <w:highlight w:val="none"/>
          <w:lang w:val="zh-CN"/>
        </w:rPr>
      </w:pPr>
      <w:r>
        <w:rPr>
          <w:rFonts w:hint="eastAsia" w:ascii="黑体" w:hAnsi="黑体" w:eastAsia="黑体"/>
          <w:bCs/>
          <w:sz w:val="28"/>
          <w:szCs w:val="28"/>
          <w:highlight w:val="none"/>
          <w:lang w:val="zh-CN"/>
        </w:rPr>
        <w:t xml:space="preserve"> </w:t>
      </w:r>
      <w:r/>
    </w:p>
    <w:p>
      <w:pPr>
        <w:jc w:val="center"/>
        <w:rPr>
          <w:rFonts w:hint="eastAsia" w:ascii="黑体" w:hAnsi="黑体" w:eastAsia="黑体"/>
          <w:bCs/>
          <w:sz w:val="28"/>
          <w:szCs w:val="28"/>
          <w:highlight w:val="none"/>
          <w:lang w:val="zh-CN"/>
        </w:rPr>
      </w:pPr>
      <w:r>
        <w:rPr>
          <w:rFonts w:hint="eastAsia" w:ascii="黑体" w:hAnsi="黑体" w:eastAsia="黑体"/>
          <w:bCs/>
          <w:sz w:val="28"/>
          <w:szCs w:val="28"/>
          <w:highlight w:val="none"/>
          <w:lang w:val="zh-CN"/>
        </w:rPr>
        <w:t xml:space="preserve">项目技术要求偏离表</w:t>
      </w:r>
      <w:r/>
    </w:p>
    <w:p>
      <w:pPr>
        <w:jc w:val="left"/>
        <w:spacing w:before="156"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油车水库智能型界桩建设项目</w:t>
      </w:r>
      <w:r>
        <w:rPr>
          <w:rFonts w:hint="default" w:ascii="宋体" w:hAnsi="宋体"/>
          <w:sz w:val="24"/>
          <w:szCs w:val="24"/>
          <w:highlight w:val="none"/>
          <w:lang w:eastAsia="zh-CN"/>
        </w:rPr>
        <w:t xml:space="preserve"> </w:t>
      </w:r>
      <w:r>
        <w:rPr>
          <w:rFonts w:hint="eastAsia" w:ascii="宋体" w:hAnsi="宋体"/>
          <w:sz w:val="24"/>
          <w:szCs w:val="24"/>
          <w:highlight w:val="none"/>
          <w:lang w:eastAsia="zh-CN"/>
        </w:rPr>
        <w:t xml:space="preserve">  </w:t>
      </w:r>
      <w:r>
        <w:rPr>
          <w:rFonts w:hint="eastAsia" w:ascii="宋体" w:hAnsi="宋体"/>
          <w:sz w:val="24"/>
          <w:szCs w:val="24"/>
          <w:highlight w:val="none"/>
        </w:rPr>
        <w:t xml:space="preserve">                         </w:t>
      </w:r>
      <w:r/>
    </w:p>
    <w:p>
      <w:pPr>
        <w:spacing w:before="156" w:after="156" w:line="360" w:lineRule="auto"/>
        <w:tabs>
          <w:tab w:val="left" w:pos="255" w:leader="none"/>
        </w:tabs>
        <w:rPr>
          <w:rFonts w:hint="default" w:ascii="宋体"/>
          <w:sz w:val="24"/>
          <w:szCs w:val="21"/>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JSZC-320282-JSXY-G2025-0005</w:t>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973"/>
        <w:gridCol w:w="2315"/>
        <w:gridCol w:w="2327"/>
        <w:gridCol w:w="1969"/>
      </w:tblGrid>
      <w:tr>
        <w:trPr>
          <w:jc w:val="center"/>
          <w:trHeight w:val="930"/>
        </w:trPr>
        <w:tc>
          <w:tcPr>
            <w:tcW w:w="969"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序号</w:t>
            </w:r>
            <w:r/>
          </w:p>
        </w:tc>
        <w:tc>
          <w:tcPr>
            <w:tcW w:w="197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4"/>
                <w:lang w:val="zh-CN"/>
              </w:rPr>
            </w:pPr>
            <w:r>
              <w:rPr>
                <w:rFonts w:hint="eastAsia" w:ascii="宋体" w:hAnsi="宋体"/>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4"/>
                <w:lang w:val="zh-CN"/>
              </w:rPr>
            </w:pPr>
            <w:r>
              <w:rPr>
                <w:rFonts w:hint="eastAsia" w:ascii="宋体" w:hAnsi="宋体"/>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4"/>
                <w:lang w:val="zh-CN"/>
              </w:rPr>
            </w:pPr>
            <w:r>
              <w:rPr>
                <w:rFonts w:hint="eastAsia" w:ascii="宋体" w:hAnsi="宋体"/>
                <w:sz w:val="24"/>
                <w:szCs w:val="21"/>
                <w:highlight w:val="none"/>
                <w:lang w:val="zh-CN"/>
              </w:rPr>
              <w:t xml:space="preserve">正偏离/负偏离</w:t>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sz w:val="24"/>
                <w:szCs w:val="21"/>
                <w:lang w:val="zh-CN"/>
              </w:rPr>
            </w:pPr>
            <w:r>
              <w:rPr>
                <w:rFonts w:hint="eastAsia" w:ascii="宋体"/>
                <w:sz w:val="24"/>
                <w:szCs w:val="21"/>
                <w:lang w:val="zh-CN"/>
              </w:rPr>
            </w:r>
            <w:r/>
          </w:p>
        </w:tc>
      </w:tr>
    </w:tbl>
    <w:p>
      <w:pPr>
        <w:pStyle w:val="969"/>
        <w:ind w:left="0" w:firstLine="0"/>
        <w:rPr>
          <w:rFonts w:hint="eastAsia"/>
          <w:lang w:val="zh-CN"/>
        </w:rPr>
      </w:pPr>
      <w:r>
        <w:rPr>
          <w:rFonts w:hint="eastAsia"/>
          <w:lang w:val="zh-CN"/>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投标人（电子签章）：</w:t>
      </w:r>
      <w:r/>
    </w:p>
    <w:p>
      <w:pPr>
        <w:keepLines w:val="0"/>
        <w:keepNext w:val="0"/>
        <w:pageBreakBefore w:val="0"/>
        <w:spacing w:line="360" w:lineRule="auto"/>
        <w:widowControl w:val="off"/>
        <w:rPr>
          <w:rFonts w:hint="eastAsia" w:ascii="宋体"/>
          <w:bCs/>
          <w:sz w:val="24"/>
          <w:szCs w:val="24"/>
          <w:lang w:val="zh-CN"/>
        </w:rPr>
      </w:pPr>
      <w:r>
        <w:rPr>
          <w:rFonts w:hint="eastAsia" w:ascii="宋体"/>
          <w:bCs/>
          <w:sz w:val="24"/>
          <w:szCs w:val="24"/>
          <w:lang w:val="zh-CN"/>
        </w:rPr>
      </w:r>
      <w:r/>
    </w:p>
    <w:p>
      <w:pPr>
        <w:keepLines w:val="0"/>
        <w:keepNext w:val="0"/>
        <w:pageBreakBefore w:val="0"/>
        <w:spacing w:line="360" w:lineRule="auto"/>
        <w:widowControl w:val="off"/>
        <w:rPr>
          <w:rFonts w:hint="eastAsia" w:ascii="宋体"/>
          <w:bCs/>
          <w:sz w:val="24"/>
          <w:szCs w:val="24"/>
          <w:lang w:val="zh-CN"/>
        </w:rPr>
      </w:pPr>
      <w:r>
        <w:rPr>
          <w:rFonts w:hint="eastAsia" w:ascii="宋体"/>
          <w:bCs/>
          <w:sz w:val="24"/>
          <w:szCs w:val="24"/>
          <w:lang w:val="zh-CN"/>
        </w:rPr>
        <w:t xml:space="preserve">注：</w:t>
      </w:r>
      <w:r/>
    </w:p>
    <w:p>
      <w:pPr>
        <w:ind w:firstLine="420"/>
        <w:jc w:val="left"/>
        <w:keepLines w:val="0"/>
        <w:keepNext w:val="0"/>
        <w:pageBreakBefore w:val="0"/>
        <w:spacing w:line="360" w:lineRule="auto"/>
        <w:widowControl w:val="off"/>
        <w:tabs>
          <w:tab w:val="left" w:pos="255" w:leader="none"/>
        </w:tabs>
        <w:rPr>
          <w:rFonts w:hint="eastAsia" w:ascii="宋体" w:hAnsi="宋体"/>
          <w:bCs/>
          <w:szCs w:val="21"/>
          <w:lang w:val="zh-CN"/>
        </w:rPr>
      </w:pPr>
      <w:r>
        <w:rPr>
          <w:rFonts w:hint="eastAsia" w:ascii="宋体" w:hAnsi="宋体"/>
          <w:bCs/>
          <w:szCs w:val="21"/>
          <w:lang w:val="zh-CN"/>
        </w:rPr>
        <w:t xml:space="preserve">（1）投标人应对照招标文件第三章“项目技术要求和有关说明”的相关要求，将自身响应的偏离情况（与招标文件要求不一致的地方）详细填入上表，并注明“正偏离/负偏离”；若未填写上表，视为完全响应。</w:t>
      </w:r>
      <w:r/>
    </w:p>
    <w:p>
      <w:pPr>
        <w:ind w:firstLine="420"/>
        <w:jc w:val="left"/>
        <w:keepLines w:val="0"/>
        <w:keepNext w:val="0"/>
        <w:pageBreakBefore w:val="0"/>
        <w:spacing w:line="360" w:lineRule="auto"/>
        <w:widowControl w:val="off"/>
        <w:tabs>
          <w:tab w:val="left" w:pos="255" w:leader="none"/>
        </w:tabs>
        <w:rPr>
          <w:rFonts w:hint="eastAsia" w:ascii="宋体" w:hAnsi="宋体"/>
          <w:bCs/>
          <w:szCs w:val="21"/>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szCs w:val="21"/>
          <w:lang w:val="zh-CN"/>
        </w:rPr>
        <w:t xml:space="preserve">（2）招标文件第三章“项目技术要求和有关说明” 中若有要求提供相关证明材料的必须提供，请自行添加</w:t>
      </w:r>
      <w:r>
        <w:rPr>
          <w:rFonts w:hint="eastAsia" w:ascii="宋体" w:hAnsi="宋体"/>
          <w:bCs/>
          <w:szCs w:val="21"/>
        </w:rPr>
        <w:t xml:space="preserve">。</w:t>
      </w:r>
      <w:r/>
    </w:p>
    <w:p>
      <w:pPr>
        <w:ind w:firstLine="480"/>
        <w:rPr>
          <w:rFonts w:hint="eastAsia" w:ascii="黑体" w:hAnsi="宋体" w:eastAsia="黑体"/>
          <w:bCs/>
          <w:color w:val="000000"/>
          <w:sz w:val="24"/>
          <w:szCs w:val="24"/>
        </w:rPr>
      </w:pPr>
      <w:r>
        <w:rPr>
          <w:rFonts w:hint="eastAsia" w:ascii="黑体" w:hAnsi="宋体" w:eastAsia="黑体"/>
          <w:bCs/>
          <w:color w:val="000000"/>
          <w:sz w:val="24"/>
          <w:szCs w:val="24"/>
          <w:lang w:val="en-US" w:eastAsia="zh-CN"/>
        </w:rPr>
        <w:t xml:space="preserve">4、</w:t>
      </w:r>
      <w:r>
        <w:rPr>
          <w:rFonts w:hint="eastAsia" w:ascii="黑体" w:hAnsi="宋体" w:eastAsia="黑体"/>
          <w:bCs/>
          <w:color w:val="000000"/>
          <w:sz w:val="24"/>
          <w:szCs w:val="24"/>
          <w:lang w:val="zh-CN"/>
        </w:rPr>
        <w:t xml:space="preserve">项目人员配置清单（格式）</w:t>
      </w:r>
      <w:r>
        <w:rPr>
          <w:rFonts w:hint="eastAsia" w:ascii="黑体" w:hAnsi="宋体" w:eastAsia="黑体"/>
          <w:bCs/>
          <w:color w:val="000000"/>
          <w:sz w:val="24"/>
          <w:szCs w:val="24"/>
        </w:rPr>
        <w:t xml:space="preserve">:</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center"/>
        <w:rPr>
          <w:rFonts w:hint="eastAsia" w:ascii="黑体" w:hAnsi="黑体" w:eastAsia="黑体"/>
          <w:bCs/>
          <w:sz w:val="28"/>
          <w:szCs w:val="28"/>
          <w:highlight w:val="none"/>
          <w:lang w:val="zh-CN"/>
        </w:rPr>
      </w:pPr>
      <w:r>
        <w:rPr>
          <w:rFonts w:hint="eastAsia" w:ascii="黑体" w:hAnsi="黑体" w:eastAsia="黑体"/>
          <w:bCs/>
          <w:sz w:val="28"/>
          <w:szCs w:val="28"/>
          <w:highlight w:val="none"/>
          <w:lang w:val="zh-CN"/>
        </w:rPr>
        <w:t xml:space="preserve">项目人员配置清单</w:t>
      </w:r>
      <w:r/>
    </w:p>
    <w:p>
      <w:pPr>
        <w:jc w:val="left"/>
        <w:spacing w:before="156"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油车水库智能型界桩建设项目</w:t>
      </w:r>
      <w:r>
        <w:rPr>
          <w:rFonts w:hint="default" w:ascii="宋体" w:hAnsi="宋体"/>
          <w:sz w:val="24"/>
          <w:szCs w:val="24"/>
          <w:highlight w:val="none"/>
          <w:lang w:eastAsia="zh-CN"/>
        </w:rPr>
        <w:t xml:space="preserve"> </w:t>
      </w:r>
      <w:r>
        <w:rPr>
          <w:rFonts w:hint="eastAsia" w:ascii="宋体" w:hAnsi="宋体"/>
          <w:sz w:val="24"/>
          <w:szCs w:val="24"/>
          <w:highlight w:val="none"/>
          <w:lang w:eastAsia="zh-CN"/>
        </w:rPr>
        <w:t xml:space="preserve">  </w:t>
      </w:r>
      <w:r>
        <w:rPr>
          <w:rFonts w:hint="eastAsia" w:ascii="宋体" w:hAnsi="宋体"/>
          <w:sz w:val="24"/>
          <w:szCs w:val="24"/>
          <w:highlight w:val="none"/>
        </w:rPr>
        <w:t xml:space="preserve">                         </w:t>
      </w:r>
      <w:r/>
    </w:p>
    <w:p>
      <w:pPr>
        <w:spacing w:before="156" w:after="156" w:line="360" w:lineRule="auto"/>
        <w:tabs>
          <w:tab w:val="left" w:pos="255" w:leader="none"/>
        </w:tabs>
        <w:rPr>
          <w:rFonts w:hint="eastAsia" w:ascii="宋体" w:hAnsi="宋体"/>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JSZC-320282-JSXY-G2025-0005</w:t>
      </w:r>
      <w:r>
        <w:rPr>
          <w:rFonts w:hint="eastAsia" w:ascii="宋体" w:hAnsi="宋体"/>
          <w:sz w:val="24"/>
          <w:szCs w:val="21"/>
          <w:highlight w:val="none"/>
          <w:lang w:val="zh-CN"/>
        </w:rPr>
        <w:t xml:space="preserve">       </w:t>
      </w:r>
      <w:r/>
    </w:p>
    <w:tbl>
      <w:tblPr>
        <w:tblStyle w:val="959"/>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216"/>
        <w:gridCol w:w="1216"/>
        <w:gridCol w:w="1216"/>
        <w:gridCol w:w="1216"/>
        <w:gridCol w:w="1217"/>
        <w:gridCol w:w="1217"/>
        <w:gridCol w:w="1217"/>
      </w:tblGrid>
      <w:tr>
        <w:trPr>
          <w:jc w:val="center"/>
          <w:trHeight w:val="60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证书编号</w:t>
            </w:r>
            <w:r/>
          </w:p>
        </w:tc>
      </w:tr>
      <w:tr>
        <w:trPr>
          <w:jc w:val="center"/>
          <w:trHeight w:val="52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keepLines w:val="0"/>
        <w:keepNext w:val="0"/>
        <w:pageBreakBefore w:val="0"/>
        <w:spacing w:line="440" w:lineRule="atLeast"/>
        <w:widowControl w:val="off"/>
        <w:rPr>
          <w:rFonts w:hint="eastAsia" w:ascii="宋体" w:hAnsi="宋体"/>
          <w:sz w:val="21"/>
          <w:szCs w:val="21"/>
          <w:highlight w:val="none"/>
        </w:rPr>
      </w:pPr>
      <w:r>
        <w:rPr>
          <w:rFonts w:hint="eastAsia" w:ascii="宋体" w:hAnsi="宋体"/>
          <w:sz w:val="21"/>
          <w:szCs w:val="21"/>
          <w:highlight w:val="none"/>
        </w:rPr>
        <w:t xml:space="preserve">注：</w:t>
      </w:r>
      <w:r/>
    </w:p>
    <w:p>
      <w:pPr>
        <w:ind w:firstLine="420"/>
        <w:keepLines w:val="0"/>
        <w:keepNext w:val="0"/>
        <w:pageBreakBefore w:val="0"/>
        <w:spacing w:line="440" w:lineRule="atLeast"/>
        <w:widowControl w:val="off"/>
        <w:rPr>
          <w:rFonts w:hint="eastAsia"/>
          <w:sz w:val="21"/>
          <w:szCs w:val="21"/>
          <w:highlight w:val="none"/>
        </w:rPr>
      </w:pPr>
      <w:r>
        <w:rPr>
          <w:rFonts w:hint="eastAsia" w:ascii="宋体" w:hAnsi="宋体"/>
          <w:sz w:val="21"/>
          <w:szCs w:val="21"/>
          <w:highlight w:val="none"/>
        </w:rPr>
        <w:t xml:space="preserve">1. 表格不够可自行延长。</w:t>
      </w:r>
      <w:r/>
    </w:p>
    <w:p>
      <w:pPr>
        <w:ind w:firstLine="422"/>
        <w:keepLines w:val="0"/>
        <w:keepNext w:val="0"/>
        <w:pageBreakBefore w:val="0"/>
        <w:spacing w:line="440" w:lineRule="atLeast"/>
        <w:widowControl w:val="off"/>
        <w:rPr>
          <w:rFonts w:hint="eastAsia"/>
          <w:b/>
          <w:bCs/>
          <w:sz w:val="21"/>
          <w:szCs w:val="21"/>
          <w:highlight w:val="none"/>
        </w:rPr>
      </w:pPr>
      <w:r>
        <w:rPr>
          <w:rFonts w:hint="eastAsia" w:ascii="宋体" w:hAnsi="宋体"/>
          <w:b/>
          <w:bCs/>
          <w:sz w:val="21"/>
          <w:szCs w:val="21"/>
          <w:highlight w:val="none"/>
        </w:rPr>
        <w:t xml:space="preserve">2.应按</w:t>
      </w:r>
      <w:r>
        <w:rPr>
          <w:rFonts w:hint="eastAsia" w:ascii="宋体" w:hAnsi="宋体"/>
          <w:b/>
          <w:bCs/>
          <w:sz w:val="21"/>
          <w:szCs w:val="21"/>
          <w:highlight w:val="none"/>
          <w:lang w:val="en-US" w:eastAsia="zh-CN"/>
        </w:rPr>
        <w:t xml:space="preserve">招标</w:t>
      </w:r>
      <w:r>
        <w:rPr>
          <w:rFonts w:hint="eastAsia" w:ascii="宋体" w:hAnsi="宋体"/>
          <w:b/>
          <w:bCs/>
          <w:sz w:val="21"/>
          <w:szCs w:val="21"/>
          <w:highlight w:val="none"/>
        </w:rPr>
        <w:t xml:space="preserve">文件要求配备项目人员及提供相关证明材料，以满足项目的基准要求，</w:t>
      </w:r>
      <w:r>
        <w:rPr>
          <w:rFonts w:hint="eastAsia" w:ascii="宋体" w:hAnsi="宋体"/>
          <w:b/>
          <w:bCs/>
          <w:highlight w:val="none"/>
        </w:rPr>
        <w:t xml:space="preserve">否则投标无效</w:t>
      </w:r>
      <w:r>
        <w:rPr>
          <w:rFonts w:hint="eastAsia" w:ascii="宋体" w:hAnsi="宋体"/>
          <w:b/>
          <w:bCs/>
          <w:sz w:val="21"/>
          <w:szCs w:val="21"/>
          <w:highlight w:val="none"/>
        </w:rPr>
        <w:t xml:space="preserve">。</w:t>
      </w:r>
      <w:r/>
    </w:p>
    <w:p>
      <w:pPr>
        <w:ind w:firstLine="420"/>
        <w:keepLines w:val="0"/>
        <w:keepNext w:val="0"/>
        <w:pageBreakBefore w:val="0"/>
        <w:spacing w:line="440" w:lineRule="atLeast"/>
        <w:widowControl w:val="off"/>
        <w:rPr>
          <w:rFonts w:ascii="黑体" w:hAnsi="宋体" w:eastAsia="黑体"/>
          <w:sz w:val="21"/>
          <w:szCs w:val="21"/>
          <w:highlight w:val="none"/>
        </w:rPr>
      </w:pPr>
      <w:r>
        <w:rPr>
          <w:rFonts w:hint="eastAsia" w:ascii="宋体" w:hAnsi="宋体"/>
          <w:sz w:val="21"/>
          <w:szCs w:val="21"/>
          <w:highlight w:val="none"/>
        </w:rPr>
        <w:t xml:space="preserve">3.上述</w:t>
      </w:r>
      <w:r>
        <w:rPr>
          <w:rFonts w:hint="eastAsia"/>
          <w:sz w:val="21"/>
          <w:szCs w:val="21"/>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pStyle w:val="969"/>
        <w:ind w:left="0" w:firstLine="0"/>
        <w:rPr>
          <w:rFonts w:hint="eastAsia"/>
          <w:lang w:val="zh-CN"/>
        </w:rPr>
      </w:pPr>
      <w:r>
        <w:rPr>
          <w:rFonts w:hint="eastAsia"/>
          <w:lang w:val="zh-CN"/>
        </w:rPr>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投标人</w:t>
      </w:r>
      <w:r>
        <w:rPr>
          <w:rFonts w:hint="eastAsia" w:ascii="宋体" w:hAnsi="宋体"/>
          <w:bCs/>
          <w:sz w:val="24"/>
          <w:highlight w:val="none"/>
          <w:lang w:val="zh-CN"/>
        </w:rPr>
        <w:t xml:space="preserve">（电子签章）：</w:t>
      </w:r>
      <w:r/>
    </w:p>
    <w:p>
      <w:pPr>
        <w:pStyle w:val="969"/>
        <w:rPr>
          <w:rFonts w:hint="eastAsi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rPr>
      </w:r>
      <w:r/>
    </w:p>
    <w:p>
      <w:pPr>
        <w:ind w:firstLine="480"/>
        <w:rPr>
          <w:rFonts w:hint="eastAsia" w:ascii="黑体" w:hAnsi="宋体" w:eastAsia="黑体"/>
          <w:bCs/>
          <w:color w:val="000000"/>
          <w:sz w:val="24"/>
          <w:szCs w:val="24"/>
          <w:lang w:val="zh-CN" w:eastAsia="zh-CN"/>
        </w:rPr>
      </w:pPr>
      <w:r>
        <w:rPr>
          <w:rFonts w:hint="eastAsia" w:ascii="黑体" w:hAnsi="宋体" w:eastAsia="黑体"/>
          <w:bCs/>
          <w:color w:val="000000"/>
          <w:sz w:val="24"/>
          <w:szCs w:val="24"/>
          <w:lang w:val="zh-CN" w:eastAsia="zh-CN"/>
        </w:rPr>
        <w:t xml:space="preserve">5、服务内容详细说明（格式自拟）</w:t>
      </w:r>
      <w:r/>
    </w:p>
    <w:p>
      <w:pPr>
        <w:ind w:firstLine="480"/>
        <w:jc w:val="left"/>
        <w:keepLines w:val="0"/>
        <w:keepNext w:val="0"/>
        <w:pageBreakBefore w:val="0"/>
        <w:spacing w:after="156" w:line="360" w:lineRule="auto"/>
        <w:widowControl w:val="off"/>
        <w:rPr>
          <w:rFonts w:hint="eastAsia" w:ascii="宋体" w:hAnsi="宋体"/>
          <w:sz w:val="24"/>
          <w:szCs w:val="24"/>
        </w:rPr>
      </w:pPr>
      <w:r>
        <w:rPr>
          <w:rFonts w:hint="eastAsia" w:ascii="宋体" w:hAnsi="宋体"/>
          <w:sz w:val="24"/>
          <w:szCs w:val="24"/>
        </w:rPr>
      </w:r>
      <w:r/>
    </w:p>
    <w:p>
      <w:pPr>
        <w:ind w:firstLine="480"/>
        <w:jc w:val="left"/>
        <w:keepLines w:val="0"/>
        <w:keepNext w:val="0"/>
        <w:pageBreakBefore w:val="0"/>
        <w:spacing w:after="156" w:line="360" w:lineRule="auto"/>
        <w:widowControl w:val="off"/>
        <w:rPr>
          <w:rFonts w:ascii="宋体" w:hAnsi="宋体"/>
          <w:sz w:val="24"/>
          <w:szCs w:val="24"/>
        </w:rPr>
      </w:pPr>
      <w:r>
        <w:rPr>
          <w:rFonts w:hint="eastAsia" w:ascii="宋体" w:hAnsi="宋体"/>
          <w:sz w:val="24"/>
          <w:szCs w:val="24"/>
        </w:rPr>
        <w:t xml:space="preserve">投标人根据“第三章 项目技术要求和有关说明”提出的技术、服务、人员等实质性要求，提供项目实施详细说明及相关证明材料。招标文件中要求进行承诺的，应当进行承诺。</w:t>
      </w:r>
      <w:r/>
    </w:p>
    <w:p>
      <w:pPr>
        <w:pStyle w:val="969"/>
        <w:rPr>
          <w:rFonts w:hint="eastAsia"/>
        </w:rPr>
      </w:pPr>
      <w:r>
        <w:rPr>
          <w:rFonts w:hint="eastAsia"/>
        </w:rPr>
      </w:r>
      <w:r/>
    </w:p>
    <w:p>
      <w:pPr>
        <w:ind w:left="0" w:firstLine="4800"/>
        <w:jc w:val="both"/>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r>
      <w:r/>
    </w:p>
    <w:p>
      <w:pPr>
        <w:pStyle w:val="969"/>
        <w:rPr>
          <w:rFonts w:hint="eastAsia"/>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lang w:val="zh-CN"/>
        </w:rPr>
      </w:r>
      <w:r/>
    </w:p>
    <w:p>
      <w:pPr>
        <w:spacing w:line="360" w:lineRule="auto"/>
        <w:rPr>
          <w:rFonts w:hint="eastAsia" w:ascii="黑体" w:hAnsi="宋体" w:eastAsia="黑体"/>
          <w:bCs/>
          <w:sz w:val="24"/>
          <w:szCs w:val="24"/>
          <w:highlight w:val="none"/>
        </w:rPr>
      </w:pPr>
      <w:r/>
      <w:bookmarkStart w:id="201" w:name="OLE_LINK251"/>
      <w:r/>
      <w:bookmarkStart w:id="202" w:name="_Toc24943"/>
      <w:r>
        <w:rPr>
          <w:rFonts w:hint="eastAsia" w:ascii="黑体" w:hAnsi="宋体" w:eastAsia="黑体"/>
          <w:bCs/>
          <w:sz w:val="24"/>
          <w:szCs w:val="24"/>
          <w:highlight w:val="none"/>
        </w:rPr>
        <w:t xml:space="preserve">（四）价格折扣文件</w:t>
      </w:r>
      <w:r/>
    </w:p>
    <w:p>
      <w:pPr>
        <w:jc w:val="center"/>
        <w:spacing w:before="156" w:after="156"/>
        <w:rPr>
          <w:rFonts w:hint="eastAsia" w:ascii="黑体" w:eastAsia="黑体"/>
          <w:bCs/>
          <w:sz w:val="28"/>
          <w:szCs w:val="28"/>
          <w:highlight w:val="none"/>
          <w:lang w:val="zh-CN"/>
        </w:rPr>
      </w:pPr>
      <w:r>
        <w:rPr>
          <w:rFonts w:hint="eastAsia" w:ascii="黑体" w:eastAsia="黑体"/>
          <w:bCs/>
          <w:sz w:val="28"/>
          <w:szCs w:val="28"/>
          <w:highlight w:val="none"/>
        </w:rPr>
        <w:t xml:space="preserve">企业报价折扣证明</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44"/>
        <w:gridCol w:w="2321"/>
        <w:gridCol w:w="4080"/>
      </w:tblGrid>
      <w:tr>
        <w:trPr>
          <w:jc w:val="center"/>
          <w:trHeight w:val="687"/>
        </w:trPr>
        <w:tc>
          <w:tcPr>
            <w:tcW w:w="75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序号</w:t>
            </w:r>
            <w:r/>
          </w:p>
        </w:tc>
        <w:tc>
          <w:tcPr>
            <w:tcW w:w="154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企业性质</w:t>
            </w:r>
            <w:r/>
          </w:p>
        </w:tc>
        <w:tc>
          <w:tcPr>
            <w:tcW w:w="232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服务承接商类别</w:t>
            </w:r>
            <w:r/>
          </w:p>
        </w:tc>
        <w:tc>
          <w:tcPr>
            <w:tcW w:w="408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须提交的证明材料</w:t>
            </w:r>
            <w:r/>
          </w:p>
        </w:tc>
      </w:tr>
      <w:tr>
        <w:trPr>
          <w:jc w:val="center"/>
          <w:trHeight w:val="1134"/>
        </w:trPr>
        <w:tc>
          <w:tcPr>
            <w:tcW w:w="75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1</w:t>
            </w:r>
            <w:r/>
          </w:p>
        </w:tc>
        <w:tc>
          <w:tcPr>
            <w:tcW w:w="154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小微型企业</w:t>
            </w:r>
            <w:r/>
          </w:p>
        </w:tc>
        <w:tc>
          <w:tcPr>
            <w:tcW w:w="232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服务的承接商为</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小微企业</w:t>
            </w:r>
            <w:r/>
          </w:p>
        </w:tc>
        <w:tc>
          <w:tcPr>
            <w:tcW w:w="4080" w:type="dxa"/>
            <w:vAlign w:val="center"/>
            <w:textDirection w:val="lrTb"/>
            <w:noWrap w:val="false"/>
          </w:tcPr>
          <w:p>
            <w:pPr>
              <w:jc w:val="left"/>
              <w:rPr>
                <w:rFonts w:hint="eastAsia" w:ascii="宋体" w:hAnsi="宋体"/>
                <w:color w:val="000000"/>
                <w:sz w:val="24"/>
                <w:szCs w:val="24"/>
                <w:lang w:val="zh-CN"/>
              </w:rPr>
            </w:pPr>
            <w:r/>
            <w:bookmarkStart w:id="203" w:name="OLE_LINK72"/>
            <w:r>
              <w:rPr>
                <w:rFonts w:hint="eastAsia" w:ascii="宋体" w:hAnsi="宋体"/>
                <w:color w:val="000000"/>
                <w:sz w:val="24"/>
                <w:szCs w:val="24"/>
                <w:lang w:val="zh-CN"/>
              </w:rPr>
              <w:t xml:space="preserve">供应商《中小企业声明函》</w:t>
            </w:r>
            <w:bookmarkEnd w:id="203"/>
            <w:r/>
            <w:bookmarkStart w:id="204" w:name="OLE_LINK65"/>
            <w:r>
              <w:rPr>
                <w:rFonts w:hint="eastAsia" w:ascii="宋体" w:hAnsi="宋体"/>
                <w:color w:val="000000"/>
                <w:sz w:val="24"/>
                <w:szCs w:val="24"/>
                <w:lang w:val="zh-CN"/>
              </w:rPr>
              <w:t xml:space="preserve">（附件1）</w:t>
            </w:r>
            <w:bookmarkEnd w:id="204"/>
            <w:r/>
            <w:r/>
          </w:p>
        </w:tc>
      </w:tr>
      <w:tr>
        <w:trPr>
          <w:jc w:val="center"/>
          <w:trHeight w:val="1134"/>
        </w:trPr>
        <w:tc>
          <w:tcPr>
            <w:tcW w:w="75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2</w:t>
            </w:r>
            <w:r/>
          </w:p>
        </w:tc>
        <w:tc>
          <w:tcPr>
            <w:tcW w:w="154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残疾人福利性单位</w:t>
            </w:r>
            <w:r/>
          </w:p>
        </w:tc>
        <w:tc>
          <w:tcPr>
            <w:tcW w:w="232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服务的承接商为</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残疾人福利性单位</w:t>
            </w:r>
            <w:r/>
          </w:p>
        </w:tc>
        <w:tc>
          <w:tcPr>
            <w:tcW w:w="4080" w:type="dxa"/>
            <w:vAlign w:val="center"/>
            <w:textDirection w:val="lrTb"/>
            <w:noWrap w:val="false"/>
          </w:tcPr>
          <w:p>
            <w:pPr>
              <w:jc w:val="left"/>
              <w:rPr>
                <w:rFonts w:hint="eastAsia" w:ascii="宋体" w:hAnsi="宋体"/>
                <w:color w:val="000000"/>
                <w:sz w:val="24"/>
                <w:szCs w:val="24"/>
                <w:lang w:val="zh-CN"/>
              </w:rPr>
            </w:pPr>
            <w:r/>
            <w:bookmarkStart w:id="205" w:name="OLE_LINK73"/>
            <w:r>
              <w:rPr>
                <w:rFonts w:hint="eastAsia" w:ascii="宋体" w:hAnsi="宋体"/>
                <w:color w:val="000000"/>
                <w:sz w:val="24"/>
                <w:szCs w:val="24"/>
                <w:lang w:val="zh-CN"/>
              </w:rPr>
              <w:t xml:space="preserve">供应商《残疾人福利性单位声明函》</w:t>
            </w:r>
            <w:bookmarkEnd w:id="205"/>
            <w:r>
              <w:rPr>
                <w:rFonts w:hint="eastAsia" w:ascii="宋体" w:hAnsi="宋体"/>
                <w:color w:val="000000"/>
                <w:sz w:val="24"/>
                <w:szCs w:val="24"/>
                <w:lang w:val="zh-CN"/>
              </w:rPr>
              <w:t xml:space="preserve">（附件2）</w:t>
            </w:r>
            <w:r/>
          </w:p>
        </w:tc>
      </w:tr>
      <w:tr>
        <w:trPr>
          <w:jc w:val="center"/>
          <w:trHeight w:val="1134"/>
        </w:trPr>
        <w:tc>
          <w:tcPr>
            <w:tcW w:w="750"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3</w:t>
            </w:r>
            <w:r/>
          </w:p>
        </w:tc>
        <w:tc>
          <w:tcPr>
            <w:tcW w:w="154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监狱企业</w:t>
            </w:r>
            <w:r/>
          </w:p>
        </w:tc>
        <w:tc>
          <w:tcPr>
            <w:tcW w:w="232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服务的承接商为</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监狱企业</w:t>
            </w:r>
            <w:r/>
          </w:p>
        </w:tc>
        <w:tc>
          <w:tcPr>
            <w:tcW w:w="4080"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省级以上监狱管理局、戒毒管理局（含新疆生产建设兵团）出具的属于监狱企业的证明文件</w:t>
            </w:r>
            <w:r/>
          </w:p>
        </w:tc>
      </w:tr>
    </w:tbl>
    <w:p>
      <w:pPr>
        <w:ind w:firstLine="420"/>
        <w:jc w:val="left"/>
        <w:keepLines w:val="0"/>
        <w:keepNext w:val="0"/>
        <w:pageBreakBefore w:val="0"/>
        <w:spacing w:line="360" w:lineRule="auto"/>
        <w:widowControl w:val="off"/>
        <w:rPr>
          <w:rFonts w:hint="eastAsia" w:ascii="宋体" w:hAnsi="宋体" w:cs="宋体"/>
          <w:szCs w:val="21"/>
          <w:lang w:val="zh-CN"/>
        </w:rPr>
      </w:pPr>
      <w:r>
        <w:rPr>
          <w:rFonts w:hint="eastAsia" w:ascii="宋体" w:hAnsi="宋体" w:cs="宋体"/>
          <w:szCs w:val="21"/>
          <w:lang w:val="zh-CN"/>
        </w:rPr>
      </w:r>
      <w:r/>
    </w:p>
    <w:p>
      <w:pPr>
        <w:ind w:firstLine="420"/>
        <w:jc w:val="left"/>
        <w:keepLines w:val="0"/>
        <w:keepNext w:val="0"/>
        <w:pageBreakBefore w:val="0"/>
        <w:spacing w:line="360" w:lineRule="auto"/>
        <w:widowControl w:val="off"/>
        <w:rPr>
          <w:rFonts w:hint="eastAsia" w:ascii="宋体" w:hAnsi="宋体" w:cs="宋体"/>
          <w:szCs w:val="21"/>
          <w:lang w:val="zh-CN"/>
        </w:rPr>
      </w:pPr>
      <w:r>
        <w:rPr>
          <w:rFonts w:hint="eastAsia" w:ascii="宋体" w:hAnsi="宋体" w:cs="宋体"/>
          <w:szCs w:val="21"/>
          <w:lang w:val="zh-CN"/>
        </w:rPr>
        <w:t xml:space="preserve">注：</w:t>
      </w:r>
      <w:bookmarkStart w:id="206" w:name="OLE_LINK264"/>
      <w:r>
        <w:rPr>
          <w:rFonts w:hint="eastAsia" w:ascii="宋体" w:hAnsi="宋体" w:cs="宋体"/>
          <w:szCs w:val="21"/>
          <w:lang w:val="zh-CN"/>
        </w:rPr>
        <w:t xml:space="preserve">如本项目给予报价扣除优惠，供应商根据招标文件要求提供相关证明材料（如有），以提供的有效证明材料为准。</w:t>
      </w:r>
      <w:bookmarkEnd w:id="206"/>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bookmarkEnd w:id="201"/>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firstLine="560"/>
        <w:jc w:val="left"/>
        <w:rPr>
          <w:rFonts w:hint="eastAsia" w:ascii="黑体" w:hAnsi="宋体" w:eastAsia="黑体"/>
          <w:bCs/>
          <w:sz w:val="24"/>
          <w:szCs w:val="24"/>
          <w:highlight w:val="none"/>
        </w:rPr>
      </w:pPr>
      <w:r>
        <w:rPr>
          <w:rFonts w:hint="eastAsia" w:ascii="宋体" w:hAnsi="宋体"/>
          <w:sz w:val="28"/>
          <w:szCs w:val="28"/>
          <w:highlight w:val="none"/>
        </w:rPr>
        <w:br w:type="page" w:clear="all"/>
      </w:r>
      <w:r>
        <w:rPr>
          <w:rFonts w:hint="eastAsia" w:ascii="黑体" w:hAnsi="宋体" w:eastAsia="黑体"/>
          <w:bCs/>
          <w:sz w:val="24"/>
          <w:szCs w:val="24"/>
          <w:highlight w:val="none"/>
        </w:rPr>
        <w:t xml:space="preserve">附件1：中小企业声明函（格式）：</w:t>
      </w:r>
      <w:r/>
    </w:p>
    <w:p>
      <w:pPr>
        <w:jc w:val="center"/>
        <w:rPr>
          <w:rFonts w:hint="eastAsia" w:ascii="黑体" w:eastAsia="黑体"/>
          <w:bCs/>
          <w:sz w:val="28"/>
          <w:szCs w:val="28"/>
          <w:highlight w:val="none"/>
        </w:rPr>
      </w:pPr>
      <w:r>
        <w:rPr>
          <w:rFonts w:hint="eastAsia" w:ascii="黑体" w:eastAsia="黑体"/>
          <w:bCs/>
          <w:sz w:val="28"/>
          <w:szCs w:val="28"/>
          <w:highlight w:val="none"/>
        </w:rPr>
      </w:r>
      <w:r/>
    </w:p>
    <w:p>
      <w:pPr>
        <w:jc w:val="center"/>
        <w:rPr>
          <w:rFonts w:ascii="黑体" w:eastAsia="黑体"/>
          <w:bCs/>
          <w:sz w:val="28"/>
          <w:szCs w:val="28"/>
          <w:highlight w:val="none"/>
        </w:rPr>
      </w:pPr>
      <w:r/>
      <w:bookmarkStart w:id="207" w:name="OLE_LINK150"/>
      <w:r>
        <w:rPr>
          <w:rFonts w:hint="eastAsia" w:ascii="黑体" w:eastAsia="黑体"/>
          <w:bCs/>
          <w:sz w:val="28"/>
          <w:szCs w:val="28"/>
          <w:highlight w:val="none"/>
        </w:rPr>
        <w:t xml:space="preserve">中小企业声明函</w:t>
      </w:r>
      <w:r/>
    </w:p>
    <w:p>
      <w:pPr>
        <w:rPr>
          <w:highlight w:val="none"/>
        </w:rPr>
      </w:pPr>
      <w:r>
        <w:rPr>
          <w:highlight w:val="none"/>
        </w:rPr>
      </w:r>
      <w:r/>
    </w:p>
    <w:p>
      <w:pPr>
        <w:rPr>
          <w:highlight w:val="none"/>
        </w:rPr>
      </w:pPr>
      <w:r>
        <w:rPr>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w:t>
      </w:r>
      <w:r>
        <w:rPr>
          <w:rFonts w:hint="eastAsia" w:ascii="宋体" w:hAnsi="宋体"/>
          <w:bCs/>
          <w:sz w:val="24"/>
          <w:szCs w:val="24"/>
          <w:highlight w:val="none"/>
          <w:lang w:val="en-US" w:eastAsia="zh-CN"/>
        </w:rPr>
        <w:t xml:space="preserve">0</w:t>
      </w:r>
      <w:r>
        <w:rPr>
          <w:rFonts w:hint="eastAsia" w:ascii="宋体" w:hAnsi="宋体"/>
          <w:bCs/>
          <w:sz w:val="24"/>
          <w:szCs w:val="24"/>
          <w:highlight w:val="none"/>
        </w:rPr>
        <w:t xml:space="preserve">﹞46</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tbl>
      <w:tblPr>
        <w:tblStyle w:val="963"/>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4"/>
        <w:gridCol w:w="1226"/>
        <w:gridCol w:w="1577"/>
        <w:gridCol w:w="1102"/>
        <w:gridCol w:w="1102"/>
        <w:gridCol w:w="1102"/>
        <w:gridCol w:w="1523"/>
      </w:tblGrid>
      <w:tr>
        <w:trPr/>
        <w:tc>
          <w:tcPr>
            <w:tcW w:w="74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序号</w:t>
            </w:r>
            <w:r/>
          </w:p>
        </w:tc>
        <w:tc>
          <w:tcPr>
            <w:tcW w:w="147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标的名称</w:t>
            </w:r>
            <w:r/>
          </w:p>
        </w:tc>
        <w:tc>
          <w:tcPr>
            <w:tcW w:w="1226"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所属行业</w:t>
            </w:r>
            <w:r/>
          </w:p>
        </w:tc>
        <w:tc>
          <w:tcPr>
            <w:tcW w:w="1577"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*承接商</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（企业名称）</w:t>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w:t>
            </w:r>
            <w:r>
              <w:rPr>
                <w:rFonts w:hint="eastAsia" w:ascii="宋体" w:hAnsi="宋体"/>
                <w:color w:val="000000"/>
                <w:sz w:val="24"/>
                <w:szCs w:val="24"/>
                <w:lang w:val="zh-CN"/>
              </w:rPr>
              <w:t xml:space="preserve">从业</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人员</w:t>
            </w:r>
            <w:r>
              <w:rPr>
                <w:rFonts w:hint="eastAsia" w:ascii="宋体" w:hAnsi="宋体"/>
                <w:color w:val="000000"/>
                <w:sz w:val="24"/>
                <w:szCs w:val="24"/>
                <w:lang w:val="zh-CN" w:eastAsia="zh-CN"/>
              </w:rPr>
              <w:t xml:space="preserve">（</w:t>
            </w:r>
            <w:r>
              <w:rPr>
                <w:rFonts w:hint="eastAsia" w:ascii="宋体" w:hAnsi="宋体"/>
                <w:color w:val="000000"/>
                <w:sz w:val="24"/>
                <w:szCs w:val="24"/>
                <w:lang w:val="en-US" w:eastAsia="zh-CN"/>
              </w:rPr>
              <w:t xml:space="preserve">人</w:t>
            </w:r>
            <w:r>
              <w:rPr>
                <w:rFonts w:hint="eastAsia" w:ascii="宋体" w:hAnsi="宋体"/>
                <w:color w:val="000000"/>
                <w:sz w:val="24"/>
                <w:szCs w:val="24"/>
                <w:lang w:val="zh-CN" w:eastAsia="zh-CN"/>
              </w:rPr>
              <w:t xml:space="preserve">）</w:t>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w:t>
            </w:r>
            <w:r>
              <w:rPr>
                <w:rFonts w:hint="eastAsia" w:ascii="宋体" w:hAnsi="宋体"/>
                <w:color w:val="000000"/>
                <w:sz w:val="24"/>
                <w:szCs w:val="24"/>
                <w:lang w:val="zh-CN"/>
              </w:rPr>
              <w:t xml:space="preserve">营业</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收入</w:t>
            </w:r>
            <w:r/>
          </w:p>
          <w:p>
            <w:pPr>
              <w:jc w:val="center"/>
              <w:rPr>
                <w:rFonts w:hint="eastAsia" w:ascii="宋体" w:hAnsi="宋体"/>
                <w:color w:val="000000"/>
                <w:sz w:val="24"/>
                <w:szCs w:val="24"/>
                <w:lang w:val="zh-CN"/>
              </w:rPr>
            </w:pPr>
            <w:r>
              <w:rPr>
                <w:rFonts w:hint="eastAsia" w:ascii="宋体" w:hAnsi="宋体"/>
                <w:color w:val="000000"/>
                <w:sz w:val="24"/>
                <w:szCs w:val="24"/>
                <w:lang w:val="zh-CN" w:eastAsia="zh-CN"/>
              </w:rPr>
              <w:t xml:space="preserve">（</w:t>
            </w:r>
            <w:r>
              <w:rPr>
                <w:rFonts w:hint="eastAsia" w:ascii="宋体" w:hAnsi="宋体"/>
                <w:color w:val="000000"/>
                <w:sz w:val="24"/>
                <w:szCs w:val="24"/>
                <w:lang w:val="zh-CN"/>
              </w:rPr>
              <w:t xml:space="preserve">万元</w:t>
            </w:r>
            <w:r>
              <w:rPr>
                <w:rFonts w:hint="eastAsia" w:ascii="宋体" w:hAnsi="宋体"/>
                <w:color w:val="000000"/>
                <w:sz w:val="24"/>
                <w:szCs w:val="24"/>
                <w:lang w:val="zh-CN" w:eastAsia="zh-CN"/>
              </w:rPr>
              <w:t xml:space="preserve">）</w:t>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w:t>
            </w:r>
            <w:r>
              <w:rPr>
                <w:rFonts w:hint="eastAsia" w:ascii="宋体" w:hAnsi="宋体"/>
                <w:color w:val="000000"/>
                <w:sz w:val="24"/>
                <w:szCs w:val="24"/>
                <w:lang w:val="zh-CN"/>
              </w:rPr>
              <w:t xml:space="preserve">资产</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总额</w:t>
            </w:r>
            <w:r/>
          </w:p>
          <w:p>
            <w:pPr>
              <w:jc w:val="center"/>
              <w:rPr>
                <w:rFonts w:hint="eastAsia" w:ascii="宋体" w:hAnsi="宋体"/>
                <w:color w:val="000000"/>
                <w:sz w:val="24"/>
                <w:szCs w:val="24"/>
                <w:lang w:val="zh-CN"/>
              </w:rPr>
            </w:pPr>
            <w:r>
              <w:rPr>
                <w:rFonts w:hint="eastAsia" w:ascii="宋体" w:hAnsi="宋体"/>
                <w:color w:val="000000"/>
                <w:sz w:val="24"/>
                <w:szCs w:val="24"/>
                <w:lang w:val="zh-CN" w:eastAsia="zh-CN"/>
              </w:rPr>
              <w:t xml:space="preserve">（</w:t>
            </w:r>
            <w:r>
              <w:rPr>
                <w:rFonts w:hint="eastAsia" w:ascii="宋体" w:hAnsi="宋体"/>
                <w:color w:val="000000"/>
                <w:sz w:val="24"/>
                <w:szCs w:val="24"/>
                <w:lang w:val="en-US" w:eastAsia="zh-CN"/>
              </w:rPr>
              <w:t xml:space="preserve">万元</w:t>
            </w:r>
            <w:r>
              <w:rPr>
                <w:rFonts w:hint="eastAsia" w:ascii="宋体" w:hAnsi="宋体"/>
                <w:color w:val="000000"/>
                <w:sz w:val="24"/>
                <w:szCs w:val="24"/>
                <w:lang w:val="zh-CN" w:eastAsia="zh-CN"/>
              </w:rPr>
              <w:t xml:space="preserve">）</w:t>
            </w:r>
            <w:r/>
          </w:p>
        </w:tc>
        <w:tc>
          <w:tcPr>
            <w:tcW w:w="152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*企业类型（</w:t>
            </w:r>
            <w:r>
              <w:rPr>
                <w:rFonts w:hint="eastAsia" w:ascii="宋体" w:hAnsi="宋体"/>
                <w:color w:val="000000"/>
                <w:sz w:val="24"/>
                <w:szCs w:val="24"/>
                <w:lang w:val="zh-CN"/>
              </w:rPr>
              <w:t xml:space="preserve">中型企业</w:t>
            </w:r>
            <w:r>
              <w:rPr>
                <w:rFonts w:hint="eastAsia" w:ascii="宋体" w:hAnsi="宋体"/>
                <w:color w:val="000000"/>
                <w:sz w:val="21"/>
                <w:szCs w:val="21"/>
                <w:lang w:val="zh-CN"/>
              </w:rPr>
              <w:t xml:space="preserve">、</w:t>
            </w:r>
            <w:r>
              <w:rPr>
                <w:rFonts w:hint="eastAsia" w:ascii="宋体" w:hAnsi="宋体"/>
                <w:color w:val="000000"/>
                <w:sz w:val="24"/>
                <w:szCs w:val="24"/>
                <w:lang w:val="zh-CN"/>
              </w:rPr>
              <w:t xml:space="preserve">小型企业</w:t>
            </w:r>
            <w:r>
              <w:rPr>
                <w:rFonts w:hint="eastAsia" w:ascii="宋体" w:hAnsi="宋体"/>
                <w:color w:val="000000"/>
                <w:sz w:val="21"/>
                <w:szCs w:val="21"/>
                <w:lang w:val="zh-CN"/>
              </w:rPr>
              <w:t xml:space="preserve">、</w:t>
            </w:r>
            <w:r>
              <w:rPr>
                <w:rFonts w:hint="eastAsia" w:ascii="宋体" w:hAnsi="宋体"/>
                <w:color w:val="000000"/>
                <w:sz w:val="24"/>
                <w:szCs w:val="24"/>
                <w:lang w:val="zh-CN"/>
              </w:rPr>
              <w:t xml:space="preserve">微型企业</w:t>
            </w:r>
            <w:r>
              <w:rPr>
                <w:rFonts w:hint="eastAsia" w:ascii="宋体" w:hAnsi="宋体"/>
                <w:color w:val="000000"/>
                <w:sz w:val="24"/>
                <w:szCs w:val="24"/>
                <w:lang w:val="en-US" w:eastAsia="zh-CN"/>
              </w:rPr>
              <w:t xml:space="preserve">）</w:t>
            </w:r>
            <w:r/>
          </w:p>
        </w:tc>
      </w:tr>
      <w:tr>
        <w:trPr/>
        <w:tc>
          <w:tcPr>
            <w:tcW w:w="747" w:type="dxa"/>
            <w:vAlign w:val="center"/>
            <w:textDirection w:val="lrTb"/>
            <w:noWrap w:val="false"/>
          </w:tcPr>
          <w:p>
            <w:pPr>
              <w:jc w:val="center"/>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p>
        </w:tc>
        <w:tc>
          <w:tcPr>
            <w:tcW w:w="147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en-US" w:eastAsia="zh-CN"/>
              </w:rPr>
              <w:t xml:space="preserve">油车水库智能型界桩建设项目</w:t>
            </w:r>
            <w:r/>
          </w:p>
        </w:tc>
        <w:tc>
          <w:tcPr>
            <w:tcW w:w="1226" w:type="dxa"/>
            <w:vAlign w:val="center"/>
            <w:textDirection w:val="lrTb"/>
            <w:noWrap w:val="false"/>
          </w:tcPr>
          <w:p>
            <w:pPr>
              <w:jc w:val="center"/>
              <w:rPr>
                <w:rFonts w:hint="eastAsia" w:ascii="宋体" w:hAnsi="宋体"/>
                <w:color w:val="000000"/>
                <w:sz w:val="24"/>
                <w:szCs w:val="24"/>
                <w:lang w:val="zh-CN"/>
              </w:rPr>
            </w:pPr>
            <w:r>
              <w:rPr>
                <w:rFonts w:hint="eastAsia" w:ascii="宋体" w:hAnsi="宋体"/>
                <w:bCs/>
                <w:color w:val="auto"/>
                <w:sz w:val="24"/>
                <w:szCs w:val="24"/>
                <w:highlight w:val="none"/>
                <w:lang w:val="en-US" w:eastAsia="zh-CN"/>
              </w:rPr>
              <w:t xml:space="preserve">其他未列明行业</w:t>
            </w:r>
            <w:r/>
          </w:p>
        </w:tc>
        <w:tc>
          <w:tcPr>
            <w:tcW w:w="1577"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10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c>
          <w:tcPr>
            <w:tcW w:w="152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r>
            <w:r/>
          </w:p>
        </w:tc>
      </w:tr>
    </w:tbl>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spacing w:line="360" w:lineRule="auto"/>
        <w:rPr>
          <w:rFonts w:ascii="宋体"/>
          <w:bCs/>
          <w:sz w:val="24"/>
          <w:szCs w:val="24"/>
          <w:highlight w:val="none"/>
        </w:rPr>
      </w:pPr>
      <w:r>
        <w:rPr>
          <w:rFonts w:ascii="宋体"/>
          <w:bCs/>
          <w:sz w:val="24"/>
          <w:szCs w:val="24"/>
          <w:highlight w:val="none"/>
        </w:rPr>
      </w:r>
      <w:r/>
    </w:p>
    <w:p>
      <w:pPr>
        <w:pStyle w:val="969"/>
        <w:ind w:left="0" w:firstLine="0"/>
        <w:rPr>
          <w:rFonts w:hint="eastAsia"/>
          <w:lang w:val="zh-CN"/>
        </w:rPr>
      </w:pPr>
      <w:r>
        <w:rPr>
          <w:rFonts w:hint="eastAsia" w:ascii="宋体" w:hAnsi="宋体"/>
          <w:bCs/>
          <w:sz w:val="24"/>
          <w:highlight w:val="none"/>
        </w:rPr>
        <w:t xml:space="preserve">                         </w:t>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zh-CN"/>
        </w:rPr>
        <w:t xml:space="preserve">投标人（电子签章）：</w:t>
      </w:r>
      <w:r/>
    </w:p>
    <w:p>
      <w:pPr>
        <w:jc w:val="center"/>
        <w:spacing w:line="360" w:lineRule="auto"/>
        <w:rPr>
          <w:rFonts w:ascii="宋体"/>
          <w:bCs/>
          <w:sz w:val="24"/>
          <w:szCs w:val="24"/>
          <w:highlight w:val="none"/>
        </w:rPr>
      </w:pPr>
      <w:r>
        <w:rPr>
          <w:rFonts w:ascii="宋体"/>
          <w:bCs/>
          <w:sz w:val="24"/>
          <w:szCs w:val="24"/>
          <w:highlight w:val="none"/>
        </w:rPr>
      </w:r>
      <w:r/>
    </w:p>
    <w:p>
      <w:pPr>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w:t>
      </w:r>
      <w:r/>
    </w:p>
    <w:p>
      <w:pPr>
        <w:ind w:firstLine="420"/>
        <w:jc w:val="left"/>
        <w:keepLines w:val="0"/>
        <w:keepNext w:val="0"/>
        <w:pageBreakBefore w:val="0"/>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（1）投标人应准确完整填写相关内容，详见第二章投标人须知相关要求。</w:t>
      </w:r>
      <w:r/>
    </w:p>
    <w:p>
      <w:pPr>
        <w:ind w:firstLine="420"/>
        <w:jc w:val="left"/>
        <w:keepLines w:val="0"/>
        <w:keepNext w:val="0"/>
        <w:pageBreakBefore w:val="0"/>
        <w:spacing w:line="360" w:lineRule="auto"/>
        <w:widowControl w:val="off"/>
        <w:rPr>
          <w:rFonts w:hint="eastAsia" w:ascii="宋体" w:hAnsi="宋体"/>
          <w:bCs/>
          <w:sz w:val="21"/>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sz w:val="21"/>
          <w:szCs w:val="21"/>
          <w:highlight w:val="none"/>
        </w:rPr>
        <w:t xml:space="preserve">（2）从业人员、营业收入、资产总额填报上一年度数据，无上一年度数据的新成立企业可不填报。</w:t>
      </w:r>
      <w:bookmarkStart w:id="208" w:name="OLE_LINK205"/>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附件2：残疾人福利性单位声明函（格式）：</w:t>
      </w:r>
      <w:r/>
    </w:p>
    <w:p>
      <w:pPr>
        <w:spacing w:line="360" w:lineRule="auto"/>
        <w:rPr>
          <w:rFonts w:hint="eastAsia" w:ascii="宋体" w:hAnsi="宋体"/>
          <w:sz w:val="28"/>
          <w:highlight w:val="none"/>
        </w:rPr>
      </w:pPr>
      <w:r>
        <w:rPr>
          <w:rFonts w:hint="eastAsia" w:ascii="宋体" w:hAnsi="宋体"/>
          <w:sz w:val="28"/>
          <w:highlight w:val="none"/>
        </w:rPr>
      </w:r>
      <w:r/>
    </w:p>
    <w:p>
      <w:pPr>
        <w:jc w:val="center"/>
        <w:rPr>
          <w:rFonts w:hint="eastAsia" w:ascii="黑体" w:eastAsia="黑体"/>
          <w:bCs/>
          <w:sz w:val="28"/>
          <w:szCs w:val="28"/>
          <w:highlight w:val="none"/>
        </w:rPr>
      </w:pPr>
      <w:r/>
      <w:bookmarkStart w:id="209" w:name="OLE_LINK64"/>
      <w:r/>
      <w:bookmarkStart w:id="210" w:name="OLE_LINK33"/>
      <w:r>
        <w:rPr>
          <w:rFonts w:hint="eastAsia" w:ascii="黑体" w:eastAsia="黑体"/>
          <w:bCs/>
          <w:sz w:val="28"/>
          <w:szCs w:val="28"/>
          <w:highlight w:val="none"/>
        </w:rPr>
        <w:t xml:space="preserve">残疾人福利性单位</w:t>
      </w:r>
      <w:bookmarkEnd w:id="209"/>
      <w:r>
        <w:rPr>
          <w:rFonts w:hint="eastAsia" w:ascii="黑体" w:eastAsia="黑体"/>
          <w:bCs/>
          <w:sz w:val="28"/>
          <w:szCs w:val="28"/>
          <w:highlight w:val="none"/>
        </w:rPr>
        <w:t xml:space="preserve">声明函</w:t>
      </w:r>
      <w:bookmarkEnd w:id="208"/>
      <w:r/>
      <w:bookmarkEnd w:id="210"/>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项目采购活动</w:t>
      </w:r>
      <w:r>
        <w:rPr>
          <w:rFonts w:ascii="宋体" w:hAnsi="宋体"/>
          <w:bCs/>
          <w:sz w:val="24"/>
          <w:szCs w:val="24"/>
          <w:highlight w:val="none"/>
        </w:rPr>
        <w:t xml:space="preserve">由本单位提供服务</w:t>
      </w:r>
      <w:r>
        <w:rPr>
          <w:rFonts w:hint="eastAsia" w:ascii="宋体" w:hAnsi="宋体"/>
          <w:bCs/>
          <w:sz w:val="24"/>
          <w:szCs w:val="24"/>
          <w:highlight w:val="none"/>
        </w:rPr>
        <w:t xml:space="preserve">。</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bookmarkEnd w:id="207"/>
      <w:r/>
      <w:r/>
    </w:p>
    <w:p>
      <w:pPr>
        <w:pStyle w:val="969"/>
        <w:ind w:left="0" w:firstLine="0"/>
        <w:rPr>
          <w:rFonts w:hint="eastAsia"/>
          <w:lang w:val="zh-CN"/>
        </w:rPr>
      </w:pPr>
      <w:r>
        <w:rPr>
          <w:rFonts w:hint="eastAsia" w:ascii="宋体" w:hAnsi="宋体"/>
          <w:bCs/>
          <w:sz w:val="24"/>
          <w:highlight w:val="none"/>
        </w:rPr>
        <w:t xml:space="preserve">                            </w:t>
      </w:r>
      <w:r/>
    </w:p>
    <w:p>
      <w:pPr>
        <w:ind w:left="0" w:firstLine="5280"/>
        <w:jc w:val="center"/>
        <w:keepLines w:val="0"/>
        <w:keepNext w:val="0"/>
        <w:pageBreakBefore w:val="0"/>
        <w:spacing w:line="360" w:lineRule="auto"/>
        <w:widowControl w:val="off"/>
        <w:rPr>
          <w:rFonts w:hint="eastAsia" w:ascii="宋体" w:hAnsi="宋体"/>
          <w:bCs/>
          <w:sz w:val="24"/>
          <w:highlight w:val="none"/>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sz w:val="24"/>
          <w:highlight w:val="none"/>
        </w:rPr>
        <w:t xml:space="preserve"> </w:t>
      </w:r>
      <w:r>
        <w:rPr>
          <w:rFonts w:hint="eastAsia"/>
          <w:sz w:val="24"/>
          <w:szCs w:val="24"/>
          <w:highlight w:val="none"/>
        </w:rPr>
        <w:t xml:space="preserve">投标人</w:t>
      </w:r>
      <w:r>
        <w:rPr>
          <w:rFonts w:hint="eastAsia" w:ascii="宋体" w:hAnsi="宋体"/>
          <w:bCs/>
          <w:sz w:val="24"/>
          <w:highlight w:val="none"/>
          <w:lang w:val="zh-CN"/>
        </w:rPr>
        <w:t xml:space="preserve">（电子签章）：</w:t>
      </w:r>
      <w:bookmarkEnd w:id="202"/>
      <w:r/>
      <w:r/>
    </w:p>
    <w:p>
      <w:pPr>
        <w:jc w:val="left"/>
        <w:spacing w:line="360" w:lineRule="auto"/>
        <w:tabs>
          <w:tab w:val="left" w:pos="255" w:leader="none"/>
        </w:tabs>
        <w:rPr>
          <w:rFonts w:hint="eastAsia" w:ascii="黑体" w:hAnsi="宋体" w:eastAsia="黑体"/>
          <w:bCs/>
          <w:sz w:val="24"/>
          <w:szCs w:val="24"/>
          <w:highlight w:val="none"/>
          <w:lang w:val="zh-CN"/>
        </w:rPr>
      </w:pPr>
      <w:r>
        <w:rPr>
          <w:rFonts w:hint="eastAsia" w:ascii="黑体" w:hAnsi="宋体" w:eastAsia="黑体" w:cs="Times New Roman"/>
          <w:bCs/>
          <w:sz w:val="24"/>
          <w:szCs w:val="24"/>
          <w:highlight w:val="none"/>
          <w:lang w:val="zh-CN"/>
        </w:rPr>
        <w:t xml:space="preserve">（五）其他相关材料</w:t>
      </w:r>
      <w:r/>
    </w:p>
    <w:p>
      <w:pPr>
        <w:ind w:firstLine="480"/>
        <w:jc w:val="both"/>
        <w:keepLines w:val="0"/>
        <w:keepNext w:val="0"/>
        <w:pageBreakBefore w:val="0"/>
        <w:spacing w:line="360" w:lineRule="auto"/>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p>
      <w:pPr>
        <w:ind w:firstLine="480"/>
        <w:jc w:val="both"/>
        <w:keepLines w:val="0"/>
        <w:keepNext w:val="0"/>
        <w:pageBreakBefore w:val="0"/>
        <w:spacing w:line="360" w:lineRule="auto"/>
        <w:widowControl w:val="off"/>
      </w:pPr>
      <w:r>
        <w:rPr>
          <w:rFonts w:hint="eastAsia" w:ascii="宋体" w:hAnsi="宋体" w:cs="宋体"/>
          <w:bCs/>
          <w:sz w:val="24"/>
          <w:szCs w:val="24"/>
          <w:highlight w:val="none"/>
          <w:lang w:val="zh-CN"/>
        </w:rPr>
        <w:t xml:space="preserve">投标人</w:t>
      </w:r>
      <w:r>
        <w:rPr>
          <w:rFonts w:hint="eastAsia" w:ascii="宋体" w:hAnsi="宋体" w:eastAsia="宋体" w:cs="宋体"/>
          <w:bCs/>
          <w:sz w:val="24"/>
          <w:szCs w:val="24"/>
          <w:highlight w:val="none"/>
          <w:lang w:val="zh-CN"/>
        </w:rPr>
        <w:t xml:space="preserve">根据</w:t>
      </w:r>
      <w:r>
        <w:rPr>
          <w:rFonts w:hint="eastAsia" w:ascii="宋体" w:hAnsi="宋体" w:cs="宋体"/>
          <w:bCs/>
          <w:sz w:val="24"/>
          <w:szCs w:val="24"/>
          <w:highlight w:val="none"/>
          <w:lang w:val="zh-CN"/>
        </w:rPr>
        <w:t xml:space="preserve">评标方法和标准</w:t>
      </w:r>
      <w:r>
        <w:rPr>
          <w:rFonts w:hint="eastAsia" w:ascii="宋体" w:hAnsi="宋体" w:eastAsia="宋体" w:cs="宋体"/>
          <w:bCs/>
          <w:sz w:val="24"/>
          <w:szCs w:val="24"/>
          <w:highlight w:val="none"/>
          <w:lang w:val="zh-CN"/>
        </w:rPr>
        <w:t xml:space="preserve">等要求，提交认为需要提供的相关证明材料，如未提供证明材料的，相关评分项不得分。</w:t>
      </w:r>
      <w:r/>
    </w:p>
    <w:p>
      <w:r/>
      <w:r/>
    </w:p>
    <w:p>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- 39 -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- 41 -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- 41 -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0"/>
  </w:num>
  <w:num w:numId="4">
    <w:abstractNumId w:val="13"/>
  </w:num>
  <w:num w:numId="5">
    <w:abstractNumId w:val="11"/>
  </w:num>
  <w:num w:numId="6">
    <w:abstractNumId w:val="15"/>
  </w:num>
  <w:num w:numId="7">
    <w:abstractNumId w:val="5"/>
  </w:num>
  <w:num w:numId="8">
    <w:abstractNumId w:val="6"/>
  </w:num>
  <w:num w:numId="9">
    <w:abstractNumId w:val="14"/>
  </w:num>
  <w:num w:numId="10">
    <w:abstractNumId w:val="1"/>
  </w:num>
  <w:num w:numId="11">
    <w:abstractNumId w:val="2"/>
  </w:num>
  <w:num w:numId="12">
    <w:abstractNumId w:val="16"/>
  </w:num>
  <w:num w:numId="13">
    <w:abstractNumId w:val="9"/>
  </w:num>
  <w:num w:numId="14">
    <w:abstractNumId w:val="8"/>
  </w:num>
  <w:num w:numId="15">
    <w:abstractNumId w:val="3"/>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7"/>
    <w:next w:val="957"/>
    <w:link w:val="784"/>
    <w:uiPriority w:val="9"/>
    <w:qFormat/>
    <w:pPr>
      <w:keepLines/>
      <w:keepNext/>
      <w:spacing w:before="480" w:after="200"/>
      <w:outlineLvl w:val="0"/>
    </w:pPr>
    <w:rPr>
      <w:rFonts w:ascii="Arial" w:hAnsi="Arial" w:eastAsia="Arial" w:cs="Arial"/>
      <w:sz w:val="40"/>
      <w:szCs w:val="40"/>
    </w:rPr>
  </w:style>
  <w:style w:type="character" w:styleId="784">
    <w:name w:val="Heading 1 Char"/>
    <w:basedOn w:val="958"/>
    <w:link w:val="783"/>
    <w:uiPriority w:val="9"/>
    <w:rPr>
      <w:rFonts w:ascii="Arial" w:hAnsi="Arial" w:eastAsia="Arial" w:cs="Arial"/>
      <w:sz w:val="40"/>
      <w:szCs w:val="40"/>
    </w:rPr>
  </w:style>
  <w:style w:type="paragraph" w:styleId="785">
    <w:name w:val="Heading 2"/>
    <w:basedOn w:val="957"/>
    <w:next w:val="957"/>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basedOn w:val="958"/>
    <w:link w:val="785"/>
    <w:uiPriority w:val="9"/>
    <w:rPr>
      <w:rFonts w:ascii="Arial" w:hAnsi="Arial" w:eastAsia="Arial" w:cs="Arial"/>
      <w:sz w:val="34"/>
    </w:rPr>
  </w:style>
  <w:style w:type="paragraph" w:styleId="787">
    <w:name w:val="Heading 3"/>
    <w:basedOn w:val="957"/>
    <w:next w:val="957"/>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basedOn w:val="958"/>
    <w:link w:val="787"/>
    <w:uiPriority w:val="9"/>
    <w:rPr>
      <w:rFonts w:ascii="Arial" w:hAnsi="Arial" w:eastAsia="Arial" w:cs="Arial"/>
      <w:sz w:val="30"/>
      <w:szCs w:val="30"/>
    </w:rPr>
  </w:style>
  <w:style w:type="paragraph" w:styleId="789">
    <w:name w:val="Heading 4"/>
    <w:basedOn w:val="957"/>
    <w:next w:val="957"/>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basedOn w:val="958"/>
    <w:link w:val="789"/>
    <w:uiPriority w:val="9"/>
    <w:rPr>
      <w:rFonts w:ascii="Arial" w:hAnsi="Arial" w:eastAsia="Arial" w:cs="Arial"/>
      <w:b/>
      <w:bCs/>
      <w:sz w:val="26"/>
      <w:szCs w:val="26"/>
    </w:rPr>
  </w:style>
  <w:style w:type="paragraph" w:styleId="791">
    <w:name w:val="Heading 5"/>
    <w:basedOn w:val="957"/>
    <w:next w:val="957"/>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basedOn w:val="958"/>
    <w:link w:val="791"/>
    <w:uiPriority w:val="9"/>
    <w:rPr>
      <w:rFonts w:ascii="Arial" w:hAnsi="Arial" w:eastAsia="Arial" w:cs="Arial"/>
      <w:b/>
      <w:bCs/>
      <w:sz w:val="24"/>
      <w:szCs w:val="24"/>
    </w:rPr>
  </w:style>
  <w:style w:type="paragraph" w:styleId="793">
    <w:name w:val="Heading 6"/>
    <w:basedOn w:val="957"/>
    <w:next w:val="95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basedOn w:val="958"/>
    <w:link w:val="793"/>
    <w:uiPriority w:val="9"/>
    <w:rPr>
      <w:rFonts w:ascii="Arial" w:hAnsi="Arial" w:eastAsia="Arial" w:cs="Arial"/>
      <w:b/>
      <w:bCs/>
      <w:sz w:val="22"/>
      <w:szCs w:val="22"/>
    </w:rPr>
  </w:style>
  <w:style w:type="paragraph" w:styleId="795">
    <w:name w:val="Heading 7"/>
    <w:basedOn w:val="957"/>
    <w:next w:val="95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8"/>
    <w:link w:val="795"/>
    <w:uiPriority w:val="9"/>
    <w:rPr>
      <w:rFonts w:ascii="Arial" w:hAnsi="Arial" w:eastAsia="Arial" w:cs="Arial"/>
      <w:b/>
      <w:bCs/>
      <w:i/>
      <w:iCs/>
      <w:sz w:val="22"/>
      <w:szCs w:val="22"/>
    </w:rPr>
  </w:style>
  <w:style w:type="paragraph" w:styleId="797">
    <w:name w:val="Heading 8"/>
    <w:basedOn w:val="957"/>
    <w:next w:val="95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58"/>
    <w:link w:val="797"/>
    <w:uiPriority w:val="9"/>
    <w:rPr>
      <w:rFonts w:ascii="Arial" w:hAnsi="Arial" w:eastAsia="Arial" w:cs="Arial"/>
      <w:i/>
      <w:iCs/>
      <w:sz w:val="22"/>
      <w:szCs w:val="22"/>
    </w:rPr>
  </w:style>
  <w:style w:type="paragraph" w:styleId="799">
    <w:name w:val="Heading 9"/>
    <w:basedOn w:val="957"/>
    <w:next w:val="957"/>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58"/>
    <w:link w:val="799"/>
    <w:uiPriority w:val="9"/>
    <w:rPr>
      <w:rFonts w:ascii="Arial" w:hAnsi="Arial" w:eastAsia="Arial" w:cs="Arial"/>
      <w:i/>
      <w:iCs/>
      <w:sz w:val="21"/>
      <w:szCs w:val="21"/>
    </w:rPr>
  </w:style>
  <w:style w:type="paragraph" w:styleId="801">
    <w:name w:val="List Paragraph"/>
    <w:basedOn w:val="957"/>
    <w:uiPriority w:val="34"/>
    <w:qFormat/>
    <w:pPr>
      <w:contextualSpacing/>
      <w:ind w:left="720"/>
    </w:pPr>
  </w:style>
  <w:style w:type="paragraph" w:styleId="802">
    <w:name w:val="No Spacing"/>
    <w:uiPriority w:val="1"/>
    <w:qFormat/>
    <w:pPr>
      <w:spacing w:before="0" w:after="0" w:line="240" w:lineRule="auto"/>
    </w:pPr>
  </w:style>
  <w:style w:type="character" w:styleId="803">
    <w:name w:val="Title Char"/>
    <w:basedOn w:val="958"/>
    <w:link w:val="962"/>
    <w:uiPriority w:val="10"/>
    <w:rPr>
      <w:sz w:val="48"/>
      <w:szCs w:val="48"/>
    </w:rPr>
  </w:style>
  <w:style w:type="paragraph" w:styleId="804">
    <w:name w:val="Subtitle"/>
    <w:basedOn w:val="957"/>
    <w:next w:val="957"/>
    <w:link w:val="805"/>
    <w:uiPriority w:val="11"/>
    <w:qFormat/>
    <w:pPr>
      <w:spacing w:before="200" w:after="200"/>
    </w:pPr>
    <w:rPr>
      <w:sz w:val="24"/>
      <w:szCs w:val="24"/>
    </w:rPr>
  </w:style>
  <w:style w:type="character" w:styleId="805">
    <w:name w:val="Subtitle Char"/>
    <w:basedOn w:val="958"/>
    <w:link w:val="804"/>
    <w:uiPriority w:val="11"/>
    <w:rPr>
      <w:sz w:val="24"/>
      <w:szCs w:val="24"/>
    </w:rPr>
  </w:style>
  <w:style w:type="paragraph" w:styleId="806">
    <w:name w:val="Quote"/>
    <w:basedOn w:val="957"/>
    <w:next w:val="957"/>
    <w:link w:val="807"/>
    <w:uiPriority w:val="29"/>
    <w:qFormat/>
    <w:pPr>
      <w:ind w:left="720" w:right="720"/>
    </w:pPr>
    <w:rPr>
      <w:i/>
    </w:rPr>
  </w:style>
  <w:style w:type="character" w:styleId="807">
    <w:name w:val="Quote Char"/>
    <w:link w:val="806"/>
    <w:uiPriority w:val="29"/>
    <w:rPr>
      <w:i/>
    </w:rPr>
  </w:style>
  <w:style w:type="paragraph" w:styleId="808">
    <w:name w:val="Intense Quote"/>
    <w:basedOn w:val="957"/>
    <w:next w:val="957"/>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57"/>
    <w:link w:val="811"/>
    <w:uiPriority w:val="99"/>
    <w:unhideWhenUsed/>
    <w:pPr>
      <w:spacing w:after="0" w:line="240" w:lineRule="auto"/>
      <w:tabs>
        <w:tab w:val="center" w:pos="7143" w:leader="none"/>
        <w:tab w:val="right" w:pos="14287" w:leader="none"/>
      </w:tabs>
    </w:pPr>
  </w:style>
  <w:style w:type="character" w:styleId="811">
    <w:name w:val="Header Char"/>
    <w:basedOn w:val="958"/>
    <w:link w:val="810"/>
    <w:uiPriority w:val="99"/>
  </w:style>
  <w:style w:type="character" w:styleId="812">
    <w:name w:val="Footer Char"/>
    <w:basedOn w:val="958"/>
    <w:link w:val="960"/>
    <w:uiPriority w:val="99"/>
  </w:style>
  <w:style w:type="paragraph" w:styleId="813">
    <w:name w:val="Caption"/>
    <w:basedOn w:val="957"/>
    <w:next w:val="957"/>
    <w:uiPriority w:val="35"/>
    <w:semiHidden/>
    <w:unhideWhenUsed/>
    <w:qFormat/>
    <w:pPr>
      <w:spacing w:line="276" w:lineRule="auto"/>
    </w:pPr>
    <w:rPr>
      <w:b/>
      <w:bCs/>
      <w:color w:val="4f81bd" w:themeColor="accent1"/>
      <w:sz w:val="18"/>
      <w:szCs w:val="18"/>
    </w:rPr>
  </w:style>
  <w:style w:type="character" w:styleId="814">
    <w:name w:val="Caption Char"/>
    <w:basedOn w:val="813"/>
    <w:link w:val="960"/>
    <w:uiPriority w:val="99"/>
  </w:style>
  <w:style w:type="table" w:styleId="815">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1">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2">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3">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4">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5">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6">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3">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6">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7">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8">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9">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0">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1">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3">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4">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5">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6">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7">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8">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7">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8">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9">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0">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1">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2">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4">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5">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6">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7">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8">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9">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1">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5">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8">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2">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7"/>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58"/>
    <w:uiPriority w:val="99"/>
    <w:unhideWhenUsed/>
    <w:rPr>
      <w:vertAlign w:val="superscript"/>
    </w:rPr>
  </w:style>
  <w:style w:type="paragraph" w:styleId="944">
    <w:name w:val="endnote text"/>
    <w:basedOn w:val="957"/>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basedOn w:val="958"/>
    <w:uiPriority w:val="99"/>
    <w:semiHidden/>
    <w:unhideWhenUsed/>
    <w:rPr>
      <w:vertAlign w:val="superscript"/>
    </w:r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958" w:default="1">
    <w:name w:val="Default Paragraph Font"/>
    <w:uiPriority w:val="0"/>
    <w:semiHidden/>
    <w:qFormat/>
  </w:style>
  <w:style w:type="table" w:styleId="959" w:default="1">
    <w:name w:val="Normal Table"/>
    <w:uiPriority w:val="0"/>
    <w:semiHidden/>
    <w:qFormat/>
    <w:tblPr>
      <w:tblCellMar>
        <w:left w:w="108" w:type="dxa"/>
        <w:top w:w="0" w:type="dxa"/>
        <w:right w:w="108" w:type="dxa"/>
        <w:bottom w:w="0" w:type="dxa"/>
      </w:tblCellMar>
    </w:tblPr>
  </w:style>
  <w:style w:type="paragraph" w:styleId="960">
    <w:name w:val="Footer"/>
    <w:basedOn w:val="957"/>
    <w:uiPriority w:val="99"/>
    <w:qFormat/>
    <w:pPr>
      <w:jc w:val="left"/>
      <w:tabs>
        <w:tab w:val="center" w:pos="4153" w:leader="none"/>
        <w:tab w:val="right" w:pos="8306" w:leader="none"/>
      </w:tabs>
    </w:pPr>
    <w:rPr>
      <w:sz w:val="18"/>
    </w:rPr>
  </w:style>
  <w:style w:type="paragraph" w:styleId="961">
    <w:name w:val="toc 1"/>
    <w:basedOn w:val="957"/>
    <w:next w:val="957"/>
    <w:uiPriority w:val="0"/>
    <w:qFormat/>
  </w:style>
  <w:style w:type="paragraph" w:styleId="962">
    <w:name w:val="Title"/>
    <w:basedOn w:val="957"/>
    <w:next w:val="957"/>
    <w:uiPriority w:val="0"/>
    <w:qFormat/>
    <w:pPr>
      <w:jc w:val="center"/>
      <w:spacing w:before="240" w:after="60" w:line="420" w:lineRule="atLeast"/>
      <w:outlineLvl w:val="0"/>
    </w:pPr>
    <w:rPr>
      <w:rFonts w:ascii="Arial" w:hAnsi="Arial"/>
      <w:b/>
      <w:sz w:val="32"/>
    </w:rPr>
  </w:style>
  <w:style w:type="table" w:styleId="963">
    <w:name w:val="Table Grid"/>
    <w:basedOn w:val="9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name w:val="FollowedHyperlink"/>
    <w:uiPriority w:val="0"/>
    <w:qFormat/>
    <w:rPr>
      <w:color w:val="auto"/>
      <w:u w:val="none"/>
    </w:rPr>
  </w:style>
  <w:style w:type="paragraph" w:styleId="965" w:customStyle="1">
    <w:name w:val="普通文字"/>
    <w:basedOn w:val="957"/>
    <w:next w:val="957"/>
    <w:uiPriority w:val="99"/>
    <w:qFormat/>
    <w:rPr>
      <w:rFonts w:ascii="宋体"/>
      <w:sz w:val="24"/>
      <w:u w:val="none"/>
    </w:rPr>
  </w:style>
  <w:style w:type="paragraph" w:styleId="966" w:customStyle="1">
    <w:name w:val="正文缩进1"/>
    <w:basedOn w:val="957"/>
    <w:uiPriority w:val="0"/>
    <w:qFormat/>
    <w:pPr>
      <w:ind w:firstLine="420"/>
      <w:jc w:val="left"/>
    </w:pPr>
    <w:rPr>
      <w:rFonts w:ascii="宋体" w:hAnsi="Calibri" w:eastAsia="宋体" w:cs="Times New Roman"/>
      <w:sz w:val="24"/>
      <w:szCs w:val="22"/>
    </w:rPr>
  </w:style>
  <w:style w:type="paragraph" w:styleId="967" w:customStyle="1">
    <w:name w:val="索引 11"/>
    <w:basedOn w:val="957"/>
    <w:next w:val="957"/>
    <w:uiPriority w:val="0"/>
    <w:qFormat/>
    <w:pPr>
      <w:spacing w:line="360" w:lineRule="auto"/>
    </w:pPr>
    <w:rPr>
      <w:rFonts w:ascii="仿宋_GB2312" w:eastAsia="仿宋_GB2312"/>
      <w:sz w:val="24"/>
      <w:szCs w:val="20"/>
    </w:rPr>
  </w:style>
  <w:style w:type="paragraph" w:styleId="968" w:customStyle="1">
    <w:name w:val="纯文本1"/>
    <w:basedOn w:val="957"/>
    <w:uiPriority w:val="0"/>
    <w:qFormat/>
    <w:rPr>
      <w:rFonts w:ascii="宋体" w:hAnsi="Courier New" w:eastAsia="宋体" w:cs="Times New Roman"/>
      <w:szCs w:val="22"/>
    </w:rPr>
  </w:style>
  <w:style w:type="paragraph" w:styleId="969" w:customStyle="1">
    <w:name w:val="首行缩进"/>
    <w:basedOn w:val="957"/>
    <w:uiPriority w:val="0"/>
    <w:qFormat/>
    <w:pPr>
      <w:ind w:firstLine="480"/>
      <w:jc w:val="left"/>
      <w:spacing w:line="360" w:lineRule="auto"/>
    </w:pPr>
    <w:rPr>
      <w:rFonts w:ascii="宋体" w:hAnsi="宋体"/>
      <w:sz w:val="24"/>
    </w:rPr>
  </w:style>
  <w:style w:type="paragraph" w:styleId="970" w:customStyle="1">
    <w:name w:val="普通(网站)1"/>
    <w:basedOn w:val="957"/>
    <w:uiPriority w:val="99"/>
    <w:unhideWhenUsed/>
    <w:qFormat/>
    <w:pPr>
      <w:jc w:val="left"/>
      <w:spacing w:before="100" w:beforeAutospacing="1" w:after="100" w:afterAutospacing="1"/>
    </w:pPr>
    <w:rPr>
      <w:rFonts w:ascii="Times New Roman" w:hAnsi="Times New Roman"/>
      <w:sz w:val="24"/>
    </w:rPr>
  </w:style>
  <w:style w:type="paragraph" w:styleId="971" w:customStyle="1">
    <w:name w:val="表格"/>
    <w:basedOn w:val="957"/>
    <w:uiPriority w:val="0"/>
    <w:qFormat/>
    <w:pPr>
      <w:ind w:firstLine="0"/>
      <w:jc w:val="center"/>
      <w:spacing w:line="240" w:lineRule="auto"/>
    </w:pPr>
    <w:rPr>
      <w:rFonts w:hint="eastAsia" w:ascii="Times New Roman" w:hAnsi="Times New Roman" w:cs="Times New Roman"/>
      <w:szCs w:val="24"/>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LiJiaQing</dc:creator>
  <cp:lastModifiedBy>李家庆</cp:lastModifiedBy>
  <cp:revision>6</cp:revision>
  <dcterms:created xsi:type="dcterms:W3CDTF">2025-04-14T07:35:00Z</dcterms:created>
  <dcterms:modified xsi:type="dcterms:W3CDTF">2025-05-28T02:35:54Z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154EAAED38BA4A8197E952DA03DDB14D</vt:lpwstr>
  </property>
  <property fmtid="{D5CDD505-2E9C-101B-9397-08002B2CF9AE}" pid="4" name="KSOTemplateDocerSaveRecord">
    <vt:lpwstr>eyJoZGlkIjoiZGUxMGE3OTkzZjcyZjQyNDc0OTIwYWRhYWI1MmUyNWYiLCJ1c2VySWQiOiIyNDk2MTM0NTIifQ==</vt:lpwstr>
  </property>
</Properties>
</file>