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51" w:name="_GoBack"/>
      <w:r>
        <w:rPr>
          <w:rFonts w:hint="eastAsia" w:ascii="宋体" w:hAnsi="宋体" w:eastAsia="宋体" w:cs="宋体"/>
          <w:b/>
          <w:color w:val="auto"/>
          <w:sz w:val="84"/>
          <w:highlight w:val="none"/>
        </w:rPr>
        <w:t xml:space="preserve">  招　标　文　件</w:t>
      </w:r>
      <w:r>
        <w:rPr>
          <w:rFonts w:hint="eastAsia" w:ascii="宋体" w:hAnsi="宋体" w:eastAsia="宋体" w:cs="宋体"/>
          <w:color w:val="auto"/>
          <w:highlight w:val="none"/>
        </w:rPr>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项目名称：</w:t>
      </w:r>
      <w:r>
        <w:rPr>
          <w:rFonts w:hint="eastAsia" w:ascii="宋体" w:hAnsi="宋体" w:eastAsia="宋体" w:cs="宋体"/>
          <w:b/>
          <w:color w:val="auto"/>
          <w:sz w:val="32"/>
          <w:highlight w:val="none"/>
        </w:rPr>
        <w:t xml:space="preserve">泗洪姜堰实验学校信息化设备采购项目</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项目编号</w:t>
      </w:r>
      <w:r>
        <w:rPr>
          <w:rFonts w:hint="eastAsia" w:ascii="宋体" w:hAnsi="宋体" w:eastAsia="宋体" w:cs="宋体"/>
          <w:b/>
          <w:color w:val="auto"/>
          <w:sz w:val="32"/>
          <w:highlight w:val="none"/>
        </w:rPr>
        <w:t xml:space="preserve">：JSZC-321324-XSZX-G2024-0005</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hint="eastAsia" w:ascii="宋体" w:hAnsi="宋体" w:eastAsia="宋体" w:cs="宋体"/>
          <w:b/>
          <w:color w:val="auto"/>
          <w:sz w:val="30"/>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30"/>
          <w:highlight w:val="none"/>
        </w:rPr>
        <w:t xml:space="preserve"> </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w:t>
      </w:r>
      <w:r>
        <w:rPr>
          <w:rFonts w:hint="eastAsia" w:ascii="宋体" w:hAnsi="宋体" w:eastAsia="宋体" w:cs="宋体"/>
          <w:b/>
          <w:color w:val="auto"/>
          <w:sz w:val="30"/>
          <w:highlight w:val="none"/>
          <w:u w:val="single"/>
        </w:rPr>
        <w:t xml:space="preserve">货物</w:t>
      </w:r>
      <w:r>
        <w:rPr>
          <w:rFonts w:hint="eastAsia" w:ascii="宋体" w:hAnsi="宋体" w:eastAsia="宋体" w:cs="宋体"/>
          <w:b/>
          <w:color w:val="auto"/>
          <w:sz w:val="30"/>
          <w:highlight w:val="none"/>
        </w:rPr>
        <w:t xml:space="preserve">类项目，</w:t>
      </w:r>
      <w:r>
        <w:rPr>
          <w:rFonts w:hint="eastAsia" w:ascii="宋体" w:hAnsi="宋体" w:eastAsia="宋体" w:cs="宋体"/>
          <w:b/>
          <w:color w:val="auto"/>
          <w:sz w:val="30"/>
          <w:highlight w:val="none"/>
          <w:u w:val="single"/>
        </w:rPr>
        <w:t xml:space="preserve">本项目非</w:t>
      </w:r>
      <w:r>
        <w:rPr>
          <w:rFonts w:hint="eastAsia" w:ascii="宋体" w:hAnsi="宋体" w:eastAsia="宋体" w:cs="宋体"/>
          <w:b/>
          <w:color w:val="auto"/>
          <w:sz w:val="30"/>
          <w:highlight w:val="none"/>
        </w:rPr>
        <w:t xml:space="preserve">专门面向中小企业）</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82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采购人：</w:t>
      </w:r>
      <w:r>
        <w:rPr>
          <w:rFonts w:hint="eastAsia" w:ascii="宋体" w:hAnsi="宋体" w:eastAsia="宋体" w:cs="宋体"/>
          <w:b/>
          <w:color w:val="auto"/>
          <w:sz w:val="32"/>
          <w:highlight w:val="none"/>
          <w:u w:val="single"/>
        </w:rPr>
        <w:t xml:space="preserve">泗洪姜堰实验学校</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u w:val="single"/>
        </w:rPr>
        <w:t xml:space="preserve">江苏襄盛工程咨询有限公司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u w:val="single"/>
        </w:rPr>
        <w:t xml:space="preserve">2024</w:t>
      </w:r>
      <w:r>
        <w:rPr>
          <w:rFonts w:hint="eastAsia" w:ascii="宋体" w:hAnsi="宋体" w:eastAsia="宋体" w:cs="宋体"/>
          <w:b/>
          <w:color w:val="auto"/>
          <w:sz w:val="32"/>
          <w:highlight w:val="none"/>
        </w:rPr>
        <w:t xml:space="preserve">年</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u w:val="single"/>
          <w:lang w:val="en-US" w:eastAsia="zh-CN"/>
        </w:rPr>
        <w:t xml:space="preserve">6</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月</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u w:val="single"/>
          <w:lang w:val="en-US" w:eastAsia="zh-CN"/>
        </w:rPr>
        <w:t xml:space="preserve">27</w:t>
      </w:r>
      <w:r>
        <w:rPr>
          <w:rFonts w:hint="eastAsia" w:ascii="宋体" w:hAnsi="宋体" w:eastAsia="宋体" w:cs="宋体"/>
          <w:b/>
          <w:color w:val="auto"/>
          <w:sz w:val="32"/>
          <w:highlight w:val="none"/>
          <w:u w:val="single"/>
        </w:rPr>
        <w:t xml:space="preserve">  </w:t>
      </w:r>
      <w:r>
        <w:rPr>
          <w:rFonts w:hint="eastAsia" w:ascii="宋体" w:hAnsi="宋体" w:eastAsia="宋体" w:cs="宋体"/>
          <w:b/>
          <w:color w:val="auto"/>
          <w:sz w:val="32"/>
          <w:highlight w:val="none"/>
        </w:rPr>
        <w:t xml:space="preserve">日</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jc w:val="center"/>
        <w:spacing w:line="11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pStyle w:val="820"/>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spacing w:line="11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 </w:t>
      </w:r>
      <w:r>
        <w:rPr>
          <w:rFonts w:hint="eastAsia" w:ascii="宋体" w:hAnsi="宋体" w:eastAsia="宋体" w:cs="宋体"/>
          <w:b/>
          <w:color w:val="auto"/>
          <w:sz w:val="44"/>
          <w:highlight w:val="none"/>
        </w:rPr>
        <w:t xml:space="preserve">总目录</w:t>
      </w:r>
      <w:r/>
    </w:p>
    <w:p>
      <w:pPr>
        <w:spacing w:line="11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 </w:t>
      </w:r>
      <w:r/>
    </w:p>
    <w:sdt>
      <w:sdtPr>
        <w15:appearance w15:val="boundingBox"/>
        <w15:color w:val="dbdbdb"/>
        <w:id w:val="147467966"/>
        <w:docPartObj>
          <w:docPartGallery w:val="Table of Contents"/>
          <w:docPartUnique w:val="true"/>
        </w:docPartObj>
        <w:rPr>
          <w:rFonts w:ascii="宋体" w:hAnsi="宋体" w:eastAsia="宋体" w:cs="Times New Roman"/>
          <w:color w:val="auto"/>
          <w:sz w:val="21"/>
          <w:szCs w:val="21"/>
          <w:highlight w:val="none"/>
          <w:lang w:val="en-US" w:eastAsia="zh-CN" w:bidi="ar-SA"/>
        </w:rPr>
      </w:sdtPr>
      <w:sdtContent>
        <w:p>
          <w:pPr>
            <w:ind w:left="0" w:right="0" w:firstLine="0"/>
            <w:jc w:val="center"/>
            <w:spacing w:before="0" w:after="0" w:line="240" w:lineRule="auto"/>
            <w:rPr>
              <w:color w:val="auto"/>
              <w:sz w:val="40"/>
              <w:szCs w:val="40"/>
              <w:highlight w:val="none"/>
            </w:rPr>
          </w:pPr>
          <w:r>
            <w:rPr>
              <w:color w:val="auto"/>
              <w:sz w:val="40"/>
              <w:szCs w:val="40"/>
              <w:highlight w:val="none"/>
            </w:rPr>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TOC \o "1-1" \h \u </w:instrText>
          </w:r>
          <w:r>
            <w:rPr>
              <w:color w:val="auto"/>
              <w:sz w:val="36"/>
              <w:szCs w:val="36"/>
              <w:highlight w:val="none"/>
            </w:rPr>
            <w:fldChar w:fldCharType="separate"/>
          </w:r>
          <w:r>
            <w:rPr>
              <w:color w:val="auto"/>
              <w:sz w:val="36"/>
              <w:szCs w:val="36"/>
              <w:highlight w:val="none"/>
            </w:rPr>
            <w:fldChar w:fldCharType="begin"/>
          </w:r>
          <w:r>
            <w:rPr>
              <w:color w:val="auto"/>
              <w:sz w:val="36"/>
              <w:szCs w:val="36"/>
              <w:highlight w:val="none"/>
            </w:rPr>
            <w:instrText xml:space="preserve"> HYPERLINK \l _Toc26226 </w:instrText>
          </w:r>
          <w:r>
            <w:rPr>
              <w:color w:val="auto"/>
              <w:sz w:val="36"/>
              <w:szCs w:val="36"/>
              <w:highlight w:val="none"/>
            </w:rPr>
            <w:fldChar w:fldCharType="separate"/>
          </w:r>
          <w:r>
            <w:rPr>
              <w:rFonts w:hint="eastAsia" w:ascii="宋体" w:hAnsi="宋体" w:eastAsia="宋体" w:cs="宋体"/>
              <w:color w:val="auto"/>
              <w:sz w:val="36"/>
              <w:szCs w:val="36"/>
              <w:highlight w:val="none"/>
            </w:rPr>
            <w:t xml:space="preserve">第一章 招标公告</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_Toc26226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 HYPERLINK \l _Toc20635 </w:instrText>
          </w:r>
          <w:r>
            <w:rPr>
              <w:color w:val="auto"/>
              <w:sz w:val="36"/>
              <w:szCs w:val="36"/>
              <w:highlight w:val="none"/>
            </w:rPr>
            <w:fldChar w:fldCharType="separate"/>
          </w:r>
          <w:r>
            <w:rPr>
              <w:rFonts w:hint="eastAsia" w:ascii="宋体" w:hAnsi="宋体" w:eastAsia="宋体" w:cs="宋体"/>
              <w:color w:val="auto"/>
              <w:sz w:val="36"/>
              <w:szCs w:val="36"/>
              <w:highlight w:val="none"/>
            </w:rPr>
            <w:t xml:space="preserve">第二章投标人须知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_Toc20635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 HYPERLINK \l _Toc13478 </w:instrText>
          </w:r>
          <w:r>
            <w:rPr>
              <w:color w:val="auto"/>
              <w:sz w:val="36"/>
              <w:szCs w:val="36"/>
              <w:highlight w:val="none"/>
            </w:rPr>
            <w:fldChar w:fldCharType="separate"/>
          </w:r>
          <w:r>
            <w:rPr>
              <w:rFonts w:hint="eastAsia" w:ascii="宋体" w:hAnsi="宋体" w:eastAsia="宋体" w:cs="宋体"/>
              <w:color w:val="auto"/>
              <w:sz w:val="36"/>
              <w:szCs w:val="52"/>
              <w:highlight w:val="none"/>
            </w:rPr>
            <w:t xml:space="preserve">第三章  合同文本</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_Toc13478 </w:instrText>
          </w:r>
          <w:r>
            <w:rPr>
              <w:color w:val="auto"/>
              <w:sz w:val="36"/>
              <w:szCs w:val="36"/>
              <w:highlight w:val="none"/>
            </w:rPr>
            <w:fldChar w:fldCharType="separate"/>
          </w:r>
          <w:r>
            <w:rPr>
              <w:color w:val="auto"/>
              <w:sz w:val="36"/>
              <w:szCs w:val="36"/>
              <w:highlight w:val="none"/>
            </w:rPr>
            <w:t xml:space="preserve">29</w:t>
          </w:r>
          <w:r>
            <w:rPr>
              <w:color w:val="auto"/>
              <w:sz w:val="36"/>
              <w:szCs w:val="36"/>
              <w:highlight w:val="none"/>
            </w:rPr>
            <w:fldChar w:fldCharType="end"/>
          </w:r>
          <w:r>
            <w:rPr>
              <w:color w:val="auto"/>
              <w:sz w:val="36"/>
              <w:szCs w:val="36"/>
              <w:highlight w:val="none"/>
            </w:rPr>
            <w:fldChar w:fldCharType="end"/>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 HYPERLINK \l _Toc15909 </w:instrText>
          </w:r>
          <w:r>
            <w:rPr>
              <w:color w:val="auto"/>
              <w:sz w:val="36"/>
              <w:szCs w:val="36"/>
              <w:highlight w:val="none"/>
            </w:rPr>
            <w:fldChar w:fldCharType="separate"/>
          </w:r>
          <w:r>
            <w:rPr>
              <w:rFonts w:hint="eastAsia" w:ascii="宋体" w:hAnsi="宋体" w:eastAsia="宋体" w:cs="宋体"/>
              <w:color w:val="auto"/>
              <w:sz w:val="36"/>
              <w:szCs w:val="36"/>
              <w:highlight w:val="none"/>
            </w:rPr>
            <w:t xml:space="preserve">第四章 采购需求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_Toc15909 </w:instrText>
          </w:r>
          <w:r>
            <w:rPr>
              <w:color w:val="auto"/>
              <w:sz w:val="36"/>
              <w:szCs w:val="36"/>
              <w:highlight w:val="none"/>
            </w:rPr>
            <w:fldChar w:fldCharType="separate"/>
          </w:r>
          <w:r>
            <w:rPr>
              <w:color w:val="auto"/>
              <w:sz w:val="36"/>
              <w:szCs w:val="36"/>
              <w:highlight w:val="none"/>
            </w:rPr>
            <w:t xml:space="preserve">49</w:t>
          </w:r>
          <w:r>
            <w:rPr>
              <w:color w:val="auto"/>
              <w:sz w:val="36"/>
              <w:szCs w:val="36"/>
              <w:highlight w:val="none"/>
            </w:rPr>
            <w:fldChar w:fldCharType="end"/>
          </w:r>
          <w:r>
            <w:rPr>
              <w:color w:val="auto"/>
              <w:sz w:val="36"/>
              <w:szCs w:val="36"/>
              <w:highlight w:val="none"/>
            </w:rPr>
            <w:fldChar w:fldCharType="end"/>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 HYPERLINK \l _Toc26937 </w:instrText>
          </w:r>
          <w:r>
            <w:rPr>
              <w:color w:val="auto"/>
              <w:sz w:val="36"/>
              <w:szCs w:val="36"/>
              <w:highlight w:val="none"/>
            </w:rPr>
            <w:fldChar w:fldCharType="separate"/>
          </w:r>
          <w:r>
            <w:rPr>
              <w:rFonts w:hint="eastAsia" w:ascii="宋体" w:hAnsi="宋体" w:eastAsia="宋体" w:cs="宋体"/>
              <w:color w:val="auto"/>
              <w:sz w:val="36"/>
              <w:szCs w:val="36"/>
              <w:highlight w:val="none"/>
            </w:rPr>
            <w:t xml:space="preserve">第五章评标方法与评标标准</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_Toc26937 </w:instrText>
          </w:r>
          <w:r>
            <w:rPr>
              <w:color w:val="auto"/>
              <w:sz w:val="36"/>
              <w:szCs w:val="36"/>
              <w:highlight w:val="none"/>
            </w:rPr>
            <w:fldChar w:fldCharType="separate"/>
          </w:r>
          <w:r>
            <w:rPr>
              <w:color w:val="auto"/>
              <w:sz w:val="36"/>
              <w:szCs w:val="36"/>
              <w:highlight w:val="none"/>
            </w:rPr>
            <w:t xml:space="preserve">92</w:t>
          </w:r>
          <w:r>
            <w:rPr>
              <w:color w:val="auto"/>
              <w:sz w:val="36"/>
              <w:szCs w:val="36"/>
              <w:highlight w:val="none"/>
            </w:rPr>
            <w:fldChar w:fldCharType="end"/>
          </w:r>
          <w:r>
            <w:rPr>
              <w:color w:val="auto"/>
              <w:sz w:val="36"/>
              <w:szCs w:val="36"/>
              <w:highlight w:val="none"/>
            </w:rPr>
            <w:fldChar w:fldCharType="end"/>
          </w:r>
          <w:r/>
        </w:p>
        <w:p>
          <w:pPr>
            <w:pStyle w:val="1140"/>
            <w:tabs>
              <w:tab w:val="right" w:pos="8306" w:leader="dot"/>
            </w:tabs>
            <w:rPr>
              <w:color w:val="auto"/>
              <w:sz w:val="36"/>
              <w:szCs w:val="36"/>
              <w:highlight w:val="none"/>
            </w:rPr>
          </w:pPr>
          <w:r>
            <w:rPr>
              <w:color w:val="auto"/>
              <w:sz w:val="36"/>
              <w:szCs w:val="36"/>
              <w:highlight w:val="none"/>
            </w:rPr>
            <w:fldChar w:fldCharType="begin"/>
          </w:r>
          <w:r>
            <w:rPr>
              <w:color w:val="auto"/>
              <w:sz w:val="36"/>
              <w:szCs w:val="36"/>
              <w:highlight w:val="none"/>
            </w:rPr>
            <w:instrText xml:space="preserve"> HYPERLINK \l _Toc6133 </w:instrText>
          </w:r>
          <w:r>
            <w:rPr>
              <w:color w:val="auto"/>
              <w:sz w:val="36"/>
              <w:szCs w:val="36"/>
              <w:highlight w:val="none"/>
            </w:rPr>
            <w:fldChar w:fldCharType="separate"/>
          </w:r>
          <w:r>
            <w:rPr>
              <w:rFonts w:hint="eastAsia" w:ascii="宋体" w:hAnsi="宋体" w:eastAsia="宋体" w:cs="宋体"/>
              <w:bCs w:val="0"/>
              <w:caps w:val="0"/>
              <w:color w:val="auto"/>
              <w:sz w:val="36"/>
              <w:szCs w:val="36"/>
              <w:highlight w:val="none"/>
            </w:rPr>
            <w:t xml:space="preserve">第六章  投标文件格式</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_Toc6133 </w:instrText>
          </w:r>
          <w:r>
            <w:rPr>
              <w:color w:val="auto"/>
              <w:sz w:val="36"/>
              <w:szCs w:val="36"/>
              <w:highlight w:val="none"/>
            </w:rPr>
            <w:fldChar w:fldCharType="separate"/>
          </w:r>
          <w:r>
            <w:rPr>
              <w:color w:val="auto"/>
              <w:sz w:val="36"/>
              <w:szCs w:val="36"/>
              <w:highlight w:val="none"/>
            </w:rPr>
            <w:t xml:space="preserve">97</w:t>
          </w:r>
          <w:r>
            <w:rPr>
              <w:color w:val="auto"/>
              <w:sz w:val="36"/>
              <w:szCs w:val="36"/>
              <w:highlight w:val="none"/>
            </w:rPr>
            <w:fldChar w:fldCharType="end"/>
          </w:r>
          <w:r>
            <w:rPr>
              <w:color w:val="auto"/>
              <w:sz w:val="36"/>
              <w:szCs w:val="36"/>
              <w:highlight w:val="none"/>
            </w:rPr>
            <w:fldChar w:fldCharType="end"/>
          </w:r>
          <w:r/>
        </w:p>
        <w:p>
          <w:pPr>
            <w:rPr>
              <w:color w:val="auto"/>
              <w:highlight w:val="none"/>
            </w:rPr>
          </w:pPr>
          <w:r>
            <w:rPr>
              <w:color w:val="auto"/>
              <w:sz w:val="36"/>
              <w:szCs w:val="36"/>
              <w:highlight w:val="none"/>
            </w:rPr>
            <w:fldChar w:fldCharType="end"/>
          </w:r>
          <w:r/>
        </w:p>
      </w:sdtContent>
    </w:sdt>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rPr>
          <w:rFonts w:hint="eastAsia" w:ascii="宋体" w:hAnsi="宋体" w:eastAsia="宋体" w:cs="宋体"/>
          <w:color w:val="auto"/>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rPr>
          <w:rFonts w:hint="eastAsia" w:ascii="宋体" w:hAnsi="宋体" w:eastAsia="宋体" w:cs="宋体"/>
          <w:color w:val="auto"/>
          <w:sz w:val="22"/>
          <w:highlight w:val="none"/>
        </w:rPr>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778"/>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0" w:name="_Toc26226"/>
      <w:r>
        <w:rPr>
          <w:rFonts w:hint="eastAsia" w:ascii="宋体" w:hAnsi="宋体" w:eastAsia="宋体" w:cs="宋体"/>
          <w:b/>
          <w:color w:val="auto"/>
          <w:sz w:val="44"/>
          <w:highlight w:val="none"/>
        </w:rPr>
        <w:t xml:space="preserve">第一章 招标公告</w:t>
      </w:r>
      <w:bookmarkEnd w:id="0"/>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9" w:type="dxa"/>
            <w:textDirection w:val="lrTb"/>
            <w:noWrap w:val="false"/>
          </w:tcPr>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项目概况</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泗洪姜堰实验学校信息化设备采购项目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JSZC-321324-XSZX-G2024-0005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招标项目的潜在投标人应在招标文件提供的时间内，通过“苏采云”系统（网址：http：//jszfcg.jsczt.cn/）或宿迁市政府采购网点击“政府采购管理交易系统（苏采云）”，使用CA锁进入系统从“项目参与”--“采购项目”菜单中，找到本项目获取采购文件（后缀名为“.kedt”）。获取招标文件，并于2024-07-</w:t>
            </w:r>
            <w:r>
              <w:rPr>
                <w:rFonts w:hint="eastAsia" w:ascii="宋体" w:hAnsi="宋体" w:eastAsia="宋体" w:cs="宋体"/>
                <w:color w:val="auto"/>
                <w:sz w:val="24"/>
                <w:highlight w:val="none"/>
                <w:lang w:val="en-US" w:eastAsia="zh-CN"/>
              </w:rPr>
              <w:t xml:space="preserve">18</w:t>
            </w:r>
            <w:r>
              <w:rPr>
                <w:rFonts w:hint="eastAsia" w:ascii="宋体" w:hAnsi="宋体" w:eastAsia="宋体" w:cs="宋体"/>
                <w:color w:val="auto"/>
                <w:sz w:val="24"/>
                <w:highlight w:val="none"/>
              </w:rPr>
              <w:t xml:space="preserve"> 09:00 （北京时间）前递交投标文件。</w:t>
            </w:r>
            <w:r/>
          </w:p>
        </w:tc>
      </w:tr>
    </w:tbl>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一、项目基本情况</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1.项目编号：JSZC-321324-XSZX-G2024-0005</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2.项目名称：泗洪姜堰实验学校信息化设备采购项目</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3.预算金额：451.8213万元</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4.本项目</w:t>
      </w:r>
      <w:r>
        <w:rPr>
          <w:rFonts w:hint="eastAsia" w:ascii="宋体" w:hAnsi="宋体" w:eastAsia="宋体" w:cs="宋体"/>
          <w:color w:val="auto"/>
          <w:sz w:val="24"/>
          <w:highlight w:val="none"/>
          <w:u w:val="single"/>
        </w:rPr>
        <w:t xml:space="preserve"> 设定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最高限价，最高限价为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451.8213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5.采购需求（简介）：</w:t>
      </w:r>
      <w:r>
        <w:rPr>
          <w:rFonts w:hint="eastAsia" w:ascii="宋体" w:hAnsi="宋体" w:eastAsia="宋体" w:cs="宋体"/>
          <w:color w:val="auto"/>
          <w:sz w:val="24"/>
          <w:highlight w:val="none"/>
        </w:rPr>
        <w:t xml:space="preserve">泗洪姜堰实验学校拟定采购一批网络设备、安防设备、校园广播、中心机房等设备</w:t>
      </w:r>
      <w:r>
        <w:rPr>
          <w:rFonts w:hint="eastAsia" w:ascii="宋体" w:hAnsi="宋体" w:eastAsia="宋体" w:cs="宋体"/>
          <w:color w:val="auto"/>
          <w:sz w:val="24"/>
          <w:highlight w:val="none"/>
        </w:rPr>
        <w:t xml:space="preserve">（包括但不限于标的的名称、数量、简要技术需求、企业业绩、</w:t>
      </w:r>
      <w:r>
        <w:rPr>
          <w:rFonts w:hint="eastAsia" w:ascii="宋体" w:hAnsi="宋体" w:eastAsia="宋体" w:cs="宋体"/>
          <w:color w:val="auto"/>
          <w:sz w:val="22"/>
          <w:szCs w:val="22"/>
          <w:highlight w:val="none"/>
          <w:lang w:bidi="ar"/>
        </w:rPr>
        <w:t xml:space="preserve">环境标志、节能产品</w:t>
      </w:r>
      <w:r>
        <w:rPr>
          <w:rFonts w:hint="eastAsia" w:ascii="宋体" w:hAnsi="宋体" w:eastAsia="宋体" w:cs="宋体"/>
          <w:color w:val="auto"/>
          <w:sz w:val="24"/>
          <w:highlight w:val="none"/>
        </w:rPr>
        <w:t xml:space="preserve">认证证书、</w:t>
      </w:r>
      <w:r>
        <w:rPr>
          <w:rFonts w:hint="eastAsia" w:ascii="宋体" w:hAnsi="宋体" w:eastAsia="宋体" w:cs="宋体"/>
          <w:color w:val="auto"/>
          <w:sz w:val="22"/>
          <w:szCs w:val="22"/>
          <w:highlight w:val="none"/>
          <w:lang w:bidi="ar"/>
        </w:rPr>
        <w:t xml:space="preserve">项目实施计划方案</w:t>
      </w:r>
      <w:r>
        <w:rPr>
          <w:rFonts w:hint="eastAsia" w:ascii="宋体" w:hAnsi="宋体" w:eastAsia="宋体" w:cs="宋体"/>
          <w:color w:val="auto"/>
          <w:sz w:val="24"/>
          <w:highlight w:val="none"/>
        </w:rPr>
        <w:t xml:space="preserve">、项目组人员配备、售后服务或服务要求等）</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（详细内容见本招标文件第四章）</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6.合同履行期限：</w:t>
      </w:r>
      <w:r>
        <w:rPr>
          <w:rFonts w:hint="eastAsia" w:ascii="宋体" w:hAnsi="宋体" w:eastAsia="宋体" w:cs="宋体"/>
          <w:color w:val="auto"/>
          <w:sz w:val="24"/>
          <w:highlight w:val="none"/>
        </w:rPr>
        <w:t xml:space="preserve">采购合同签订后80日历天内供货安装调试完毕并交付使用。</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7.本项目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接受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联合体投标。</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二、申请人的资格要求：</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（一）满足《中华人民共和国政府采购法》第二十二条规定；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1.具备《中华人民共和国政府采购法》第二十二条第一款规定的6项条件（按要求提供投标声明及承诺函）。</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2.信用信息。信用信息查询渠道：“信用中国”网（www.creditchina.gov.cn）、“中国政府采购”网（www.ccgp.gov.cn）、江苏政府采购网（www.ccgp-jiangsu.gov.cn）。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numId w:val="0"/>
        </w:numPr>
        <w:ind w:firstLine="480"/>
        <w:spacing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3.接受联合体投标。</w:t>
      </w:r>
      <w:r/>
    </w:p>
    <w:p>
      <w:pPr>
        <w:ind w:left="0" w:right="0" w:firstLine="480"/>
        <w:jc w:val="both"/>
        <w:spacing w:before="0" w:after="0" w:line="558" w:lineRule="atLeast"/>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（二）落实政府采购政策需满足的资格要求：</w:t>
      </w:r>
      <w:r/>
    </w:p>
    <w:p>
      <w:pPr>
        <w:ind w:firstLine="480"/>
        <w:spacing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本项目为预留份额采购项目，预留采购项目预算总额的 40%专门面向中小企业采购，投标人为大型企业的应当与中小微企业组成联合体投标，中小微企业的承担项目预算总额比例不低于40%。</w:t>
      </w:r>
      <w:r/>
    </w:p>
    <w:p>
      <w:pPr>
        <w:ind w:firstLine="480"/>
        <w:spacing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注：须提供《中小企业或残疾人福利性单位声明函》同时上传执行预留份额政策的承诺函</w:t>
      </w:r>
      <w:r>
        <w:rPr>
          <w:rFonts w:hint="eastAsia" w:ascii="宋体" w:hAnsi="宋体" w:eastAsia="宋体" w:cs="宋体"/>
          <w:color w:val="auto"/>
          <w:sz w:val="24"/>
          <w:highlight w:val="none"/>
          <w:lang w:val="en-US" w:eastAsia="zh-CN"/>
        </w:rPr>
        <w:t xml:space="preserve">（格式自拟）</w:t>
      </w:r>
      <w:r>
        <w:rPr>
          <w:rFonts w:hint="eastAsia" w:ascii="宋体" w:hAnsi="宋体" w:eastAsia="宋体" w:cs="宋体"/>
          <w:color w:val="auto"/>
          <w:sz w:val="24"/>
          <w:highlight w:val="none"/>
          <w:lang w:val="en-US" w:eastAsia="zh-CN"/>
        </w:rPr>
        <w:t xml:space="preserve">至投标文件且须同时在投标文件中出具联合体投标协议</w:t>
      </w:r>
      <w:r>
        <w:rPr>
          <w:rFonts w:hint="eastAsia" w:ascii="宋体" w:hAnsi="宋体" w:eastAsia="宋体" w:cs="宋体"/>
          <w:color w:val="auto"/>
          <w:sz w:val="24"/>
          <w:szCs w:val="21"/>
          <w:highlight w:val="none"/>
        </w:rPr>
        <w:t xml:space="preserve">（格式见附件10）</w:t>
      </w:r>
      <w:r>
        <w:rPr>
          <w:rFonts w:hint="eastAsia" w:ascii="宋体" w:hAnsi="宋体" w:eastAsia="宋体" w:cs="宋体"/>
          <w:color w:val="auto"/>
          <w:sz w:val="24"/>
          <w:highlight w:val="none"/>
          <w:lang w:val="en-US" w:eastAsia="zh-CN"/>
        </w:rPr>
        <w:t xml:space="preserve">，联合体投标协议要明确联合体成员的名称，预留份额内容，所占预算总额比例等。未按要求预留份额或未按要求提供证明材料的均作无效投标处理。</w:t>
      </w:r>
      <w:r/>
    </w:p>
    <w:p>
      <w:pPr>
        <w:ind w:firstLine="480"/>
        <w:spacing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三）本项目的特定资格要求：无。</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三、获取招标文件</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1.时间：2024年</w:t>
      </w:r>
      <w:r>
        <w:rPr>
          <w:rFonts w:hint="eastAsia" w:ascii="宋体" w:hAnsi="宋体" w:eastAsia="宋体" w:cs="宋体"/>
          <w:color w:val="auto"/>
          <w:sz w:val="24"/>
          <w:highlight w:val="none"/>
          <w:lang w:val="en-US" w:eastAsia="zh-CN"/>
        </w:rPr>
        <w:t xml:space="preserve">06</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28</w:t>
      </w:r>
      <w:r>
        <w:rPr>
          <w:rFonts w:hint="eastAsia" w:ascii="宋体" w:hAnsi="宋体" w:eastAsia="宋体" w:cs="宋体"/>
          <w:color w:val="auto"/>
          <w:sz w:val="24"/>
          <w:highlight w:val="none"/>
        </w:rPr>
        <w:t xml:space="preserve">日至2024年</w:t>
      </w:r>
      <w:r>
        <w:rPr>
          <w:rFonts w:hint="eastAsia" w:ascii="宋体" w:hAnsi="宋体" w:eastAsia="宋体" w:cs="宋体"/>
          <w:color w:val="auto"/>
          <w:sz w:val="24"/>
          <w:highlight w:val="none"/>
          <w:lang w:val="en-US" w:eastAsia="zh-CN"/>
        </w:rPr>
        <w:t xml:space="preserve">07</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04</w:t>
      </w:r>
      <w:r>
        <w:rPr>
          <w:rFonts w:hint="eastAsia" w:ascii="宋体" w:hAnsi="宋体" w:eastAsia="宋体" w:cs="宋体"/>
          <w:color w:val="auto"/>
          <w:sz w:val="24"/>
          <w:highlight w:val="none"/>
        </w:rPr>
        <w:t xml:space="preserve">日，每天上午00:00-12:00，下午 12:00- 23：59</w:t>
      </w:r>
      <w:r>
        <w:rPr>
          <w:rFonts w:hint="eastAsia" w:ascii="宋体" w:hAnsi="宋体" w:eastAsia="宋体" w:cs="宋体"/>
          <w:color w:val="auto"/>
          <w:sz w:val="24"/>
          <w:highlight w:val="none"/>
        </w:rPr>
        <w:t xml:space="preserve">（北京时间，法定节假日除外）</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地点：投标人应在招标文件提供的时间内，通过“苏采云”系统（网址： http://jszfcg.jsczt.cn/）或宿迁市政府采购网点击“政府采购管理交易系统（苏采云）”，使用CA锁进入系统从“项目参与”--“采购项目”菜单中，找到本项目获取采购文件（后缀名为“.kedt”）。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.本项目共分一个包。投标人参与多个包投标的，应按包分别获取招标文件。投标人未按要求获取招标文件导致无法投标的，后果自负（其投标文件不予接受）。</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售价：</w:t>
      </w:r>
      <w:r>
        <w:rPr>
          <w:rFonts w:hint="eastAsia" w:ascii="宋体" w:hAnsi="宋体" w:eastAsia="宋体" w:cs="宋体"/>
          <w:color w:val="auto"/>
          <w:sz w:val="24"/>
          <w:highlight w:val="none"/>
        </w:rPr>
        <w:t xml:space="preserve">0.00</w:t>
      </w:r>
      <w:r>
        <w:rPr>
          <w:rFonts w:hint="eastAsia" w:ascii="宋体" w:hAnsi="宋体" w:eastAsia="宋体" w:cs="宋体"/>
          <w:color w:val="auto"/>
          <w:sz w:val="24"/>
          <w:highlight w:val="none"/>
        </w:rPr>
        <w:t xml:space="preserve">元</w:t>
      </w:r>
      <w:r>
        <w:rPr>
          <w:rFonts w:hint="eastAsia" w:ascii="宋体" w:hAnsi="宋体" w:eastAsia="宋体" w:cs="宋体"/>
          <w:color w:val="auto"/>
          <w:sz w:val="24"/>
          <w:highlight w:val="none"/>
        </w:rPr>
        <w:t xml:space="preserve"> </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四、提交投标文件截止时间、开标时间和地点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1.提交投标文件截止时间、开标时间：</w:t>
      </w:r>
      <w:r>
        <w:rPr>
          <w:rFonts w:hint="eastAsia" w:ascii="宋体" w:hAnsi="宋体" w:eastAsia="宋体" w:cs="宋体"/>
          <w:color w:val="auto"/>
          <w:sz w:val="24"/>
          <w:highlight w:val="none"/>
          <w:u w:val="single"/>
        </w:rPr>
        <w:t xml:space="preserve">2024年</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18</w:t>
      </w:r>
      <w:r>
        <w:rPr>
          <w:rFonts w:hint="eastAsia" w:ascii="宋体" w:hAnsi="宋体" w:eastAsia="宋体" w:cs="宋体"/>
          <w:color w:val="auto"/>
          <w:sz w:val="24"/>
          <w:highlight w:val="none"/>
          <w:u w:val="single"/>
        </w:rPr>
        <w:t xml:space="preserve">日09点00分</w:t>
      </w:r>
      <w:r>
        <w:rPr>
          <w:rFonts w:hint="eastAsia" w:ascii="宋体" w:hAnsi="宋体" w:eastAsia="宋体" w:cs="宋体"/>
          <w:color w:val="auto"/>
          <w:sz w:val="24"/>
          <w:highlight w:val="none"/>
        </w:rPr>
        <w:t xml:space="preserve">（北京时间）</w:t>
      </w:r>
      <w:r/>
    </w:p>
    <w:p>
      <w:pPr>
        <w:ind w:firstLine="480"/>
        <w:spacing w:line="558"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苏采云</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政府采购交易系统网上开标大厅</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五、公告期限</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招标公告及招标文件公告期限为自本公告发布之日起5个工作日。招标公告发布媒体：宿迁市政府采购网、宿迁市公共资源交易平台、江苏省财政部门指定的媒体。</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六、其他补充事宜</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1.财政部门监督电话：</w:t>
      </w:r>
      <w:r>
        <w:rPr>
          <w:rFonts w:hint="eastAsia" w:ascii="宋体" w:hAnsi="宋体" w:eastAsia="宋体" w:cs="宋体"/>
          <w:b/>
          <w:color w:val="auto"/>
          <w:sz w:val="24"/>
          <w:highlight w:val="none"/>
          <w:u w:val="single"/>
        </w:rPr>
        <w:t xml:space="preserve">0527-88359233。</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3.宿迁地区“苏采云”技术支持客服电话：0527-84225125、0519-86722806。</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4.如果投标人通过苏采云系统参与政府采购项目，相关操作手册详见链：http://www.ccgpjiangsu.gov.cn/jiangsu/zlxz/ee/ee3a4bc5a3454aa2b0d9312230633ce9.html。</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5.现场勘察及答疑：本项目不组织集中勘察及答疑，投标人如对采购需求有疑问，请咨询采购单位联系人。 </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七、本次招标联系方式</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1.采购人信息</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rPr>
        <w:t xml:space="preserve">泗洪姜堰实验学校</w:t>
      </w:r>
      <w:r/>
    </w:p>
    <w:p>
      <w:pPr>
        <w:ind w:firstLine="480"/>
        <w:spacing w:line="559" w:lineRule="atLeast"/>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泗洪县人民南路108号</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 </w:t>
      </w:r>
      <w:r>
        <w:rPr>
          <w:rFonts w:hint="eastAsia" w:ascii="宋体" w:hAnsi="宋体" w:eastAsia="宋体" w:cs="宋体"/>
          <w:color w:val="auto"/>
          <w:sz w:val="24"/>
          <w:highlight w:val="none"/>
        </w:rPr>
        <w:t xml:space="preserve">刘露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rPr>
        <w:t xml:space="preserve">15150713399</w:t>
      </w:r>
      <w:r>
        <w:rPr>
          <w:rFonts w:hint="eastAsia" w:ascii="宋体" w:hAnsi="宋体" w:eastAsia="宋体" w:cs="宋体"/>
          <w:color w:val="auto"/>
          <w:sz w:val="24"/>
          <w:highlight w:val="none"/>
        </w:rPr>
        <w:t xml:space="preserve"> </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2.采购代理机构信息</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　址：泗洪县洪泽湖大街中央公馆63-202室</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联系人：许艳</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联系方式：19825846139</w:t>
      </w:r>
      <w:r/>
    </w:p>
    <w:p>
      <w:pPr>
        <w:ind w:firstLine="480"/>
        <w:spacing w:line="559" w:lineRule="atLeast"/>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八、其他</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1.有关本次招标的事项若存在变动或修改，敬请及时关注“宿迁市政府采购网”等平台更正公告。</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2.本次招标不收取投标保证金。</w:t>
      </w:r>
      <w:r/>
    </w:p>
    <w:p>
      <w:pPr>
        <w:pStyle w:val="7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44"/>
          <w:highlight w:val="none"/>
        </w:rPr>
      </w:r>
      <w:r/>
    </w:p>
    <w:p>
      <w:pPr>
        <w:pStyle w:val="778"/>
        <w:jc w:val="both"/>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44"/>
          <w:highlight w:val="none"/>
        </w:rPr>
      </w:r>
      <w:r/>
    </w:p>
    <w:p>
      <w:pPr>
        <w:pStyle w:val="7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1" w:name="_Toc20635"/>
      <w:r>
        <w:rPr>
          <w:rFonts w:hint="eastAsia" w:ascii="宋体" w:hAnsi="宋体" w:eastAsia="宋体" w:cs="宋体"/>
          <w:b/>
          <w:color w:val="auto"/>
          <w:sz w:val="44"/>
          <w:highlight w:val="none"/>
        </w:rPr>
        <w:t xml:space="preserve">第二章</w:t>
      </w:r>
      <w:r>
        <w:rPr>
          <w:rFonts w:hint="eastAsia" w:ascii="宋体" w:hAnsi="宋体" w:eastAsia="宋体" w:cs="宋体"/>
          <w:b/>
          <w:color w:val="auto"/>
          <w:sz w:val="44"/>
          <w:highlight w:val="none"/>
        </w:rPr>
        <w:t xml:space="preserve">投标人须知</w:t>
      </w:r>
      <w:bookmarkEnd w:id="1"/>
      <w:r/>
      <w:r/>
    </w:p>
    <w:p>
      <w:pPr>
        <w:pStyle w:val="779"/>
        <w:spacing w:before="260" w:after="260" w:line="76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投标人须知前附表：</w:t>
      </w:r>
      <w:r/>
    </w:p>
    <w:tbl>
      <w:tblPr>
        <w:tblStyle w:val="7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127"/>
        <w:gridCol w:w="5445"/>
      </w:tblGrid>
      <w:tr>
        <w:trPr>
          <w:trHeight w:val="568"/>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序号</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内容</w:t>
            </w:r>
            <w:r/>
          </w:p>
        </w:tc>
        <w:tc>
          <w:tcPr>
            <w:shd w:val="clear" w:color="auto" w:fill="auto"/>
            <w:tcMar>
              <w:left w:w="108" w:type="dxa"/>
              <w:top w:w="0" w:type="dxa"/>
              <w:right w:w="108" w:type="dxa"/>
              <w:bottom w:w="0" w:type="dxa"/>
            </w:tcMar>
            <w:tcW w:w="544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说明及要求</w:t>
            </w:r>
            <w:r/>
          </w:p>
        </w:tc>
      </w:tr>
      <w:tr>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项目类别</w:t>
            </w:r>
            <w:r/>
          </w:p>
        </w:tc>
        <w:tc>
          <w:tcPr>
            <w:shd w:val="clear" w:color="auto" w:fill="auto"/>
            <w:tcMar>
              <w:left w:w="108" w:type="dxa"/>
              <w:top w:w="0" w:type="dxa"/>
              <w:right w:w="108" w:type="dxa"/>
              <w:bottom w:w="0" w:type="dxa"/>
            </w:tcMar>
            <w:tcW w:w="5445" w:type="dxa"/>
            <w:vAlign w:val="center"/>
            <w:textDirection w:val="lrTb"/>
            <w:noWrap w:val="false"/>
          </w:tcPr>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本项目为 ☑ 货物 □ 服务 □ 工程 采购。</w:t>
            </w:r>
            <w:r/>
          </w:p>
        </w:tc>
      </w:tr>
      <w:tr>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投标保证金</w:t>
            </w:r>
            <w:r/>
          </w:p>
        </w:tc>
        <w:tc>
          <w:tcPr>
            <w:shd w:val="clear" w:color="auto" w:fill="auto"/>
            <w:tcMar>
              <w:left w:w="108" w:type="dxa"/>
              <w:top w:w="0" w:type="dxa"/>
              <w:right w:w="108" w:type="dxa"/>
              <w:bottom w:w="0" w:type="dxa"/>
            </w:tcMar>
            <w:tcW w:w="5445"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本项目不收取投标保证金。</w:t>
            </w:r>
            <w:r/>
          </w:p>
        </w:tc>
      </w:tr>
      <w:tr>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投标有效期</w:t>
            </w:r>
            <w:r/>
          </w:p>
        </w:tc>
        <w:tc>
          <w:tcPr>
            <w:shd w:val="clear" w:color="auto" w:fill="auto"/>
            <w:tcMar>
              <w:left w:w="108" w:type="dxa"/>
              <w:top w:w="0" w:type="dxa"/>
              <w:right w:w="108" w:type="dxa"/>
              <w:bottom w:w="0" w:type="dxa"/>
            </w:tcMar>
            <w:tcW w:w="5445"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60日（从提交投标文件截止之日起算）</w:t>
            </w:r>
            <w:r/>
          </w:p>
        </w:tc>
      </w:tr>
      <w:tr>
        <w:trPr>
          <w:trHeight w:val="330"/>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投标文件份数</w:t>
            </w:r>
            <w:r/>
          </w:p>
        </w:tc>
        <w:tc>
          <w:tcPr>
            <w:shd w:val="clear" w:color="auto" w:fill="auto"/>
            <w:tcMar>
              <w:left w:w="108" w:type="dxa"/>
              <w:top w:w="0" w:type="dxa"/>
              <w:right w:w="108" w:type="dxa"/>
              <w:bottom w:w="0" w:type="dxa"/>
            </w:tcMar>
            <w:tcW w:w="5445"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提交加密电子投标文件1份。</w:t>
            </w:r>
            <w:r/>
          </w:p>
        </w:tc>
      </w:tr>
      <w:tr>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分包要求</w:t>
            </w:r>
            <w:r/>
          </w:p>
        </w:tc>
        <w:tc>
          <w:tcPr>
            <w:shd w:val="clear" w:color="auto" w:fill="auto"/>
            <w:tcMar>
              <w:left w:w="108" w:type="dxa"/>
              <w:top w:w="0" w:type="dxa"/>
              <w:right w:w="108" w:type="dxa"/>
              <w:bottom w:w="0" w:type="dxa"/>
            </w:tcMar>
            <w:tcW w:w="5445" w:type="dxa"/>
            <w:vAlign w:val="center"/>
            <w:textDirection w:val="lrTb"/>
            <w:noWrap w:val="false"/>
          </w:tcPr>
          <w:p>
            <w:pPr>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允许分包</w:t>
            </w:r>
            <w:r>
              <w:rPr>
                <w:rFonts w:hint="eastAsia" w:ascii="宋体" w:hAnsi="宋体" w:eastAsia="宋体" w:cs="宋体"/>
                <w:color w:val="auto"/>
                <w:sz w:val="24"/>
                <w:szCs w:val="24"/>
                <w:highlight w:val="none"/>
                <w:lang w:eastAsia="zh-CN"/>
              </w:rPr>
              <w:t xml:space="preserve">；</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2" w:name="EBe736f7e952dc4539950235f053527a10"/>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bookmarkEnd w:id="2"/>
            <w:r>
              <w:rPr>
                <w:rFonts w:hint="eastAsia" w:ascii="宋体" w:hAnsi="宋体" w:eastAsia="宋体" w:cs="宋体"/>
                <w:color w:val="auto"/>
                <w:sz w:val="24"/>
                <w:szCs w:val="24"/>
                <w:highlight w:val="none"/>
              </w:rPr>
              <w:t xml:space="preserve">不允许分包。</w:t>
            </w:r>
            <w:r/>
          </w:p>
        </w:tc>
      </w:tr>
      <w:tr>
        <w:trPr/>
        <w:tc>
          <w:tcPr>
            <w:shd w:val="clear" w:color="auto" w:fill="auto"/>
            <w:tcMar>
              <w:left w:w="108" w:type="dxa"/>
              <w:top w:w="0" w:type="dxa"/>
              <w:right w:w="108" w:type="dxa"/>
              <w:bottom w:w="0" w:type="dxa"/>
            </w:tcMar>
            <w:tcW w:w="834"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shd w:val="clear" w:color="auto" w:fill="auto"/>
            <w:tcMar>
              <w:left w:w="108" w:type="dxa"/>
              <w:top w:w="0" w:type="dxa"/>
              <w:right w:w="108" w:type="dxa"/>
              <w:bottom w:w="0" w:type="dxa"/>
            </w:tcMar>
            <w:tcW w:w="2127"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其他</w:t>
            </w:r>
            <w:r/>
          </w:p>
        </w:tc>
        <w:tc>
          <w:tcPr>
            <w:shd w:val="clear" w:color="auto" w:fill="auto"/>
            <w:tcMar>
              <w:left w:w="108" w:type="dxa"/>
              <w:top w:w="0" w:type="dxa"/>
              <w:right w:w="108" w:type="dxa"/>
              <w:bottom w:w="0" w:type="dxa"/>
            </w:tcMar>
            <w:tcW w:w="5445" w:type="dxa"/>
            <w:vAlign w:val="center"/>
            <w:textDirection w:val="lrTb"/>
            <w:noWrap w:val="false"/>
          </w:tcPr>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本招标文件设置“□”的,以□内打√项内容为准。</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1、踏勘现场：本项目不组织踏勘现场，各投标人自行踏勘，未踏勘或踏勘不仔细造成的损失由投标人自负。</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2、中标人在领取中标通知书之前，应提供2份与网上投标文件一致的纸质打印投标文件（含链接的所有扫描件）。</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3、采购人或采购代理机构发出的所有通知、答疑、澄清等文件均通过“苏采云”系统（网址： http://jszfcg.jsczt.cn/）或宿迁市政府采购网点击“政府采购管理交易系统（苏采云）”通知所有获取招标文件的投标人，并视为所有投标人已经收到，投标人应注意登录查看，否则，造成对投标不利后果由投标人自负。</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4、投标人应该在投标截止时间前上传真实、有效、充分的证明材料的原件扫描件，凡弄虚作假，提供假证明、假文件、假材料的，一经查实，按有关规定予以处罚。</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特别提醒：因本项目采用网上不见面开标，请各投标人提前进入网上开标大厅，确保电脑和网络正常，不要影响网上开标。如遇技术问题，请及时联系。宿迁地区“苏采云”技术支持客服电话：0527-84225125、0519-86722806。。</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6、投标人投标文件由同一台电脑制作生成后上传至评标系统，视同串通</w:t>
            </w:r>
            <w:r>
              <w:rPr>
                <w:rFonts w:hint="eastAsia" w:ascii="宋体" w:hAnsi="宋体" w:eastAsia="宋体" w:cs="宋体"/>
                <w:color w:val="auto"/>
                <w:highlight w:val="none"/>
                <w:lang w:val="en-US" w:eastAsia="zh-CN"/>
              </w:rPr>
              <w:t xml:space="preserve">投</w:t>
            </w:r>
            <w:r>
              <w:rPr>
                <w:rFonts w:hint="eastAsia" w:ascii="宋体" w:hAnsi="宋体" w:eastAsia="宋体" w:cs="宋体"/>
                <w:color w:val="auto"/>
                <w:highlight w:val="none"/>
              </w:rPr>
              <w:t xml:space="preserve">标。</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各投标人：针对近期经常出现的质疑、投诉情况，经研究将投标注意事项告知如下：</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（1）投标人按照采购文件规定提供《中小企业声明函》内容不实的，属于提供虚假材料谋取中标，依照《中华人民共和国政府采购法》等有关规定追究投标人相关责任并列入失信名单予以公示。</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投标人应当按照采购文件的要求编制投标文件。投标文件应当对采购文件提出的要求和条件作出明确响应。不符合要求的按无效标处理。投标人在编制投标文件时，如投标文件清单中有漏项或改变数量按无效标处理。</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在货物采购项目中，投标人填写的中小企业申明函应从制造商处获得充分、准确的信息。提供的货物应全部由符合“国家统计局关于印发《中小企业划型标准规定的通知（工信部联企业[2011]300号）的通知”要求的中小企业制造（即货物由中小企业生产且使用该中小企业商号或者注册商标），并按照采购清单中列明的货物逐条填写。未按要求填写的不享受中小企业扶持政策。享受中小企业扶持政策价格折扣的投标人，投标人提供的货物须全部为小微企业制造的货物。</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（4）除辅助材料和设备（含以施工为主的条目、标明为定制的设备）之外的其它应该标明品牌、规格型号和产地的设备，在投标文件中必须标明设备的品牌、规格型号和产地，否则按无效标处理。</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（5）投诉人在全国范围开标截止前12个月内三次（含）以上投诉查无依据的，禁止其3年内参加政府采购活动。</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7、对中标方的业绩、企业和人员证书等信息随中标（成交）结果公告同步予以公示。</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8、中标人与采购人应当在达到合同约定验收节点后3个工作日内验收，并发布验收公告。(因投标人原因造成逾期的，将对投标人予以罚款处罚)。</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9、政府采购领域数字人民币政策落实：在政府采购评审费、代理服务费和货款资金支付中，作为支付方式之一。</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10、本项目履约保证金按采购合同总价的5%计取，收取及退付</w:t>
            </w:r>
            <w:r>
              <w:rPr>
                <w:rFonts w:hint="eastAsia" w:ascii="宋体" w:hAnsi="宋体" w:eastAsia="宋体" w:cs="宋体"/>
                <w:color w:val="auto"/>
                <w:highlight w:val="none"/>
                <w:lang w:val="en-US" w:eastAsia="zh-CN"/>
              </w:rPr>
              <w:t xml:space="preserve">方式</w:t>
            </w:r>
            <w:r>
              <w:rPr>
                <w:rFonts w:hint="eastAsia" w:ascii="宋体" w:hAnsi="宋体" w:eastAsia="宋体" w:cs="宋体"/>
                <w:color w:val="auto"/>
                <w:highlight w:val="none"/>
              </w:rPr>
              <w:t xml:space="preserve">详见投标人须知第31.4条款。</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pStyle w:val="780"/>
        <w:ind w:firstLine="498"/>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一、总则</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1、招标方式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2、合格的投标人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2.1满足招标公告中投标人的资格要求的规定。</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 满足本文件实质性要求和条件的规定。</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3、适用法律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4、投标费用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 投标人应自行承担所有与参加投标有关的费用，无论投标过程中的做法和结果如何，</w:t>
      </w:r>
      <w:r>
        <w:rPr>
          <w:rFonts w:hint="eastAsia" w:ascii="宋体" w:hAnsi="宋体" w:eastAsia="宋体" w:cs="宋体"/>
          <w:color w:val="auto"/>
          <w:sz w:val="24"/>
          <w:highlight w:val="none"/>
          <w:u w:val="single"/>
        </w:rPr>
        <w:t xml:space="preserve">江苏襄盛工程咨询有限公司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4.2代理费用收取方式及标准：按以下第</w:t>
      </w:r>
      <w:r>
        <w:rPr>
          <w:rFonts w:hint="eastAsia" w:ascii="宋体" w:hAnsi="宋体" w:eastAsia="宋体" w:cs="宋体"/>
          <w:color w:val="auto"/>
          <w:sz w:val="24"/>
          <w:highlight w:val="none"/>
          <w:u w:val="single"/>
        </w:rPr>
        <w:t xml:space="preserve"> 4.2.2 </w:t>
      </w:r>
      <w:r>
        <w:rPr>
          <w:rFonts w:hint="eastAsia" w:ascii="宋体" w:hAnsi="宋体" w:eastAsia="宋体" w:cs="宋体"/>
          <w:color w:val="auto"/>
          <w:sz w:val="24"/>
          <w:highlight w:val="none"/>
        </w:rPr>
        <w:t xml:space="preserve">种方式执行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4.2.1无需支付；</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4.2.2</w:t>
      </w:r>
      <w:r>
        <w:rPr>
          <w:rFonts w:hint="eastAsia" w:ascii="宋体" w:hAnsi="宋体" w:eastAsia="宋体" w:cs="宋体"/>
          <w:color w:val="auto"/>
          <w:sz w:val="24"/>
          <w:highlight w:val="none"/>
        </w:rPr>
        <w:t xml:space="preserve">中标</w:t>
      </w:r>
      <w:r>
        <w:rPr>
          <w:rFonts w:hint="eastAsia" w:ascii="宋体" w:hAnsi="宋体" w:eastAsia="宋体" w:cs="宋体"/>
          <w:color w:val="auto"/>
          <w:sz w:val="24"/>
          <w:highlight w:val="none"/>
        </w:rPr>
        <w:t xml:space="preserve">人支付，具体方式及标准为：</w:t>
      </w:r>
      <w:r>
        <w:rPr>
          <w:rFonts w:hint="eastAsia" w:ascii="宋体" w:hAnsi="宋体" w:eastAsia="宋体" w:cs="宋体"/>
          <w:color w:val="auto"/>
          <w:sz w:val="24"/>
          <w:highlight w:val="none"/>
          <w:u w:val="single"/>
        </w:rPr>
        <w:t xml:space="preserve">按照苏招协[2022]002 号文标准计取，可以数字人民币方式支付。</w:t>
      </w:r>
      <w:r>
        <w:rPr>
          <w:rFonts w:hint="eastAsia" w:ascii="宋体" w:hAnsi="宋体" w:eastAsia="宋体" w:cs="宋体"/>
          <w:color w:val="auto"/>
          <w:sz w:val="24"/>
          <w:highlight w:val="none"/>
        </w:rPr>
        <w:t xml:space="preserve">   </w:t>
      </w:r>
      <w:r/>
    </w:p>
    <w:p>
      <w:pPr>
        <w:pStyle w:val="781"/>
        <w:ind w:firstLine="60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5、</w:t>
      </w:r>
      <w:r>
        <w:rPr>
          <w:rFonts w:hint="eastAsia" w:ascii="宋体" w:hAnsi="宋体" w:eastAsia="宋体" w:cs="宋体"/>
          <w:color w:val="auto"/>
          <w:sz w:val="28"/>
          <w:highlight w:val="none"/>
        </w:rPr>
        <w:t xml:space="preserve">招标文件的约束力</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 投标人一旦参加本项目采购活动，即被认为接受了本招标文件的规定和约束。</w:t>
      </w:r>
      <w:r/>
    </w:p>
    <w:p>
      <w:pPr>
        <w:pStyle w:val="780"/>
        <w:ind w:firstLine="321"/>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二、招标文件</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6、招标文件构成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 招标文件由以下部分组成：</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（1）投标邀请</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（2）投标人须知</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（3）合同文本</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（4）采购需求</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（5）评标方法与评标标准</w:t>
      </w:r>
      <w:r/>
    </w:p>
    <w:p>
      <w:pPr>
        <w:ind w:firstLine="36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（6）投标文件格式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7、招标文件的澄清</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 任何要求对招标文件进行澄清的投标人，应在投标截止期</w:t>
      </w:r>
      <w:r>
        <w:rPr>
          <w:rFonts w:hint="eastAsia" w:ascii="宋体" w:hAnsi="宋体" w:eastAsia="宋体" w:cs="宋体"/>
          <w:b/>
          <w:color w:val="auto"/>
          <w:sz w:val="24"/>
          <w:highlight w:val="none"/>
        </w:rPr>
        <w:t xml:space="preserve">十日</w:t>
      </w:r>
      <w:r>
        <w:rPr>
          <w:rFonts w:hint="eastAsia" w:ascii="宋体" w:hAnsi="宋体" w:eastAsia="宋体" w:cs="宋体"/>
          <w:color w:val="auto"/>
          <w:sz w:val="24"/>
          <w:highlight w:val="none"/>
        </w:rPr>
        <w:t xml:space="preserve">前按招标公告中的通讯地址，以书面形式通知采购代理机构。</w:t>
      </w:r>
      <w:r/>
    </w:p>
    <w:p>
      <w:pPr>
        <w:pStyle w:val="7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8、招标文件的修改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8.2在投标截止时间前，采购代理机构可以对招标文件进行修改。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8.3采购代理机构有权按照法定的要求推迟投标截止日期和开标日期。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8.5投标人应及时登录“苏采云”系统获取澄清答疑文件（修改后招标文件），如因投标人原因未能及时下载澄清和修改后的招标文件，由此造成的相关责任，由投标人承担。 </w:t>
      </w:r>
      <w:r/>
    </w:p>
    <w:p>
      <w:pPr>
        <w:pStyle w:val="7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三、投标文件的编制</w:t>
      </w:r>
      <w:r/>
    </w:p>
    <w:p>
      <w:pPr>
        <w:pStyle w:val="7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9、投标文件的语言及度量衡单位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 投标人提交的投标文件以及投标人与采购代理机构就有关投标的所有来往通知、函件和文件均应使用</w:t>
      </w:r>
      <w:r>
        <w:rPr>
          <w:rFonts w:hint="eastAsia" w:ascii="宋体" w:hAnsi="宋体" w:eastAsia="宋体" w:cs="宋体"/>
          <w:b/>
          <w:color w:val="auto"/>
          <w:sz w:val="24"/>
          <w:highlight w:val="none"/>
        </w:rPr>
        <w:t xml:space="preserve">简体中文</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 除技术性能另有规定外，投标文件所使用的度量衡单位，均须采用国家法定计量单位。</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10、投标文件构成</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各投标人在编制投标文件时请按照招标文件第六章规定的格式进行，混乱的编排导致投标文件被误读或评委会查找不到有效文件是投标人的风险。</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 投标人编写的投标文件应包括资格证明文件、符合性证明文件、投标分项报价表、响应及偏离表、其他证明文件、投标函、开标一览表等部分。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10.5 如标书制作工具中格式和内容与“宿迁市政府采购网”发布的招标文件不一致，请以“宿迁市政府采购网”发布的招标文件为准。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10.6中标后按相关要求提供与电子投标文件一致的纸质打印投标文件2份。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11、证明投标人及投标标的符合招标文件规定的文件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11.1 投标人应按照法律、法规、规章和规范性文件以及招标文件要求提交证明文件，证明其及投标标的符合招标文件规定。</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11.2招标文件对证明文件无明确形式要求的，证明文件可以以文字资料、图纸和数据等形式提交。</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12、投标分项报价表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12.1 投标人应按照招标文件规定格式填报投标分项报价表。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12.2投标货币。投标文件中的单价和总价无特殊规定的采用人民币报价，以元为单位标注。招标文件中另有规定的按规定执行。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12.3本项目不接受备选的投标方案或有选择的报价，只允许有一个报价。投标报价内容包括：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13、技术要求响应及偏离表、商务要求响应及偏离表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13.1 投标人需对招标文件中的技术要求与商务要求逐项作出响应或偏离，并说明原因。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13.2 投标人可在投标文件中提供认为需要的其他技术文件或说明。</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14、服务承诺、培训计划、人员安排及其他</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14.1 投标人需根据招标文件要求提供有关售后服务的管理制度，售后服务机构的分布情况，售后服务人员的数量、素质、技术水平及售后服务的反应能力等。</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14.2 投标人需根据招标文件要求提供培训计划。</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 投标人需根据招标文件要求提供所投标的的主要组成部分、功能设计、实现思路及关键技术等。</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15、投标声明及承诺函和开标一览表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15.1 投标人应按照招标文件中提供的格式完整、正确填写投标声明及承诺函、开标一览表。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highlight w:val="none"/>
        </w:rPr>
        <w:t xml:space="preserve">。</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16、投标有效期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16.1 投标有效期为开标之日后</w:t>
      </w:r>
      <w:r>
        <w:rPr>
          <w:rFonts w:hint="eastAsia" w:ascii="宋体" w:hAnsi="宋体" w:eastAsia="宋体" w:cs="宋体"/>
          <w:b/>
          <w:color w:val="auto"/>
          <w:sz w:val="24"/>
          <w:highlight w:val="none"/>
          <w:u w:val="single"/>
        </w:rPr>
        <w:t xml:space="preserve">六十（60）天</w:t>
      </w:r>
      <w:r>
        <w:rPr>
          <w:rFonts w:hint="eastAsia" w:ascii="宋体" w:hAnsi="宋体" w:eastAsia="宋体" w:cs="宋体"/>
          <w:color w:val="auto"/>
          <w:sz w:val="24"/>
          <w:highlight w:val="none"/>
        </w:rPr>
        <w:t xml:space="preserve">。投标有效期比规定短的将被视为未实质性响应招标文件而予以拒绝。</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17、投标有效期的延长</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17.2中标人的投标文件作为项目合同的附件，其有效期至中标人全部合同义务履行完毕为止。 </w:t>
      </w:r>
      <w:r/>
    </w:p>
    <w:p>
      <w:pPr>
        <w:pStyle w:val="7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四、投标文件的递交</w:t>
      </w:r>
      <w:r/>
    </w:p>
    <w:p>
      <w:pPr>
        <w:pStyle w:val="781"/>
        <w:ind w:firstLine="56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18、投标文件的递交</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18.1投标人应当按照《操作手册》规定，在投标截止时间前制作并上传电子投标文件。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18.2投标人通过“苏采云”系统不见面开标大厅在线参与开标活动。（具体操作详见《“苏采云”系统投标人操作手册》，网址链接</w:t>
      </w:r>
      <w:r>
        <w:rPr>
          <w:rFonts w:hint="eastAsia" w:ascii="宋体" w:hAnsi="宋体" w:eastAsia="宋体" w:cs="宋体"/>
          <w:color w:val="auto"/>
          <w:sz w:val="22"/>
          <w:highlight w:val="none"/>
        </w:rPr>
        <w:t xml:space="preserve">http://www.ccgp-jiangsu.gov.cn//webfile/jiangsu/202311/1699268553318052447.pdf）</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19、投标截止时间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19.1 投标人上传电子投标文件的时间不得迟于招标公告中规定的投标截止时间。</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19.2 采购代理机构可以按照规定，通过修改招标文件酌情延长投标截止时间，在此情况下，投标人的所有权利和义务以及投标人受制的截止时间均应以延长后新的截止时间为准。</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20、投标文件的拒收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20.1采购代理机构拒绝接收在其规定的投标截止时间后上传的任何投标文件。</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21、投标文件的撤回和修改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 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21.1.1 电子投标文件的撤回</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21.1.2 投标人撤回电子投标文件，则认为其不再参与本项目投标活动。</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 投标文件的修改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21.2.1投标人可在投标截止时间前，对其电子投标文件进行修改，具体操作方法见《操作手册》。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21.2.2 在投标截止时间之后，投标人不得对其电子投标文件作任何修改。</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 在投标截止时间至招标文件中规定的投标有效期满之间的这段时间内，投标人不得撤回其投标。</w:t>
      </w:r>
      <w:r/>
    </w:p>
    <w:p>
      <w:pPr>
        <w:pStyle w:val="7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五、开标与评标</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22、开标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22.1 采购代理机构将在招标公告中规定的时间和地点组织公开开标。投标人应当按照《“苏采云”系统供应商操作手册》规定，参加开标活动和在“苏采云”系统规定的时间内对投标文件进行解密。</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22.3投标人在开标过程中涉及到的投标文件解密、开标结果确认等工作，应按照《操作手册》规定执行。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22.4投标人如果对开标过程和开标记录有疑义，应当根据《操作手册》规定提出，如 “苏采云”系统中《开标记录表》宣布后5分钟内未提出的，视同认可开标结果。</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23、评标委员会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 开标后，采购代理机构将立即组织评标委员会（以下简称评委会）进行评标。</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 评委会由采购人代表和有关技术、经济等方面的专家组成，且人员构成符合政府采购有关规定。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23.3评委会独立工作，负责评审所有投标文件并确定中标侯选人。</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24、评标过程的保密与公正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24.1凡是与审查、澄清、评价和比较投标的有关资料以及授标建议等，采购人、评委、采购代理机构均不得向投标人或与评标无关的其他人员透露。</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24.2在评标过程中，投标人不得以任何行为影响评标过程，否则其投标文件将被作为无效投标文件。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采购代理机构和评委会不向未中标的投标人解释未中标原因，也不公布评标过程中的相关细节。</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24.4 采用综合评分法的项目，未中标的投标人可于中标结果公告期限届满之日起通过“苏采云”系统查看自己的评审得分及排序情况。</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25、投标文件的澄清</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投标人的澄清、说明或者补正不得超出投标文件的范围或者改变投标文件的实质性内容。</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评委会并非对每个投标人都做澄清要求。</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CA电子公章。澄清、说明和补正的内容作为投标文件的补充部分，具体操作方式见《操作手册》。</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 接到评委会澄清、说明和补正要求的投标人如未按规定做出澄清、说明和补正，其风险由投标人自行承担。</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26、对投标文件的初审</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26.1投标文件初审分为资格审查和符合性审查。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26.1.1 资格审查：依据法律法规和招标文件的规定，由采购人或其委托的代理机构对投标文件中的资格证明文件进行审查，以确定投标人是否具备投标资格。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26.1.3对各投标人符合性审查过程中，对初步被认定为无效投标者，由评委会组长或采购人代表将集体意见通过“苏采云”系统中告知未通过符合性审查的原因，评标结束后，将不再告知未通过符合性审查的原因。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26.4评委会将对确定为实质性响应的投标进行进一步审核，确定其是否有计算上或累加上的算术错误，修正错误的原则如下：</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（1）投标文件中开标一览表内容与投标文件中相应内容不一致的，以开标一览表为准。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（2）大写金额和小写金额不一致的，以大写金额为准。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（4）总价金额与按单价汇总金额不一致的，以单价金额计算结果为准。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同时出现两种以上错误的，按照前款规定的顺序修正。</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非单一产品采购项目，招标文件中将载明其中的核心产品。多家投标人提供的核心产品品牌相同的，按前两款规定处理。</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26.7投标人在开、评标全过程中应随时保持系统在线，及时在“苏采云”系统查阅、答复相关信息。</w:t>
      </w:r>
      <w:r/>
    </w:p>
    <w:p>
      <w:pPr>
        <w:pStyle w:val="781"/>
        <w:ind w:firstLine="42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27、无效投标条款和废标条款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27.1无效投标条款</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 投标人在“苏采云”系统规定的时间内未成功解密电子投标文件的。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27.1.2 投标人未按照招标文件要求上传电子投标文件的。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27.1.3同一投标人提交两个（含两个）以上不同的投标报价的。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27.1.4投标人不具备招标文件中规定资格要求的。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27.1.5投标人的报价超过了采购预算或最高限价的。</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27.1.6未通过符合性审查的。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27.1.7不符合招标文件中规定的实质性要求和条件的（</w:t>
      </w:r>
      <w:r>
        <w:rPr>
          <w:rFonts w:hint="eastAsia" w:ascii="宋体" w:hAnsi="宋体" w:eastAsia="宋体" w:cs="宋体"/>
          <w:i/>
          <w:color w:val="auto"/>
          <w:sz w:val="24"/>
          <w:highlight w:val="none"/>
          <w:u w:val="single"/>
        </w:rPr>
        <w:t xml:space="preserve">加斜体下划线内容或打“★”内容为实质性要求和条件）。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27.1.9 投标文件含有采购人不能接受的附加条件的。</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27.1.11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27.1.12 投标文件未按照招标文件要求加盖CA电子公章的。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27.1.13其他法律、法规及本招标文件规定的属无效投标的</w:t>
      </w:r>
      <w:r>
        <w:rPr>
          <w:rFonts w:hint="eastAsia" w:ascii="宋体" w:hAnsi="宋体" w:eastAsia="宋体" w:cs="宋体"/>
          <w:color w:val="auto"/>
          <w:sz w:val="24"/>
          <w:highlight w:val="none"/>
        </w:rPr>
        <w:t xml:space="preserve">。</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27.2废标条款</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27.2.1符合专业条件的投标人或者对招标文件作实质响应的投标人不足三家的。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27.2.2出现影响采购公正的违法、违规行为的。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27.2.3因重大变故，采购任务取消的。</w:t>
      </w:r>
      <w:r/>
    </w:p>
    <w:p>
      <w:pPr>
        <w:ind w:firstLine="42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27.2.4评委会认定招标文件存在歧义、重大缺陷导致评审工作无法进行。</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27.2.5 因“苏采云”系统系统故障原因造成开标不成功的。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 投标截止时间结束后参加投标的投标人不足三家的处理：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27.3.1如出现投标截止时间结束后参加投标的投标人或者在评标期间对招标文件做出实质响应的投标人不足三家情况，按政府采购相关规定执行。</w:t>
      </w:r>
      <w:r/>
    </w:p>
    <w:p>
      <w:pPr>
        <w:pStyle w:val="780"/>
        <w:ind w:firstLine="48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六、定标</w:t>
      </w:r>
      <w:r/>
    </w:p>
    <w:p>
      <w:pPr>
        <w:pStyle w:val="7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28、确定中标单位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28.1中标候选人的选取原则和数量见招标文件第五章规定。 </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28.2 按以下第</w:t>
      </w:r>
      <w:r>
        <w:rPr>
          <w:rFonts w:hint="eastAsia" w:ascii="宋体" w:hAnsi="宋体" w:eastAsia="宋体" w:cs="宋体"/>
          <w:color w:val="auto"/>
          <w:sz w:val="24"/>
          <w:highlight w:val="none"/>
          <w:u w:val="single"/>
        </w:rPr>
        <w:t xml:space="preserve">（2 ）</w:t>
      </w:r>
      <w:r>
        <w:rPr>
          <w:rFonts w:hint="eastAsia" w:ascii="宋体" w:hAnsi="宋体" w:eastAsia="宋体" w:cs="宋体"/>
          <w:color w:val="auto"/>
          <w:sz w:val="24"/>
          <w:highlight w:val="none"/>
        </w:rPr>
        <w:t xml:space="preserve">种方式确定中标人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（1）评委会直接确定排名第一的中标候选人为中标人；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（2）采购人在评委会推荐的中标候选人中按顺序确定中标人。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按第2种方式确定中标人的，采购代理机构自评审结束之日起两个工作日内将评审报告送交采购人，采购人自收到评审报告之日起五个工作日内在评审报告推荐的中标候选人中按顺序确定中标人。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28.3 采购代理机构将在“宿迁市政府采购网”发布中标公告，公告期限为1个工作日。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 若有充分证据证明，中标人出现下列情况之一的，一经查实，将被取消中标资格：</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28.4.1提供虚假材料谋取中标的。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28.4.2向采购人、采购代理机构行贿或者提供其他不正当利益的。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28.4.3属于本文件规定的无效条件，但在评标过程中又未被评委会发现的。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28.4.4与采购人或者其他投标人恶意串通的。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28.4.5采取不正当手段诋毁、排挤其他投标人的。</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 有下列情形之一的，视为投标人串通投标，投标无效：</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28.5.1不同投标人的投标文件由同一单位或者个人编制。</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28.5.2不同投标人委托同一单位或者个人办理投标事宜。</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28.5.3 不同投标人的投标文件载明的项目管理成员或者联系人员为同一人。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28.5.4不同投标人的投标文件异常一致或者投标报价呈规律性差异。</w:t>
      </w:r>
      <w:r/>
    </w:p>
    <w:p>
      <w:pPr>
        <w:pStyle w:val="7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29、质疑处理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29.1 提出质疑的投标人应当是参与所质疑项目采购活动的投标人。潜在投标人依法获取其可质疑的采购文件的，可以对采购文件提出质疑。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29.2.1对可以质疑的采购文件提出质疑的，为收到采购文件之日或者采购文件公告期限届满之日；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29.2.2对采购过程提出质疑的，为各采购程序环节结束之日；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29.2.3对中标或者成交结果提出质疑的，为中标或者成交结果公告期限届满之日。</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29.4 投标人应以书面形式向采购人或者其委托的采购代理机构提出质疑。质疑超出采购机构代理范围的，投标人应当向采购人提出。</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接收质疑函的方式：现场接收或邮寄接收。</w:t>
      </w:r>
      <w:r/>
    </w:p>
    <w:p>
      <w:pPr>
        <w:ind w:firstLine="480"/>
        <w:spacing w:line="559" w:lineRule="atLeast"/>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u w:val="single"/>
        </w:rPr>
        <w:t xml:space="preserve">泗洪姜堰实验学校、</w:t>
      </w:r>
      <w:r>
        <w:rPr>
          <w:rFonts w:hint="eastAsia" w:ascii="宋体" w:hAnsi="宋体" w:eastAsia="宋体" w:cs="宋体"/>
          <w:color w:val="auto"/>
          <w:sz w:val="24"/>
          <w:highlight w:val="none"/>
          <w:u w:val="single"/>
        </w:rPr>
        <w:t xml:space="preserve">江苏襄盛工程咨询有限公司</w:t>
      </w:r>
      <w:r/>
    </w:p>
    <w:p>
      <w:pPr>
        <w:ind w:firstLine="480"/>
        <w:spacing w:line="559" w:lineRule="atLeast"/>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15150713399、</w:t>
      </w:r>
      <w:r>
        <w:rPr>
          <w:rFonts w:hint="eastAsia" w:ascii="宋体" w:hAnsi="宋体" w:eastAsia="宋体" w:cs="宋体"/>
          <w:color w:val="auto"/>
          <w:sz w:val="24"/>
          <w:highlight w:val="none"/>
          <w:u w:val="single"/>
        </w:rPr>
        <w:t xml:space="preserve">19825846139</w:t>
      </w:r>
      <w:r/>
    </w:p>
    <w:p>
      <w:pPr>
        <w:ind w:firstLine="480"/>
        <w:spacing w:line="559" w:lineRule="atLeast"/>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u w:val="single"/>
          <w:lang w:eastAsia="zh-CN"/>
        </w:rPr>
        <w:t xml:space="preserve">泗洪县人民南路108号</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rPr>
        <w:t xml:space="preserve">泗洪县洪泽湖大街中央公馆63-202室</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 以下情形的质疑不予受理</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29.5.1 内容不符合《政府采购质疑和投诉办法》第十二条规定的质疑。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29.5.2 超出政府采购法定期限的质疑。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29.5.3 以传真、电子邮件等方式递交的非原件形式的质疑。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29.5.4 未参加投标活动的投标人或在投标活动中自身权益未受到损害的投标人所提出的质疑。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29.5.5投标人组成联合体参加投标，联合体中任何一方或多方未按要求签字、盖章、加盖公章的质疑。</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29.7 质疑供应商对采购人、采购代理机构的答复不满意，或者采购人、采购代理机构未在规定时间内作出答复的，可以在答复期满后15个工作日内向同级财政部门提起投诉。</w:t>
      </w:r>
      <w:r/>
    </w:p>
    <w:p>
      <w:pPr>
        <w:pStyle w:val="7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30、中标通知书</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30.l</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中标结果确定后，代理机构将向中标人发出中标通知书。请中标人使用CA数字证书登录“苏采云系统”及时下载中标通知书。中标方可自行下载打印《中标通知书》，《中标通知书》将作为授予合同资格的唯一合法依据。</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pStyle w:val="78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七、授予合同</w:t>
      </w:r>
      <w:r/>
    </w:p>
    <w:p>
      <w:pPr>
        <w:pStyle w:val="7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31. 签订合同</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l中标人应当在中标通知书发出之日起15日内，按照招标文件确定的事项与采购人签订政府采购合同。并在签订之日起2个工作日内将政府采购合同在指定的媒体上公告，但政府采购合同中涉及国家秘密、商业秘密的内容除外</w:t>
      </w:r>
      <w:r>
        <w:rPr>
          <w:rFonts w:hint="eastAsia" w:ascii="宋体" w:hAnsi="宋体" w:eastAsia="宋体" w:cs="宋体"/>
          <w:color w:val="auto"/>
          <w:sz w:val="24"/>
          <w:highlight w:val="none"/>
        </w:rPr>
        <w:t xml:space="preserve">。</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31.2</w:t>
      </w: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招标文件、中标人的投标文件及招标过程中有关澄清、承诺文件均应作为合同附件。</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31.3本项目的非主体、非关键性工作是否允许分包按以下第</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rPr>
        <w:t xml:space="preserve">种方式确定：</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允许分包，允许大中型企业向一家或者多家小微企业分包，分包具体内容、金额或比例：</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不允许分包。未经采购人同意，中标人也不得采用分包形式履行合同，否则采购人有权终止合同。转包或分包造成采购人损失的，中标人应承担相应赔偿责任。</w:t>
      </w:r>
      <w:r/>
    </w:p>
    <w:p>
      <w:pPr>
        <w:ind w:firstLine="60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31.4履约保证金</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按照以下第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方式确定履约保证收取方式。</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不收取履约保证金。</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履约保证金应在采购合同签订前提交，履约保证金的金额：</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5</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%计取。除银行电汇、网上银行、数字人民币外，投标人还可选用银行保函、担保公司的保证担保或保险公司的保证保险、等多种形式向采购人缴纳；</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履约保证金的递交时间：在中标</w:t>
      </w:r>
      <w:r>
        <w:rPr>
          <w:rFonts w:hint="eastAsia" w:ascii="宋体" w:hAnsi="宋体" w:eastAsia="宋体" w:cs="宋体"/>
          <w:color w:val="auto"/>
          <w:sz w:val="24"/>
          <w:highlight w:val="none"/>
        </w:rPr>
        <w:t xml:space="preserve">结果</w:t>
      </w:r>
      <w:r>
        <w:rPr>
          <w:rFonts w:hint="eastAsia" w:ascii="宋体" w:hAnsi="宋体" w:eastAsia="宋体" w:cs="宋体"/>
          <w:color w:val="auto"/>
          <w:sz w:val="24"/>
          <w:highlight w:val="none"/>
        </w:rPr>
        <w:t xml:space="preserve">公告发布之日起 ☑7□14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21日历天内提交。</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采用银行电汇、网上银行等方式缴纳履约保证金的，应从中标人法人基本存款账户转到保证金专用账户。 </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（1）户名：泗洪县公共资源交易中心； </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（2）开户行：江苏省泗洪农村商业银行股份有限公司营业部；</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采用数字人民币方式缴纳的，使用投标企业数字人民币对公钱包一次性转钱至泗洪县公共资源交易中心数字人民币钱包（钱包ID：0092118799300008，运营机构：中国交通银行股份有限公司），并备注为：</w:t>
      </w:r>
      <w:r>
        <w:rPr>
          <w:rFonts w:hint="eastAsia" w:ascii="宋体" w:hAnsi="宋体" w:eastAsia="宋体" w:cs="宋体"/>
          <w:color w:val="auto"/>
          <w:sz w:val="24"/>
          <w:highlight w:val="none"/>
        </w:rPr>
        <w:t xml:space="preserve">泗洪姜堰实验学校信息化设备采购项目</w:t>
      </w:r>
      <w:r>
        <w:rPr>
          <w:rFonts w:hint="eastAsia" w:ascii="宋体" w:hAnsi="宋体" w:eastAsia="宋体" w:cs="宋体"/>
          <w:color w:val="auto"/>
          <w:sz w:val="24"/>
          <w:highlight w:val="none"/>
        </w:rPr>
        <w:t xml:space="preserve">履约保证金。</w:t>
      </w:r>
      <w:r/>
    </w:p>
    <w:p>
      <w:pPr>
        <w:ind w:firstLine="48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采用银行保函、担保公司的保证担保或保险公司的保证保险形式缴纳履约保证金的，以银行保函、担保公司的保证担保或保险公司的保证保险等形式提交履约保证金的，其有效期应包括本项目供货工期的范围。以保函、担保、保险形式提交的履约保证金递交至当地公共资源交易中心。</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履约保证金缴退咨询电话：0527-89889051；</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履约保证金退还的条件：按以下方式实行：</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货物类项目，项目验收合格，出具验收报告及履约保证金收据申请退付；</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履约保证金退还时间：采购单位收到投标人退付申请后5个工作日内退</w:t>
      </w:r>
      <w:r>
        <w:rPr>
          <w:rFonts w:hint="eastAsia" w:ascii="宋体" w:hAnsi="宋体" w:eastAsia="宋体" w:cs="宋体"/>
          <w:color w:val="auto"/>
          <w:sz w:val="24"/>
          <w:highlight w:val="none"/>
        </w:rPr>
        <w:t xml:space="preserve">付</w:t>
      </w:r>
      <w:r>
        <w:rPr>
          <w:rFonts w:hint="eastAsia" w:ascii="宋体" w:hAnsi="宋体" w:eastAsia="宋体" w:cs="宋体"/>
          <w:color w:val="auto"/>
          <w:sz w:val="24"/>
          <w:highlight w:val="none"/>
        </w:rPr>
        <w:t xml:space="preserve">；</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600"/>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59" w:lineRule="atLeast"/>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auto"/>
          <w:sz w:val="24"/>
          <w:highlight w:val="none"/>
        </w:rPr>
        <w:t xml:space="preserve">网址（https://jsdzbh.com/webSite/bHIndex）</w:t>
      </w:r>
      <w:r>
        <w:rPr>
          <w:rFonts w:hint="eastAsia" w:ascii="宋体" w:hAnsi="宋体" w:eastAsia="宋体" w:cs="宋体"/>
          <w:color w:val="auto"/>
          <w:sz w:val="24"/>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59" w:lineRule="atLeast"/>
        <w:rPr>
          <w:rFonts w:hint="eastAsia" w:ascii="宋体" w:hAnsi="宋体" w:eastAsia="宋体" w:cs="宋体"/>
          <w:b/>
          <w:bCs/>
          <w:color w:val="auto"/>
          <w:sz w:val="30"/>
          <w:szCs w:val="2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26"/>
          <w:highlight w:val="none"/>
        </w:rPr>
        <w:t xml:space="preserve">32、货物（包含与货物相关的服务）的追加</w:t>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81"/>
        <w:ind w:firstLine="600"/>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33、政府采购履约资金扶持政策</w:t>
      </w:r>
      <w:r/>
    </w:p>
    <w:p>
      <w:pPr>
        <w:ind w:firstLine="42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81"/>
        <w:ind w:firstLine="602"/>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34、验收及付款</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34.2采购人可以邀请参加本项目的其他投标人或者第三方机构参与验收。参与验收的投标人或者第三方机构的意见作为验收书的参考资料一并存档。</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35、付款</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按照以下确定的付款方式，采购人及时办理付款手续。对于满足合同约定支付条件的，自收到发票后10个工作日内将资金支付到合同约定的供应商账户或供应商数字人民币账户。</w:t>
      </w:r>
      <w:r/>
    </w:p>
    <w:p>
      <w:pPr>
        <w:ind w:firstLine="482"/>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预付款：合同金额的</w:t>
      </w:r>
      <w:r>
        <w:rPr>
          <w:rFonts w:hint="eastAsia" w:ascii="宋体" w:hAnsi="宋体" w:eastAsia="宋体" w:cs="宋体"/>
          <w:color w:val="auto"/>
          <w:sz w:val="24"/>
          <w:highlight w:val="none"/>
          <w:u w:val="single"/>
        </w:rPr>
        <w:t xml:space="preserve"> 30% </w:t>
      </w:r>
      <w:r>
        <w:rPr>
          <w:rFonts w:hint="eastAsia" w:ascii="宋体" w:hAnsi="宋体" w:eastAsia="宋体" w:cs="宋体"/>
          <w:color w:val="auto"/>
          <w:sz w:val="24"/>
          <w:highlight w:val="none"/>
        </w:rPr>
        <w:t xml:space="preserve">，合同签订后按规定支付； </w:t>
      </w:r>
      <w:r/>
    </w:p>
    <w:p>
      <w:pPr>
        <w:ind w:firstLine="482"/>
        <w:spacing w:line="559" w:lineRule="atLeast"/>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进度款:</w:t>
      </w:r>
      <w:r>
        <w:rPr>
          <w:rFonts w:hint="eastAsia" w:ascii="宋体" w:hAnsi="宋体" w:eastAsia="宋体" w:cs="宋体"/>
          <w:color w:val="auto"/>
          <w:sz w:val="24"/>
          <w:highlight w:val="none"/>
          <w:u w:val="single"/>
        </w:rPr>
        <w:t xml:space="preserve">货物到现场安装调试完毕稳定运行并经采购人验收合格后，自收到供应商发票</w:t>
      </w:r>
      <w:r>
        <w:rPr>
          <w:rFonts w:hint="eastAsia" w:ascii="宋体" w:hAnsi="宋体" w:eastAsia="宋体" w:cs="宋体"/>
          <w:color w:val="auto"/>
          <w:sz w:val="24"/>
          <w:highlight w:val="none"/>
          <w:u w:val="single"/>
          <w:lang w:val="en-US" w:eastAsia="zh-CN"/>
        </w:rPr>
        <w:t xml:space="preserve">后</w:t>
      </w:r>
      <w:r>
        <w:rPr>
          <w:rFonts w:hint="eastAsia" w:ascii="宋体" w:hAnsi="宋体" w:eastAsia="宋体" w:cs="宋体"/>
          <w:color w:val="auto"/>
          <w:sz w:val="24"/>
          <w:highlight w:val="none"/>
          <w:u w:val="single"/>
        </w:rPr>
        <w:t xml:space="preserve">10个工作日内采购人将货款支付到合同总价款的100%。</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(1)可以采用数字人民币支付。</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(2)资金支付的时间:收到供应商发票</w:t>
      </w:r>
      <w:r>
        <w:rPr>
          <w:rFonts w:hint="eastAsia" w:ascii="宋体" w:hAnsi="宋体" w:eastAsia="宋体" w:cs="宋体"/>
          <w:color w:val="auto"/>
          <w:sz w:val="24"/>
          <w:highlight w:val="none"/>
          <w:lang w:val="en-US" w:eastAsia="zh-CN"/>
        </w:rPr>
        <w:t xml:space="preserve">后</w:t>
      </w:r>
      <w:r>
        <w:rPr>
          <w:rFonts w:hint="eastAsia" w:ascii="宋体" w:hAnsi="宋体" w:eastAsia="宋体" w:cs="宋体"/>
          <w:color w:val="auto"/>
          <w:sz w:val="24"/>
          <w:highlight w:val="none"/>
        </w:rPr>
        <w:t xml:space="preserve">10个工作日内。</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(3)资金支付的条件:满足相应阶段的要求且收到供应商发票。</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(4)当采购数量与实际使用数量不一致时，供应商应根据实际使用量供货，合同的最终结算金额按实际使用量乘以成交单价进行计算。</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(5)在签订合同时，供应商明确表示无需预付款或者主动要求降低预付款比例的，采购人可不适用前述规定。</w:t>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2"/>
        <w:spacing w:line="559"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rPr>
          <w:rFonts w:hint="eastAsia" w:ascii="宋体" w:hAnsi="宋体" w:eastAsia="宋体" w:cs="宋体"/>
          <w:b/>
          <w:color w:val="auto"/>
          <w:sz w:val="44"/>
          <w:szCs w:val="28"/>
          <w:highlight w:val="none"/>
        </w:rPr>
      </w:pPr>
      <w:r/>
      <w:bookmarkStart w:id="3" w:name="_Toc155086566"/>
      <w:r/>
      <w:bookmarkStart w:id="4" w:name="_Toc118461986"/>
      <w:r/>
      <w:bookmarkStart w:id="5" w:name="_Toc104802328"/>
      <w:r/>
      <w:bookmarkStart w:id="6" w:name="_Toc13478"/>
      <w:r>
        <w:rPr>
          <w:rFonts w:hint="eastAsia" w:ascii="宋体" w:hAnsi="宋体" w:eastAsia="宋体" w:cs="宋体"/>
          <w:b/>
          <w:color w:val="auto"/>
          <w:sz w:val="44"/>
          <w:szCs w:val="28"/>
          <w:highlight w:val="none"/>
        </w:rPr>
        <w:t xml:space="preserve">第三章  合同文本</w:t>
      </w:r>
      <w:bookmarkEnd w:id="3"/>
      <w:r/>
      <w:bookmarkEnd w:id="4"/>
      <w:r/>
      <w:bookmarkEnd w:id="5"/>
      <w:r/>
      <w:bookmarkEnd w:id="6"/>
      <w:r/>
      <w:r/>
    </w:p>
    <w:p>
      <w:pPr>
        <w:pStyle w:val="789"/>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r>
      <w:r/>
    </w:p>
    <w:p>
      <w:pPr>
        <w:pStyle w:val="789"/>
        <w:jc w:val="center"/>
        <w:rPr>
          <w:rFonts w:hint="eastAsia" w:ascii="宋体" w:hAnsi="宋体" w:eastAsia="宋体" w:cs="宋体"/>
          <w:b/>
          <w:bCs/>
          <w:color w:val="auto"/>
          <w:spacing w:val="-20"/>
          <w:sz w:val="48"/>
          <w:szCs w:val="48"/>
          <w:highlight w:val="none"/>
        </w:rPr>
      </w:pPr>
      <w:r>
        <w:rPr>
          <w:rFonts w:hint="eastAsia" w:ascii="宋体" w:hAnsi="宋体" w:eastAsia="宋体" w:cs="宋体"/>
          <w:b/>
          <w:bCs/>
          <w:color w:val="auto"/>
          <w:spacing w:val="-20"/>
          <w:sz w:val="48"/>
          <w:szCs w:val="48"/>
          <w:highlight w:val="none"/>
        </w:rPr>
        <w:t xml:space="preserve">政府采购货物买卖合同</w:t>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t xml:space="preserve">    </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合同编号：</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single"/>
        </w:rPr>
        <w:t xml:space="preserve">                             </w:t>
      </w:r>
      <w:r/>
    </w:p>
    <w:p>
      <w:pPr>
        <w:ind w:left="42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签订时间：</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rPr>
        <w:t xml:space="preserve">            </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使 用 说 明</w:t>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64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   </w:t>
      </w: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hint="eastAsia" w:ascii="宋体" w:hAnsi="宋体" w:eastAsia="宋体" w:cs="宋体"/>
          <w:color w:val="auto"/>
          <w:sz w:val="44"/>
          <w:szCs w:val="44"/>
          <w:highlight w:val="none"/>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r/>
    </w:p>
    <w:p>
      <w:pPr>
        <w:pStyle w:val="779"/>
        <w:jc w:val="center"/>
        <w:spacing w:line="400" w:lineRule="exact"/>
        <w:rPr>
          <w:rFonts w:hint="eastAsia" w:ascii="宋体" w:hAnsi="宋体" w:eastAsia="宋体" w:cs="宋体"/>
          <w:color w:val="auto"/>
          <w:sz w:val="28"/>
          <w:szCs w:val="28"/>
          <w:highlight w:val="none"/>
        </w:rPr>
      </w:pPr>
      <w:r/>
      <w:bookmarkStart w:id="7" w:name="_Toc22209"/>
      <w:r>
        <w:rPr>
          <w:rFonts w:hint="eastAsia" w:ascii="宋体" w:hAnsi="宋体" w:eastAsia="宋体" w:cs="宋体"/>
          <w:color w:val="auto"/>
          <w:sz w:val="28"/>
          <w:szCs w:val="28"/>
          <w:highlight w:val="none"/>
        </w:rPr>
        <w:t xml:space="preserve">第一节 </w:t>
      </w:r>
      <w:r>
        <w:rPr>
          <w:rFonts w:hint="eastAsia" w:ascii="宋体" w:hAnsi="宋体" w:eastAsia="宋体" w:cs="宋体"/>
          <w:color w:val="auto"/>
          <w:sz w:val="28"/>
          <w:szCs w:val="28"/>
          <w:highlight w:val="none"/>
        </w:rPr>
        <w:t xml:space="preserve">政府采购合同协议书</w:t>
      </w:r>
      <w:bookmarkEnd w:id="7"/>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（采购人、受采购人委托签订合同的单位或采购文件约定的合同甲方）</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乙方1（全称）：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乙方2（全称）：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（联合体成员供应商或其他合同主体）（如有）</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rPr>
        <w:t xml:space="preserve">3</w:t>
      </w:r>
      <w:r>
        <w:rPr>
          <w:rFonts w:hint="eastAsia" w:ascii="宋体" w:hAnsi="宋体" w:eastAsia="宋体" w:cs="宋体"/>
          <w:color w:val="auto"/>
          <w:highlight w:val="none"/>
        </w:rPr>
        <w:t xml:space="preserve">（全称）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（联合体成员供应商或其他合同主体）（如有）</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ind w:firstLine="420"/>
        <w:spacing w:line="400" w:lineRule="exact"/>
        <w:rPr>
          <w:rFonts w:hint="eastAsia" w:ascii="宋体" w:hAnsi="宋体" w:eastAsia="宋体" w:cs="宋体"/>
          <w:color w:val="auto"/>
          <w:highlight w:val="none"/>
        </w:rPr>
      </w:pPr>
      <w:r>
        <w:rPr>
          <w:rFonts w:hint="eastAsia" w:ascii="宋体" w:hAnsi="宋体" w:eastAsia="宋体" w:cs="宋体"/>
          <w:color w:val="auto"/>
          <w:sz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w:t>
      </w:r>
      <w:r>
        <w:rPr>
          <w:rFonts w:hint="eastAsia" w:ascii="宋体" w:hAnsi="宋体" w:eastAsia="宋体" w:cs="宋体"/>
          <w:color w:val="auto"/>
          <w:highlight w:val="none"/>
        </w:rPr>
        <w:t xml:space="preserve">     </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项目信息</w:t>
      </w:r>
      <w:r/>
    </w:p>
    <w:p>
      <w:pPr>
        <w:pStyle w:val="794"/>
        <w:numPr>
          <w:ilvl w:val="0"/>
          <w:numId w:val="6"/>
        </w:numPr>
        <w:ind w:firstLine="420"/>
        <w:spacing w:line="400" w:lineRule="exact"/>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采购项目名称：</w:t>
      </w:r>
      <w:r>
        <w:rPr>
          <w:rFonts w:hint="eastAsia" w:ascii="宋体" w:hAnsi="宋体" w:eastAsia="宋体" w:cs="宋体"/>
          <w:color w:val="auto"/>
          <w:sz w:val="21"/>
          <w:highlight w:val="none"/>
          <w:u w:val="single"/>
        </w:rPr>
        <w:t xml:space="preserve">                                          </w:t>
      </w:r>
      <w:r/>
    </w:p>
    <w:p>
      <w:pPr>
        <w:pStyle w:val="794"/>
        <w:ind w:firstLine="0"/>
        <w:spacing w:line="400" w:lineRule="exact"/>
        <w:tabs>
          <w:tab w:val="left" w:pos="999"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采购项目编号：</w:t>
      </w:r>
      <w:r>
        <w:rPr>
          <w:rFonts w:hint="eastAsia" w:ascii="宋体" w:hAnsi="宋体" w:eastAsia="宋体" w:cs="宋体"/>
          <w:color w:val="auto"/>
          <w:sz w:val="21"/>
          <w:highlight w:val="none"/>
          <w:u w:val="single"/>
        </w:rPr>
        <w:t xml:space="preserve">                                          </w:t>
      </w:r>
      <w:r/>
    </w:p>
    <w:p>
      <w:pPr>
        <w:pStyle w:val="794"/>
        <w:ind w:firstLine="420"/>
        <w:spacing w:line="400" w:lineRule="exact"/>
        <w:rPr>
          <w:rFonts w:hint="eastAsia" w:ascii="宋体" w:hAnsi="宋体" w:eastAsia="宋体" w:cs="宋体"/>
          <w:color w:val="auto"/>
          <w:highlight w:val="none"/>
        </w:rPr>
      </w:pPr>
      <w:r>
        <w:rPr>
          <w:rFonts w:hint="eastAsia" w:ascii="宋体" w:hAnsi="宋体" w:eastAsia="宋体" w:cs="宋体"/>
          <w:color w:val="auto"/>
          <w:sz w:val="21"/>
          <w:highlight w:val="none"/>
        </w:rPr>
        <w:t xml:space="preserve">（2）采购计划编号：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（3）项目内容：</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采购标的及数量（台/套</w:t>
      </w:r>
      <w:r>
        <w:rPr>
          <w:rFonts w:hint="eastAsia" w:ascii="宋体" w:hAnsi="宋体" w:eastAsia="宋体" w:cs="宋体"/>
          <w:color w:val="auto"/>
          <w:highlight w:val="none"/>
          <w:lang w:val="en"/>
        </w:rPr>
        <w:t xml:space="preserve">/</w:t>
      </w:r>
      <w:r>
        <w:rPr>
          <w:rFonts w:hint="eastAsia" w:ascii="宋体" w:hAnsi="宋体" w:eastAsia="宋体" w:cs="宋体"/>
          <w:color w:val="auto"/>
          <w:highlight w:val="none"/>
          <w:lang w:val="en"/>
        </w:rPr>
        <w:t xml:space="preserve">个</w:t>
      </w:r>
      <w:r>
        <w:rPr>
          <w:rFonts w:hint="eastAsia" w:ascii="宋体" w:hAnsi="宋体" w:eastAsia="宋体" w:cs="宋体"/>
          <w:color w:val="auto"/>
          <w:highlight w:val="none"/>
          <w:lang w:val="en"/>
        </w:rPr>
        <w:t xml:space="preserve">/</w:t>
      </w:r>
      <w:r>
        <w:rPr>
          <w:rFonts w:hint="eastAsia" w:ascii="宋体" w:hAnsi="宋体" w:eastAsia="宋体" w:cs="宋体"/>
          <w:color w:val="auto"/>
          <w:highlight w:val="none"/>
          <w:lang w:val="en"/>
        </w:rPr>
        <w:t xml:space="preserve">架</w:t>
      </w:r>
      <w:r>
        <w:rPr>
          <w:rFonts w:hint="eastAsia" w:ascii="宋体" w:hAnsi="宋体" w:eastAsia="宋体" w:cs="宋体"/>
          <w:color w:val="auto"/>
          <w:highlight w:val="none"/>
          <w:lang w:val="en"/>
        </w:rPr>
        <w:t xml:space="preserve">/</w:t>
      </w:r>
      <w:r>
        <w:rPr>
          <w:rFonts w:hint="eastAsia" w:ascii="宋体" w:hAnsi="宋体" w:eastAsia="宋体" w:cs="宋体"/>
          <w:color w:val="auto"/>
          <w:highlight w:val="none"/>
          <w:lang w:val="en"/>
        </w:rPr>
        <w:t xml:space="preserve">组等</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420"/>
        <w:spacing w:line="400" w:lineRule="exact"/>
        <w:rPr>
          <w:rFonts w:hint="eastAsia" w:ascii="宋体" w:hAnsi="宋体" w:eastAsia="宋体" w:cs="宋体"/>
          <w:color w:val="auto"/>
          <w:highlight w:val="none"/>
          <w:lang w:val="en"/>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
        </w:rPr>
        <w:t xml:space="preserve">     </w:t>
      </w:r>
      <w:r>
        <w:rPr>
          <w:rFonts w:hint="eastAsia" w:ascii="宋体" w:hAnsi="宋体" w:eastAsia="宋体" w:cs="宋体"/>
          <w:color w:val="auto"/>
          <w:highlight w:val="none"/>
        </w:rPr>
        <w:t xml:space="preserve">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p>
    <w:p>
      <w:pPr>
        <w:ind w:firstLine="945"/>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采购标的的技术要求、商务要求具体见附件。</w:t>
      </w:r>
      <w:r/>
    </w:p>
    <w:p>
      <w:pPr>
        <w:ind w:firstLine="945"/>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①</w:t>
      </w:r>
      <w:r>
        <w:rPr>
          <w:rFonts w:hint="eastAsia" w:ascii="宋体" w:hAnsi="宋体" w:eastAsia="宋体" w:cs="宋体"/>
          <w:color w:val="auto"/>
          <w:highlight w:val="none"/>
        </w:rPr>
        <w:t xml:space="preserve">涉及信息类产品，请填写该产品关键部件的品牌、型号：</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标的名称：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
        </w:rPr>
        <w:t xml:space="preserve">               </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关键部件：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关键部件</w:t>
      </w: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highlight w:val="none"/>
        </w:rPr>
        <w:t xml:space="preserve">þ</w:t>
      </w:r>
      <w:r>
        <w:rPr>
          <w:rFonts w:hint="eastAsia" w:ascii="宋体" w:hAnsi="宋体" w:eastAsia="宋体" w:cs="宋体"/>
          <w:color w:val="auto"/>
          <w:sz w:val="21"/>
          <w:highlight w:val="none"/>
        </w:rPr>
        <w:t xml:space="preserve">否</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highlight w:val="none"/>
        </w:rPr>
        <w:t xml:space="preserve">þ</w:t>
      </w:r>
      <w:r>
        <w:rPr>
          <w:rFonts w:hint="eastAsia" w:ascii="宋体" w:hAnsi="宋体" w:eastAsia="宋体" w:cs="宋体"/>
          <w:color w:val="auto"/>
          <w:sz w:val="21"/>
          <w:highlight w:val="none"/>
        </w:rPr>
        <w:t xml:space="preserve">分散采购</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819"/>
        <w:ind w:firstLine="420"/>
        <w:rPr>
          <w:rFonts w:hint="eastAsia" w:ascii="宋体" w:hAnsi="宋体" w:eastAsia="宋体" w:cs="宋体"/>
          <w:color w:val="auto"/>
          <w:sz w:val="21"/>
          <w:highlight w:val="none"/>
          <w:u w:val="single"/>
        </w:rPr>
      </w:pPr>
      <w:r>
        <w:rPr>
          <w:rFonts w:hint="eastAsia" w:ascii="宋体" w:hAnsi="宋体" w:eastAsia="宋体" w:cs="宋体"/>
          <w:color w:val="auto"/>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819"/>
        <w:ind w:firstLine="220"/>
        <w:rPr>
          <w:rFonts w:hint="eastAsia" w:ascii="宋体" w:hAnsi="宋体" w:eastAsia="宋体" w:cs="宋体"/>
          <w:color w:val="auto"/>
          <w:sz w:val="21"/>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否</w:t>
      </w:r>
      <w:r/>
    </w:p>
    <w:p>
      <w:pPr>
        <w:ind w:firstLine="840"/>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本合同是否为专门面向中小企业的采购合同（中小企业预留合同）：</w:t>
      </w: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是</w:t>
      </w:r>
      <w:r>
        <w:rPr>
          <w:rFonts w:ascii="Wingdings" w:hAnsi="Wingdings" w:eastAsia="Wingdings" w:cs="Wingdings"/>
          <w:color w:val="auto"/>
          <w:highlight w:val="none"/>
        </w:rPr>
        <w:t xml:space="preserve">þ</w:t>
      </w:r>
      <w:r>
        <w:rPr>
          <w:rFonts w:hint="eastAsia" w:ascii="宋体" w:hAnsi="宋体" w:eastAsia="宋体" w:cs="宋体"/>
          <w:iCs/>
          <w:color w:val="auto"/>
          <w:highlight w:val="none"/>
        </w:rPr>
        <w:t xml:space="preserve">否</w:t>
      </w:r>
      <w:r/>
    </w:p>
    <w:p>
      <w:pPr>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若本项目不专门面向中小企业采购，是否给予小微企业评审优惠：</w:t>
      </w: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w:t>
      </w:r>
      <w:r>
        <w:rPr>
          <w:rFonts w:hint="eastAsia" w:ascii="宋体" w:hAnsi="宋体" w:eastAsia="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否</w:t>
      </w:r>
      <w:r/>
    </w:p>
    <w:p>
      <w:pPr>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是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
        </w:rPr>
        <w:t xml:space="preserve">7</w:t>
      </w:r>
      <w:r>
        <w:rPr>
          <w:rFonts w:hint="eastAsia" w:ascii="宋体" w:hAnsi="宋体" w:eastAsia="宋体" w:cs="宋体"/>
          <w:color w:val="auto"/>
          <w:highlight w:val="none"/>
        </w:rPr>
        <w:t xml:space="preserve">）合同是否分包：</w:t>
      </w:r>
      <w:r>
        <w:rPr>
          <w:rFonts w:ascii="Wingdings" w:hAnsi="Wingdings" w:eastAsia="Wingdings" w:cs="Wingdings"/>
          <w:color w:val="auto"/>
          <w:highlight w:val="none"/>
        </w:rPr>
        <w:t xml:space="preserve">¨</w:t>
      </w:r>
      <w:r>
        <w:rPr>
          <w:rFonts w:hint="eastAsia" w:ascii="宋体" w:hAnsi="宋体" w:eastAsia="宋体" w:cs="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eastAsia="宋体" w:cs="宋体"/>
          <w:iCs/>
          <w:color w:val="auto"/>
          <w:highlight w:val="none"/>
        </w:rPr>
        <w:t xml:space="preserve">否</w:t>
      </w:r>
      <w:r/>
    </w:p>
    <w:p>
      <w:pPr>
        <w:ind w:firstLine="84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分包主要内容：</w:t>
      </w:r>
      <w:r>
        <w:rPr>
          <w:rFonts w:hint="eastAsia" w:ascii="宋体" w:hAnsi="宋体" w:eastAsia="宋体" w:cs="宋体"/>
          <w:color w:val="auto"/>
          <w:highlight w:val="none"/>
          <w:u w:val="single"/>
        </w:rPr>
        <w:t xml:space="preserve">                                            </w:t>
      </w:r>
      <w:r/>
    </w:p>
    <w:p>
      <w:pPr>
        <w:ind w:firstLine="84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分包供应商/制造商名称（如供应商和制造商不同，请分别填写）：</w:t>
      </w:r>
      <w:r/>
    </w:p>
    <w:p>
      <w:pPr>
        <w:ind w:firstLine="84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w:t>
      </w:r>
      <w:r/>
    </w:p>
    <w:p>
      <w:pPr>
        <w:ind w:firstLine="84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分包供应商/制造商类型（如果供应商和制造商不同，只填写制造商类型）：</w:t>
      </w:r>
      <w:r/>
    </w:p>
    <w:p>
      <w:pPr>
        <w:ind w:firstLine="840"/>
        <w:spacing w:line="400" w:lineRule="exact"/>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大型企业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中型企业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小微型企业  </w:t>
      </w:r>
      <w:r/>
    </w:p>
    <w:p>
      <w:pPr>
        <w:ind w:firstLine="840"/>
        <w:spacing w:line="400" w:lineRule="exact"/>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残疾人福利性单位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监狱企业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其他</w:t>
      </w:r>
      <w:r/>
    </w:p>
    <w:p>
      <w:pPr>
        <w:spacing w:line="400" w:lineRule="exact"/>
        <w:rPr>
          <w:rFonts w:hint="eastAsia" w:ascii="宋体" w:hAnsi="宋体" w:eastAsia="宋体" w:cs="宋体"/>
          <w:iCs/>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
        </w:rPr>
        <w:t xml:space="preserve">8</w:t>
      </w:r>
      <w:r>
        <w:rPr>
          <w:rFonts w:hint="eastAsia" w:ascii="宋体" w:hAnsi="宋体" w:eastAsia="宋体" w:cs="宋体"/>
          <w:color w:val="auto"/>
          <w:highlight w:val="none"/>
        </w:rPr>
        <w:t xml:space="preserve">）中标（成交）供应商是否为外商投资企业：</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是       </w:t>
      </w:r>
      <w:r>
        <w:rPr>
          <w:rFonts w:ascii="Wingdings" w:hAnsi="Wingdings" w:eastAsia="Wingdings" w:cs="Wingdings"/>
          <w:iCs/>
          <w:color w:val="auto"/>
          <w:highlight w:val="none"/>
        </w:rPr>
        <w:t xml:space="preserve">þ</w:t>
      </w:r>
      <w:r>
        <w:rPr>
          <w:rFonts w:hint="eastAsia" w:ascii="宋体" w:hAnsi="宋体" w:eastAsia="宋体" w:cs="宋体"/>
          <w:iCs/>
          <w:color w:val="auto"/>
          <w:highlight w:val="none"/>
        </w:rPr>
        <w:t xml:space="preserve">否</w:t>
      </w:r>
      <w:r/>
    </w:p>
    <w:p>
      <w:pPr>
        <w:pStyle w:val="819"/>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
        </w:rPr>
        <w:t xml:space="preserve">9</w:t>
      </w:r>
      <w:r>
        <w:rPr>
          <w:rFonts w:hint="eastAsia" w:ascii="宋体" w:hAnsi="宋体" w:eastAsia="宋体" w:cs="宋体"/>
          <w:color w:val="auto"/>
          <w:highlight w:val="none"/>
        </w:rPr>
        <w:t xml:space="preserve">）是否涉及进口产品：</w:t>
      </w:r>
      <w:r/>
    </w:p>
    <w:p>
      <w:pPr>
        <w:ind w:firstLine="84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是，《政府采购品目分类目录》底级品目名称：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金额：</w:t>
      </w:r>
      <w:r>
        <w:rPr>
          <w:rFonts w:hint="eastAsia" w:ascii="宋体" w:hAnsi="宋体" w:eastAsia="宋体" w:cs="宋体"/>
          <w:color w:val="auto"/>
          <w:highlight w:val="none"/>
          <w:u w:val="single"/>
        </w:rPr>
        <w:t xml:space="preserve">        </w:t>
      </w:r>
      <w:r/>
    </w:p>
    <w:p>
      <w:pPr>
        <w:ind w:firstLine="84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国别：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品牌：</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规格型号：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ind w:firstLine="84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否</w:t>
      </w:r>
      <w:r/>
    </w:p>
    <w:p>
      <w:pPr>
        <w:spacing w:line="400" w:lineRule="exact"/>
        <w:tabs>
          <w:tab w:val="left" w:pos="7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
        </w:rPr>
        <w:t xml:space="preserve">0</w:t>
      </w:r>
      <w:r>
        <w:rPr>
          <w:rFonts w:hint="eastAsia" w:ascii="宋体" w:hAnsi="宋体" w:eastAsia="宋体" w:cs="宋体"/>
          <w:color w:val="auto"/>
          <w:highlight w:val="none"/>
        </w:rPr>
        <w:t xml:space="preserve">）是否涉及节能产品：</w:t>
      </w:r>
      <w:r/>
    </w:p>
    <w:p>
      <w:pPr>
        <w:spacing w:line="400" w:lineRule="exact"/>
        <w:tabs>
          <w:tab w:val="left" w:pos="740" w:leader="none"/>
        </w:tabs>
        <w:rPr>
          <w:rFonts w:hint="eastAsia" w:ascii="宋体" w:hAnsi="宋体" w:eastAsia="宋体" w:cs="宋体"/>
          <w:iCs/>
          <w:color w:val="auto"/>
          <w:highlight w:val="none"/>
        </w:rPr>
      </w:pPr>
      <w:r>
        <w:rPr>
          <w:rFonts w:hint="eastAsia" w:ascii="宋体" w:hAnsi="宋体" w:eastAsia="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是，《节能产品政府采购品目清单》的底级品目名称：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r/>
    </w:p>
    <w:p>
      <w:pPr>
        <w:spacing w:line="400" w:lineRule="exact"/>
        <w:tabs>
          <w:tab w:val="left" w:pos="740" w:leader="none"/>
        </w:tabs>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eastAsia="宋体" w:cs="宋体"/>
          <w:iCs/>
          <w:color w:val="auto"/>
          <w:highlight w:val="none"/>
        </w:rPr>
        <w:t xml:space="preserve">优先采购    </w:t>
      </w:r>
      <w:r/>
    </w:p>
    <w:p>
      <w:pPr>
        <w:spacing w:line="400" w:lineRule="exact"/>
        <w:tabs>
          <w:tab w:val="left" w:pos="740" w:leader="none"/>
        </w:tabs>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否</w:t>
      </w:r>
      <w:r/>
    </w:p>
    <w:p>
      <w:pPr>
        <w:spacing w:line="400" w:lineRule="exact"/>
        <w:tabs>
          <w:tab w:val="left" w:pos="7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是否涉及环境标志产品：</w:t>
      </w:r>
      <w:r/>
    </w:p>
    <w:p>
      <w:pPr>
        <w:spacing w:line="400" w:lineRule="exact"/>
        <w:tabs>
          <w:tab w:val="left" w:pos="74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是，《环境标志产品政府采购品目清单》的底级品目名称：</w:t>
      </w:r>
      <w:r>
        <w:rPr>
          <w:rFonts w:hint="eastAsia" w:ascii="宋体" w:hAnsi="宋体" w:eastAsia="宋体" w:cs="宋体"/>
          <w:color w:val="auto"/>
          <w:highlight w:val="none"/>
          <w:u w:val="single"/>
        </w:rPr>
        <w:t xml:space="preserve">         </w:t>
      </w:r>
      <w:r>
        <w:rPr>
          <w:rFonts w:hint="eastAsia" w:ascii="宋体" w:hAnsi="宋体" w:eastAsia="宋体" w:cs="宋体"/>
          <w:iCs/>
          <w:color w:val="auto"/>
          <w:highlight w:val="none"/>
        </w:rPr>
        <w:t xml:space="preserve"> </w:t>
      </w:r>
      <w:r/>
    </w:p>
    <w:p>
      <w:pPr>
        <w:spacing w:line="400" w:lineRule="exact"/>
        <w:tabs>
          <w:tab w:val="left" w:pos="740" w:leader="none"/>
        </w:tabs>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强制采购       </w:t>
      </w:r>
      <w:r>
        <w:rPr>
          <w:rFonts w:ascii="Wingdings" w:hAnsi="Wingdings" w:eastAsia="Wingdings" w:cs="Wingdings"/>
          <w:iCs/>
          <w:color w:val="auto"/>
          <w:highlight w:val="none"/>
        </w:rPr>
        <w:t xml:space="preserve">þ</w:t>
      </w:r>
      <w:r>
        <w:rPr>
          <w:rFonts w:hint="eastAsia" w:ascii="宋体" w:hAnsi="宋体" w:eastAsia="宋体" w:cs="宋体"/>
          <w:iCs/>
          <w:color w:val="auto"/>
          <w:highlight w:val="none"/>
        </w:rPr>
        <w:t xml:space="preserve">优先采购    </w:t>
      </w:r>
      <w:r/>
    </w:p>
    <w:p>
      <w:pPr>
        <w:spacing w:line="400" w:lineRule="exact"/>
        <w:tabs>
          <w:tab w:val="left" w:pos="740" w:leader="none"/>
        </w:tabs>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否</w:t>
      </w:r>
      <w:r/>
    </w:p>
    <w:p>
      <w:pPr>
        <w:pStyle w:val="819"/>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rPr>
        <w:t xml:space="preserve">是否涉及绿色产品： </w:t>
      </w:r>
      <w:r/>
    </w:p>
    <w:p>
      <w:pPr>
        <w:pStyle w:val="819"/>
        <w:ind w:firstLine="420"/>
        <w:rPr>
          <w:rFonts w:hint="eastAsia" w:ascii="宋体" w:hAnsi="宋体" w:eastAsia="宋体" w:cs="宋体"/>
          <w:color w:val="auto"/>
          <w:highlight w:val="none"/>
          <w:u w:val="singl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是，绿色产品政府采购相关政策确定的底级品目名称：</w:t>
      </w:r>
      <w:r>
        <w:rPr>
          <w:rFonts w:hint="eastAsia" w:ascii="宋体" w:hAnsi="宋体" w:eastAsia="宋体" w:cs="宋体"/>
          <w:color w:val="auto"/>
          <w:highlight w:val="none"/>
          <w:u w:val="single"/>
        </w:rPr>
        <w:t xml:space="preserve">         </w:t>
      </w:r>
      <w:r/>
    </w:p>
    <w:p>
      <w:pPr>
        <w:spacing w:line="400" w:lineRule="exact"/>
        <w:tabs>
          <w:tab w:val="left" w:pos="740" w:leader="none"/>
        </w:tabs>
        <w:rPr>
          <w:rFonts w:hint="eastAsia" w:ascii="宋体" w:hAnsi="宋体" w:eastAsia="宋体" w:cs="宋体"/>
          <w:iCs/>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强制采购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优先采购    </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（1</w:t>
      </w:r>
      <w:r>
        <w:rPr>
          <w:rFonts w:hint="eastAsia" w:ascii="宋体" w:hAnsi="宋体" w:eastAsia="宋体" w:cs="宋体"/>
          <w:color w:val="auto"/>
          <w:highlight w:val="none"/>
          <w:lang w:val="en"/>
        </w:rPr>
        <w:t xml:space="preserve">1</w:t>
      </w:r>
      <w:r>
        <w:rPr>
          <w:rFonts w:hint="eastAsia" w:ascii="宋体" w:hAnsi="宋体" w:eastAsia="宋体" w:cs="宋体"/>
          <w:color w:val="auto"/>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否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不涉及</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合同金额</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（1）合同金额小写：</w:t>
      </w:r>
      <w:r>
        <w:rPr>
          <w:rFonts w:hint="eastAsia" w:ascii="宋体" w:hAnsi="宋体" w:eastAsia="宋体" w:cs="宋体"/>
          <w:color w:val="auto"/>
          <w:highlight w:val="none"/>
          <w:u w:val="single"/>
        </w:rPr>
        <w:t xml:space="preserve">                           </w:t>
      </w:r>
      <w:r/>
    </w:p>
    <w:p>
      <w:pPr>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大写：</w:t>
      </w:r>
      <w:r>
        <w:rPr>
          <w:rFonts w:hint="eastAsia" w:ascii="宋体" w:hAnsi="宋体" w:eastAsia="宋体" w:cs="宋体"/>
          <w:color w:val="auto"/>
          <w:highlight w:val="none"/>
          <w:u w:val="single"/>
        </w:rPr>
        <w:t xml:space="preserve">                           </w:t>
      </w:r>
      <w:r/>
    </w:p>
    <w:p>
      <w:pPr>
        <w:ind w:firstLine="63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分包金额（如有）小写：</w:t>
      </w:r>
      <w:r>
        <w:rPr>
          <w:rFonts w:hint="eastAsia" w:ascii="宋体" w:hAnsi="宋体" w:eastAsia="宋体" w:cs="宋体"/>
          <w:color w:val="auto"/>
          <w:highlight w:val="none"/>
          <w:u w:val="single"/>
        </w:rPr>
        <w:t xml:space="preserve">                      </w:t>
      </w:r>
      <w:r/>
    </w:p>
    <w:p>
      <w:pPr>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大写：</w:t>
      </w:r>
      <w:r>
        <w:rPr>
          <w:rFonts w:hint="eastAsia" w:ascii="宋体" w:hAnsi="宋体" w:eastAsia="宋体" w:cs="宋体"/>
          <w:color w:val="auto"/>
          <w:highlight w:val="none"/>
          <w:u w:val="singl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（注：固定单价合同应填写单价和最高限价）</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（2）合同定价方式（采用组合定价方式的，可以勾选多项）：</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iCs/>
          <w:color w:val="auto"/>
          <w:highlight w:val="none"/>
        </w:rPr>
        <w:t xml:space="preserve">  </w:t>
      </w:r>
      <w:r>
        <w:rPr>
          <w:rFonts w:ascii="Wingdings" w:hAnsi="Wingdings" w:eastAsia="Wingdings" w:cs="Wingdings"/>
          <w:color w:val="auto"/>
          <w:highlight w:val="none"/>
        </w:rPr>
        <w:t xml:space="preserve">þ</w:t>
      </w:r>
      <w:r>
        <w:rPr>
          <w:rFonts w:hint="eastAsia" w:ascii="宋体" w:hAnsi="宋体" w:eastAsia="宋体" w:cs="宋体"/>
          <w:iCs/>
          <w:color w:val="auto"/>
          <w:highlight w:val="none"/>
        </w:rPr>
        <w:t xml:space="preserve">固定总价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固定单价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固定费率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成本补偿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绩效激励 </w:t>
      </w:r>
      <w:r>
        <w:rPr>
          <w:rFonts w:ascii="Wingdings" w:hAnsi="Wingdings" w:eastAsia="Wingdings" w:cs="Wingdings"/>
          <w:iCs/>
          <w:color w:val="auto"/>
          <w:highlight w:val="none"/>
        </w:rPr>
        <w:t xml:space="preserve">¨</w:t>
      </w:r>
      <w:r>
        <w:rPr>
          <w:rFonts w:hint="eastAsia" w:ascii="宋体" w:hAnsi="宋体" w:eastAsia="宋体" w:cs="宋体"/>
          <w:iCs/>
          <w:color w:val="auto"/>
          <w:highlight w:val="none"/>
        </w:rPr>
        <w:t xml:space="preserve">其他</w:t>
      </w:r>
      <w:r>
        <w:rPr>
          <w:rFonts w:hint="eastAsia" w:ascii="宋体" w:hAnsi="宋体" w:eastAsia="宋体" w:cs="宋体"/>
          <w:color w:val="auto"/>
          <w:highlight w:val="none"/>
          <w:u w:val="single"/>
        </w:rPr>
        <w:t xml:space="preserve">       </w:t>
      </w:r>
      <w:r/>
    </w:p>
    <w:p>
      <w:pPr>
        <w:pStyle w:val="1048"/>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（3）付款方式（按项目实际勾选填写）：</w:t>
      </w:r>
      <w:r/>
    </w:p>
    <w:p>
      <w:pPr>
        <w:ind w:firstLine="630"/>
        <w:spacing w:line="400" w:lineRule="exact"/>
        <w:rPr>
          <w:rFonts w:hint="eastAsia" w:ascii="宋体" w:hAnsi="宋体" w:eastAsia="宋体" w:cs="宋体"/>
          <w:color w:val="auto"/>
          <w:highlight w:val="none"/>
          <w:u w:val="singl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全额付款：</w:t>
      </w:r>
      <w:r>
        <w:rPr>
          <w:rFonts w:hint="eastAsia" w:ascii="宋体" w:hAnsi="宋体" w:eastAsia="宋体" w:cs="宋体"/>
          <w:color w:val="auto"/>
          <w:highlight w:val="none"/>
          <w:u w:val="single"/>
        </w:rPr>
        <w:t xml:space="preserve">     （应明确一次性支付合同款项的条件）                    </w:t>
      </w:r>
      <w:r/>
    </w:p>
    <w:p>
      <w:pPr>
        <w:ind w:firstLine="630"/>
        <w:spacing w:line="400" w:lineRule="exact"/>
        <w:rPr>
          <w:rFonts w:hint="eastAsia" w:ascii="宋体" w:hAnsi="宋体" w:eastAsia="宋体" w:cs="宋体"/>
          <w:color w:val="auto"/>
          <w:highlight w:val="none"/>
        </w:rPr>
      </w:pP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分期付款：</w:t>
      </w:r>
      <w:r>
        <w:rPr>
          <w:rFonts w:hint="eastAsia" w:ascii="宋体" w:hAnsi="宋体" w:eastAsia="宋体" w:cs="宋体"/>
          <w:color w:val="auto"/>
          <w:highlight w:val="none"/>
          <w:u w:val="single"/>
        </w:rPr>
        <w:t xml:space="preserve">货物到现场安装调试完毕稳定运行并经采购人验收合格后，自收到发票后10个工作日内采购人将货款支付到合同总价款的100% </w:t>
      </w:r>
      <w:r>
        <w:rPr>
          <w:rFonts w:hint="eastAsia" w:ascii="宋体" w:hAnsi="宋体" w:eastAsia="宋体" w:cs="宋体"/>
          <w:color w:val="auto"/>
          <w:highlight w:val="none"/>
        </w:rPr>
        <w:t xml:space="preserve">，其中涉及预付款的：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zh-CN"/>
        </w:rPr>
        <w:t xml:space="preserve">签订合同后，</w:t>
      </w:r>
      <w:r>
        <w:rPr>
          <w:rFonts w:hint="eastAsia" w:ascii="宋体" w:hAnsi="宋体" w:eastAsia="宋体" w:cs="宋体"/>
          <w:color w:val="auto"/>
          <w:highlight w:val="none"/>
          <w:u w:val="single"/>
        </w:rPr>
        <w:t xml:space="preserve">自收到供应商发票后10个工作日内</w:t>
      </w:r>
      <w:r>
        <w:rPr>
          <w:rFonts w:hint="eastAsia" w:ascii="宋体" w:hAnsi="宋体" w:eastAsia="宋体" w:cs="宋体"/>
          <w:color w:val="auto"/>
          <w:highlight w:val="none"/>
          <w:u w:val="single"/>
          <w:lang w:val="zh-CN"/>
        </w:rPr>
        <w:t xml:space="preserve">支付合同总价款的30%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a</w:t>
      </w:r>
      <w:r>
        <w:rPr>
          <w:rFonts w:hint="eastAsia" w:ascii="宋体" w:hAnsi="宋体" w:eastAsia="宋体" w:cs="宋体"/>
          <w:color w:val="auto"/>
          <w:highlight w:val="none"/>
        </w:rPr>
        <w:t xml:space="preserve">可以采用数字人民币支付。</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b</w:t>
      </w:r>
      <w:r>
        <w:rPr>
          <w:rFonts w:hint="eastAsia" w:ascii="宋体" w:hAnsi="宋体" w:eastAsia="宋体" w:cs="宋体"/>
          <w:color w:val="auto"/>
          <w:highlight w:val="none"/>
        </w:rPr>
        <w:t xml:space="preserve">资金支付的时间:收到供应商发票</w:t>
      </w:r>
      <w:r>
        <w:rPr>
          <w:rFonts w:hint="eastAsia" w:ascii="宋体" w:hAnsi="宋体" w:eastAsia="宋体" w:cs="宋体"/>
          <w:color w:val="auto"/>
          <w:highlight w:val="none"/>
          <w:lang w:val="en-US" w:eastAsia="zh-CN"/>
        </w:rPr>
        <w:t xml:space="preserve">后</w:t>
      </w:r>
      <w:r>
        <w:rPr>
          <w:rFonts w:hint="eastAsia" w:ascii="宋体" w:hAnsi="宋体" w:eastAsia="宋体" w:cs="宋体"/>
          <w:color w:val="auto"/>
          <w:highlight w:val="none"/>
        </w:rPr>
        <w:t xml:space="preserve">10个工作日内。</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c</w:t>
      </w:r>
      <w:r>
        <w:rPr>
          <w:rFonts w:hint="eastAsia" w:ascii="宋体" w:hAnsi="宋体" w:eastAsia="宋体" w:cs="宋体"/>
          <w:color w:val="auto"/>
          <w:highlight w:val="none"/>
        </w:rPr>
        <w:t xml:space="preserve">资金支付的条件:满足相应阶段的要求且收到供应商发票。</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d</w:t>
      </w:r>
      <w:r>
        <w:rPr>
          <w:rFonts w:hint="eastAsia" w:ascii="宋体" w:hAnsi="宋体" w:eastAsia="宋体" w:cs="宋体"/>
          <w:color w:val="auto"/>
          <w:highlight w:val="none"/>
        </w:rPr>
        <w:t xml:space="preserve">当采购数量与实际使用数量不一致时，供应商应根据实际使用量供货，合同的最终结算金额按实际使用量乘以成交单价进行计算。</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e</w:t>
      </w:r>
      <w:r>
        <w:rPr>
          <w:rFonts w:hint="eastAsia" w:ascii="宋体" w:hAnsi="宋体" w:eastAsia="宋体" w:cs="宋体"/>
          <w:color w:val="auto"/>
          <w:highlight w:val="none"/>
        </w:rPr>
        <w:t xml:space="preserve">在签订合同时，供应商明确表示无需预付款或者主动要求降低预付款比例的，采购人可不适用前述规定。</w:t>
      </w:r>
      <w:r/>
    </w:p>
    <w:p>
      <w:pPr>
        <w:ind w:firstLine="630"/>
        <w:spacing w:line="400" w:lineRule="exact"/>
        <w:rPr>
          <w:rFonts w:hint="eastAsia" w:ascii="宋体" w:hAnsi="宋体" w:eastAsia="宋体" w:cs="宋体"/>
          <w:color w:val="auto"/>
          <w:highlight w:val="none"/>
          <w:u w:val="singl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成本补偿：</w:t>
      </w:r>
      <w:r>
        <w:rPr>
          <w:rFonts w:hint="eastAsia" w:ascii="宋体" w:hAnsi="宋体" w:eastAsia="宋体" w:cs="宋体"/>
          <w:color w:val="auto"/>
          <w:highlight w:val="none"/>
          <w:u w:val="single"/>
        </w:rPr>
        <w:t xml:space="preserve">      （应明确按照成本补偿方式的支付方式和支付条件）   </w:t>
      </w:r>
      <w:r/>
    </w:p>
    <w:p>
      <w:pPr>
        <w:ind w:firstLine="630"/>
        <w:spacing w:line="400" w:lineRule="exact"/>
        <w:rPr>
          <w:rFonts w:hint="eastAsia" w:ascii="宋体" w:hAnsi="宋体" w:eastAsia="宋体" w:cs="宋体"/>
          <w:color w:val="auto"/>
          <w:highlight w:val="none"/>
        </w:rPr>
      </w:pP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绩效激励：</w:t>
      </w:r>
      <w:r>
        <w:rPr>
          <w:rFonts w:hint="eastAsia" w:ascii="宋体" w:hAnsi="宋体" w:eastAsia="宋体" w:cs="宋体"/>
          <w:color w:val="auto"/>
          <w:highlight w:val="none"/>
          <w:u w:val="single"/>
        </w:rPr>
        <w:t xml:space="preserve">      （应明确按照绩效激励方式的支付方式和支付条件）   </w:t>
      </w:r>
      <w:r/>
    </w:p>
    <w:p>
      <w:pPr>
        <w:numPr>
          <w:ilvl w:val="0"/>
          <w:numId w:val="5"/>
        </w:numPr>
        <w:ind w:firstLine="422"/>
        <w:spacing w:line="400" w:lineRule="exact"/>
        <w:rPr>
          <w:rFonts w:hint="eastAsia" w:ascii="宋体" w:hAnsi="宋体" w:eastAsia="宋体" w:cs="宋体"/>
          <w:b/>
          <w:color w:val="auto"/>
          <w:highlight w:val="none"/>
          <w:u w:val="single"/>
        </w:rPr>
      </w:pPr>
      <w:r>
        <w:rPr>
          <w:rFonts w:hint="eastAsia" w:ascii="宋体" w:hAnsi="宋体" w:eastAsia="宋体" w:cs="宋体"/>
          <w:b/>
          <w:color w:val="auto"/>
          <w:highlight w:val="none"/>
        </w:rPr>
        <w:t xml:space="preserve">合同履行</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（1）起始日期：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日，完成日期：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（2）履约地点</w:t>
      </w:r>
      <w:r>
        <w:rPr>
          <w:rFonts w:hint="eastAsia" w:ascii="宋体" w:hAnsi="宋体" w:eastAsia="宋体" w:cs="宋体"/>
          <w:bCs/>
          <w:color w:val="auto"/>
          <w:highlight w:val="none"/>
        </w:rPr>
        <w:t xml:space="preserve">：</w:t>
      </w:r>
      <w:r>
        <w:rPr>
          <w:rFonts w:hint="eastAsia" w:ascii="宋体" w:hAnsi="宋体" w:eastAsia="宋体" w:cs="宋体"/>
          <w:color w:val="auto"/>
          <w:highlight w:val="none"/>
          <w:u w:val="single"/>
        </w:rPr>
        <w:t xml:space="preserve"> 采购人指定地点 </w:t>
      </w:r>
      <w:r>
        <w:rPr>
          <w:rFonts w:hint="eastAsia" w:ascii="宋体" w:hAnsi="宋体" w:eastAsia="宋体" w:cs="宋体"/>
          <w:color w:val="auto"/>
          <w:highlight w:val="none"/>
        </w:rPr>
        <w:t xml:space="preserve">。</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（3）履约担保：</w:t>
      </w:r>
      <w:r>
        <w:rPr>
          <w:rFonts w:hint="eastAsia" w:ascii="宋体" w:hAnsi="宋体" w:eastAsia="宋体" w:cs="宋体"/>
          <w:color w:val="auto"/>
          <w:highlight w:val="none"/>
        </w:rPr>
        <w:t xml:space="preserve">是否收取履约保证金：</w:t>
      </w:r>
      <w:r>
        <w:rPr>
          <w:rFonts w:ascii="Wingdings" w:hAnsi="Wingdings" w:eastAsia="Wingdings" w:cs="Wingdings"/>
          <w:color w:val="auto"/>
          <w:highlight w:val="none"/>
        </w:rPr>
        <w:t xml:space="preserve">þ</w:t>
      </w:r>
      <w:r>
        <w:rPr>
          <w:rFonts w:hint="eastAsia" w:ascii="宋体" w:hAnsi="宋体" w:eastAsia="宋体" w:cs="宋体"/>
          <w:color w:val="auto"/>
          <w:highlight w:val="none"/>
        </w:rPr>
        <w:t xml:space="preserve">是    </w:t>
      </w:r>
      <w:r>
        <w:rPr>
          <w:rFonts w:ascii="Wingdings" w:hAnsi="Wingdings" w:eastAsia="Wingdings" w:cs="Wingdings"/>
          <w:color w:val="auto"/>
          <w:highlight w:val="none"/>
        </w:rPr>
        <w:t xml:space="preserve">¨</w:t>
      </w:r>
      <w:r>
        <w:rPr>
          <w:rFonts w:hint="eastAsia" w:ascii="宋体" w:hAnsi="宋体" w:eastAsia="宋体" w:cs="宋体"/>
          <w:color w:val="auto"/>
          <w:highlight w:val="none"/>
        </w:rPr>
        <w:t xml:space="preserve">否</w:t>
      </w:r>
      <w:r/>
    </w:p>
    <w:p>
      <w:pPr>
        <w:pStyle w:val="819"/>
        <w:rPr>
          <w:rFonts w:hint="eastAsia" w:ascii="宋体" w:hAnsi="宋体" w:eastAsia="宋体" w:cs="宋体"/>
          <w:color w:val="auto"/>
          <w:sz w:val="21"/>
          <w:highlight w:val="none"/>
        </w:rP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除银行电汇、网上银行、数字人民币外，投标人还可选用银行保函、担保公司的保证担保或保险公司的保证保险、等多种形式向甲方缴纳；</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lang w:val="zh-CN"/>
        </w:rPr>
        <w:t xml:space="preserve">采购合同总价的</w:t>
      </w:r>
      <w:r>
        <w:rPr>
          <w:rFonts w:hint="eastAsia" w:ascii="宋体" w:hAnsi="宋体" w:eastAsia="宋体" w:cs="宋体"/>
          <w:bCs/>
          <w:color w:val="auto"/>
          <w:sz w:val="21"/>
          <w:highlight w:val="none"/>
          <w:u w:val="single"/>
        </w:rPr>
        <w:t xml:space="preserve">5</w:t>
      </w:r>
      <w:r>
        <w:rPr>
          <w:rFonts w:hint="eastAsia" w:ascii="宋体" w:hAnsi="宋体" w:eastAsia="宋体" w:cs="宋体"/>
          <w:bCs/>
          <w:color w:val="auto"/>
          <w:sz w:val="21"/>
          <w:highlight w:val="none"/>
          <w:u w:val="single"/>
          <w:lang w:val="zh-CN"/>
        </w:rPr>
        <w:t xml:space="preserve">%</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    履约担保期限：</w:t>
      </w:r>
      <w:r>
        <w:rPr>
          <w:rFonts w:hint="eastAsia" w:ascii="宋体" w:hAnsi="宋体" w:eastAsia="宋体" w:cs="宋体"/>
          <w:bCs/>
          <w:color w:val="auto"/>
          <w:highlight w:val="none"/>
          <w:u w:val="single"/>
        </w:rPr>
        <w:t xml:space="preserve">履约验收合格为止。 </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（4）分期履行要求：</w:t>
      </w:r>
      <w:r>
        <w:rPr>
          <w:rFonts w:hint="eastAsia" w:ascii="宋体" w:hAnsi="宋体" w:eastAsia="宋体" w:cs="宋体"/>
          <w:bCs/>
          <w:color w:val="auto"/>
          <w:highlight w:val="none"/>
          <w:u w:val="single"/>
        </w:rPr>
        <w:t xml:space="preserve">   /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bCs/>
          <w:color w:val="auto"/>
          <w:highlight w:val="none"/>
        </w:rPr>
        <w:t xml:space="preserve">（5）风险处置措施和替代方案：</w:t>
      </w:r>
      <w:r>
        <w:rPr>
          <w:rFonts w:hint="eastAsia" w:ascii="宋体" w:hAnsi="宋体" w:eastAsia="宋体" w:cs="宋体"/>
          <w:color w:val="auto"/>
          <w:highlight w:val="none"/>
          <w:u w:val="single"/>
        </w:rPr>
        <w:t xml:space="preserve">  /    </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合同验收</w:t>
      </w:r>
      <w:r/>
    </w:p>
    <w:p>
      <w:pPr>
        <w:numPr>
          <w:ilvl w:val="0"/>
          <w:numId w:val="7"/>
        </w:num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验收组织方式：</w:t>
      </w:r>
      <w:r>
        <w:rPr>
          <w:rFonts w:hint="eastAsia" w:ascii="宋体" w:hAnsi="宋体" w:eastAsia="宋体" w:cs="宋体"/>
          <w:color w:val="auto"/>
          <w:highlight w:val="none"/>
          <w:lang w:eastAsia="zh-CN"/>
        </w:rPr>
        <w:t xml:space="preserve">☑</w:t>
      </w:r>
      <w:r>
        <w:rPr>
          <w:rFonts w:hint="eastAsia" w:ascii="宋体" w:hAnsi="宋体" w:eastAsia="宋体" w:cs="宋体"/>
          <w:bCs/>
          <w:color w:val="auto"/>
          <w:highlight w:val="none"/>
        </w:rPr>
        <w:t xml:space="preserve">自行组织 </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委托第三方组织</w:t>
      </w:r>
      <w:r/>
    </w:p>
    <w:p>
      <w:pPr>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         验收主体：</w:t>
      </w:r>
      <w:r>
        <w:rPr>
          <w:rFonts w:hint="eastAsia" w:ascii="宋体" w:hAnsi="宋体" w:eastAsia="宋体" w:cs="宋体"/>
          <w:bCs/>
          <w:color w:val="auto"/>
          <w:highlight w:val="none"/>
          <w:u w:val="single"/>
        </w:rPr>
        <w:t xml:space="preserve">  </w:t>
      </w:r>
      <w:r>
        <w:rPr>
          <w:rFonts w:hint="eastAsia" w:ascii="宋体" w:hAnsi="宋体" w:eastAsia="宋体" w:cs="宋体"/>
          <w:color w:val="auto"/>
          <w:sz w:val="24"/>
          <w:highlight w:val="none"/>
          <w:u w:val="single"/>
        </w:rPr>
        <w:t xml:space="preserve">泗洪姜堰实验学校</w:t>
      </w:r>
      <w:r>
        <w:rPr>
          <w:rFonts w:hint="eastAsia" w:ascii="宋体" w:hAnsi="宋体" w:eastAsia="宋体" w:cs="宋体"/>
          <w:bCs/>
          <w:color w:val="auto"/>
          <w:highlight w:val="none"/>
          <w:u w:val="single"/>
        </w:rPr>
        <w:t xml:space="preserve">  </w:t>
      </w:r>
      <w:r/>
    </w:p>
    <w:p>
      <w:pPr>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是否邀请本项目的其他供应商参加验收：</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是否邀请专家参加验收：</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是  </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是否邀请服务对象参加验收：</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是否邀请第三方检测机构参加验收：</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是  </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是否进行抽查检测：</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是，抽查比例：</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是否存在破坏性检测：</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是，</w:t>
      </w:r>
      <w:r>
        <w:rPr>
          <w:rFonts w:hint="eastAsia" w:ascii="宋体" w:hAnsi="宋体" w:eastAsia="宋体" w:cs="宋体"/>
          <w:bCs/>
          <w:color w:val="auto"/>
          <w:highlight w:val="none"/>
          <w:u w:val="single"/>
        </w:rPr>
        <w:t xml:space="preserve">（应明确对被破坏的检测产品的处理方式）</w:t>
      </w:r>
      <w:r/>
    </w:p>
    <w:p>
      <w:pPr>
        <w:ind w:firstLine="84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否</w:t>
      </w:r>
      <w:r/>
    </w:p>
    <w:p>
      <w:pPr>
        <w:ind w:firstLine="84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验收组织的其他事项：</w:t>
      </w:r>
      <w:r>
        <w:rPr>
          <w:rFonts w:hint="eastAsia" w:ascii="宋体" w:hAnsi="宋体" w:eastAsia="宋体" w:cs="宋体"/>
          <w:bCs/>
          <w:color w:val="auto"/>
          <w:highlight w:val="none"/>
          <w:u w:val="single"/>
        </w:rPr>
        <w:t xml:space="preserve"> 无 。</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（2）履约验收时间：</w:t>
      </w:r>
      <w:r>
        <w:rPr>
          <w:rFonts w:hint="eastAsia" w:ascii="宋体" w:hAnsi="宋体" w:eastAsia="宋体" w:cs="宋体"/>
          <w:bCs/>
          <w:color w:val="auto"/>
          <w:highlight w:val="none"/>
          <w:u w:val="single"/>
        </w:rPr>
        <w:t xml:space="preserve">（计划于何时验收/供应商提出验收申请之日起3日内组织验收）</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（3）履约验收方式：</w:t>
      </w:r>
      <w:r>
        <w:rPr>
          <w:rFonts w:ascii="Wingdings" w:hAnsi="Wingdings" w:eastAsia="Wingdings" w:cs="Wingdings"/>
          <w:color w:val="auto"/>
          <w:highlight w:val="none"/>
        </w:rPr>
        <w:t xml:space="preserve">þ</w:t>
      </w:r>
      <w:r>
        <w:rPr>
          <w:rFonts w:hint="eastAsia" w:ascii="宋体" w:hAnsi="宋体" w:eastAsia="宋体" w:cs="宋体"/>
          <w:bCs/>
          <w:color w:val="auto"/>
          <w:highlight w:val="none"/>
        </w:rPr>
        <w:t xml:space="preserve">一次性验收         </w:t>
      </w:r>
      <w:r/>
    </w:p>
    <w:p>
      <w:pPr>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                       </w:t>
      </w:r>
      <w:r>
        <w:rPr>
          <w:rFonts w:ascii="Wingdings" w:hAnsi="Wingdings" w:eastAsia="Wingdings" w:cs="Wingdings"/>
          <w:color w:val="auto"/>
          <w:highlight w:val="none"/>
        </w:rPr>
        <w:t xml:space="preserve">¨</w:t>
      </w:r>
      <w:r>
        <w:rPr>
          <w:rFonts w:hint="eastAsia" w:ascii="宋体" w:hAnsi="宋体" w:eastAsia="宋体" w:cs="宋体"/>
          <w:bCs/>
          <w:color w:val="auto"/>
          <w:highlight w:val="none"/>
        </w:rPr>
        <w:t xml:space="preserve">分期/分项验收：</w:t>
      </w:r>
      <w:r>
        <w:rPr>
          <w:rFonts w:hint="eastAsia" w:ascii="宋体" w:hAnsi="宋体" w:eastAsia="宋体" w:cs="宋体"/>
          <w:bCs/>
          <w:color w:val="auto"/>
          <w:highlight w:val="none"/>
          <w:u w:val="single"/>
        </w:rPr>
        <w:t xml:space="preserve"> （应明确分期</w:t>
      </w:r>
      <w:r>
        <w:rPr>
          <w:rFonts w:hint="eastAsia" w:ascii="宋体" w:hAnsi="宋体" w:eastAsia="宋体" w:cs="宋体"/>
          <w:bCs/>
          <w:color w:val="auto"/>
          <w:highlight w:val="none"/>
          <w:u w:val="single"/>
          <w:lang w:val="en"/>
        </w:rPr>
        <w:t xml:space="preserve">/</w:t>
      </w:r>
      <w:r>
        <w:rPr>
          <w:rFonts w:hint="eastAsia" w:ascii="宋体" w:hAnsi="宋体" w:eastAsia="宋体" w:cs="宋体"/>
          <w:bCs/>
          <w:color w:val="auto"/>
          <w:highlight w:val="none"/>
          <w:u w:val="single"/>
          <w:lang w:val="en"/>
        </w:rPr>
        <w:t xml:space="preserve">分项验收的工作安排</w:t>
      </w:r>
      <w:r>
        <w:rPr>
          <w:rFonts w:hint="eastAsia" w:ascii="宋体" w:hAnsi="宋体" w:eastAsia="宋体" w:cs="宋体"/>
          <w:bCs/>
          <w:color w:val="auto"/>
          <w:highlight w:val="none"/>
          <w:u w:val="single"/>
        </w:rPr>
        <w:t xml:space="preserve">）  </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（4）履约验收程序：</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（一）归集验收依据。实施验收前，甲方应当将采购合同、采购文件、供应商响应文件等验收依据进行归集。</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二）制定验收方案。甲方应当根据采购合同规定的每项技术、服务、安全、质量、数量等内容，结合采购文件和供应商响应文件内容，认真编制“验收内容项及其验收标准清单”，验收清单要全面客观反映货物供给、服务承接和工程施工完结情况，并依据验收清单内容的特点制定验收实施方法，形成总体验收方案。验收方案应当全面完整，确保合同履约要素验收不缺项漏项和不降低标准。</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三）验收实施。甲方应当根据制定的验收实施方法和验收清单开展验收工作。对验收清单列明的验收内容及标准进行逐项验收，并提供相对应的验收印证资料进行验收印证。验收印证资料包括不限于技术资料、测试测评资料、检验检测资料、专家论证资料、调研分析资料、分期验收资料、工作量及采购需求变更情况说明材料等，验收印证资料应当具有针对性和完整性，并确保相关验收印证资料具有证明效力。</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u w:val="single"/>
        </w:rPr>
        <w:t xml:space="preserve">（四）出具验收意见。验收结束后，验收小组应当出具验收意见。验收意见报告应当根据验收方案制作，并经验收小组全体成员签字。验收小组成员对验收意见报告载明的结论有异议的，应当在验收意见报告上签署不同意见并说明理由。甲方应当对验收小组出具的验收意见进行审查，验收意见与采购合同不一致的，甲方应当根据验收意见中载明的具体偏差内容和处置建议，研究确定验收意见；验收意见中存在验收小组成员其他意见的，甲方应当对异议事项进行复核，妥善处置。</w:t>
      </w:r>
      <w:r/>
    </w:p>
    <w:p>
      <w:pPr>
        <w:ind w:firstLine="420"/>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u w:val="single"/>
        </w:rPr>
        <w:t xml:space="preserve">验收结束后，甲方应当出具验收书，列明各项标准的验收情况及项目总体评价，由合同当事人双方共同签署。</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（5）履约验收的内容：</w:t>
      </w:r>
      <w:r>
        <w:rPr>
          <w:rFonts w:hint="eastAsia" w:ascii="宋体" w:hAnsi="宋体" w:eastAsia="宋体" w:cs="宋体"/>
          <w:bCs/>
          <w:color w:val="auto"/>
          <w:highlight w:val="none"/>
          <w:u w:val="single"/>
        </w:rPr>
        <w:t xml:space="preserve">按照采购合同的约定对每一项技术、服务、安全标准的履约情况进行确认。</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（6）履约验收标准：</w:t>
      </w:r>
      <w:r>
        <w:rPr>
          <w:rFonts w:hint="eastAsia" w:ascii="宋体" w:hAnsi="宋体" w:eastAsia="宋体" w:cs="宋体"/>
          <w:bCs/>
          <w:color w:val="auto"/>
          <w:highlight w:val="none"/>
          <w:u w:val="single"/>
        </w:rPr>
        <w:t xml:space="preserve">对乙方提供的货物结合产品性能及质量有国家标准的应符合国家标准。无国家标准的应符合行业标准、地方标准或者其他标准、规范，并满足采购文件要求</w:t>
      </w:r>
      <w:r>
        <w:rPr>
          <w:rFonts w:hint="eastAsia" w:ascii="宋体" w:hAnsi="宋体" w:eastAsia="宋体" w:cs="宋体"/>
          <w:bCs/>
          <w:color w:val="auto"/>
          <w:highlight w:val="none"/>
        </w:rPr>
        <w:t xml:space="preserve">。</w:t>
      </w:r>
      <w:r/>
    </w:p>
    <w:p>
      <w:pPr>
        <w:pStyle w:val="819"/>
        <w:ind w:firstLine="420"/>
        <w:rPr>
          <w:rFonts w:hint="eastAsia"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ind w:firstLine="420"/>
        <w:spacing w:line="400" w:lineRule="exact"/>
        <w:rPr>
          <w:rFonts w:hint="eastAsia" w:ascii="宋体" w:hAnsi="宋体" w:eastAsia="宋体" w:cs="宋体"/>
          <w:bCs/>
          <w:color w:val="auto"/>
          <w:highlight w:val="none"/>
          <w:u w:val="single"/>
        </w:rPr>
      </w:pPr>
      <w:r>
        <w:rPr>
          <w:rFonts w:hint="eastAsia" w:ascii="宋体" w:hAnsi="宋体" w:eastAsia="宋体" w:cs="宋体"/>
          <w:bCs/>
          <w:color w:val="auto"/>
          <w:highlight w:val="none"/>
        </w:rPr>
        <w:t xml:space="preserve">（8）履约验收其他事项：</w:t>
      </w:r>
      <w:r>
        <w:rPr>
          <w:rFonts w:hint="eastAsia" w:ascii="宋体" w:hAnsi="宋体" w:eastAsia="宋体" w:cs="宋体"/>
          <w:bCs/>
          <w:color w:val="auto"/>
          <w:highlight w:val="none"/>
          <w:u w:val="single"/>
        </w:rPr>
        <w:t xml:space="preserve">/。</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组成合同的文件</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（1）政府采购合同协议书及其变更、补充协议</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（2）政府采购合同专用条款</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（3）政府采购合同通用条款</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（4）中标（成交）通知书</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（5）投标（响应）文件</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（6）采购文件</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（7）有关技术文件，图纸</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w:t>
      </w:r>
      <w:r>
        <w:rPr>
          <w:rFonts w:hint="eastAsia" w:ascii="宋体" w:hAnsi="宋体" w:eastAsia="宋体" w:cs="宋体"/>
          <w:color w:val="auto"/>
          <w:sz w:val="21"/>
          <w:highlight w:val="none"/>
        </w:rPr>
        <w:t xml:space="preserve">国家法律、行政法规和规章制度规定或合同约定的作为合同组成部分的其他文件</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合同生效</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本合同自</w:t>
      </w:r>
      <w:r>
        <w:rPr>
          <w:rFonts w:hint="eastAsia" w:ascii="宋体" w:hAnsi="宋体" w:eastAsia="宋体" w:cs="宋体"/>
          <w:color w:val="auto"/>
          <w:highlight w:val="none"/>
          <w:u w:val="single"/>
        </w:rPr>
        <w:t xml:space="preserve"> 签订之日起 </w:t>
      </w:r>
      <w:r>
        <w:rPr>
          <w:rFonts w:hint="eastAsia" w:ascii="宋体" w:hAnsi="宋体" w:eastAsia="宋体" w:cs="宋体"/>
          <w:color w:val="auto"/>
          <w:highlight w:val="none"/>
        </w:rPr>
        <w:t xml:space="preserve">生效。</w:t>
      </w:r>
      <w:r/>
    </w:p>
    <w:p>
      <w:pPr>
        <w:numPr>
          <w:ilvl w:val="0"/>
          <w:numId w:val="5"/>
        </w:numPr>
        <w:ind w:firstLine="422"/>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合同份数</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w:t>
      </w:r>
      <w:r>
        <w:rPr>
          <w:rFonts w:hint="eastAsia" w:ascii="宋体" w:hAnsi="宋体" w:eastAsia="宋体" w:cs="宋体"/>
          <w:color w:val="auto"/>
          <w:highlight w:val="none"/>
          <w:u w:val="single"/>
        </w:rPr>
        <w:t xml:space="preserve"> 肆 </w:t>
      </w:r>
      <w:r>
        <w:rPr>
          <w:rFonts w:hint="eastAsia" w:ascii="宋体" w:hAnsi="宋体" w:eastAsia="宋体" w:cs="宋体"/>
          <w:color w:val="auto"/>
          <w:highlight w:val="none"/>
        </w:rPr>
        <w:t xml:space="preserve">份，甲方执</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 xml:space="preserve">份，乙方执</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 xml:space="preserve">份，均具有同等法律效力。</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合同订立时间：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合同订立地点：</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附件：具体标的及其技术要求和商务要求、联合协议、分包意向协议等。</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bl>
      <w:tblPr>
        <w:tblStyle w:val="78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65"/>
        <w:gridCol w:w="2379"/>
        <w:gridCol w:w="1951"/>
        <w:gridCol w:w="208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highlight w:val="none"/>
              </w:rPr>
              <w:t xml:space="preserve">（采购人</w:t>
            </w:r>
            <w:r>
              <w:rPr>
                <w:rFonts w:hint="eastAsia" w:ascii="宋体" w:hAnsi="宋体" w:eastAsia="宋体" w:cs="宋体"/>
                <w:color w:val="auto"/>
                <w:highlight w:val="none"/>
              </w:rPr>
              <w:t xml:space="preserve">、受采购人委托签订合同的单位或</w:t>
            </w:r>
            <w:r>
              <w:rPr>
                <w:rFonts w:hint="eastAsia" w:ascii="宋体" w:hAnsi="宋体" w:eastAsia="宋体" w:cs="宋体"/>
                <w:color w:val="auto"/>
                <w:highlight w:val="none"/>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单位名称</w:t>
            </w:r>
            <w:r>
              <w:rPr>
                <w:rFonts w:hint="eastAsia" w:ascii="宋体" w:hAnsi="宋体" w:eastAsia="宋体" w:cs="宋体"/>
                <w:color w:val="auto"/>
                <w:highlight w:val="none"/>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p>
            <w:pPr>
              <w:ind w:firstLine="100"/>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或其</w:t>
            </w:r>
            <w:r>
              <w:rPr>
                <w:rFonts w:hint="eastAsia" w:ascii="宋体" w:hAnsi="宋体" w:eastAsia="宋体" w:cs="宋体"/>
                <w:color w:val="auto"/>
                <w:highlight w:val="none"/>
              </w:rPr>
              <w:t xml:space="preserve">委托代理人</w:t>
            </w:r>
            <w:r>
              <w:rPr>
                <w:rFonts w:hint="eastAsia" w:ascii="宋体" w:hAnsi="宋体" w:eastAsia="宋体" w:cs="宋体"/>
                <w:color w:val="auto"/>
                <w:highlight w:val="none"/>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p>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或其</w:t>
            </w:r>
            <w:r>
              <w:rPr>
                <w:rFonts w:hint="eastAsia" w:ascii="宋体" w:hAnsi="宋体" w:eastAsia="宋体" w:cs="宋体"/>
                <w:color w:val="auto"/>
                <w:highlight w:val="none"/>
              </w:rPr>
              <w:t xml:space="preserve">委托代理人</w:t>
            </w:r>
            <w:r>
              <w:rPr>
                <w:rFonts w:hint="eastAsia" w:ascii="宋体" w:hAnsi="宋体" w:eastAsia="宋体" w:cs="宋体"/>
                <w:color w:val="auto"/>
                <w:highlight w:val="none"/>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宋体" w:hAnsi="宋体" w:eastAsia="宋体" w:cs="宋体"/>
                <w:color w:val="auto"/>
                <w:spacing w:val="20"/>
                <w:highlight w:val="none"/>
              </w:rPr>
            </w:pPr>
            <w:r>
              <w:rPr>
                <w:rFonts w:hint="eastAsia" w:ascii="宋体" w:hAnsi="宋体" w:eastAsia="宋体" w:cs="宋体"/>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794"/>
              <w:ind w:firstLine="720"/>
              <w:jc w:val="left"/>
              <w:spacing w:before="120" w:line="360" w:lineRule="auto"/>
              <w:rPr>
                <w:rFonts w:hint="eastAsia" w:ascii="宋体" w:hAnsi="宋体" w:eastAsia="宋体" w:cs="宋体"/>
                <w:color w:val="auto"/>
                <w:spacing w:val="20"/>
                <w:highlight w:val="none"/>
              </w:rPr>
            </w:pPr>
            <w:r>
              <w:rPr>
                <w:rFonts w:hint="eastAsia" w:ascii="宋体" w:hAnsi="宋体" w:eastAsia="宋体" w:cs="宋体"/>
                <w:color w:val="auto"/>
                <w:highlight w:val="none"/>
              </w:rPr>
              <w:t xml:space="preserve">注：涉及联合体或其他合同主体的信息应按上表格式加列。</w:t>
            </w:r>
            <w:r/>
          </w:p>
        </w:tc>
      </w:tr>
    </w:tbl>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center"/>
        <w:spacing w:before="120"/>
        <w:rPr>
          <w:rFonts w:hint="eastAsia" w:ascii="宋体" w:hAnsi="宋体" w:eastAsia="宋体" w:cs="宋体"/>
          <w:color w:val="auto"/>
          <w:sz w:val="28"/>
          <w:szCs w:val="28"/>
          <w:highlight w:val="none"/>
        </w:rPr>
      </w:pPr>
      <w:r/>
      <w:bookmarkStart w:id="8" w:name="_Toc27624"/>
      <w:r>
        <w:rPr>
          <w:rFonts w:hint="eastAsia" w:ascii="宋体" w:hAnsi="宋体" w:eastAsia="宋体" w:cs="宋体"/>
          <w:color w:val="auto"/>
          <w:sz w:val="28"/>
          <w:szCs w:val="28"/>
          <w:highlight w:val="none"/>
        </w:rPr>
        <w:t xml:space="preserve">第二节 政府采购合同通用条款</w:t>
      </w:r>
      <w:bookmarkEnd w:id="8"/>
      <w:r/>
      <w:r/>
    </w:p>
    <w:p>
      <w:pPr>
        <w:jc w:val="left"/>
        <w:spacing w:line="400" w:lineRule="exact"/>
        <w:tabs>
          <w:tab w:val="left" w:pos="8820" w:leader="none"/>
          <w:tab w:val="left" w:pos="9345" w:leader="none"/>
          <w:tab w:val="left" w:pos="9765" w:leader="none"/>
        </w:tabs>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1. </w:t>
      </w:r>
      <w:r>
        <w:rPr>
          <w:rFonts w:hint="eastAsia" w:ascii="宋体" w:hAnsi="宋体" w:eastAsia="宋体" w:cs="宋体"/>
          <w:b/>
          <w:bCs/>
          <w:color w:val="auto"/>
          <w:sz w:val="24"/>
          <w:highlight w:val="none"/>
        </w:rPr>
        <w:t xml:space="preserve">定义</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1.1合同当事人</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（3）其他合同主体是指除采购人和供应商以外，</w:t>
      </w:r>
      <w:r>
        <w:rPr>
          <w:rFonts w:hint="eastAsia" w:ascii="宋体" w:hAnsi="宋体" w:eastAsia="宋体" w:cs="宋体"/>
          <w:bCs/>
          <w:color w:val="auto"/>
          <w:highlight w:val="none"/>
        </w:rPr>
        <w:t xml:space="preserve">依法参与合同缔结或履行，享有权利、承担义务的合同当事人</w:t>
      </w:r>
      <w:r>
        <w:rPr>
          <w:rFonts w:hint="eastAsia" w:ascii="宋体" w:hAnsi="宋体" w:eastAsia="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1.2本合同下列术语应解释为：</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（1）“合同”系指</w:t>
      </w:r>
      <w:r>
        <w:rPr>
          <w:rFonts w:hint="eastAsia" w:ascii="宋体" w:hAnsi="宋体" w:eastAsia="宋体" w:cs="宋体"/>
          <w:bCs/>
          <w:color w:val="auto"/>
          <w:highlight w:val="none"/>
        </w:rPr>
        <w:t xml:space="preserve">合同当事人意思表示达成一致的任何协议，包括签署的</w:t>
      </w:r>
      <w:r>
        <w:rPr>
          <w:rFonts w:hint="eastAsia" w:ascii="宋体" w:hAnsi="宋体" w:eastAsia="宋体" w:cs="宋体"/>
          <w:color w:val="auto"/>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auto"/>
          <w:highlight w:val="none"/>
        </w:rPr>
        <w:t xml:space="preserve">国家法律、行政法规和规章制度规定或合同约定的作为合同组成部分的其他文件</w:t>
      </w:r>
      <w:r>
        <w:rPr>
          <w:rFonts w:hint="eastAsia" w:ascii="宋体" w:hAnsi="宋体" w:eastAsia="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highlight w:val="none"/>
          <w:lang w:val="en"/>
        </w:rPr>
        <w:t xml:space="preserve">其他</w:t>
      </w:r>
      <w:r>
        <w:rPr>
          <w:rFonts w:hint="eastAsia" w:ascii="宋体" w:hAnsi="宋体" w:eastAsia="宋体" w:cs="宋体"/>
          <w:color w:val="auto"/>
          <w:highlight w:val="none"/>
        </w:rPr>
        <w:t xml:space="preserve">技术资料和材料等。</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（4）“相关服务”系指根据合同规定，乙方应提供的与货物有关的技术、管理和</w:t>
      </w:r>
      <w:r>
        <w:rPr>
          <w:rFonts w:hint="eastAsia" w:ascii="宋体" w:hAnsi="宋体" w:eastAsia="宋体" w:cs="宋体"/>
          <w:color w:val="auto"/>
          <w:highlight w:val="none"/>
          <w:lang w:val="en"/>
        </w:rPr>
        <w:t xml:space="preserve">其他</w:t>
      </w:r>
      <w:r>
        <w:rPr>
          <w:rFonts w:hint="eastAsia" w:ascii="宋体" w:hAnsi="宋体" w:eastAsia="宋体" w:cs="宋体"/>
          <w:color w:val="auto"/>
          <w:highlight w:val="none"/>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highlight w:val="none"/>
          <w:lang w:val="en"/>
        </w:rPr>
        <w:t xml:space="preserve">其他</w:t>
      </w:r>
      <w:r>
        <w:rPr>
          <w:rFonts w:hint="eastAsia" w:ascii="宋体" w:hAnsi="宋体" w:eastAsia="宋体" w:cs="宋体"/>
          <w:color w:val="auto"/>
          <w:highlight w:val="none"/>
        </w:rPr>
        <w:t xml:space="preserve">义务。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（7）其他术语解释，见【</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w:t>
      </w:r>
      <w:r/>
    </w:p>
    <w:p>
      <w:pPr>
        <w:numPr>
          <w:ilvl w:val="0"/>
          <w:numId w:val="8"/>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合同标的及金额</w:t>
      </w:r>
      <w:r/>
    </w:p>
    <w:p>
      <w:pPr>
        <w:ind w:firstLine="420"/>
        <w:jc w:val="left"/>
        <w:spacing w:line="400" w:lineRule="exact"/>
        <w:rPr>
          <w:rFonts w:hint="eastAsia" w:ascii="宋体" w:hAnsi="宋体" w:eastAsia="宋体" w:cs="宋体"/>
          <w:b/>
          <w:bCs/>
          <w:i/>
          <w:iCs/>
          <w:color w:val="auto"/>
          <w:highlight w:val="none"/>
        </w:rPr>
      </w:pPr>
      <w:r>
        <w:rPr>
          <w:rFonts w:hint="eastAsia" w:ascii="宋体" w:hAnsi="宋体" w:eastAsia="宋体" w:cs="宋体"/>
          <w:color w:val="auto"/>
          <w:highlight w:val="none"/>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auto"/>
          <w:highlight w:val="none"/>
          <w:lang w:val="en"/>
        </w:rPr>
        <w:t xml:space="preserve">其他</w:t>
      </w:r>
      <w:r>
        <w:rPr>
          <w:rFonts w:hint="eastAsia" w:ascii="宋体" w:hAnsi="宋体" w:eastAsia="宋体" w:cs="宋体"/>
          <w:color w:val="auto"/>
          <w:highlight w:val="none"/>
        </w:rPr>
        <w:t xml:space="preserve">任何费用。</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 履行合同的时间、地点和方式</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3.1 </w:t>
      </w:r>
      <w:r>
        <w:rPr>
          <w:rFonts w:hint="eastAsia" w:ascii="宋体" w:hAnsi="宋体" w:eastAsia="宋体" w:cs="宋体"/>
          <w:color w:val="auto"/>
          <w:highlight w:val="none"/>
        </w:rPr>
        <w:t xml:space="preserve">乙方应当在约定的时间、地点，按照约定方式履行合同。</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 甲方的权利和义务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4.1</w:t>
      </w:r>
      <w:r>
        <w:rPr>
          <w:rFonts w:hint="eastAsia" w:ascii="宋体" w:hAnsi="宋体" w:eastAsia="宋体" w:cs="宋体"/>
          <w:color w:val="auto"/>
          <w:highlight w:val="none"/>
        </w:rPr>
        <w:t xml:space="preserve"> 签署合同后，甲方</w:t>
      </w:r>
      <w:r>
        <w:rPr>
          <w:rFonts w:hint="eastAsia" w:ascii="宋体" w:hAnsi="宋体" w:eastAsia="宋体" w:cs="宋体"/>
          <w:color w:val="auto"/>
          <w:highlight w:val="none"/>
        </w:rPr>
        <w:t xml:space="preserve">应</w:t>
      </w:r>
      <w:r>
        <w:rPr>
          <w:rFonts w:hint="eastAsia" w:ascii="宋体" w:hAnsi="宋体" w:eastAsia="宋体" w:cs="宋体"/>
          <w:color w:val="auto"/>
          <w:highlight w:val="none"/>
        </w:rPr>
        <w:t xml:space="preserve">确定</w:t>
      </w:r>
      <w:r>
        <w:rPr>
          <w:rFonts w:hint="eastAsia" w:ascii="宋体" w:hAnsi="宋体" w:eastAsia="宋体" w:cs="宋体"/>
          <w:color w:val="auto"/>
          <w:highlight w:val="none"/>
        </w:rPr>
        <w:t xml:space="preserve">项目负责人（或项目联系人）</w:t>
      </w:r>
      <w:r>
        <w:rPr>
          <w:rFonts w:hint="eastAsia" w:ascii="宋体" w:hAnsi="宋体" w:eastAsia="宋体" w:cs="宋体"/>
          <w:color w:val="auto"/>
          <w:highlight w:val="none"/>
        </w:rPr>
        <w:t xml:space="preserve">，负责与本合同有关的事务。</w:t>
      </w:r>
      <w:r>
        <w:rPr>
          <w:rFonts w:hint="eastAsia" w:ascii="宋体" w:hAnsi="宋体" w:eastAsia="宋体" w:cs="宋体"/>
          <w:color w:val="auto"/>
          <w:highlight w:val="none"/>
        </w:rPr>
        <w:t xml:space="preserve">甲方有权对乙方的履约行为进行检查，并</w:t>
      </w:r>
      <w:r>
        <w:rPr>
          <w:rFonts w:hint="eastAsia" w:ascii="宋体" w:hAnsi="宋体" w:eastAsia="宋体" w:cs="宋体"/>
          <w:color w:val="auto"/>
          <w:highlight w:val="none"/>
        </w:rPr>
        <w:t xml:space="preserve">及时确认乙方提交的事项</w:t>
      </w:r>
      <w:r>
        <w:rPr>
          <w:rFonts w:hint="eastAsia" w:ascii="宋体" w:hAnsi="宋体" w:eastAsia="宋体" w:cs="宋体"/>
          <w:color w:val="auto"/>
          <w:highlight w:val="none"/>
        </w:rPr>
        <w:t xml:space="preserve">。甲方应当</w:t>
      </w:r>
      <w:r>
        <w:rPr>
          <w:rFonts w:hint="eastAsia" w:ascii="宋体" w:hAnsi="宋体" w:eastAsia="宋体" w:cs="宋体"/>
          <w:color w:val="auto"/>
          <w:highlight w:val="none"/>
        </w:rPr>
        <w:t xml:space="preserve">配合乙方完成</w:t>
      </w:r>
      <w:r>
        <w:rPr>
          <w:rFonts w:hint="eastAsia" w:ascii="宋体" w:hAnsi="宋体" w:eastAsia="宋体" w:cs="宋体"/>
          <w:color w:val="auto"/>
          <w:highlight w:val="none"/>
        </w:rPr>
        <w:t xml:space="preserve">相关项目</w:t>
      </w:r>
      <w:r>
        <w:rPr>
          <w:rFonts w:hint="eastAsia" w:ascii="宋体" w:hAnsi="宋体" w:eastAsia="宋体" w:cs="宋体"/>
          <w:color w:val="auto"/>
          <w:highlight w:val="none"/>
        </w:rPr>
        <w:t xml:space="preserve">实施工作。</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4.2 </w:t>
      </w:r>
      <w:r>
        <w:rPr>
          <w:rFonts w:hint="eastAsia" w:ascii="宋体" w:hAnsi="宋体" w:eastAsia="宋体" w:cs="宋体"/>
          <w:color w:val="auto"/>
          <w:highlight w:val="none"/>
        </w:rPr>
        <w:t xml:space="preserve">甲方有权要求乙方按时提交各阶段有关</w:t>
      </w:r>
      <w:r>
        <w:rPr>
          <w:rFonts w:hint="eastAsia" w:ascii="宋体" w:hAnsi="宋体" w:eastAsia="宋体" w:cs="宋体"/>
          <w:color w:val="auto"/>
          <w:highlight w:val="none"/>
        </w:rPr>
        <w:t xml:space="preserve">安排计划</w:t>
      </w:r>
      <w:r>
        <w:rPr>
          <w:rFonts w:hint="eastAsia" w:ascii="宋体" w:hAnsi="宋体" w:eastAsia="宋体" w:cs="宋体"/>
          <w:color w:val="auto"/>
          <w:highlight w:val="none"/>
        </w:rPr>
        <w:t xml:space="preserve">，并有权</w:t>
      </w:r>
      <w:r>
        <w:rPr>
          <w:rFonts w:hint="eastAsia" w:ascii="宋体" w:hAnsi="宋体" w:eastAsia="宋体" w:cs="宋体"/>
          <w:color w:val="auto"/>
          <w:highlight w:val="none"/>
        </w:rPr>
        <w:t xml:space="preserve">定期核对乙方提供货物数量、规格、质量等内容。甲方</w:t>
      </w:r>
      <w:r>
        <w:rPr>
          <w:rFonts w:hint="eastAsia" w:ascii="宋体" w:hAnsi="宋体" w:eastAsia="宋体" w:cs="宋体"/>
          <w:color w:val="auto"/>
          <w:highlight w:val="none"/>
        </w:rPr>
        <w:t xml:space="preserve">有权督促乙方工作并要求乙方</w:t>
      </w:r>
      <w:r>
        <w:rPr>
          <w:rFonts w:hint="eastAsia" w:ascii="宋体" w:hAnsi="宋体" w:eastAsia="宋体" w:cs="宋体"/>
          <w:color w:val="auto"/>
          <w:highlight w:val="none"/>
        </w:rPr>
        <w:t xml:space="preserve">更</w:t>
      </w:r>
      <w:r>
        <w:rPr>
          <w:rFonts w:hint="eastAsia" w:ascii="宋体" w:hAnsi="宋体" w:eastAsia="宋体" w:cs="宋体"/>
          <w:color w:val="auto"/>
          <w:highlight w:val="none"/>
        </w:rPr>
        <w:t xml:space="preserve">换不符合要求的</w:t>
      </w:r>
      <w:r>
        <w:rPr>
          <w:rFonts w:hint="eastAsia" w:ascii="宋体" w:hAnsi="宋体" w:eastAsia="宋体" w:cs="宋体"/>
          <w:color w:val="auto"/>
          <w:highlight w:val="none"/>
        </w:rPr>
        <w:t xml:space="preserve">货物</w:t>
      </w:r>
      <w:r>
        <w:rPr>
          <w:rFonts w:hint="eastAsia" w:ascii="宋体" w:hAnsi="宋体" w:eastAsia="宋体" w:cs="宋体"/>
          <w:color w:val="auto"/>
          <w:highlight w:val="none"/>
        </w:rPr>
        <w:t xml:space="preserve">。</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rPr>
        <w:t xml:space="preserve">3</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甲方</w:t>
      </w:r>
      <w:r>
        <w:rPr>
          <w:rFonts w:hint="eastAsia" w:ascii="宋体" w:hAnsi="宋体" w:eastAsia="宋体" w:cs="宋体"/>
          <w:color w:val="auto"/>
          <w:highlight w:val="none"/>
        </w:rPr>
        <w:t xml:space="preserve">有权要求乙方对缺陷部分予以修复，并按合同约定享有货物保修及其他合同约定的权利。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4.4 甲方应当按照合同约定及时对交付的货物进行验收</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未</w:t>
      </w:r>
      <w:r>
        <w:rPr>
          <w:rFonts w:hint="eastAsia" w:ascii="宋体" w:hAnsi="宋体" w:eastAsia="宋体" w:cs="宋体"/>
          <w:color w:val="auto"/>
          <w:highlight w:val="none"/>
        </w:rPr>
        <w:t xml:space="preserve">在</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约定的期限内对乙方履约提出任何异议或者向乙方作出任何说明的，</w:t>
      </w:r>
      <w:r>
        <w:rPr>
          <w:rFonts w:hint="eastAsia" w:ascii="宋体" w:hAnsi="宋体" w:eastAsia="宋体" w:cs="宋体"/>
          <w:color w:val="auto"/>
          <w:highlight w:val="none"/>
        </w:rPr>
        <w:t xml:space="preserve">视为验收通过。</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highlight w:val="none"/>
        </w:rPr>
        <w:t xml:space="preserve">.</w:t>
      </w:r>
      <w:r>
        <w:rPr>
          <w:rFonts w:hint="eastAsia" w:ascii="宋体" w:hAnsi="宋体" w:eastAsia="宋体" w:cs="宋体"/>
          <w:color w:val="auto"/>
          <w:highlight w:val="none"/>
        </w:rPr>
        <w:t xml:space="preserve">5 </w:t>
      </w:r>
      <w:r>
        <w:rPr>
          <w:rFonts w:hint="eastAsia" w:ascii="宋体" w:hAnsi="宋体" w:eastAsia="宋体" w:cs="宋体"/>
          <w:color w:val="auto"/>
          <w:highlight w:val="none"/>
        </w:rPr>
        <w:t xml:space="preserve">甲方应当根据合同约定及时向乙方支付合同价款</w:t>
      </w:r>
      <w:r>
        <w:rPr>
          <w:rFonts w:hint="eastAsia" w:ascii="宋体" w:hAnsi="宋体" w:eastAsia="宋体" w:cs="宋体"/>
          <w:color w:val="auto"/>
          <w:highlight w:val="none"/>
        </w:rPr>
        <w:t xml:space="preserve">，不得以内部人员变更、履行内部付款流程等为由，拒绝或迟延支付。</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4.6</w:t>
      </w:r>
      <w:r>
        <w:rPr>
          <w:rFonts w:hint="eastAsia" w:ascii="宋体" w:hAnsi="宋体" w:eastAsia="宋体" w:cs="宋体"/>
          <w:color w:val="auto"/>
          <w:highlight w:val="none"/>
        </w:rPr>
        <w:t xml:space="preserve"> </w:t>
      </w:r>
      <w:r>
        <w:rPr>
          <w:rFonts w:hint="eastAsia" w:ascii="宋体" w:hAnsi="宋体" w:eastAsia="宋体" w:cs="宋体"/>
          <w:color w:val="auto"/>
          <w:highlight w:val="none"/>
        </w:rPr>
        <w:t xml:space="preserve">国家法律法规规定及</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约定应由甲方承担的其他义务和责任。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 乙方的权利和义务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5.1 </w:t>
      </w:r>
      <w:r>
        <w:rPr>
          <w:rFonts w:hint="eastAsia" w:ascii="宋体" w:hAnsi="宋体" w:eastAsia="宋体" w:cs="宋体"/>
          <w:color w:val="auto"/>
          <w:highlight w:val="none"/>
        </w:rPr>
        <w:t xml:space="preserve">签署合同后，乙方</w:t>
      </w:r>
      <w:r>
        <w:rPr>
          <w:rFonts w:hint="eastAsia" w:ascii="宋体" w:hAnsi="宋体" w:eastAsia="宋体" w:cs="宋体"/>
          <w:color w:val="auto"/>
          <w:highlight w:val="none"/>
        </w:rPr>
        <w:t xml:space="preserve">应</w:t>
      </w:r>
      <w:r>
        <w:rPr>
          <w:rFonts w:hint="eastAsia" w:ascii="宋体" w:hAnsi="宋体" w:eastAsia="宋体" w:cs="宋体"/>
          <w:color w:val="auto"/>
          <w:highlight w:val="none"/>
        </w:rPr>
        <w:t xml:space="preserve">确定</w:t>
      </w:r>
      <w:r>
        <w:rPr>
          <w:rFonts w:hint="eastAsia" w:ascii="宋体" w:hAnsi="宋体" w:eastAsia="宋体" w:cs="宋体"/>
          <w:color w:val="auto"/>
          <w:highlight w:val="none"/>
        </w:rPr>
        <w:t xml:space="preserve">项目负责人（或项目联系人）</w:t>
      </w:r>
      <w:r>
        <w:rPr>
          <w:rFonts w:hint="eastAsia" w:ascii="宋体" w:hAnsi="宋体" w:eastAsia="宋体" w:cs="宋体"/>
          <w:color w:val="auto"/>
          <w:highlight w:val="none"/>
        </w:rPr>
        <w:t xml:space="preserve">，负责与本合同有关的事务。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hint="eastAsia" w:ascii="宋体" w:hAnsi="宋体" w:eastAsia="宋体" w:cs="宋体"/>
          <w:color w:val="auto"/>
          <w:highlight w:val="none"/>
        </w:rPr>
        <w:t xml:space="preserve">2 乙方应按照合同要求</w:t>
      </w:r>
      <w:r>
        <w:rPr>
          <w:rFonts w:hint="eastAsia" w:ascii="宋体" w:hAnsi="宋体" w:eastAsia="宋体" w:cs="宋体"/>
          <w:color w:val="auto"/>
          <w:highlight w:val="none"/>
        </w:rPr>
        <w:t xml:space="preserve">履约</w:t>
      </w:r>
      <w:r>
        <w:rPr>
          <w:rFonts w:hint="eastAsia" w:ascii="宋体" w:hAnsi="宋体" w:eastAsia="宋体" w:cs="宋体"/>
          <w:color w:val="auto"/>
          <w:highlight w:val="none"/>
        </w:rPr>
        <w:t xml:space="preserve">，充分合理安排，确保</w:t>
      </w:r>
      <w:r>
        <w:rPr>
          <w:rFonts w:hint="eastAsia" w:ascii="宋体" w:hAnsi="宋体" w:eastAsia="宋体" w:cs="宋体"/>
          <w:color w:val="auto"/>
          <w:highlight w:val="none"/>
        </w:rPr>
        <w:t xml:space="preserve">提供的货物及相关服务符合合同有关</w:t>
      </w:r>
      <w:r>
        <w:rPr>
          <w:rFonts w:hint="eastAsia" w:ascii="宋体" w:hAnsi="宋体" w:eastAsia="宋体" w:cs="宋体"/>
          <w:color w:val="auto"/>
          <w:highlight w:val="none"/>
        </w:rPr>
        <w:t xml:space="preserve">要求</w:t>
      </w:r>
      <w:r>
        <w:rPr>
          <w:rFonts w:hint="eastAsia" w:ascii="宋体" w:hAnsi="宋体" w:eastAsia="宋体" w:cs="宋体"/>
          <w:color w:val="auto"/>
          <w:highlight w:val="none"/>
        </w:rPr>
        <w:t xml:space="preserve">。接受项目行业管理部门及政府有关部门的指导，配合甲方的履约检查及验收，并</w:t>
      </w:r>
      <w:r>
        <w:rPr>
          <w:rFonts w:hint="eastAsia" w:ascii="宋体" w:hAnsi="宋体" w:eastAsia="宋体" w:cs="宋体"/>
          <w:color w:val="auto"/>
          <w:highlight w:val="none"/>
        </w:rPr>
        <w:t xml:space="preserve">负责项目实施过程中的所有协调工作。</w:t>
      </w:r>
      <w:r/>
    </w:p>
    <w:p>
      <w:pPr>
        <w:pStyle w:val="789"/>
        <w:ind w:firstLine="369"/>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5.3乙方有权根据合同约定向甲方收取合同价款。</w:t>
      </w:r>
      <w:r/>
    </w:p>
    <w:p>
      <w:pPr>
        <w:pStyle w:val="789"/>
        <w:ind w:firstLine="369"/>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5.4国家法律法规规定及</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约定应由乙方承担的其他义务和责任。</w:t>
      </w:r>
      <w:r/>
    </w:p>
    <w:p>
      <w:pPr>
        <w:numPr>
          <w:ilvl w:val="0"/>
          <w:numId w:val="9"/>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合同履行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6.1 甲乙双方应当按照</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约定顺序履行合同义务；如果没有先后顺序的，应当同时履行。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 货物包装、运输、保险和交付要求</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7.1 本合同</w:t>
      </w:r>
      <w:r>
        <w:rPr>
          <w:rFonts w:hint="eastAsia" w:ascii="宋体" w:hAnsi="宋体" w:eastAsia="宋体" w:cs="宋体"/>
          <w:bCs/>
          <w:color w:val="auto"/>
          <w:highlight w:val="none"/>
        </w:rPr>
        <w:t xml:space="preserve">涉及商品包装、快递包装的，</w:t>
      </w:r>
      <w:r>
        <w:rPr>
          <w:rFonts w:hint="eastAsia" w:ascii="宋体" w:hAnsi="宋体" w:eastAsia="宋体" w:cs="宋体"/>
          <w:color w:val="auto"/>
          <w:highlight w:val="none"/>
        </w:rPr>
        <w:t xml:space="preserve">除</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另有约定外，</w:t>
      </w:r>
      <w:r>
        <w:rPr>
          <w:rFonts w:hint="eastAsia" w:ascii="宋体" w:hAnsi="宋体" w:eastAsia="宋体" w:cs="宋体"/>
          <w:color w:val="auto"/>
          <w:highlight w:val="none"/>
        </w:rPr>
        <w:t xml:space="preserve">包装应适应远距离运输、防潮、防震、防锈和防野蛮装卸等要求，确保货物安全无损地运抵</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约定的</w:t>
      </w:r>
      <w:r>
        <w:rPr>
          <w:rFonts w:hint="eastAsia" w:ascii="宋体" w:hAnsi="宋体" w:eastAsia="宋体" w:cs="宋体"/>
          <w:color w:val="auto"/>
          <w:highlight w:val="none"/>
        </w:rPr>
        <w:t xml:space="preserve">指定现场。</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7.2 除</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另有约定外，</w:t>
      </w:r>
      <w:r>
        <w:rPr>
          <w:rFonts w:hint="eastAsia" w:ascii="宋体" w:hAnsi="宋体" w:eastAsia="宋体" w:cs="宋体"/>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7.3 货物保险要求按</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规定执行</w:t>
      </w:r>
      <w:r>
        <w:rPr>
          <w:rFonts w:hint="eastAsia" w:ascii="宋体" w:hAnsi="宋体" w:eastAsia="宋体" w:cs="宋体"/>
          <w:color w:val="auto"/>
          <w:highlight w:val="none"/>
        </w:rPr>
        <w:t xml:space="preserve">。</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7.5 </w:t>
      </w:r>
      <w:r>
        <w:rPr>
          <w:rFonts w:hint="eastAsia" w:ascii="宋体" w:hAnsi="宋体" w:eastAsia="宋体" w:cs="宋体"/>
          <w:color w:val="auto"/>
          <w:highlight w:val="none"/>
        </w:rPr>
        <w:t xml:space="preserve">乙方在运输到达之前应提前通知甲方，并提示货物运输装卸的注意事项，甲方配合乙方做好货物的接收工作。</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 质量标准和保证</w:t>
      </w:r>
      <w:r/>
    </w:p>
    <w:p>
      <w:pPr>
        <w:pStyle w:val="797"/>
        <w:ind w:firstLine="420"/>
        <w:jc w:val="left"/>
        <w:spacing w:line="4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8.1 质量标准</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（1）本合同下提供的货物应符合合同</w:t>
      </w:r>
      <w:r>
        <w:rPr>
          <w:rFonts w:hint="eastAsia" w:ascii="宋体" w:hAnsi="宋体" w:eastAsia="宋体" w:cs="宋体"/>
          <w:color w:val="auto"/>
          <w:highlight w:val="none"/>
        </w:rPr>
        <w:t xml:space="preserve">约定的品牌、规格型号、技术性能、配置、质量、数量等要求。</w:t>
      </w:r>
      <w:r>
        <w:rPr>
          <w:rFonts w:hint="eastAsia" w:ascii="宋体" w:hAnsi="宋体" w:eastAsia="宋体" w:cs="宋体"/>
          <w:color w:val="auto"/>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97"/>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（3）乙方所提供的货物应符合国家有关安全、环保、卫生的规定。</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8.2 保证</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（1）乙方应保证提供的货物完全符合合同规定的质量、规格和性能要求。乙方应保证货物在正确安装、正常使用和保养条件下，</w:t>
      </w:r>
      <w:r>
        <w:rPr>
          <w:rFonts w:hint="eastAsia" w:ascii="宋体" w:hAnsi="宋体" w:eastAsia="宋体" w:cs="宋体"/>
          <w:color w:val="auto"/>
          <w:highlight w:val="none"/>
        </w:rPr>
        <w:t xml:space="preserve">在其使用寿命期内具备合同约定的性能</w:t>
      </w:r>
      <w:r>
        <w:rPr>
          <w:rFonts w:hint="eastAsia" w:ascii="宋体" w:hAnsi="宋体" w:eastAsia="宋体" w:cs="宋体"/>
          <w:color w:val="auto"/>
          <w:highlight w:val="none"/>
        </w:rPr>
        <w:t xml:space="preserve">。存在质量保证期的，货物最终交付验收合格后在</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规定或乙方书面承诺（两者以较长的为准）的质量保证期内，本保证保持有效。</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（2）在质量保证期内所发现的缺陷，甲方应尽快以书面形式通知乙方。</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（3）乙方收到通知后，应在</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规定的响应时间内以合理的速度免费维修或更换有缺陷的货物或部件。</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9. 权利瑕疵担保</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9.1 乙方保证对其出售的货物享有合法的权利。</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9.3 如甲方使用上述货物构成对第三人侵权的，则由乙方承担全部责任。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10. 知识产权保护</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10.1 乙方对其所销售的货物应当享有知识产权或经权利人合法授权，保证没有侵犯任何第三人的知识产权等权利。</w:t>
      </w:r>
      <w:bookmarkStart w:id="9"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9"/>
      <w:r>
        <w:rPr>
          <w:rFonts w:hint="eastAsia" w:ascii="宋体" w:hAnsi="宋体" w:eastAsia="宋体" w:cs="宋体"/>
          <w:color w:val="auto"/>
          <w:highlight w:val="none"/>
        </w:rPr>
        <w:t xml:space="preserve">。</w:t>
      </w:r>
      <w:r/>
    </w:p>
    <w:p>
      <w:pPr>
        <w:ind w:firstLine="482"/>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11. 保密义务</w:t>
      </w:r>
      <w:r/>
    </w:p>
    <w:p>
      <w:pPr>
        <w:ind w:firstLine="420"/>
        <w:jc w:val="left"/>
        <w:spacing w:line="400" w:lineRule="exact"/>
        <w:rPr>
          <w:rFonts w:hint="eastAsia" w:ascii="宋体" w:hAnsi="宋体" w:eastAsia="宋体" w:cs="宋体"/>
          <w:color w:val="auto"/>
          <w:szCs w:val="15"/>
          <w:highlight w:val="none"/>
        </w:rPr>
      </w:pPr>
      <w:r>
        <w:rPr>
          <w:rFonts w:hint="eastAsia" w:ascii="宋体" w:hAnsi="宋体" w:eastAsia="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12. 合同价款支付</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12.1 合同价款支付按照国库集中支付制度及财政管理相关规定执行。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12.2 </w:t>
      </w:r>
      <w:r>
        <w:rPr>
          <w:rFonts w:hint="eastAsia" w:ascii="宋体" w:hAnsi="宋体" w:eastAsia="宋体" w:cs="宋体"/>
          <w:color w:val="auto"/>
          <w:highlight w:val="none"/>
        </w:rPr>
        <w:t xml:space="preserve">对于满足合同约定支付条件的，甲方</w:t>
      </w:r>
      <w:r>
        <w:rPr>
          <w:rFonts w:hint="eastAsia" w:ascii="宋体" w:hAnsi="宋体" w:eastAsia="宋体" w:cs="宋体"/>
          <w:color w:val="auto"/>
          <w:highlight w:val="none"/>
        </w:rPr>
        <w:t xml:space="preserve">原则上应当自收到发票后10个工作日内</w:t>
      </w:r>
      <w:r>
        <w:rPr>
          <w:rFonts w:hint="eastAsia" w:ascii="宋体" w:hAnsi="宋体" w:eastAsia="宋体" w:cs="宋体"/>
          <w:color w:val="auto"/>
          <w:highlight w:val="none"/>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】中约定。</w:t>
      </w:r>
      <w:r/>
    </w:p>
    <w:p>
      <w:pPr>
        <w:pStyle w:val="789"/>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13. 履约保证金</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13.1 </w:t>
      </w:r>
      <w:r>
        <w:rPr>
          <w:rFonts w:hint="eastAsia" w:ascii="宋体" w:hAnsi="宋体" w:eastAsia="宋体" w:cs="宋体"/>
          <w:color w:val="auto"/>
          <w:szCs w:val="15"/>
          <w:highlight w:val="none"/>
        </w:rPr>
        <w:t xml:space="preserve">乙方</w:t>
      </w:r>
      <w:r>
        <w:rPr>
          <w:rFonts w:hint="eastAsia" w:ascii="宋体" w:hAnsi="宋体" w:eastAsia="宋体" w:cs="宋体"/>
          <w:color w:val="auto"/>
          <w:szCs w:val="15"/>
          <w:highlight w:val="none"/>
          <w:lang w:val="zh-CN"/>
        </w:rPr>
        <w:t xml:space="preserve">除银行电汇、网上银行、数字人民币外，</w:t>
      </w:r>
      <w:r>
        <w:rPr>
          <w:rFonts w:hint="eastAsia" w:ascii="宋体" w:hAnsi="宋体" w:eastAsia="宋体" w:cs="宋体"/>
          <w:color w:val="auto"/>
          <w:szCs w:val="15"/>
          <w:highlight w:val="none"/>
        </w:rPr>
        <w:t xml:space="preserve">乙方</w:t>
      </w:r>
      <w:r>
        <w:rPr>
          <w:rFonts w:hint="eastAsia" w:ascii="宋体" w:hAnsi="宋体" w:eastAsia="宋体" w:cs="宋体"/>
          <w:color w:val="auto"/>
          <w:szCs w:val="15"/>
          <w:highlight w:val="none"/>
          <w:lang w:val="zh-CN"/>
        </w:rPr>
        <w:t xml:space="preserve">还可选用银行保函、担保公司的保证担保或保险公司的保证保险、等多种形式向</w:t>
      </w:r>
      <w:r>
        <w:rPr>
          <w:rFonts w:hint="eastAsia" w:ascii="宋体" w:hAnsi="宋体" w:eastAsia="宋体" w:cs="宋体"/>
          <w:color w:val="auto"/>
          <w:szCs w:val="15"/>
          <w:highlight w:val="none"/>
        </w:rPr>
        <w:t xml:space="preserve">甲方提交。</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13.2 如果乙方出现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约定情形的</w:t>
      </w:r>
      <w:r>
        <w:rPr>
          <w:rFonts w:hint="eastAsia" w:ascii="宋体" w:hAnsi="宋体" w:eastAsia="宋体" w:cs="宋体"/>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13.3 甲方在项目通过验收后按照</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规定的时间内将履约保证金退还乙方；逾期退还的，乙方可要求甲方支付违约金，违约金按照</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规定支付。</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14. </w:t>
      </w:r>
      <w:r>
        <w:rPr>
          <w:rFonts w:hint="eastAsia" w:ascii="宋体" w:hAnsi="宋体" w:eastAsia="宋体" w:cs="宋体"/>
          <w:b/>
          <w:color w:val="auto"/>
          <w:sz w:val="24"/>
          <w:highlight w:val="none"/>
        </w:rPr>
        <w:t xml:space="preserve">售后</w:t>
      </w:r>
      <w:r>
        <w:rPr>
          <w:rFonts w:hint="eastAsia" w:ascii="宋体" w:hAnsi="宋体" w:eastAsia="宋体" w:cs="宋体"/>
          <w:b/>
          <w:color w:val="auto"/>
          <w:sz w:val="24"/>
          <w:highlight w:val="none"/>
        </w:rPr>
        <w:t xml:space="preserve">服务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（1）货物的现场移动、安装、调试、启动监督及技术支持；</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（2）提供货物组装和维修所需的专用工具和辅助材料；</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（4）在制造商所在地或指定现场就货物的安装、启动、运营、维护、废弃处置等对甲方操作人员进行培训</w:t>
      </w:r>
      <w:r>
        <w:rPr>
          <w:rFonts w:hint="eastAsia" w:ascii="宋体" w:hAnsi="宋体" w:eastAsia="宋体" w:cs="宋体"/>
          <w:color w:val="auto"/>
          <w:szCs w:val="15"/>
          <w:highlight w:val="none"/>
        </w:rPr>
        <w:t xml:space="preserve">；</w:t>
      </w:r>
      <w:r/>
    </w:p>
    <w:p>
      <w:pPr>
        <w:pStyle w:val="819"/>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规定由乙方提供的其他服务。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14.2 乙方提供的售后服务的费用已包含在合同价款中，甲方不再另行支付。</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15. 违约责任</w:t>
      </w:r>
      <w:r/>
    </w:p>
    <w:p>
      <w:pPr>
        <w:ind w:firstLine="420"/>
        <w:jc w:val="left"/>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15.1质量瑕疵的违约责任</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乙方提供的产品不符合合同约定的质量标准或存在产品质量缺陷，甲方有权要求乙方根据</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要求</w:t>
      </w:r>
      <w:r>
        <w:rPr>
          <w:rFonts w:hint="eastAsia" w:ascii="宋体" w:hAnsi="宋体" w:eastAsia="宋体" w:cs="宋体"/>
          <w:color w:val="auto"/>
          <w:highlight w:val="none"/>
        </w:rPr>
        <w:t xml:space="preserve">及时修理、重作、更换，并承担由此给甲方造成的损失。</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15.2 迟延交货的违约责任</w:t>
      </w:r>
      <w:r>
        <w:rPr>
          <w:rFonts w:hint="eastAsia" w:ascii="宋体" w:hAnsi="宋体" w:eastAsia="宋体" w:cs="宋体"/>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highlight w:val="none"/>
        </w:rPr>
        <w:t xml:space="preserve">【政府采购合同专用条款】</w:t>
      </w:r>
      <w:r>
        <w:rPr>
          <w:rFonts w:hint="eastAsia" w:ascii="宋体" w:hAnsi="宋体" w:eastAsia="宋体" w:cs="宋体"/>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15.3 迟延支付的违约责任</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甲方存在迟延支付乙方合同款项的，应当承担</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规定的逾期付款利息。</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bCs/>
          <w:color w:val="auto"/>
          <w:highlight w:val="none"/>
        </w:rPr>
        <w:t xml:space="preserve">15.4其他违约责任根据项目实际需要按</w:t>
      </w:r>
      <w:r>
        <w:rPr>
          <w:rFonts w:hint="eastAsia" w:ascii="宋体" w:hAnsi="宋体" w:eastAsia="宋体" w:cs="宋体"/>
          <w:b/>
          <w:bCs/>
          <w:color w:val="auto"/>
          <w:highlight w:val="none"/>
        </w:rPr>
        <w:t xml:space="preserve">【政府采购合同专用条款】</w:t>
      </w:r>
      <w:r>
        <w:rPr>
          <w:rFonts w:hint="eastAsia" w:ascii="宋体" w:hAnsi="宋体" w:eastAsia="宋体" w:cs="宋体"/>
          <w:color w:val="auto"/>
          <w:highlight w:val="none"/>
        </w:rPr>
        <w:t xml:space="preserve">规定执行。</w:t>
      </w:r>
      <w:r/>
    </w:p>
    <w:p>
      <w:pPr>
        <w:numPr>
          <w:ilvl w:val="0"/>
          <w:numId w:val="10"/>
        </w:num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合同变更、中止与终止</w:t>
      </w:r>
      <w:r/>
    </w:p>
    <w:p>
      <w:pPr>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16.1合同的变更</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16.2合同的中止</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（4）甲方不得以行政区划调整、政府换届、机构或者职能调整以及相关责任人更替为由中止合同。</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16.3合同的终止</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（1）合同因有效期限届满而终止；</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（2）乙方未按合同约定履行，构成根本性违约的，甲方有权终止合同，</w:t>
      </w:r>
      <w:r>
        <w:rPr>
          <w:rFonts w:hint="eastAsia" w:ascii="宋体" w:hAnsi="宋体" w:eastAsia="宋体" w:cs="宋体"/>
          <w:color w:val="auto"/>
          <w:highlight w:val="none"/>
        </w:rPr>
        <w:t xml:space="preserve">并追究乙方的违约责任</w:t>
      </w:r>
      <w:r>
        <w:rPr>
          <w:rFonts w:hint="eastAsia" w:ascii="宋体" w:hAnsi="宋体" w:eastAsia="宋体" w:cs="宋体"/>
          <w:color w:val="auto"/>
          <w:highlight w:val="none"/>
        </w:rPr>
        <w:t xml:space="preserve">。</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17. 合同分包</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18. 不可抗力</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18.1 不可抗力是指合同双方不能预见、不能避免且不能克服的客观情况。</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19. 解决争议的方法</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20. 政府采购政策</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rPr>
        <w:t xml:space="preserve">0.2 本合同依法执行政府采购政策的方式和内容，属于合同履约验收的范围。</w:t>
      </w:r>
      <w:r>
        <w:rPr>
          <w:rFonts w:hint="eastAsia" w:ascii="宋体" w:hAnsi="宋体" w:eastAsia="宋体" w:cs="宋体"/>
          <w:color w:val="auto"/>
          <w:highlight w:val="none"/>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highlight w:val="none"/>
        </w:rPr>
        <w:t xml:space="preserve">，有过错的一方应当承担赔偿责任，双方都有过错的，各自承担相应的责任。</w:t>
      </w:r>
      <w:r/>
    </w:p>
    <w:p>
      <w:pPr>
        <w:pStyle w:val="789"/>
        <w:ind w:firstLine="420"/>
        <w:spacing w:line="40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 法律适用</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 通知</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819"/>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22.4通知以送达之日或通知书中规定的生效之日起生效，两者中以较迟之日为准。</w:t>
      </w:r>
      <w:r/>
    </w:p>
    <w:p>
      <w:pPr>
        <w:numPr>
          <w:ilvl w:val="0"/>
          <w:numId w:val="11"/>
        </w:numPr>
        <w:jc w:val="left"/>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line="40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23.1合同未尽事项见</w:t>
      </w:r>
      <w:r>
        <w:rPr>
          <w:rFonts w:hint="eastAsia" w:ascii="宋体" w:hAnsi="宋体" w:eastAsia="宋体" w:cs="宋体"/>
          <w:b/>
          <w:color w:val="auto"/>
          <w:highlight w:val="none"/>
        </w:rPr>
        <w:t xml:space="preserve">【政府采购合同专用条款】</w:t>
      </w:r>
      <w:r>
        <w:rPr>
          <w:rFonts w:hint="eastAsia" w:ascii="宋体" w:hAnsi="宋体" w:eastAsia="宋体" w:cs="宋体"/>
          <w:bCs/>
          <w:color w:val="auto"/>
          <w:highlight w:val="none"/>
        </w:rPr>
        <w:t xml:space="preserve">。</w:t>
      </w:r>
      <w:r/>
    </w:p>
    <w:p>
      <w:pPr>
        <w:jc w:val="left"/>
        <w:spacing w:line="400" w:lineRule="exact"/>
        <w:rPr>
          <w:rFonts w:hint="eastAsia" w:ascii="宋体" w:hAnsi="宋体" w:eastAsia="宋体" w:cs="宋体"/>
          <w:color w:val="auto"/>
          <w:sz w:val="28"/>
          <w:szCs w:val="28"/>
          <w:highlight w:val="none"/>
        </w:rPr>
      </w:pPr>
      <w:r>
        <w:rPr>
          <w:rFonts w:hint="eastAsia" w:ascii="宋体" w:hAnsi="宋体" w:eastAsia="宋体" w:cs="宋体"/>
          <w:bCs/>
          <w:color w:val="auto"/>
          <w:highlight w:val="none"/>
        </w:rPr>
        <w:t xml:space="preserve">    23.2 合同附件与合同正文具有同等的法律效力。</w:t>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9"/>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第三节 政府采购合同专用条款</w:t>
      </w:r>
      <w:r/>
    </w:p>
    <w:tbl>
      <w:tblPr>
        <w:tblStyle w:val="813"/>
        <w:tblW w:w="87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1612"/>
        <w:gridCol w:w="5627"/>
      </w:tblGrid>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第1.2（6）项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联合体具体要求</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见招标文件</w:t>
            </w:r>
            <w:r/>
          </w:p>
        </w:tc>
      </w:tr>
      <w:tr>
        <w:trPr>
          <w:trHeight w:val="90"/>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第1.2（7）项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其他术语解释</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第4.4款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履约验收中甲方提出异议或作出说明的期限</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履约验收中甲方提出异议的期限：3个工作日。</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或履约验收中甲方作出说明的期限：3个工作日。</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第4.6款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约定甲方承担的其他义务和责任</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甲方无正当理由拒收货物的，甲方向乙方偿付拒收货款总值0.5% 的违约金</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第5.4款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约定乙方承担的其他义务和责任</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乙方保证所交付的货物（包含与货物相关的服务）的所有权完全属于乙方且无任何抵押、查封等产权瑕疵；</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乙方所供货物质量不符合规定的，由其负责包换或包修，并承担修理、调换或退货而支付的实际费用；</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非因甲方原因，乙方不履行本合同规定的义务，致使工期延误，甲方有权要求其强制履行或解除合同，并要求乙方等额赔偿由此造成的一切损失</w:t>
            </w:r>
            <w:r>
              <w:rPr>
                <w:rFonts w:hint="eastAsia" w:ascii="宋体" w:hAnsi="宋体" w:eastAsia="宋体" w:cs="宋体"/>
                <w:color w:val="auto"/>
                <w:sz w:val="22"/>
                <w:highlight w:val="none"/>
              </w:rPr>
              <w:t xml:space="preserve">；</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项目清单中信息化设备涉及到安装、切墙、开槽、挖洞、接线、排管等产品交付使用过程中涉及到的其他一切费用由乙方负责</w:t>
            </w:r>
            <w:r>
              <w:rPr>
                <w:rFonts w:hint="eastAsia" w:ascii="宋体" w:hAnsi="宋体" w:eastAsia="宋体" w:cs="宋体"/>
                <w:color w:val="auto"/>
                <w:sz w:val="22"/>
                <w:highlight w:val="none"/>
              </w:rPr>
              <w:t xml:space="preserve">。</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第6.1款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履行合同义务的顺序</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合同协议书、招标文件、投标文件、合同专用条款、合同通用条款、补充协议</w:t>
            </w:r>
            <w:r/>
          </w:p>
        </w:tc>
      </w:tr>
      <w:tr>
        <w:trPr>
          <w:trHeight w:val="667"/>
        </w:trPr>
        <w:tc>
          <w:tcPr>
            <w:tcMar>
              <w:left w:w="108" w:type="dxa"/>
              <w:top w:w="0" w:type="dxa"/>
              <w:right w:w="108" w:type="dxa"/>
              <w:bottom w:w="0" w:type="dxa"/>
            </w:tcMar>
            <w:tcW w:w="1500" w:type="dxa"/>
            <w:vAlign w:val="center"/>
            <w:vMerge w:val="restart"/>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第7.1款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包装特殊要求</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商品包装、快递包装政府采购需求标准</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商品包装环保要求</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（1）商品包装层数不得超过 3 层，空隙率不大于 40%；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（2）商品包装尽可能使用单一材质的包装材料，如因功能 需求必需使用不同材质，不同材质间应便于分离；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（3）商品包装中铅、汞、镉、六价铬的总含量应不大于 100mg/kg；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（4）商品包装印刷使用的油墨中挥发性有机化合物(VOCs) 含量应不大于 5%（以重量计）；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（5）塑料材质商品包装上呈现的印刷颜色不得超过 6 色；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（6）纸质商品包装应使用 75%以上的可再生纤维原料生产；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（7）木质商品包装的原料应来源于可持续性森林。 </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快递包装环保要求</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（1）快递包装中重金属（铅、汞、镉、六价铬）总量应不大于100mg/kg；</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（2）快递包装印刷使用的油墨中不应添加邻苯二甲酸酯，其挥发性有机化合物(VOCs)含量应不大于5%（以重量计）；</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（3）快递包装中使用纸基材的包装材料，纸基材中的有机氯的含量应不大于150 mg/kg；</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（5）快递中使用的塑料包装袋不得使用聚氯乙烯作为原料，且原料应为单一材质制成，生物分解率大于60%；</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（6）快递中使用的充气类填充物不得使用聚氯乙烯作为原料，且原料为单一材质制成，生物分解率大于60%；</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（7）快递中使用的集装袋应为单一材质制成，其重复使用次数应不小于80 次；</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（8）快递中应使用幅宽不大于45mm 的生物降解胶带；</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（9）快递包装中不得使用溶剂型胶粘剂；</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（10）快递应使用电子面单；</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（11）直接使用商品包装作为快递包装的商品，其商品包装满足《商品包装政府采购需求标准（试行）》即可；</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（12）快递包装产品质量和封装方式应符合相关国家或行业标准技术指标要求。</w:t>
            </w:r>
            <w:r/>
          </w:p>
        </w:tc>
      </w:tr>
      <w:tr>
        <w:trPr>
          <w:trHeight w:val="463"/>
        </w:trPr>
        <w:tc>
          <w:tcPr>
            <w:tcW w:w="0" w:type="auto"/>
            <w:vMerge w:val="continue"/>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指定现场</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甲方指定的项目现场</w:t>
            </w:r>
            <w:r/>
          </w:p>
        </w:tc>
      </w:tr>
      <w:tr>
        <w:trPr>
          <w:trHeight w:val="772"/>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第7.2款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运输特殊要求</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由乙方视情况自定运输方式，费用自负。</w:t>
            </w:r>
            <w:r/>
          </w:p>
        </w:tc>
      </w:tr>
      <w:tr>
        <w:trPr>
          <w:trHeight w:val="667"/>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第7.3款</w:t>
            </w:r>
            <w:r/>
          </w:p>
        </w:tc>
        <w:tc>
          <w:tcPr>
            <w:tcMar>
              <w:left w:w="108" w:type="dxa"/>
              <w:top w:w="0" w:type="dxa"/>
              <w:right w:w="108" w:type="dxa"/>
              <w:bottom w:w="0" w:type="dxa"/>
            </w:tcMar>
            <w:tcW w:w="1612" w:type="dxa"/>
            <w:vAlign w:val="center"/>
            <w:textDirection w:val="lrTb"/>
            <w:noWrap w:val="false"/>
          </w:tcPr>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保险要求</w:t>
            </w:r>
            <w:r/>
          </w:p>
        </w:tc>
        <w:tc>
          <w:tcPr>
            <w:tcMar>
              <w:left w:w="108" w:type="dxa"/>
              <w:top w:w="0" w:type="dxa"/>
              <w:right w:w="108" w:type="dxa"/>
              <w:bottom w:w="0" w:type="dxa"/>
            </w:tcMar>
            <w:tcW w:w="5627" w:type="dxa"/>
            <w:vAlign w:val="center"/>
            <w:textDirection w:val="lrTb"/>
            <w:noWrap w:val="false"/>
          </w:tcPr>
          <w:p>
            <w:pPr>
              <w:jc w:val="lef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第8.2（1）项</w:t>
            </w:r>
            <w:r/>
          </w:p>
        </w:tc>
        <w:tc>
          <w:tcPr>
            <w:tcMar>
              <w:left w:w="108" w:type="dxa"/>
              <w:top w:w="0" w:type="dxa"/>
              <w:right w:w="108" w:type="dxa"/>
              <w:bottom w:w="0" w:type="dxa"/>
            </w:tcMar>
            <w:tcW w:w="1612" w:type="dxa"/>
            <w:vAlign w:val="center"/>
            <w:textDirection w:val="lrTb"/>
            <w:noWrap w:val="false"/>
          </w:tcPr>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质量保证期</w:t>
            </w:r>
            <w:r/>
          </w:p>
        </w:tc>
        <w:tc>
          <w:tcPr>
            <w:tcMar>
              <w:left w:w="108" w:type="dxa"/>
              <w:top w:w="0" w:type="dxa"/>
              <w:right w:w="108" w:type="dxa"/>
              <w:bottom w:w="0" w:type="dxa"/>
            </w:tcMar>
            <w:tcW w:w="5627" w:type="dxa"/>
            <w:vAlign w:val="center"/>
            <w:textDirection w:val="lrTb"/>
            <w:noWrap w:val="false"/>
          </w:tcPr>
          <w:p>
            <w:pPr>
              <w:jc w:val="lef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售后运行维护期（售后服务期）：3年。3年内发现设备缺陷等质量问题，中标方负责无条件维修或调换；中标方货物经过双方检验认可后，签署验收报告，按国家及相关部门的 “三包”要求（特别要求的按特别要求执行），免费售后运行维护期（售后服务期）自货物验收合格之日起算(设备厂家维保期大于</w:t>
            </w:r>
            <w:r>
              <w:rPr>
                <w:rFonts w:hint="eastAsia" w:ascii="宋体" w:hAnsi="宋体" w:eastAsia="宋体" w:cs="宋体"/>
                <w:color w:val="auto"/>
                <w:sz w:val="22"/>
                <w:highlight w:val="none"/>
                <w:lang w:eastAsia="zh-CN"/>
              </w:rPr>
              <w:t xml:space="preserve">3年</w:t>
            </w:r>
            <w:r>
              <w:rPr>
                <w:rFonts w:hint="eastAsia" w:ascii="宋体" w:hAnsi="宋体" w:eastAsia="宋体" w:cs="宋体"/>
                <w:color w:val="auto"/>
                <w:sz w:val="22"/>
                <w:highlight w:val="none"/>
              </w:rPr>
              <w:t xml:space="preserve">的，以设备厂家维保期为准）。 </w:t>
            </w:r>
            <w:r/>
          </w:p>
        </w:tc>
      </w:tr>
      <w:tr>
        <w:trPr>
          <w:trHeight w:val="543"/>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第8.2（3）项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货物质量缺陷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响应时间</w:t>
            </w:r>
            <w:r/>
          </w:p>
        </w:tc>
        <w:tc>
          <w:tcPr>
            <w:tcMar>
              <w:left w:w="108" w:type="dxa"/>
              <w:top w:w="0" w:type="dxa"/>
              <w:right w:w="108" w:type="dxa"/>
              <w:bottom w:w="0" w:type="dxa"/>
            </w:tcMar>
            <w:tcW w:w="5627" w:type="dxa"/>
            <w:vAlign w:val="center"/>
            <w:textDirection w:val="lrTb"/>
            <w:noWrap w:val="false"/>
          </w:tcPr>
          <w:p>
            <w:pPr>
              <w:jc w:val="lef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中标方应提供7X24小时服务，接到临时性应急保障及故障报修电话后30分钟内电话响应，电话解决不了的，选派经验丰富的工作人员12小时内到现场进行保障、维修。</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spacing w:before="200" w:after="20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第11.1款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其他应当保密的信息</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第12.2款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合同价款支付时间</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款项的支付方式及进度安排:</w:t>
            </w:r>
            <w:r/>
          </w:p>
          <w:p>
            <w:pPr>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预付款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签订合同后，自收到供应商发票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10个工作日内采购人支付合同总价款的30%</w:t>
            </w:r>
            <w:r>
              <w:rPr>
                <w:rFonts w:hint="eastAsia" w:ascii="宋体" w:hAnsi="宋体" w:eastAsia="宋体" w:cs="宋体"/>
                <w:color w:val="auto"/>
                <w:sz w:val="22"/>
                <w:highlight w:val="none"/>
                <w:lang w:eastAsia="zh-CN"/>
              </w:rPr>
              <w:t xml:space="preserve">；</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进度款:货物到现场安装调试完毕稳定运行并经采购人验收合格后，自收到供应商发票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10个工作日内采购人将货款支付到合同总价款的100%。</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备注:</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(1)可以采用数字人民币支付。</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(2)资金支付的时间:收到供应商发票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(3)资金支付的条件:满足相应阶段的要求且收到供应商发票。</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(4)当采购数量与实际使用数量不一致时，供应商应根据实际使用量供货，合同的最终结算金额按实际使用量乘以成交单价进行计算。</w:t>
            </w:r>
            <w:r/>
          </w:p>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(5)在签订合同时，供应商明确表示无需预付款或者主动要求降低预付款比例的，采购人可不适用前述规定。</w:t>
            </w:r>
            <w:r/>
          </w:p>
        </w:tc>
      </w:tr>
      <w:tr>
        <w:trPr>
          <w:trHeight w:val="697"/>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第13.2款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履约保证金不予退还的情形</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除不可抗力外，投标人不履行与采购人订立的采购合同的，履约保证金不予退还，给采购人造成的损失超过履约保证金数额的，还应当对超过部分予以赔偿。</w:t>
            </w:r>
            <w:r/>
          </w:p>
        </w:tc>
      </w:tr>
      <w:tr>
        <w:trPr>
          <w:trHeight w:val="35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第13.3款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履约保证金退还时间及逾期退还的违约金</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货物类项目，项目验收合格，出具验收报告及履约保证金收据申请退付；</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履约保证金退还时间：采购单位收到投标人退付申请后5个工作日内退还；</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逾期退还履约保证金的违约责任：除应当退还履约保证金外，还应当按中国人民银行同期贷款基准利率上浮</w:t>
            </w:r>
            <w:r>
              <w:rPr>
                <w:rFonts w:hint="eastAsia" w:ascii="宋体" w:hAnsi="宋体" w:eastAsia="宋体" w:cs="宋体"/>
                <w:color w:val="auto"/>
                <w:highlight w:val="none"/>
              </w:rPr>
              <w:t xml:space="preserve"> </w:t>
            </w:r>
            <w:r>
              <w:rPr>
                <w:rFonts w:hint="eastAsia" w:ascii="宋体" w:hAnsi="宋体" w:eastAsia="宋体" w:cs="宋体"/>
                <w:color w:val="auto"/>
                <w:sz w:val="22"/>
                <w:highlight w:val="none"/>
              </w:rPr>
              <w:t xml:space="preserve">20％后的利率支付超期资金占用费，但因投标人自身原因导致无法及时退还的除外。</w:t>
            </w:r>
            <w:r/>
          </w:p>
        </w:tc>
      </w:tr>
      <w:tr>
        <w:trPr>
          <w:trHeight w:val="784"/>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第14.1（3）项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运行监督、维修期限</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3年（自货物最终交付验收合格后）</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运行维护期内免费为甲方提供维修、保养、软件免费升级、同质备件及替换等，甲方不承担任何费用，乙方保证设备运行维护期内有效运行，运行维护期内免费为客户排除软硬件故障，与原厂商的服务结合起来，使客户方系统得到更好的维护与支持。</w:t>
            </w:r>
            <w:r/>
          </w:p>
        </w:tc>
      </w:tr>
      <w:tr>
        <w:trPr>
          <w:trHeight w:val="784"/>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第14.1（5）项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货物回收的约定</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无</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第14.1（6）项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乙方提供的其他服务</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无</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第15.1款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修理、重作、更换相关具体规定</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乙方提供的货物在质量期内因货物本身的质量问题发生故障，乙方应负责免费更换。对达不到技术要求者，根据实际情况，经双方协商，可按以下办法处理：</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⑴更换：由乙方承担所发生的全部费用。</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⑵贬值处理：由甲乙双方合议定价。</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⑶退货处理：乙方应退还甲方支付的合同款，同时应承担该货物的直接费用（运输、保险、检验、货款利息及银行手续费等）。</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第15.2（2）项</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迟延交货赔偿费</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第15.3款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逾期付款利息</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甲方无故逾期验收和办理货款支付手续的,甲方应按逾期付款总额每日万分之一向乙方支付违约金</w:t>
            </w:r>
            <w:r/>
          </w:p>
        </w:tc>
      </w:tr>
      <w:tr>
        <w:trPr>
          <w:trHeight w:val="876"/>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第15.4款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其他违约责任</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第19.2款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解决争议的方法</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甲乙双方因合同签订、履行而发生的一切争议，应通过友好协商解决。如协商不成由甲方住所地人民法院管辖。</w:t>
            </w:r>
            <w:r/>
          </w:p>
        </w:tc>
      </w:tr>
      <w:tr>
        <w:trPr>
          <w:trHeight w:val="770"/>
        </w:trPr>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第二节</w:t>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第23.1款</w:t>
            </w:r>
            <w:r/>
          </w:p>
        </w:tc>
        <w:tc>
          <w:tcPr>
            <w:tcMar>
              <w:left w:w="108" w:type="dxa"/>
              <w:top w:w="0" w:type="dxa"/>
              <w:right w:w="108" w:type="dxa"/>
              <w:bottom w:w="0" w:type="dxa"/>
            </w:tcMar>
            <w:tcW w:w="1612"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其他专用条款</w:t>
            </w:r>
            <w:r/>
          </w:p>
        </w:tc>
        <w:tc>
          <w:tcPr>
            <w:tcMar>
              <w:left w:w="108" w:type="dxa"/>
              <w:top w:w="0" w:type="dxa"/>
              <w:right w:w="108" w:type="dxa"/>
              <w:bottom w:w="0" w:type="dxa"/>
            </w:tcMar>
            <w:tcW w:w="5627"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tc>
      </w:tr>
    </w:tbl>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jc w:val="center"/>
        <w:spacing w:before="0" w:after="0"/>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pPr>
      <w:r/>
      <w:bookmarkStart w:id="10" w:name="_Toc15909"/>
      <w:r>
        <w:rPr>
          <w:rFonts w:hint="eastAsia" w:ascii="宋体" w:hAnsi="宋体" w:eastAsia="宋体" w:cs="宋体"/>
          <w:b/>
          <w:color w:val="auto"/>
          <w:sz w:val="44"/>
          <w:highlight w:val="none"/>
        </w:rPr>
        <w:t xml:space="preserve">第四章 采购需求</w:t>
      </w:r>
      <w:bookmarkEnd w:id="10"/>
      <w:r/>
      <w:r/>
    </w:p>
    <w:p>
      <w:pPr>
        <w:numPr>
          <w:ilvl w:val="0"/>
          <w:numId w:val="0"/>
        </w:numPr>
        <w:spacing w:line="0" w:lineRule="atLeas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1、项目属性</w:t>
      </w:r>
      <w:r/>
    </w:p>
    <w:tbl>
      <w:tblPr>
        <w:tblStyle w:val="788"/>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5148"/>
      </w:tblGrid>
      <w:tr>
        <w:trPr/>
        <w:tc>
          <w:tcPr>
            <w:tcW w:w="1015" w:type="dxa"/>
            <w:textDirection w:val="lrTb"/>
            <w:noWrap w:val="false"/>
          </w:tcPr>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序号</w:t>
            </w:r>
            <w:r/>
          </w:p>
        </w:tc>
        <w:tc>
          <w:tcPr>
            <w:tcW w:w="5148" w:type="dxa"/>
            <w:textDirection w:val="lrTb"/>
            <w:noWrap w:val="false"/>
          </w:tcPr>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项目属性</w:t>
            </w:r>
            <w:r/>
          </w:p>
        </w:tc>
      </w:tr>
      <w:tr>
        <w:trPr/>
        <w:tc>
          <w:tcPr>
            <w:tcW w:w="1015" w:type="dxa"/>
            <w:textDirection w:val="lrTb"/>
            <w:noWrap w:val="false"/>
          </w:tcPr>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w:t>
            </w:r>
            <w:r/>
          </w:p>
        </w:tc>
        <w:tc>
          <w:tcPr>
            <w:tcW w:w="5148" w:type="dxa"/>
            <w:textDirection w:val="lrTb"/>
            <w:noWrap w:val="false"/>
          </w:tcPr>
          <w:p>
            <w:pPr>
              <w:ind w:firstLine="220"/>
              <w:spacing w:line="499" w:lineRule="atLeast"/>
              <w:rPr>
                <w:rFonts w:hint="eastAsia" w:ascii="宋体" w:hAnsi="宋体" w:eastAsia="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本项目为货物</w:t>
            </w:r>
            <w:r>
              <w:rPr>
                <w:rFonts w:hint="eastAsia" w:ascii="宋体" w:hAnsi="宋体" w:eastAsia="宋体" w:cs="宋体"/>
                <w:color w:val="auto"/>
                <w:sz w:val="22"/>
                <w:highlight w:val="none"/>
                <w:lang w:val="en-US" w:eastAsia="zh-CN"/>
              </w:rPr>
              <w:t xml:space="preserve">类</w:t>
            </w:r>
            <w:r/>
          </w:p>
        </w:tc>
      </w:tr>
    </w:tbl>
    <w:p>
      <w:pPr>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spacing w:line="0" w:lineRule="atLeas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采购标的清单对应中小企业划分标准所属行业</w:t>
      </w:r>
      <w:r/>
    </w:p>
    <w:tbl>
      <w:tblPr>
        <w:tblStyle w:val="788"/>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5160"/>
      </w:tblGrid>
      <w:tr>
        <w:trPr/>
        <w:tc>
          <w:tcPr>
            <w:tcW w:w="1015" w:type="dxa"/>
            <w:vAlign w:val="center"/>
            <w:textDirection w:val="lrTb"/>
            <w:noWrap w:val="false"/>
          </w:tcPr>
          <w:p>
            <w:pPr>
              <w:pStyle w:val="819"/>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160" w:type="dxa"/>
            <w:vAlign w:val="center"/>
            <w:textDirection w:val="lrTb"/>
            <w:noWrap w:val="false"/>
          </w:tcPr>
          <w:p>
            <w:pPr>
              <w:jc w:val="both"/>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采购标的清单对应中小企业划分标准所属行业</w:t>
            </w:r>
            <w:r/>
          </w:p>
        </w:tc>
      </w:tr>
      <w:tr>
        <w:trPr/>
        <w:tc>
          <w:tcPr>
            <w:tcW w:w="1015" w:type="dxa"/>
            <w:vAlign w:val="center"/>
            <w:textDirection w:val="lrTb"/>
            <w:noWrap w:val="false"/>
          </w:tcPr>
          <w:p>
            <w:pPr>
              <w:pStyle w:val="81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516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工业</w:t>
            </w:r>
            <w:r/>
          </w:p>
        </w:tc>
      </w:tr>
    </w:tbl>
    <w:p>
      <w:pPr>
        <w:pStyle w:val="817"/>
        <w:numPr>
          <w:ilvl w:val="0"/>
          <w:numId w:val="0"/>
        </w:num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9"/>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19"/>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进口产品投标</w:t>
      </w:r>
      <w:r/>
    </w:p>
    <w:tbl>
      <w:tblPr>
        <w:tblStyle w:val="788"/>
        <w:tblpPr w:horzAnchor="page" w:tblpX="2362" w:vertAnchor="text" w:tblpY="51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5200"/>
      </w:tblGrid>
      <w:tr>
        <w:trPr/>
        <w:tc>
          <w:tcPr>
            <w:tcW w:w="975" w:type="dxa"/>
            <w:vAlign w:val="center"/>
            <w:textDirection w:val="lrTb"/>
            <w:noWrap w:val="false"/>
          </w:tcPr>
          <w:p>
            <w:pPr>
              <w:pStyle w:val="819"/>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5200" w:type="dxa"/>
            <w:textDirection w:val="lrTb"/>
            <w:noWrap w:val="false"/>
          </w:tcPr>
          <w:p>
            <w:pPr>
              <w:pStyle w:val="819"/>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是否接受进口产品投标</w:t>
            </w:r>
            <w:r/>
          </w:p>
        </w:tc>
      </w:tr>
      <w:tr>
        <w:trPr>
          <w:trHeight w:val="340"/>
        </w:trPr>
        <w:tc>
          <w:tcPr>
            <w:tcW w:w="975" w:type="dxa"/>
            <w:vAlign w:val="center"/>
            <w:textDirection w:val="lrTb"/>
            <w:noWrap w:val="false"/>
          </w:tcPr>
          <w:p>
            <w:pPr>
              <w:pStyle w:val="819"/>
              <w:ind w:left="0" w:firstLine="24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200" w:type="dxa"/>
            <w:textDirection w:val="lrTb"/>
            <w:noWrap w:val="false"/>
          </w:tcPr>
          <w:p>
            <w:pPr>
              <w:pStyle w:val="819"/>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否</w:t>
            </w:r>
            <w:r/>
          </w:p>
        </w:tc>
      </w:tr>
    </w:tbl>
    <w:p>
      <w:pPr>
        <w:ind w:firstLine="482"/>
        <w:spacing w:line="0" w:lineRule="atLeas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一、项目概况</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（一）本项目地点：采购单位指定地点。</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（二）采购范围：泗洪姜堰实验学校拟定采购一批网络设备、安防设备、校园广播、中心机房等设备。</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（三）合同履行期限：采购合同签订后80日历天内供货安装调试完毕并交付使用。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（四）付款方式：</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款项的支付方式及进度安排:</w:t>
      </w:r>
      <w:r/>
    </w:p>
    <w:p>
      <w:pPr>
        <w:ind w:firstLine="220"/>
        <w:spacing w:line="49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预付款</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签订合同后，自收到供应商发票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10个工作日内采购人支付合同总价款的30%</w:t>
      </w:r>
      <w:r>
        <w:rPr>
          <w:rFonts w:hint="eastAsia" w:ascii="宋体" w:hAnsi="宋体" w:eastAsia="宋体" w:cs="宋体"/>
          <w:color w:val="auto"/>
          <w:sz w:val="22"/>
          <w:highlight w:val="none"/>
          <w:lang w:eastAsia="zh-CN"/>
        </w:rPr>
        <w:t xml:space="preserve">；</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进度款:货物到现场安装调试完毕稳定运行并经采购人验收合格后，自收到供应商发票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10个工作日内采购人将货款支付到合同总价款的100%。</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备注: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(1)可以采用数字人民币支付。</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(2)资金支付的时间:收到供应商发票</w:t>
      </w:r>
      <w:r>
        <w:rPr>
          <w:rFonts w:hint="eastAsia" w:ascii="宋体" w:hAnsi="宋体" w:eastAsia="宋体" w:cs="宋体"/>
          <w:color w:val="auto"/>
          <w:sz w:val="22"/>
          <w:highlight w:val="none"/>
          <w:lang w:val="en-US" w:eastAsia="zh-CN"/>
        </w:rPr>
        <w:t xml:space="preserve">后</w:t>
      </w:r>
      <w:r>
        <w:rPr>
          <w:rFonts w:hint="eastAsia" w:ascii="宋体" w:hAnsi="宋体" w:eastAsia="宋体" w:cs="宋体"/>
          <w:color w:val="auto"/>
          <w:sz w:val="22"/>
          <w:highlight w:val="none"/>
        </w:rPr>
        <w:t xml:space="preserve">10个工作日内。</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(3)资金支付的条件:满足相应阶段的要求且收到供应商发票。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(4)当采购数量与实际使用数量不一致时，供应商应根据实际使用量供货，合同的最终结算金额按实际使用量乘以成交单价进行计算。</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(5)在签订合同时，供应商明确表示无需预付款或者主动要求降低预付款比例的，采购人可不适用前述规定。</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（五）售后运行维护期（售后服务期）：3年。3年内发现设备缺陷等质量问题，中标方负责无条件维修或调换；中标方货物经过双方检验认可后，签署验收报告，按国家及相关部门的 “三包”要求（特别要求的按特别要求执行），免费售后运行维护期（售后服务期）自货物验收合格之日起算(设备厂家维保期大于</w:t>
      </w:r>
      <w:r>
        <w:rPr>
          <w:rFonts w:hint="eastAsia" w:ascii="宋体" w:hAnsi="宋体" w:eastAsia="宋体" w:cs="宋体"/>
          <w:color w:val="auto"/>
          <w:sz w:val="22"/>
          <w:highlight w:val="none"/>
          <w:lang w:eastAsia="zh-CN"/>
        </w:rPr>
        <w:t xml:space="preserve">3年</w:t>
      </w:r>
      <w:r>
        <w:rPr>
          <w:rFonts w:hint="eastAsia" w:ascii="宋体" w:hAnsi="宋体" w:eastAsia="宋体" w:cs="宋体"/>
          <w:color w:val="auto"/>
          <w:sz w:val="22"/>
          <w:highlight w:val="none"/>
        </w:rPr>
        <w:t xml:space="preserve">的，以设备厂家维保期为准）。 </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（六）质量：合格。</w:t>
      </w:r>
      <w:r/>
    </w:p>
    <w:p>
      <w:pPr>
        <w:ind w:firstLine="220"/>
        <w:spacing w:line="499" w:lineRule="atLeast"/>
        <w:rPr>
          <w:rFonts w:hint="eastAsia" w:ascii="宋体" w:hAnsi="宋体" w:eastAsia="宋体" w:cs="宋体"/>
          <w:color w:val="auto"/>
          <w:sz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（七）采购需求：</w:t>
      </w:r>
      <w:r>
        <w:rPr>
          <w:rFonts w:hint="eastAsia" w:ascii="宋体" w:hAnsi="宋体" w:eastAsia="宋体" w:cs="宋体"/>
          <w:color w:val="auto"/>
          <w:sz w:val="24"/>
          <w:highlight w:val="none"/>
        </w:rPr>
        <w:t xml:space="preserve">包括但不限于标的的名称、数量、简要技术需求、企业业绩、</w:t>
      </w:r>
      <w:r>
        <w:rPr>
          <w:rFonts w:hint="eastAsia" w:ascii="宋体" w:hAnsi="宋体" w:eastAsia="宋体" w:cs="宋体"/>
          <w:color w:val="auto"/>
          <w:sz w:val="22"/>
          <w:szCs w:val="22"/>
          <w:highlight w:val="none"/>
          <w:lang w:bidi="ar"/>
        </w:rPr>
        <w:t xml:space="preserve">环境标志</w:t>
      </w:r>
      <w:r>
        <w:rPr>
          <w:rFonts w:hint="eastAsia" w:ascii="宋体" w:hAnsi="宋体" w:eastAsia="宋体" w:cs="宋体"/>
          <w:color w:val="auto"/>
          <w:sz w:val="22"/>
          <w:szCs w:val="22"/>
          <w:highlight w:val="none"/>
          <w:lang w:val="en-US" w:eastAsia="zh-CN" w:bidi="ar"/>
        </w:rPr>
        <w:t xml:space="preserve">及</w:t>
      </w:r>
      <w:r>
        <w:rPr>
          <w:rFonts w:hint="eastAsia" w:ascii="宋体" w:hAnsi="宋体" w:eastAsia="宋体" w:cs="宋体"/>
          <w:color w:val="auto"/>
          <w:sz w:val="22"/>
          <w:szCs w:val="22"/>
          <w:highlight w:val="none"/>
          <w:lang w:bidi="ar"/>
        </w:rPr>
        <w:t xml:space="preserve">节能产品</w:t>
      </w:r>
      <w:r>
        <w:rPr>
          <w:rFonts w:hint="eastAsia" w:ascii="宋体" w:hAnsi="宋体" w:eastAsia="宋体" w:cs="宋体"/>
          <w:color w:val="auto"/>
          <w:sz w:val="24"/>
          <w:highlight w:val="none"/>
        </w:rPr>
        <w:t xml:space="preserve">认证证书、</w:t>
      </w:r>
      <w:r>
        <w:rPr>
          <w:rFonts w:hint="eastAsia" w:ascii="宋体" w:hAnsi="宋体" w:eastAsia="宋体" w:cs="宋体"/>
          <w:color w:val="auto"/>
          <w:sz w:val="22"/>
          <w:szCs w:val="22"/>
          <w:highlight w:val="none"/>
          <w:lang w:bidi="ar"/>
        </w:rPr>
        <w:t xml:space="preserve">项目实施计划方案</w:t>
      </w:r>
      <w:r>
        <w:rPr>
          <w:rFonts w:hint="eastAsia" w:ascii="宋体" w:hAnsi="宋体" w:eastAsia="宋体" w:cs="宋体"/>
          <w:color w:val="auto"/>
          <w:sz w:val="24"/>
          <w:highlight w:val="none"/>
        </w:rPr>
        <w:t xml:space="preserve">、项目组人员配备、售后服务或服务要求等</w:t>
      </w:r>
      <w:r>
        <w:rPr>
          <w:rFonts w:hint="eastAsia" w:ascii="宋体" w:hAnsi="宋体" w:eastAsia="宋体" w:cs="宋体"/>
          <w:color w:val="auto"/>
          <w:sz w:val="24"/>
          <w:highlight w:val="none"/>
          <w:lang w:eastAsia="zh-CN"/>
        </w:rPr>
        <w:t xml:space="preserve">。</w:t>
      </w:r>
      <w:r/>
    </w:p>
    <w:p>
      <w:pPr>
        <w:ind w:firstLine="442"/>
        <w:spacing w:line="499" w:lineRule="atLeast"/>
        <w:rPr>
          <w:rFonts w:hint="eastAsia" w:ascii="宋体" w:hAnsi="宋体" w:eastAsia="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二</w:t>
      </w:r>
      <w:r>
        <w:rPr>
          <w:rFonts w:hint="eastAsia" w:ascii="宋体" w:hAnsi="宋体" w:eastAsia="宋体" w:cs="宋体"/>
          <w:b/>
          <w:color w:val="auto"/>
          <w:sz w:val="22"/>
          <w:highlight w:val="none"/>
        </w:rPr>
        <w:t xml:space="preserve"> </w:t>
      </w:r>
      <w:r>
        <w:rPr>
          <w:rFonts w:hint="eastAsia" w:ascii="宋体" w:hAnsi="宋体" w:eastAsia="宋体" w:cs="宋体"/>
          <w:b/>
          <w:color w:val="auto"/>
          <w:sz w:val="22"/>
          <w:highlight w:val="none"/>
        </w:rPr>
        <w:t xml:space="preserve">、采购清单及技术要求</w:t>
      </w:r>
      <w:r/>
    </w:p>
    <w:tbl>
      <w:tblPr>
        <w:tblStyle w:val="788"/>
        <w:tblW w:w="8864" w:type="dxa"/>
        <w:tblInd w:w="88" w:type="dxa"/>
        <w:tblLayout w:type="fixed"/>
        <w:tblCellMar>
          <w:left w:w="108" w:type="dxa"/>
          <w:top w:w="0" w:type="dxa"/>
          <w:right w:w="108" w:type="dxa"/>
          <w:bottom w:w="0" w:type="dxa"/>
        </w:tblCellMar>
        <w:tblLook w:val="04A0" w:firstRow="1" w:lastRow="0" w:firstColumn="1" w:lastColumn="0" w:noHBand="0" w:noVBand="1"/>
      </w:tblPr>
      <w:tblGrid>
        <w:gridCol w:w="741"/>
        <w:gridCol w:w="1040"/>
        <w:gridCol w:w="5040"/>
        <w:gridCol w:w="660"/>
        <w:gridCol w:w="721"/>
        <w:gridCol w:w="662"/>
      </w:tblGrid>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备注</w:t>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A网络系统</w:t>
            </w:r>
            <w:r/>
          </w:p>
        </w:tc>
      </w:tr>
      <w:tr>
        <w:trPr/>
        <w:tc>
          <w:tcPr>
            <w:gridSpan w:val="3"/>
            <w:shd w:val="clear" w:color="auto" w:fill="auto"/>
            <w:tcBorders>
              <w:top w:val="single" w:color="000000" w:sz="4" w:space="0"/>
              <w:left w:val="single" w:color="000000" w:sz="4" w:space="0"/>
              <w:bottom w:val="single" w:color="000000" w:sz="4" w:space="0"/>
              <w:right w:val="single" w:color="000000" w:sz="4" w:space="0"/>
            </w:tcBorders>
            <w:tcW w:w="6821"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A1、校园网</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出口路由器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#1、交换容量≥700Gbps，转发性能≥320Mpps。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#2、万兆光口≥8个，千兆电口≥16个。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#3、存储≥16GB, 内存DRAM≥8GB。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#4、支持槽位扩展，可扩展插槽数≥4，支持模块化电源，并支持电源热插拔，实配双电源。</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#5、支持双系统备份功能。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#6、支持IPv4表容量≥100W；IPv6表容量≥50W；ACL容量：IPv4 ACL ≥8K，IPv6 ACL ≥8K；NAT会话数：≥1000W。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#7、支持加密算法SM3/SM4。</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#8、支持IPv6+，标准SRv6相关功能并提供配套控制器；支持Netconf、YANG、Telemetry等SDN控制协议。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核心交换机1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#1、交换容量≥86Tbps，包转发率≥57600Mpps。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#2、独立主控引擎插槽≥2个，独立业务插槽数≥6个。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#3、设备高度≤10U，设备深度≤600mm。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#4、支持模块化风扇框，可热插拔，独立风扇框个数≥2个。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#5、机箱业务板卡区具备后出风风道。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#6、支持CPU保护功能，可将送CPU的报文，如ARP报文的速率进行限制，使CPU的使用率降低到10%以内，保障CPU安全。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#7、整机转发业务物理端口≥312个。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▲8、配置管理软件和业务模板，免安装，极速部署；支持对网络的业务规划，对接入的交换机实现即插即用、零配置上线、智能零替换以及光链路故障监测预警功能（提供官网链接及截图）。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▲9、具备IPv6 Ready Phase2认证证书（提供第三方机构的检测证书）。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#10、配置要求：具备双引擎、双电源，≥12口千兆电接口、≥40个千兆光接口、≥12个万兆光接口。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无线控制器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#1、固化千兆电口≥8个，固化千兆光口≥1个，固化万兆光口≥1个。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#2、硬盘容量≥1T。</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#3、集中转发AP可管理数≥256个，本地转发AP可管理数≥1000个。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#4、支持对非法无线接入点进行探测，并对非法AP进行屏蔽。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#5、支持审计设备IP、用户IP、用户名、发件人、收件人、邮件主题、邮件大小、访问时间、附件。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▲6、IK防护级别≥IK07（提供具有CMA或CNAS认证的第三方机构检验报告原件扫描件）。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#7、可管理AP数目授权≥288个。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网络运维管理系统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#1、支持根据账号密码确认对应的用户分组，同一用户分组内安全策略一致，用户在不同位置登录，输入账号标识的用户组不变，实现策略随行。</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#2.支持针对用户分组进行网络访问策略下发，界面化的网络策略调整，业务间可视化互访策略调整。</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#3.支持自定义资产终端准入免确认时间，免确认时间内自动进行整网资产哑终端设备的IP+MAC等信息收集。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#4.支持动、静态IP地址混合部署场景。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#5.支持室内交换机零配置上线。根据不同区域的业务创建相应业务模板后，绑定设备区域位置信息，设备开箱上电后配置即可自动从软件下发，无需在接入设备端刷入配置。</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#6、支持网络出现环路时能自动产生告警，并在拓扑图中显示具体的环路设备告警，能够查询到具体的环路端口。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#7、支持分级分权的账号审批，不同的账号有不同的审批范围和权限。可以根据业务网分组生成对应范围权限的管理账号。</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#8、配置要求：提供≥500台网络设备的管控授权；提供≥300台无线设备的管控授权；≥64G内存；≥2块1.8TB 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48口汇聚交换机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#1、交换容量≥24Tbps,包转发率≥760Mpps。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#2、支持在64Bytes-1518Bytes下线速转发。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#3、业务插槽≥1个（不含引擎、电源等槽位），可扩展≥2端口100G以太网光口。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#4、满负荷情况下功耗≤105W。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#5、支持基础网络保护策略，限制用户向网络中发送ARP报文、ICMP请求报文、DHCP请求报文的数率，对超过限速阈值的报文进行丢弃处理，能够识别攻击行为，对有攻击行为的用户进行隔离。</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#6、支持硬件层级双boot，≥2个FLASH芯片存储boot软件（系统引导程序）。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▲7、配置管理软件和业务模板，免安装，极速部署；支持对网络的业务规划，对接入的交换机实现即插即用、零配置上线、智能零替换以及光链路故障监测预警功能（提供官网链接及截图）。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#9、支持基于IPv4/IPv6五元组、基于源/目的MAC、基于源/目的端口、基于协议的ACL。</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#10、配置冗余电源，电源模块≥2个；万兆SFP+光口数≥4个，10/100/1000M光口≥48个。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24口汇聚交换机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#1、交换容量≥6.7Tbps，包转发率≥200Mpps。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#2、设备MAC地址≥32K。</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#3、支持可拔插双模块化电源，支持电源1+1冗余。</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云管理功能，支持一键设备发现、在线生成交付验收报告；支持一键全网巡检操作、自动生成巡检报告；支持短信认证、微信认证、web认证，支持认证页面自定义；支持一键升级、定时升级网络中的网络设备；支持分级分权功能，实现分布区域，统一管理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#6、支持CPU保护策略，对发往CPU的数据流，进行流区分和优先级队列分级处理，并根据需要实施带宽限速，保护CPU不被非法流量占用、恶意攻击和资源消耗。</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#7、支持基础网络保护策略，限制用户向网络中发送ARP报文、ICMP请求报文、DHCP请求报文等数据包的数率，对超过限速阈值的报文进行丢弃处理，支持识别攻击行为，对有攻击行为的用户进行隔离。</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▲8、支持快速链路检测协议，支持快速检测链路的通断和光纤链路的单向性，支持端口下的环路检测功能，防止端口下因私接Hub等设备形成的环路而导致网络故障（提供官网链接及截图）。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#9、配置：支持主控引擎，电源模块≥2个；≥28个10/100/1000M自适应光口，≥8个复用的100/1000M 电接口，≥4个1G/10G SFP+光口。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#1、交换容量≥4.32Tbps，包转发率≥126Mpps。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#2、固化10/100/1000M以太网电口≥4个，1G/2.5G SFP光接口≥1个。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#3、所有电口支持POE和POE+远程供电，整机POE供电功率≥45W。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#5、支持室内交换机零配置上线。根据不同区域的业务创建相应业务模板后，绑定设备区域位置信息，设备开箱上电后配置即可自动从软件下发，无需在接入设备端刷入配置。</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#6、支持生成树协议RSTP(IEEE 802.1w)，保证网络的稳定运行和链路的负载均衡，合理使用网络通道，提供冗余链路利用率。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▲7、当室内交换机出现故障，支持替换用的新设备的零配置替换，新设备上电后配置自动下发，无需手动配置（提供具有CMA或CNAS认证的第三方机构检验报告原件扫描件）。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#1、交换容量≥4.32Tbps，包转发率≥126Mpps。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#2、固化10/100/1000M以太网电口≥8个，1G/2.5G SFP光接口≥1个。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#3、支持POE和POE+远程供电，POE供电功率≥125W。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▲4、IK防护级别≥IK05（提供具有CMA或CNAS认证的第三方机构检验报告原件扫描件）。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▲5、支持光模块与光链路运维检测与故障告警，并可在拓扑图中呈现并查看详细信息，包括提供告警原因分析与处理建议（提供具有CMA或CNAS认证的第三方机构检验报告原件扫描件）。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#6、支持生成树协议RSTP(IEEE 802.1w)，保证网络的稳定运行和链路的负载均衡，合理使用网络通道，提供冗余链路利用率。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#7、支持IEEE 802.3az标准的EEE节能技术。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#1、交换容量≥4.32Tbps，包转发率≥126Mpps。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#2、固化10/100/1000M以太网端口≥16个，固化1G SFP光接口≥2个。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#3、支持POE和POE+远程供电，POE供电功率≥125W。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#5、支持光模块与光链路运维检测与故障告警，支持在拓扑中呈现并查看详细信息，包括提供告警原因分析与处理建议。</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光链路故障移动运维：当交换机上行链路断开、无法被网管软件发现纳管时，通过手机扫码一键拉取链路全部信息，无需逐点排查，快速定位异常，并给出故障诊断及处理意见（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#7、支持IEEE 802.3az标准的EEE节能技术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24口POE交换机1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#1、交换容量≥3.36Tbps，包转发率≥126Mpps。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#2、固化10/100/1000M以太网端口≥24个，固化1G SFP光接口≥4个。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#4、支持POE和POE+,POE供电端口≥24个，POE输出功率≥370W。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#5、支持生成树协议STP(IEEE 802.1d)，RSTP(IEEE 802.1w)和MSTP(IEEE 802.1s)，保证网络的稳定运行和链路的负载均衡，合理使用网络通道，提供冗余链路利用率。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▲6、支持快速链路检测协议，支持快速检测链路的通断和光纤链路的单向性，支持端口下的环路检测功能，防止端口下因私接Hub等设备形成的环路而导致网络故障（提供官网链接及截图）。</w:t>
            </w:r>
            <w:r>
              <w:rPr>
                <w:rStyle w:val="1131"/>
                <w:rFonts w:hint="eastAsia" w:ascii="宋体" w:hAnsi="宋体" w:eastAsia="宋体" w:cs="宋体"/>
                <w:color w:val="auto"/>
                <w:sz w:val="21"/>
                <w:szCs w:val="21"/>
                <w:highlight w:val="none"/>
                <w:lang w:bidi="ar"/>
              </w:rPr>
              <w:br/>
            </w:r>
            <w:r>
              <w:rPr>
                <w:rStyle w:val="1131"/>
                <w:rFonts w:hint="eastAsia" w:ascii="宋体" w:hAnsi="宋体" w:eastAsia="宋体" w:cs="宋体"/>
                <w:color w:val="auto"/>
                <w:sz w:val="21"/>
                <w:szCs w:val="21"/>
                <w:highlight w:val="none"/>
                <w:lang w:bidi="ar"/>
              </w:rPr>
              <w:t xml:space="preserve">#7、支持N:1虚拟化功能，可将多台物理设备虚拟化为一台逻辑设备统一管理。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室内放装式无线AP</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#1、支持802.11ax标准；支持双射频，一个2.4GHz射频卡，一个5GHz射频卡；整机空间流≥4条。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#2、整机无线速率≥2.97Gbps。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#3、支持≥1个1G以太网接口、≥1个2.5G SFP光口。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#4、防护等级≥IP51。</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#5、支持Fat/Fit模式切换。当工作在Fit（瘦）模式时，支持通过AC系列无线控制器切换为Fat模式；当工作在Fat（胖）模式时，支持通过本地控制口、Telnet方式切换为Fit模式。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#6、支持PSK认证、Web认证、微信认证、二维码访客认证、短信认证、无感知认证等认证方式；支持WEP（64/128位）、WPA（TKIP）、WPA-PSK、WPA2（AES）、WPA3等数据加密方式。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#7、支持非法AP检测及反制。支持数据帧过滤功能，支持白名单、静态黑名单、动态黑名单。</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▲8、IK防护级别≥IK08（提供具有CMA或CNAS认证的第三方机构检验报告原件扫描件）。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室内放装式无线AP（高</w:t>
            </w:r>
            <w:r/>
          </w:p>
          <w:p>
            <w:pPr>
              <w:jc w:val="both"/>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#1、支持802.11ax标准，支持三张射频卡同时工作在5G频段。</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#2、整机最大接入速率3.2Gbps。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#3、支持≥2个以太网口，其中1个支持10/100/1000M/2.5GE电口，另一个支持1个10/100/1000M电口。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#4、防护等级≥IP51。</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#5、为保证无线网络安全，支持PSK认证、Web认证、微信认证、二维码访客认证、短信认证、无感知认证等认证方式；支持WEP（64/128位）、WPA（TKIP）、WPA-PSK、WPA2（AES）等数据加密方式。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#6、支持非法AP检测及反制。支持数据帧过滤功能，支持白名单、静态黑名单、动态黑名单。</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▲7、IK防护级别≥IK08（提供具有CMA或CNAS认证的第三方机构检验报告原件扫描件）。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室外无线AP</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#1、支持802.11ax标准。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#2、支持内置定向天线2.4G&amp;5.8G。</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#3、支持≥4条空间流,2.4GHz单频最大接入速率0.575Gbps,5.8GHz单频最大接入速率1.2Gbps，整机提供≥2.4Gbps的无线接入速率。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#4、避雷方式：网口和天线口内置避雷器，满足6KV防雷要求。</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#5、提供≥1个RJ45 console管理口；≥1个SFP上联光口；≥1个10/100/1000Base-T以太网上联接口与SFP复用，支持PoE受电。</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#6、防护等级≥IP68。</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#7、支持PoE供电，整机功耗≤12.95W。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▲8、具备网优工具与Wi-Fi检测APP（提供网络优化相关软件著作权证书原件扫描件）。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室内面板式无线AP</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#1、支持802.11ax标准，整机空间流≥4条，整机最大接入速率2.975Gbps。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#2、支持≥1个1G以太网口上联，≥4个1G以太网口下联。</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▲3、整机功耗≤10W（提供官网链接及截图）。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#4、支持Fat/Fit模式切换。当工作在Fit（瘦）模式时，支持通过AC系列无线控制器切换为Fat模式；当工作在Fat（胖）模式时，支持通过本地控制口、Telnet方式切换为Fit模式。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#5、支持非法AP检测及反制。支持数据帧过滤功能，支持白名单、静态黑名单、动态黑名单。</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#万兆单模光模块，传输距离10KM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A1-16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#千兆单模光模块，传输距离10KM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2"/>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A2、设备网</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核心交换机2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#1、交换容量≥45Tbps，最大支持168Tbps， 包转发率≥36000Mpps。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#2、独立主控引擎插槽≥2个，独立业务插槽数≥3个。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#3、支持静态路由、RIP、RIPng、OSPF、OSPFv3、BGP、BGP4+、ISIS、ISISv6，支持路由协议多实例，支持GR for OSPF/IS-IS/BGP，支持策略路由。</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#4、整机转发业务物理端口≥156个。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#5、支持IPv6过渡技术，IPv4/IPv6双栈、6over4隧道、4 over6隧道；支持IPv6 DHCP SERVER、IPv6 DHCP Relay、DHCP Snooping。</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#6、支持CPU保护功能，可将送CPU的报文，如ARP报文的速率进行限制，使CPU的使用率降低到10%以内，保障了CPU安全。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#7、N:1虚拟化：可将≥2台物理设备虚拟化为1台逻辑设备，虚拟组内设备具备统一的二层及三层转发表项，统一的管理界面，并可实现跨设备链路聚合。</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▲8、支持基础安全保护策略，可实现ARP等各种攻击的自动防御，保护系统各种服务的正常运行（提供具有CMA或CNAS认证的第三方机构检验报告原件扫描件）。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▲9、具备IPv6 Ready Phase2认证证书（提供第三方机构的检测证书）。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#10、配置要求：具备双引擎，双电源，千兆电口≥24个，千兆光口≥24个，万兆光口≥8个。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#1、交换容量≥6.7Tbps，包转发率≥200Mpps。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#2、设备MAC地址≥32K。</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#3、支持可拔插双模块化电源，支持电源1+1冗余。</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云管理功能，支持一键设备发现、在线生成交付验收报告；支持一键全网巡检操作、自动生成巡检报告；支持短信认证、微信认证、web认证，支持认证页面自定义；支持一键升级、定时升级网络中的网络设备；支持分级分权功能，实现分布区域，统一管理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#6、支持CPU保护策略，对发往CPU的数据流，支持流区分和优先级队列分级处理，支持根据需要实施带宽限速。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#7、支持基础网络保护策略，能够限制用户向网络中发送ARP报文、ICMP请求报文、DHCP请求报文等数据包的数率，对超过限速阈值的报文进行丢弃处理，甚至能够识别攻击行为，对有攻击行为的用户进行隔离。</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▲8、支持快速链路检测协议，支持快速检测链路的通断和光纤链路的单向性，支持端口下的环路检测功能，防止端口下因私接Hub等设备形成的环路而导致网络故障。（提供官网链接及截图）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#9、配置：支持主控引擎，电源模块≥2个；≥28个10/100/1000M自适应光口，≥8个复用的100/1000M 电接口，≥4个1G/10G SFP+光口。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#1、交换容量≥3.36Tbps，包转发率≥126Mpps。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#2、固化10/100/1000M以太网端口≥24个，固化1G SFP光接口≥4个。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#3、IK防护级别≥IK05。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#4、支持POE和POE+,支持POE供电端口≥24个，POE最大输出功率370W。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#5、支持生成树协议STP(IEEE 802.1d)，RSTP(IEEE 802.1w)和MSTP(IEEE 802.1s)，完全保证快速收敛，提高容错能力，保证网络的稳定运行和链路的负载均衡，合理使用网络通道，提供冗余链路利用率。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#6、支持快速链路检测协议，支持快速检测链路的通断和光纤链路的单向性，支持端口下的环路检测功能，防止端口下因私接Hub等设备形成的环路而导致网络故障。</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#7、支持N:1虚拟化功能，支持将多台物理设备虚拟化为一台逻辑设备统一管理。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8口POE交换机2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#1、交换容量≥3.36Tbps，80Mpps。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#2、固化10/100/1000M以太网电口≥10，1000M/2.5G SFP千兆光接口≥2个。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#3、支持POE和POE+，支持可POE供电端口≥8个，POE最大输出功率125W。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#4、支持生成树协议STP(IEEE 802.1d)，RSTP(IEEE 802.1w)和MSTP(IEEE 802.1s)，保证网络的稳定运行和链路的负载均衡，合理使用网络通道，提供冗余链路利用率。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#5、支持SNMP、CLI(Telnet/Console)、Syslog、NTP、TFTP、Web。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#6、设备采用降噪设计，整机噪声≤37dB。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▲7、支持快速以太网链路检测协议，支持快速检测链路的通断和光纤链路的单向性，并支持端口下的环路检测功能，防止端口下因私接Hub等设备形成的环路而导致网络故障的现象（提供官网链接及截图）。</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#万兆单模光模块，传输距离10KM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A2-6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千兆单模光模块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#千兆单模光模块，传输距离10KM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2"/>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A3、等保</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A3-1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等保测评</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#网络安全等级保护二级测评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2"/>
            <w:shd w:val="clear" w:color="auto" w:fill="auto"/>
            <w:tcBorders>
              <w:top w:val="single" w:color="000000" w:sz="4" w:space="0"/>
              <w:left w:val="single" w:color="000000" w:sz="4" w:space="0"/>
              <w:bottom w:val="single" w:color="000000" w:sz="4" w:space="0"/>
              <w:right w:val="single" w:color="000000" w:sz="4" w:space="0"/>
            </w:tcBorders>
            <w:tcW w:w="1781"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A4、线材管路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教学楼</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#1、敷设方式：穿管或桥架等综合考虑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1）支持ISO/IEC 11801:2000标准和ANSI/TIA/EIA568-C.2的标准；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带宽：传输带宽≥500MHz；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2）线缆规格：支持23AWG的线规；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3）设计要求：＜1%的绝缘层厚度变化，≥99.5%铜导体同心度；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4）支持千兆以太网，带十字芯骨架结构；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5）满足以太网零误码率传输性能。</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单口面板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#1、标准86型墙装式单口面板；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#2、支持永久性的防尘门；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#3、具备高强度的塑料或隔热塑材料。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TV单口面板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#1、标准86型墙装式单口面板；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#2、具备高强度的塑料或隔热塑材料。</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#1、标准86型墙装式双口面板；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#2、支持永久性的防尘门；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#3、具备高强度的塑料或隔热塑材料；</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#4、支持固定螺丝内藏。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#1、打线方式：兼容T568B/A；</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#2、支持EIA/TIATSB－40-A，568C.2 六类传输性能。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#3、带宽≥250Mhz。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#4、满足6类单体测试性能；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#5、支持双镀层, 50μ镀金；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#6、卡接次数≤1200次。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1083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#1、支持19英寸标准机柜/机架；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#2、支持高度1U；</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#3、铝合金材质。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#支持2U，72芯，LC满配，配套光跳线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#支持1U，12芯，LC满配，配套光跳线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#支持LC-LC，每根≥2米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#≥600mm*600mm*2000mm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6芯室内单模光缆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#1、敷设方式：穿管或桥架等综合考虑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1）支持ANSI－FDDI、TIA/EIA568B.2、IEC/ISO IS11801(1995)和CENELEC　EN　50173标准；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2）荷重：≥20倍缆线直径；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3）工作温度范围：－40至70度。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12芯单模光缆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#1、敷设方式：穿管或桥架等综合考虑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1）支持ANSI－FDDI、TIA/EIA568B.2、IEC/ISO IS11801(1995)和CENELEC　EN　50173标准；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2）荷重：≥20倍缆线直径；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3）工作温度范围：－40至70度。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终端盒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#1、工作温度：-5℃~40℃；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#2、相对湿度：≤85%（30℃时）；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#3、大气压力：70~106Kpa；</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#4、工作波长：支持850nm、1310nm 、1550nm；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#5、插入损耗：≤0.5dB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#6、回波损耗：PC≥40dB、UPC≥50dB、APC≥60dB；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#7、抗电强度：≥3KV(DC)/1min不击穿、无飞弧；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#8、绝缘电阻：≥1000MΩ/500V(DC)；</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#9、尺寸：≥160*100*13mm。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多媒体箱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#≥400*300*120mm，不锈钢材质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有线电视线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#≥SYW75-5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电子班牌</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同“A4-01 网络线缆”技术参数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综合楼</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同“A4-01 网络线缆”技术参数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同“A4-04 双口面板”技术参数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同“A4-05 网络模块”技术参数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同“A4-06 理线架”技术参数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12芯ODF</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#12芯，含跳线光缆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光纤配线架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同“A4-07 光纤配线架”技术参数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同“A4-9 光缆熔接”技术参数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A4-29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同“A4-10 光纤跳线”技术参数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同“A4-11 机柜”技术参数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6芯室内单模光缆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同“A4-12 6芯室内单模光缆” 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#直径≥25mm，壁厚≥1mm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终端盒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同“A4-15 终端盒”技术参数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多媒体箱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同“A4-16 多媒体箱”技术参数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同“A4-14 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食堂报告厅</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同“A4-01 网络线缆”技术参数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同“A4-04 双口面板”技术参数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A4-39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同“A4-05 网络模块”技术参数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理线架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同“A4-06 理线架”技术参数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12芯ODF</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同“A4-25 12芯ODF”技术参数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24芯ODF</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#24芯，含跳线光缆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同“A4-9 光缆熔接”技术参数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同“A4-10 光纤跳线”技术参数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同“A4-11 机柜”技术参数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#≥600mm*600mm*1600mm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同“A4-31 KBG线管”技术参数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同“A4-14 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A4-49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室外</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同“A4-01 网络线缆”技术参数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双口面板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同“A4-04 双口面板”技术参数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同“A4-05 网络模块”技术参数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终端盒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同“A4-15 终端盒”技术参数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多媒体箱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同“A4-16 多媒体箱”技术参数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同“A4-9 光缆熔接”技术参数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同“A4-10 光纤跳线”技术参数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车库部分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同“A4-01 网络线缆”技术参数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6芯室外光缆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同“A4-12 6芯室内单模光缆”技术参数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A4-59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主线电源线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12芯ODF</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同“A4-25 12芯ODF”技术参数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光缆熔接</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同“A4-9 光缆熔接”技术参数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芯</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同“A4-10 光纤跳线”技术参数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#≥9U,玻璃门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同“A4-14 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A4-65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B监控系统</w:t>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B1、安防监控</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人脸识别相机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设备支持双通道，主码流均支持≥2560×1440@25fps，400万像素。</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内置双镜头，具有≥2个CMOS图像传感器，靶面尺寸均≥1/1.8英寸。内置≥2颗GPU芯片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通道1和通道2均支持最低照度彩色≤0.0002 lx，黑白≤0.0001 lx。</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设备的2个镜头均支持电动变倍、自动/电动聚焦，自动调节光圈功能。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支持H.264、H.265、MJPEG设置选项，支持将H.265、H.264格式设置为Baseline/Main/High Profile</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在分辨率≥1920x1080 @ 25fps，码流设置为≥1Mbps时，视频图像传输延时不大于60ms。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支持检出面部过曝、面部欠曝、阴阳脸、逆光等不同光照条件下人脸。</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支持人脸、行人属性识别功能，可识别≥11种行人衣服/裤子颜色。</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支持检出人脸瞳距≥13像素点的人脸图片。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设备内置≥4个电机，双通道均支持PT一体化云台，通道1和通道2的云台支持独立控制，支持通过浏览器或客户端远程调节PT位置以实现监控场景的切换。</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双镜头PT云台旋转角度均支持水平调节角度：0°～180°，垂直调节角度：-5°～30°。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支持通过IE浏览器或客户端分别检查通道1和通道2的PT云台控制功能，自检命令下发后，设备镜头可上、下、左、右完成自检，并反馈自检结果。（提供具有CMA或CNAS认证的第三方机构检验报告原件扫描件）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内置能耗检测模块，支持实时检测输入电压和功耗信息，生成日报表、周报表，并以图表形式展现。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具备内置机身平衡检测模块，指示设备安装是否水平。</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#15. 具备内置≥8颗混合补光灯，通道1通道2均具有≥4颗混合补光灯，各含≥1组近光灯和≥1组远光灯，支持自动和手动亮度调节模式；手动模式下支持独立配置双通道的混合补光灯组的红外和白光补光灯亮度值。</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#16. 支持识别距离设备≥80m的人体轮廓。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#17. 内置鳞镜式补光灯，补光灯开启后，灯光均匀无波纹、圆环状、麻点状、条纹状和不规则亮斑。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#18.设备具有≥2路音频输入接口，≥1路音频输出接口，≥3路报警输入接口，≥2路报警输出接口</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#19. 设备防护等级≥IP67</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校园出入口</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highlight w:val="none"/>
                <w:lang w:bidi="ar"/>
              </w:rPr>
              <w:t xml:space="preserve">全彩枪式摄像机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传感器类型：≥1/2.7" Progressive Scan CMOS</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最低照度：彩色：0.005 Lux @（F1.2，AGC ON）</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最大图像尺寸：2560 × 1440，400万像素</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补光灯类型：智能补光，可切换白光灯、红外灯</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补光距离：红外光最远可达≥30 m，白光最远可达≥30 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视频压缩标准：主码流支持H.265/H.264</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子码流：支持H.265/H.264/MJPEG</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音频：≥1个内置麦克风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网络：1个RJ45 10 M/100 M自适应以太网口</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供电方式：DC：12 V ± 25%，PoE：IEEE 802.3af，Class 3</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防护：≥IP66</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普通监控</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周界摄像机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支持输出2560×1440@25fps主码流。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具有1/1.8"英寸传感器。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最低照度：彩色0.0002lx，黑白≤0.0001lx。</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光圈≥F1.0。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支持H.264、H.265、MJPEG视频压缩标准。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内置≥1颗CPU/GPU/NPU一体智能算法芯片。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当智能分析行为类型为区域入侵、越界入侵、进入区域、离开区域时，报警检测目标设置为人体和/或车辆时，在设定的检测区域内出现光线明暗变化、 篮球滚动、狗行走、树摇晃、旗帜飘动情况时，不触发报警。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支持对出现在监控场景内的两眼瞳距≥40像素的人脸进行检测。</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镜头上部具备一体化遮阳模块，可遮挡与镜头平面夹角≤13°的阳光或雨水。（提供具有CMA或CNAS认证的第三方机构检验报告原件扫描件）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设备具有≥16颗补光灯，支持≥8颗远光灯、≥8颗近光灯，当环境照度降低至一定值时，设备支持自动开启补光灯补光，在白天、夜晚均支持输出彩色视频图像</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镜头和补光灯分舱体左右布局，镜头舱体凸出补光平面。（提供具有CMA或CNAS认证的第三方机构检验报告原件扫描件）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支持≥IP67防护等级。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内置≥1个麦克风，≥1个扬声器，支持≥1路报警输入，≥1路报警输出，≥1路音频输入，≥1路音频输出，≥1个RS485接口，支持DC12V/POE供电。</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围墙周界、楼顶、露台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全彩半球摄像机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传感器类型：1/2.7" Progressive Scan CMOS</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最低照度彩色：0.005 Lux @（F1.2, AGC ON），0 Lux with IR</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最大图像尺寸2560 × 1440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补光灯类型：支持智能补光，可切换白光灯、红外灯</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补光距离≥红外光30 m，白光20 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视频压缩标准：主码流：支持H.265/H.264</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子码流：支持H.265/H.264/MJPEG</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音频≥1个内置麦克风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供电方式：DC：12 V ± 25%，PoE：IEEE 802.3af，CLASS 3</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防护≥IP66</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室内走廊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电梯半球摄像机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设备内置GPU芯片，配置≥1个麦克风、≥1个扬声器，≥1颗红外补光灯，≥1颗白光闪光灯，≥1颗ToF传感器、≥1个温湿度和楼层传感器，≥1个报警输入接口，≥1个报警输出接口，≥1个SD卡卡槽。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设备在额定电源电压DC12V±25%范围内正常工作，且支持POE供电。</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支持≥2560x1440@25fps，中心水平分辨力≥1500线。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设备支持多码流同时输出访问，码流满足：主码流≥2560x1440、30fps，子码流≥704x576、25fps。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支持H.265、H.264、MJPEG视频编码格式。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设备水平视场角≥120°，垂直视场角≥75°。</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支持视频遮挡检测功能，内置ToF传感器，支持通过IE浏览器配置遮挡报警距离、时长及布防时间 ，在布防时间内检测到有物体距离摄像机距离低于设定阈值且达到设置遮挡时长时，支持在客户端给出报警提示并可联动声音报警、上传中心、录像、发送邮件及触发报警输出。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支持人数统计功能，支持多边形（最多允许10条边）人数检测区域，支持实时统计区域中的人员数量及位置，支持预览画面上实现显示统计的人数，支持将检测结果定时上传。</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支持楼层显示功能，支持电梯运行状态检测，包括电梯所在楼层检测、上下行状态检测、电梯运行速度检测，支持将检测结果实时叠加在预览画面上，并支持将检测结果实时上传服务器。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电梯</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防拥挤摄像机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传感器≥1/3" Progressive Scan CMOS</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最低照度彩色0.005 Lux @（F1.2，AGC ON），0 Lux with Light</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最大图像尺寸2560 × 1440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补光距离≥红外光30 m，白光20 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系统内存≥60 MB</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智能内存≥400 MB</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Flash≥2 GB</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整机算力≥1.5 TOPS</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内置≥1个内置麦克风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内置≥1个内置扬声器</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供电方式：DC：12 V ± 25%，PoE：IEEE 802.3af，CLASS 3</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防护：≥IP66</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支持当区域内人数达到设定的阈值时，可通过客户端软件或IE浏览器给出人员拥挤报警提示，并触发上传中心、语音提示。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支持人数报警阈值可配置为0~100人。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#15. 支持“上下楼梯，请注意安全”、“注意保持秩序，相互礼让，安全通行”至少两种语音提示声音可选。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楼梯防踩踏</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枪球一体摄像机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支持不少于输出全景和细节两路视频图像，其中全景通道分辨率≥3632*1632，细节分辨率≥2560*1440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全景通道水平视场角≥190°，垂直视场角≥80°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全景通道支持对设定区域进行布防，当检测到目标时联动细节摄像机可对目标进行跟踪和报警</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在彩色模式下，当照度降低至一定值时设备支持自动开启白光灯补光，在白天、夜晚均可输出彩色视频图像</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细节镜头≥23倍光学变倍,焦距≥135mm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支持最低照度彩色0.0002Lux，黑白0.0001Lux</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全景、细节白光补光距离≥30m，细节红外补光距离≥200m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全景通道支持≥2个画面的偏色、曝光同步，支持通过产线矫正和现场矫正两种方式进行</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支持水平手控速度≥160°/S，垂直速度≥60°/S，云台定位精度为≥±0.1°</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水平旋转范围：360°连续旋转，垂直旋转范围-15°~90°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支持对镜头前盖玻璃加热</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室外楼顶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高空全景摄像机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自带镜头，具备≥4个图像采集模块，支持输出≥1路主视频图像，支持将≥4个辅视频图像进行无缝拼接，实现180°拼接画面显示，拼接后抓拍图片的分辨率为：主视频：≥2560×1440；辅视频：≥5520×2400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水平视场角≥180°，垂直视场角≥100°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内置≥3个GPU芯片</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主视频图像：≥2560×1440@25fps，辅视频图像：≥5520×2400@30fps。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主视频支持≥40倍光学变倍，支持检测当前镜头指向方向与地平面夹角，并可根据夹角变化自动调整倍率。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支持镜头前盖玻璃加热功能。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摄像机全景镜头光圈均≥F1.0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摄像机内置除湿器，支持对设备内部进行除湿，除去玻璃罩上的水状附着物。</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彩色：≥0.0003lux；黑白：≥0.0001lux</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动态范围≥120dB。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红外灯开启时，支持根据被摄物的距离自动调节红外灯功率密度。红外夜视距离：可识别距离设备≥550m外人体轮廓</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支持当通过IE浏览器手动点击或框选预览画面中的人脸时，设备通过PTZ转动将人脸置于画面中心，并对人脸进行抓拍。</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支持远距离跟踪功能，对距离设备≥700米处的≤1.7米*0.5米的移动目标进行检测并联动细节通道进行跟踪。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支持偏色矫正功能，支持通过手动或自动的方式对设备视频采集模块进行偏色矫正。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室外楼顶</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紧急报警柱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外壳防护等级≥IP65，外壳防暴等级≥IK10</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具备夜间红外补光灯，在光照强度≥0.1Lx时红外补光距离应≥10米；支持日夜模式自动切换：通过ICR红外滤片实现自动切换</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支持防拆报警，防区报警，喧哗报警</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前端设备具有≥2个TCP/IP网络接口，≥2个报警输入接口，≥2个报警输出接口，≥1个防拆输入接口，≥1个面板按键输入接口，≥1个3G/4G模块接口，≥1个电话接口，≥1个SD卡接口，≥1个RS485接口，≥2个音频输入接口，≥2个音频输出接口</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支持通话转移，通话保持、托管、自动接听功能</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支持≥256G的SD卡，支持将音视频同步存储到设备SD卡中，当在双向对讲通话时录像存储支持双向通过混音的音视频复合流。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支持管理机本地SD卡存储的音视频文件回放，支持1倍速、2倍速和4倍速播放。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支持实时全双工双向视频对讲和语音通话，支持实时多方通话</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后端管理机支持对前端设备语音广播，支持分区域或分组广播。支持导入“.wav”和“.mp3”格式音频文件进行语音广播</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支持双网口、无线、PSTN电话信息上报链路</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支持声音、闪灯提示，具有声音、灯光、电锁独立控制功能</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支持网络在线远程升级，看门狗功能</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报警响应时间≤1s</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具备高灵敏度麦克风以及3.5mm音频输入接口，拾音距离≥10米，双向对讲距离≥5米</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#15. 支持通话变声，保护人员隐私。</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紧急求助，学校门口或者操场</w:t>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B2、监控中心</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#1.显示单元尺寸：55“超窄边液晶屏；物理分辨率≥1920×1080，响应时间≤8ms。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#2.显示单元物理拼缝≤3.5mm，亮度≥500cd/㎡，图像显示清晰度≥950TVL，对比度≥1000：1，亮度鉴别等级≥11级。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#3.显示单元通过CCC检测认证。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#4.显示单元具有视频输入接口：≥1个HDMI、≥1个DVI、≥1个VGA、≥1个USB，视频输出接口：≥1个HDMI，控制接口：≥1个RS232 IN、≥1个RS232 OUT</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#5.显控系统设备间支持信息交互功能，通过平台/客户端界面能够查看屏幕运维信息，包括使用时长、序列号、温度、亮度、显示模式，支持下发配置屏幕参数。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#6.显控系统支持自动识别屏幕的行列号信息，根据行列号信息，自动生成对应的电视墙规模和绑定输出口关系，无需手动一对一设置输出口和LCD屏幕的对应关系。</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#7.显控系统支持自动检测输入源的信号类型，根据信号源类型和显示位置，自动配置信号源所在屏幕的显示场景模式。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#8.显控系统支持远程开关机控制，支持拼接墙整墙的开关机、定时开关机操作。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材质：优质冷轧钢板(SPCC)</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颜色：黑色</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厚度≥400mm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表面处理：静电喷塑，涂层厚度≥60微米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支持GB/T 28181-2022。</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支持对输入的视频画面进行90°、180°、270°旋转显示。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支持PC 软件客户端、WEB 浏览器客户端、平台客户端、IPAD、可视化触控平台方式访问管理。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支持通过IE浏览器进行网络模式设置，包括设置为流畅性优先/实时性优先。</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显控系统设备间支持信息交互功能，通过平台/客户端界面能够查看屏幕运维信息，包括使用时长、序列号、温度、亮度、显示模式，支持下发配置屏幕参数。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显控系统支持自动识别屏幕的行列号信息，根据行列号信息，自动生成对应的电视墙规模和绑定输出口关系，避免手动一对一设置输出口和LCD屏幕的对应关系</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显控系统支持自动检测输入源的信号类型，根据信号源类型和显示位置，自动配置信号源所在屏幕的显示场景模式</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显控系统支持远程开关机控制，实现拼接墙整墙的开关机，定时开关机操作</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显示屏：≥10.1英寸TFT LCD</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支持网络控制方式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电源：支持DC12V/POE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功耗：≤15W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最大解码分辨率：≥4路1080P或1路4K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网络接口≥1个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WiFi≥1个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语音对讲输入≥1个，3.5mm立体声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语音对讲输出≥1个，3.5mm立体声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摇杆类型：支持四维单按键摇杆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USB接口：≥2个USB2.0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视频接口：≥1个DVI，≥1个HDMI</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磁盘阵列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配置：≥1颗64位多核处理器，≥4GB内存，支持内存扩展到64GB，支持扩展到2个SSD作为缓盘，支持6个风扇，风扇支持热插拔并可冗余温控调速，支持热插拔 1+1AC220V 电源</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具有≥48块硬盘热插拔插槽；支持硬盘热插拔设备在读写数据时，热插拔设备内的任意块硬盘，设备正常运行不宕机，硬盘不损坏，数据不丢失，业务不中断。</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支持视音频、图片、智能数据流进行混合直存，无须存储服务器和图片服务器的参与，平台服务器宕机时，存储业务正常</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支持GB/T 28181和Onvif视频流直存模式；支持iSCSI直存功能，前端网络摄像机和设备之间可直接通过iSCSI协议进行块存储</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 ONVIF、PSIA、TCP/IP、UDP、SIP、SIP2.0、RTSP、RTP、RTCP、iSCSI、CIFS(SMB)、NFS、FTP、HTTP、AFP、RSYNC、SNMP、IPV4、IPV6、HLS、S3、OSS等协议，支持IP组播</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接入并存储≥4096Mbps视频图像，同时转发≥4096Mbps的视频图像，同时下载≥4096Mbps的视频图像；同时回放≥1400Mbps的视频图像；在转发模式下，支持进行≥4096路2Mbps视频码流转发；在总带宽不变的情况下，接入、转发、回放间的性能值可自由调整。</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支持≥2048Mbps图片转发；支持≥2048Mbps图片并发输入，同时≥2048Mbps图片并发输出</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网络中断后重新恢复，支持续存断网期间存储在前端设备中的录像文件，支持通过IE浏览器设置自动回传和手动回传；支持≥256路4Mbps的录像回传。</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支持查看硬盘体检报告、硬盘深度体检和磁盘档案；支持下载单个硬盘或批量硬盘的报告，支持按时间显示硬盘的坏扇区、温度、振动变化趋势的曲线图</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支持将前端1路视频流同时存入≥2台存储；支持双机间编码器和录像同步，故障时可进行互相接管</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支持对指定事件的1个或多个不同时间段的录像段添加标签，支持自动备份到存档卷中，支持根据标签查询录像，支持将相同标签的录像进行统一回放、下载；支持对录像卷和存档卷配置不同的存储周期</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支持内存资源动态调节，根据业务需求进行自动分配，当业务压力增加时，内存自动分配</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≥16TB容量，3.5英寸，SATA3.0接口，7200RPM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支持氦气盘， CMR传统磁记录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传输速率≥270 MB/s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MTBF≥2,500,000小时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支持高级格式（AF）512e扇区技术，支持硬盘扇区4K对齐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监控综合管理软件系统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#1、支持系统管理，角色管理、用户管理、组织管理、学校设置、人员管理、设备管理、车辆管理、日志管理；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#2、支持视频预览、录像回放、视频上墙、视频事件监控服务能力；</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#3、支持电子地图；支持为报警事件配置联动动作，包括：联动录像、邮件等；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#4、支持门禁管理，通过接入多种门禁设备，支持人员身份识别、出入管控等智能应用，主要提供门禁权限管理、事件管理、门禁状态查看、门禁远程控制、人员出入记录实时展示、远程呼叫对讲等应用；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#5、支持紧急报警实时监测能力，支持实时查看现场视频画面，支持与报警人员对讲沟通；支持历史报警事件查询及导出能力；</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#6、支持视频级联应用，支持基于视频通用标准协议（GB/T28181-2011,GB/T28181-2016）与外域平台互联互通，实现上级平台对下级平台视频资源点位的操作控制；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#7、支持防欺凌应用，学生呼救，系统识别到关键字产生预警信息，推送到安保人员及教师，进行实时处置，支持录音调取功能；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#8、支持出入口车辆放行管理，通过接入多种出入口道闸设备，支持车辆识别、出入管控等应用；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#9、支持校门口学生进行考勤统计，支持请假管理；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#10、支持人员检索，支持以图搜图功能；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#11、支持设备运维，支持视频设备在离线状态监测，支持提供视频运维报表统计。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投标人须做出以下承诺：支持与泗洪县教育局智慧校园管理平台进行对接融合。（投标人须做出以上承诺，承诺格式自拟，在对接过程中产生的费用由中标人自行承担与采购人无关。如无法满足目标需求的按照虚假应答处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视频管理终端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支持2U，机架式服务器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CPU：≥1颗intel至强4510处理器，核数≥12核，主频≥2.4GHz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内存：≥64G DDR5，≥8根内存插槽，支持扩展至≥1TB内存</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硬盘：≥2块1.2T 10K 2.5寸 SAS硬盘，支持≥8个3.5寸/2.5寸硬盘，≥4个NVMe硬盘</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阵列卡：具备SAS+HBA卡，支持RAID 0/1/10;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PCIE扩展：支持≥4个PCIe扩展插槽（包括1个OCP 插槽），其中≥2个PCIe 5.0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网口：≥2个千兆电口； 支持选配10GbE、25GbE SFP+等多种网络接口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其他接口：≥1个RJ45管理接口，后置≥2个USB 3.0接口，前置≥2个USB2.0接口，≥1个VGA接口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电源：≥550W（1+1）高效白金热插拔冗余电源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B2-9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紧急报警管理机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操作系统：嵌入式操作系统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屏幕尺寸：≥10.1英寸720P彩色TFT LCD</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屏幕分辨率：≥1920*1080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摄像头参数：≥200W高清旋转摄像头</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操作方式：触摸屏+机械按键</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通信方式：支持有线网络</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网络协议：支持TCP/IP、SNMP、SIP、RTSP</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硬件接口：≥1个RJ45，≥1个电源接口，≥2个RS485，≥4个IO输入，≥4个IO输出，≥1个VGA输出，≥1个HDMI输出，≥1个3.5mm音频输入接口，≥1个3.5mm音频输出接口，≥1个TF/SD卡接口（最大支持≥256G），≥2个USB接口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安装方式：支持桌面安装</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供电方式：支持DC12V（标配电源适配器）、POE（802.3at）</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设备功耗：≤15W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支持报警盒（箱/柱）一键报警，紧急管理机接听呼叫并进行对讲和视频预览</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支持对报警盒（箱/柱）进行呼叫、预览和广播</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支持实时对讲、监听监视、分组广播、快速拨号、自动接听，通话保持等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#15. 支持管理机之间互相可视对讲，支持管理机托管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#16. 支持VGA、HDMI接口输出以及外接音频输入输出</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B3、门卫</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B3-1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 具有≥2个HDMI接口、≥2个VGA接口、≥1个CVBS接口、≥2个RJ45 千兆网络接口、≥2个USB2.0接口、≥2个USB3.0接口、≥1个RS232接口、≥1个RS485接口（可接入RS485键盘）、≥1个eSata接口；具有≥1路音频输入接口、≥2路音频输出接口、≥16路报警输入接口、≥9路报警输出接口（其中第9路支持受控直流12V输出）、具有≥1路直流12V输出接口（12V 1A）、可内置≥9块SATA接口硬盘</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HDMI1和HDMI2支持单路≥8K（7680×4320）和1080P（1920×1080）异源输出。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支持≥4路视频流人脸识别，支持≥16路图片流人脸识别</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支持录像目标检索功能，目标检索支持单帧模式调整目标画面，可通过鼠标滚轮调整录像画面帧序列；事件中心，切片回放、回放支持目标检索快速入口。（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支持预览时对实时视频流进行手动打标签，通过标签检索可以检索到相关的录像片段。（提供具有CMA或CNAS认证的第三方机构检验报告原件扫描件）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支持预览的单窗口轮巡，设备支持在多画面的固定窗口上进行轮巡预览，其他预览窗口不轮巡。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支持音频设备与视频设备独立管理，支持网络拾音器的接入、校时；最大≥4路音频设备管理</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支持音视频动态调整组合分配功能，支持将任一路音频与任一路视频组合成复合流编码</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支持前端IPC证书二次校验机制，未通过证书校验的IPC不允许添加到NVR</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支持切片回放功能，支持按月、日、小时维度进行切片展示，按月最大支持30个切片，按日最大支持24个切片，按时最大支持60个切片。（提供具有CMA或CNAS认证的第三方机构检验报告原件扫描件）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支持对切片回放片段进行目标检索、备份导出、开启关闭智能POS信息等操作</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支持最大接入带宽320Mbps，最大存储带宽256Mbps，最大转发带宽256Mbps</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B4、明厨亮灶</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B4-1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全彩半球摄像机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同“B1-04全彩半球摄像机”技术参数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室内走廊</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B4-2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防油污摄像机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 支持≥2560x1440 @ 25fps，分辨力≥1500TVL。</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 内置GPU芯片。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 支持将智能资源分配设置为Smart事件或AI开放平台。（提供具有CMA或CNAS认证的第三方机构检验报告原件扫描件）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 可通过IE浏览器查看设备芯片类型和算法版本号。</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 支持用户自定义≥ 4个算法模型，可设置当前生效的算法模型和显示当前算法模型的运行状态，并支持修改、删除算法模型及自定义算法模型名称。（提供具有CMA或CNAS认证的第三方机构检验报告原件扫描件）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 支持离线算法或在线加载和升级等操作，升级过程中设备输出的视频画面应连续稳定，升级完成后设备不重启</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 最低照度彩色：0.005 lx，黑白：0.001 lx，最大亮度鉴别等级11级。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 红外补光距离≥30米。</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 支持H.264、H.265、MJPEG视频编码格式，且具有High Profile编码能力。</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 支持防水防尘等级≥IP67。</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 支持电源电压DC12V±20%的范围内正常工作，支持防反接保护和PoE供电。</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 支持厨师检测，可在设定时间和检测区域内实时分析厨师是否戴口罩、是否戴帽子、是否穿工作服，对符合设定条件的目标进行筛选抓拍、统计、上报等处理。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 支持实时检测指定区域内的老鼠的数量，并触发报警。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 支持内置≥2个麦克风，≥1个扬声器，≥1路音频输入，≥1路音频输出，≥1路报警输入，≥1路报警输出，≥1个RS-485接口，≥1个DC12V电压输出接口。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厨房检测、人员穿戴、老鼠、</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B4-3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温湿度摄像机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#1、具有≥200万像素CMOS传感器。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#2、内置GPU芯片。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#3、内置≥2个麦克风、≥1个扬声器。支持混音录像功能，在音视频混合录像中，左右声道可录入从≥2路MIC IN输入的音频或≥2路从LINE IN输入的音频。最低照度彩色：0.0003 lx，黑白：0.0001 lx，亮度鉴别等级（灰度等级）11级。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#4、支持温湿度显示功能，可通过RS485接口接入温湿度传感器，并可通过IE浏览器动态实时显示温湿度信息。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#5、支持温湿度信息定时上报功能，可通过IE浏览器设置温湿度定时上传时间间隔，并上传至平台。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#6、支持温湿度报警功能，可通过IE浏览器设置温湿度报警阀值，当超过此阀值时可产生报警，并可将报警信息上传至平台。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厨房检测、人员穿戴、老鼠、</w:t>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B5、线材管路</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教学楼</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#1、敷设方式：穿管或桥架等综合考虑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1）支持ISO/IEC 11801:2000标准和ANSI/TIA/EIA568-C.2的标准；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带宽：传输带宽≥500MHz；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2）线缆规格：支持23AWG的线规，小于±3欧姆的阻抗变化；</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3）设计要求：＜1%的绝缘层厚度变化，≥99.5%铜导体同心度；</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4）支持千兆以太网，带十字芯骨架结构；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5）满足以太网零误码率传输性能；</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#直径≥25mm，壁厚≥1mm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综合楼</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同“B5-1监控线缆”技术参数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同“B5-2 KBG线管”技术参数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同“B5-3金属软管”技术参数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报告厅及食堂</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同“B5-1监控线缆”技术参数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同“B5-2 KBG线管”技术参数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同“B5-3金属软管”技术参数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室外部分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室外监控阻水网线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同“B5-1监控线缆”技术参数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6芯室外光缆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#1、敷设方式：穿管或桥架等综合考虑</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#2、参数：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1）支持ANSI－FDDI、TIA/EIA568B.2、IEC/ISO IS11801(1995)和CENELEC　EN　50173标准；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2）荷重：≥20倍缆线直径；</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3）工作温度范围：-40至70度；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主线电源线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终端盒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#1、工作温度：-5℃~40℃；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#2、相对湿度：≤85%（30℃时）；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#3、大气压力：70~106Kpa；</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#4、工作波长：支持850nm、1310nm 、1550nm；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#5、插入损耗：≤0.5dB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#6、回波损耗：PC≥40dB、UPC≥50dB、APC≥60dB；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#7、抗电强度：≥3KV(DC)/1min不击穿、无飞弧；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#8、绝缘电阻：≥1000MΩ/500V(DC)；</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#9、尺寸：≥160*100*13mm</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#≥140mm*76mm*3500mm，热镀锌钢管，厚度≥2mm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立杆地笼</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#≥300mm*300mm*400mm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立杆基础</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#标号≥C25混凝土，≥400mm*400mm*650mm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周界监控立杆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#≥76mm*1000mm，热镀锌钢管，厚度≥2mm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室外弱电箱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#1、≥15U</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#2、≥600mm*600mm*800mm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#3、内置恒温风扇接口与PDU安装口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#4、箱体≥1mm，立梁≥1.5mm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弱电箱基础</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#标号≥C25混凝土，≥800mm*800mm*500mm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主线管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#≥φ110，双壁波纹管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检修手井</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#≥500mm*500mm*800mm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手井盖</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#≥500mm*500mm，重型井盖</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室外支线管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#≥PE25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室外主线开挖</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#≥500mm*800mm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室外支线开挖</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#≥300mm*300mm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车库部分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B5-29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监控线缆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同“B5-1监控线缆”技术参数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B5-30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同“B5-2 KBG线管”技术参数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B5-31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同“B5-3金属软管”技术参数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B5-32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C广播系统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主机房设备</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控制主机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#1.具备LED液晶显示屏，支持触摸控制屏，支持≥1920×1080分辨率。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#2.具备抽拉式键盘；支持≥1路短路触发开机接口。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#3.支持≥8个USB接口、≥1个PS/2接口、 ≥6个串口接口、≥1路HDMI和≥1路VGA视频输出接口、≥2路网口。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#4.配置≥四核处理器。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#5.支持录音存储功能，支持后台自定义设置录音文件保存路径。</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数字化IP网络广播软件系统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#1.支持终端明细导出功能，支持通过表格方式导出当前系统终端的配置详情。支持批量修改定时任务的时间。</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撑各音频终端的运行，负责音频流传输管理，响应各音频终端播放请求和音频全双工交换，支持B/S架构，通过网页登陆可进行终端管理、用户管理、节目播放管理、音频文件管理、录音存贮、内部通讯调度处理等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#3.支持管理节目库资源，为音频终端器提供定时播放和实时点播媒体服务，响应各终端的节目播放请求，为各音频工作站提供数据接口服务。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#4.提供全双工语音数据交换，响应各对讲终端的呼叫和通话请求，支持一键呼叫、一键对讲、一键求助、一键报警等通话模式，支持自动接听、手动接听，支持自定义接听提示音。</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多种呼叫策略，包括无响应转移、占线转移、关机转移，支持时间策略和转移策略自定义设置。支持设置对讲终端呼叫策略，可自定义通话时间0-180S或不受限，可选择是否自动接听，支持自定义选择来电铃声与等待铃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#6.支持终端短路输入联动触发，可任意设置联动触发方案和触发终端数量，触发方案包括短路输出、音乐播放、巡更警报等。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#7.编程定时任务，支持编程多套定时方案，支持选择任意终端和设置任意时间；支持定时任务执行测试、设置重复周期。支持定时任务多种音源选择（音乐播放、声卡采集、终端采集）。</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#8.支持多套定时打铃方案同时启用，每套定时打铃方案支持多套任务同时进行，支持一键启用/停用所有方案。</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#9.支持定时打铃功能，支持打铃方案克隆，任务执行与停止控制、定时任务禁用与启用功能。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#10.支持定时巡更功能，支持自定义巡更任务的执行时间及重复周期，可自定义指示灯闪烁间隔时间0-30s。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#11.支持今日任务列表查看，管理今日执行的所有定时任务信息和执行状态。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#12.日志记录系统运行状态，实时记录系统运行及终端工作状态，每次呼叫、通话和广播操作均有记录</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#13.支持对≥8路功率分区终端进行功率控制分区设置，通过web页面后台或分控客户端均可设置分区。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#14.支持对终端设置时间显示配置，可设置1-6级别亮度值，可设置断网后不显示时间等模式。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#15.支持对终端设置不同的灯光模式，可分别自定义设置红灯亮、红灯灭、绿灯/蓝灯亮、绿灯/蓝灯灭时间0.1S-10S。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#16.支持配置终端冻结时间，在终端被冻结期间禁止终端执行任务。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#17.支持广播、对讲、实时采集、终端监听进行录音；支持文本广播功能，可实现将文本转成语音，支持后台调整语速。</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调音台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#1.支持≥4路Mic输入兼容≥4路线路输入接口，话筒接口幻象电源：≥+48V，≥4组立体线性输入。</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#2.具有≥1组立体声主输出、≥1组辅助输出、≥1组立体声监听输出、≥1路耳机监听输出、≥1组CD/Tape输出。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#3.每路单声道输入通道设有≥3段EQ，设有峰值LED指示灯。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#4.内置≥24位DSP效果器，提供≥100种预设效果。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IP音频采集器1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#1.支持将模拟音频采集编码成数字音频，具有≥1路RJ45网络接口，支持定时采播任务、临时采播任务功能。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#2.具有≥2组RCA音频输入接口，支持音量调节功能。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#3.采播任务支持3种采集音质可选，支持普通、中级、高级音质选择模式。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#4.支持声压触发采集外部音源，智能识别音频，自动建立采集任务，可自定义执行区域，可自定义延时关闭时间。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CD播放器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#1.具备吸入式机芯；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#2.支持自动播放控制，全数码伺服；</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#3.支持播放CD/VCD/MP3/DVD碟片；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#4.内置宽频监听扬声器；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#5.内置MP3播放器，支持读USB和SD卡；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#6.支持面板按键或红外遥控器控制操作</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#7.支持上电自动播放功能。</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调谐器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#1.支持调频、调幅（AM/FM）立体声二波段接收可选，电台频率记忆存储≥99个；</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#2.支持电台频率自动搜索存储功能，且有断电记忆功能；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#3.支持石英锁相环路频率合成器式调谐回路技术；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#4.≥2组接收天线输入：AM接收天线输入；FM接收天线75Ω输入；</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#5.≥1路音频信号左右声道（L/R）输出；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#6.支持通过面板按键或红外遥控器控制操作。</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eastAsia="zh-CN"/>
              </w:rPr>
            </w:pPr>
            <w:r>
              <w:rPr>
                <w:rFonts w:hint="eastAsia" w:ascii="宋体" w:hAnsi="宋体" w:eastAsia="宋体" w:cs="宋体"/>
                <w:color w:val="auto"/>
                <w:highlight w:val="none"/>
                <w:lang w:bidi="ar"/>
              </w:rPr>
              <w:t xml:space="preserve">#1.换能方式：支持驻极体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#2.钟声提示：支持钟声提示功能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#3.线材配备：≥10米（卡农母头转6.35音频线）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#4.咪杆长度 ：≥390mm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#5.支持灯环提示功能</w:t>
            </w:r>
            <w:r>
              <w:rPr>
                <w:rFonts w:hint="eastAsia" w:ascii="宋体" w:hAnsi="宋体" w:eastAsia="宋体" w:cs="宋体"/>
                <w:color w:val="auto"/>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寻呼话筒1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#1.具备显示屏，支持触摸控制功能；显示屏自带数字键、功能键，支持通过触摸呼叫广播，支持呼叫分区及多个分区，呼叫全区广播；支持≥10个按键自定义一键呼叫广播功能。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#2.≥1路网络硬件音频解码模块，具有≥1路RJ45网络接口，≥100Mbps传输速率。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#3.支持监听任意终端功能，内置≥2W全频扬声器，实现双向通话和网络监听。</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#4.支持≥1路音频线路输入，支持采集播放功能；具有≥1路音频线路输出，可外接功率放大器。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#5.支持直接操作呼叫或对讲任意终端，支持通过话筒广播呼叫功能，广播延时低于100毫秒。</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#6.支持多种呼叫策略，包括无响应转移、占线转移、关机转移；自动接听、手动接听，支持自定义接听提示音，支持转移时间、无人接听时间、呼叫等待时间自定义。</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#7.具有≥1个3.5耳机接口、≥1路3.5话筒输入接口。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#8.具有≥1路短路输出接口、≥1路短路输入接口。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IP网络音箱1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#1.≥1路网络硬件音频解码模块,具有≥1路RJ45网络接口，≥100Mbps传输速率。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#2.≥1路音频线路输入接口，支持独立的音量调节功能。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#3.支持数字功放，功率≥2×20W（MAX），具有≥1个主音箱和≥1个副音箱。</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w:t>
            </w:r>
            <w:r>
              <w:rPr>
                <w:rFonts w:hint="eastAsia" w:ascii="宋体" w:hAnsi="宋体" w:eastAsia="宋体" w:cs="宋体"/>
                <w:color w:val="auto"/>
                <w:highlight w:val="none"/>
                <w:lang w:val="en-US" w:eastAsia="zh-CN" w:bidi="ar"/>
              </w:rPr>
              <w:t xml:space="preserve">支持</w:t>
            </w:r>
            <w:r>
              <w:rPr>
                <w:rFonts w:hint="eastAsia" w:ascii="宋体" w:hAnsi="宋体" w:eastAsia="宋体" w:cs="宋体"/>
                <w:color w:val="auto"/>
                <w:highlight w:val="none"/>
                <w:lang w:bidi="ar"/>
              </w:rPr>
              <w:t xml:space="preserve">≥2级优先级功能：(1)</w:t>
            </w:r>
            <w:r>
              <w:rPr>
                <w:rFonts w:hint="eastAsia" w:ascii="宋体" w:hAnsi="宋体" w:eastAsia="宋体" w:cs="宋体"/>
                <w:color w:val="auto"/>
                <w:highlight w:val="none"/>
                <w:lang w:val="en-US" w:eastAsia="zh-CN" w:bidi="ar"/>
              </w:rPr>
              <w:t xml:space="preserve">支持</w:t>
            </w:r>
            <w:r>
              <w:rPr>
                <w:rFonts w:hint="eastAsia" w:ascii="宋体" w:hAnsi="宋体" w:eastAsia="宋体" w:cs="宋体"/>
                <w:color w:val="auto"/>
                <w:highlight w:val="none"/>
                <w:lang w:bidi="ar"/>
              </w:rPr>
              <w:t xml:space="preserve">AUX与网路背景音乐信号同级，混音输出。(2)</w:t>
            </w:r>
            <w:r>
              <w:rPr>
                <w:rFonts w:hint="eastAsia" w:ascii="宋体" w:hAnsi="宋体" w:eastAsia="宋体" w:cs="宋体"/>
                <w:color w:val="auto"/>
                <w:highlight w:val="none"/>
                <w:lang w:val="en-US" w:eastAsia="zh-CN" w:bidi="ar"/>
              </w:rPr>
              <w:t xml:space="preserve">支持</w:t>
            </w:r>
            <w:r>
              <w:rPr>
                <w:rFonts w:hint="eastAsia" w:ascii="宋体" w:hAnsi="宋体" w:eastAsia="宋体" w:cs="宋体"/>
                <w:color w:val="auto"/>
                <w:highlight w:val="none"/>
                <w:lang w:bidi="ar"/>
              </w:rPr>
              <w:t xml:space="preserve">网络报警信号优先AUX与网络背景音乐信号。</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#5.支持IPv6、IPv4网络协议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采集器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▲1.设备获得消防产品CCCF认证证书（提供证书原件扫描件）。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#2.支持嵌入式计算机技术和DSP音频处理技术。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#3.≥16路消防短路信号输入，支持无限扩展输入接口。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#4.面板支持一键取消任务。</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#5.支持广播系统对终端进行远程固件升级。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#6.网络接口：标准RJ45输入</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#7.传输速率：≥100Mbps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#8.支持协议：TCP/IP、UDP、IGMP（组播）</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#9.短路接口：支持工业标准压线接线端子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电源管理器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#1.≥2U；</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#2.支持≥16路电源输出，具有≥14个AC220V(10A)，≥2个AC220V(16A)接口， 电源插口总容量≥ 6KVA；</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#3.支持船型开关，可手动控制≥16个电源上断电；支持与定时器、智能控制器相连接；支持配置CH1和CH2通道为受控或不受控状态。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#4.有≥1路24V消防信号输入接口；≥1路消防短路报警触发信号输出。</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C1-12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#≥2000mm*600mm*600mm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分控设备</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控制终端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#1.配置：≥E5800性能，≥2GB DDR3内存，≥500GB硬盘，≥独立显卡ATI Radeon HD 5450性能，≥20英寸，支持DVD-ROM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#2.客户端软件支持网络（局域网、广域网）远程登录到服务器，支持多套客户端软件同时登录到服务器，各套客户端软件独立工作。</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#3.支持终端状态查看、音频播放、监听、广播及对讲、会话状态监控等功能。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#4.支持实时查看终端工作状态、音量、任务，并且可在终端状态界面设置终端音量。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#5.支持创建文本广播任务，可实现将文本转成语音，支持后台调整语速。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#6.支持创建终端采集任务，可设置普通、中级的采集音质类型。</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#7.支持创建声卡采集任务，可通过分控客户端所在电脑的声卡进行实时采播，并且支持将采播的内容进行录音存储。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#8.支持创建音乐播放任务，可进行本地文件播放，可选择多首歌曲进行顺序播放或循环播放或随机播放。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#9.支持进行发起监听功能，在会话状态选择监听终端，可监听某任务播放的内容。</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#10.支持远程对某终端/分区或全区进行实时的寻呼广播，支持选择网络寻呼话筒进行实时对讲。</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#11.支持分控端查看终端上下线记录，可设置终端掉线弹窗提示。</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IP网络广播系统分控软件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#1.支持分控端查看终端上下线记录，可设置终端掉线弹窗提示。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#2.客户端软件支持网络（局域网、广域网）远程登录到服务器，支持多套客户端软件同时登录到服务器，各套客户端软件独立工作。</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#3.支持终端状态查看、音频播放、监听、广播及对讲、会话状态监控等功能。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#4.支持实时查看终端工作状态、音量、任务，并且可在终端状态界面设置终端音量。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#5.支持创建文本广播任务，可实现将文本转成语音，支持后台调整语速。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#6.支持创建终端采集任务，可设置普通、中级的采集音质类型。</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#7.支持创建声卡采集任务，可通过分控客户端所在电脑的声卡进行实时采播，并且支持将采播的内容进行录音存储。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#8.支持创建音乐播放任务，可进行本地文件播放，可选择多首歌曲进行顺序播放或循环播放或随机播放。</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#9.支持进行发起监听功能，在会话状态选择监听终端，可监听某任务播放的内容。</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#10.支持远程对某终端/分区或全区进行实时的寻呼广播，支持选择网络寻呼话筒进行实时对讲。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远程分控移动端操作软件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#1、支持移动端APP（手机或平板）软件，通过扫描二维码方式与网络广播服务器或广播系统管控电脑建立连接。</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#2、支持移动端远程操控广播管理界面，可实现节目的播放、终端的管理、系统设置、音量调节等操作。</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#3、移动端APP具备基本辅助工具，包括荧光笔、放大镜等，移动端可对网络广播系统的电子地图进行批注，支持通过广播服务器或广播系统管理电脑输出到液晶电视或大屏或投影等显示设备上。</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寻呼话筒2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同“C1-8 寻呼话筒1”技术参数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周边设备</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IP网络功放终端350W</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#1.≥19英寸机架设计，带有LCD显示屏。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#2.内置≥1路网络硬件音频解码模块。</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#3.支持≥1路线路输入和≥1路话筒输入接口，支持独立调节音量。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#4.支持高低音调节电位器控制。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#5.具有≥1路EMC输入接口。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#6.具有≥1路音频输出接口。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#7.具有≥1路三线制强切输出接口。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#8.集成数字功放，功率≥350W；支持定压方式输出。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#9.支持通过后台软件对终端进行远程固件升级。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#11.自带≥1路≥100V定压功率备份输入接口，可组成一主多备、多主一备、多主多备的公共打铃系统。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#12.内置主/备切换检测模块，断网断电以及本机故障时≤0.3秒内切换到备份功率输入。</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IP网络功放终端500W</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#1.≥19英寸机架设计，带有LCD显示屏。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#2.内置≥1路网络硬件音频解码模块。</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#3.支持≥1路线路输入和≥1路话筒输入接口，支持独立调节音量。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#4.支持高低音调节电位器控制。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#5.具有≥1路EMC输入接口。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#6.具有≥1路音频输出接口。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#7.具有≥1路三线制强切输出接口。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#8.集成数字功放，功率≥500W；支持定压方式输出。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#9.支持通过后台软件对终端进行远程固件升级。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#11.自带≥1路≥100V定压功率备份输入接口，可组成一主多备、多主一备、多主多备的公共打铃系统。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#12.内置主/备切换检测模块，断网断电以及本机故障时≤0.3秒内切换到备份功率输入。</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IP网络功放终端650W</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#1.≥19英寸机架设计，带有LCD显示屏。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#2.内置≥1路网络硬件音频解码模块。</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#3.支持≥1路线路输入和≥1路话筒输入接口，可独立调节音量。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#4.支持高低音调节电位器控制。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#5.具有≥1路EMC输入接口。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#6.具有≥1路音频输出接口。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#7.具有≥1路三线制强切输出接口。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#8.集成数字功放，功率≥650W；支持定压方式输出。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#9.支持通过后台软件对终端进行远程固件升级。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#10.具有≥1路RJ45网络接口，≥100Mbps传输速率。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#11.自带≥1路≥100V定压功率备份输入接口，可组成一主多备、多主一备、多主多备的公共打铃系统。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#12.内置主/备切换检测模块，断网断电以及本机故障时≤0.3秒内切换到备份功率输入。</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IP终端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#1.≥19英寸机架设计，带有LCD显示屏。</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#2.支持≥1路线路输入和≥1路话筒输入接口，支持独立调节音量；支持高低音调节电位器控制。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#3.具有≥1路EMC输入接口，具有最高优先级；具有≥1路音频输出接口。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#4.具有≥2路三线制强切输出接口。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#5.支持≥2路电源输出插座，内置智能电源管理，无音乐或呼叫时，自动切断输出座电源，有信号时自动打开输出座电源。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前置放大器1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#1具有≥5路话筒（MIC）输入，≥3路标准信号线路（AUX）输入，≥2路紧急线路（EMC）输入；</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#2.MIC 5具有最高优先、强行切入优先功能；MIC 5和EMC最高优先权限功能可通过拔动开关交替选择；</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#3.紧急输入线路具有二级优先，强行切入优先功能；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#4.MIC1.2.3.4.5 和≥2路紧急输入（EMC）通道均附设有线路辅助输入接口功能；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#5.具有默音深度调节旋钮和EMC输入增益调节旋钮。</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C3-6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#1.支持D类数字功放技术</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#2.额定输出功率：≥1500W</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#3.具有管道式散热结构，内置自动温度控制风扇冷却系统。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#4.具有≥1通道LINE不平衡TRS/XLR高品质多功能输入接口，≥1通道LINE平衡XLR级联输出。</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#5.具备PFC电路，支持软开关电源技术，开关机自动软启动控制。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#6.功放电路支持零交越失真。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#7.支持智能削顶失真和过流压限系统。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#8.具有过温、过压、欠压、过流、短路多重智能检测保护系统。</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#9.具有≥2种定阻和定压输出模式:4-16Ω/100V可选择。</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操场本地扩声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C4-1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无线话筒1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#1.频率指标：530-580MHz，640-690MHz，调制方式：宽带FM，频道数目：≥200个频道。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#2.支持≥1台接收主机和≥2个无线手持话筒。</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#3.支持UHF超高频段双真分集接收，支持PLL锁相环多信道频率合成技术。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#4.接收机：支持自动选讯接收方式，灵敏度:≥12dB μV（80dBS/N)，频率响应：50Hz-16.5kHz。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#5.发射机：音头支持动圈式麦克风；手持麦克风内置螺旋天线。</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#6.输出功率:≥30mW。</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C4-2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天线分配器1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#1.提供≥2进8出的天线信号分配器设备。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#2.≥2路天线信号接收到分配器的天线输入端。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#3.≥2路信号输出到下一台分配器的天线输入端进行级联。</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C4-3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话筒天线1</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#1.支持接收470-960MHZ的频率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#2.天线极化方式：线性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#3.天线驻波比：≤2.0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#4.放大器增益：≥4档可调（-6dB/0dB/6dB/12dB)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#5.放大器低噪：&lt;2.6dB</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C4-4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IP音频采集器2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同“C1-4 IP音频采集器1”技术参数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C4-5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避雷器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#1.支持在雷暴天气时保护设备；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#2.支持直观展示电涌保护器的工作状态；</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#3.支持自动把雷电引入大地；</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#4.支持当保护模块损坏时，模块上对应的绿色指示区域会变为红色，提示需要更换；</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#5.支持每组通道并上≥2只持续电压≥420V AC、标称放电电流≥20KA、放电电流≥40KA、电压保护水平≥2.0KV电涌保护器（二级）。</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#6.通道数≥4组独立输入/输出通道</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风雨本地扩声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C5-1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无线话筒2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同“C4-1 无线话筒1”技术参数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前置放大器2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同“C3-5 前置放大器1”技术参数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C5-3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天线分配器2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同“C4-2 天线分配器1”技术参数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C5-4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话筒天线2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同“C4-3 话筒天线1”技术参数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C5-5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IP音频采集器3</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同“C1-4 IP音频采集器1”技术参数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教室</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C6-1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IP网络音箱2</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#1.≥1路网络硬件音频解码模块,具有≥1路RJ45网络接口，≥100Mbps传输速率。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#2.支持≥1路音频线路输入接口，具有独立的音量调节功能。</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#3.设备集成有数字功放，功率≥2×20W（MAX），具有≥1个主音箱和≥1个副音箱。</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#4.设备支持主备切换检测模块，在断网或断电的故障情况下，实现自动切换到100V定压备份通道，主备切换过程无卡顿、不掉字；在通网或通电情况下，恢复主通道。</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C7-1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天花喇叭</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#1．额定功率（100V）：支持3W,6W,9W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#2．额定功率（70V）：支持1.5W,3W,4.5W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#3．灵敏度≥94dB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#4．频率响应：110Hz-18KHz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#5．喇叭单元：≥5"×1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C7-2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20W音柱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#1．额定功率：≥20W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#2．灵敏度≥91dB±3dB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#3．频率响应：130Hz-18KHz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#4．喇叭单元：≥4"×2,2.5"×1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C7-3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30W音柱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#1．额定功率：≥30W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#2．灵敏度≥89dB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#3．频率响应：130Hz-18KHz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#4．喇叭单元：≥4"×3,2.5"×1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C7-4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60W音柱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#1．额定功率(100V)：≥60W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#2．额定功率(70V)：≥30W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#3．灵敏度≥91dB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#4．频率响应：110Hz-15KHz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#5．防护等级：≥IP66</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#6．喇叭单元：≥6.5"×2+3"×1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C7-5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120W音柱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#1．额定功率(100V)：≥120W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#2．额定功率(70V)：≥60W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#3．灵敏度≥94dB</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#4．频率响应：110Hz-15KHz</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#5．防护等级：≥IP66</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#6．喇叭单元：≥6.5"×4+3"×1</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C8、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#≥1.2米音频连接线：莲花（RCA）-6.35话筒插头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音频连接线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#≥1.8米音频连接线：3.5（耳机插头）-双莲花（RCA）</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#六类水晶头 镀金RJ45工程类千兆水晶头 8P8C电脑网络线接头100个</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#非网管≥8口千兆以太网交换机 </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音频线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#≥RVS2*1.5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3600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KBG线管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#直径≥25mm，壁厚≥1mm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金属软管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桥架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#桥架≥200mm*100mm*1mm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室外音柱线缆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#≥RVS2*2.5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C8-10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安装辅材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center"/>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D中心机房系统</w:t>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D1、机柜系统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综合柜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#1、机柜尺寸要求≥600（W)*1350(D)*2000(H)；</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#2、前门具备单点式机械锁；后门具备双连杆式机械锁，前门支持配合显示屏开孔，支持封闭冷通道和热通道；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#3、机架≥1个；顶底板≥1块；方孔条≥4个；竖直理线环≥6对；接地铜排组件≥1个；进风风阀组件及顶部排放风扇组件≥1套（含控制器）；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#4、机柜符合GB/T 19520.2-2007(标准19in)标准，≥42U。</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IT柜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#1、机柜尺寸要求≥600（W)*1350(D)*2000(H)；</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#2、前门具备单点式机械锁；后门具备双连杆式机械锁，自带支持封闭冷通道和热通道；</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#3、机架≥1个；顶底板≥1块；方孔条≥4个；竖直扎线板≥2个，1U横装理线架≥1个；接地铜排组件≥1个；进风风阀组件及顶部排放风扇组件≥1套（含控制器）；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#4、机柜符合GB/T 19520.2-2007(标准19in)标准，≥42U。</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▲5、机柜动态承载能力≥1200kg，静态承载能力≥2550kg（提供具有CMA或CNAS认证的第三方机构检验报告原件扫描件）。</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#6、机柜应按照标准YD5083-2005《电信设备抗地震性能检测规范》要求，带载800kg测试通过8、9级烈度抗震试验。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左侧侧板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#机柜侧板，用于封堵</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右侧侧板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#机柜侧板，用于封堵</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层板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#承重能力≥80KG</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L型导轨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#L型导轨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#1U盲板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柜体照明包</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#柜体照明包+LED氛围灯带</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上走线槽</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#机柜上走线槽，含强弱电</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D2、配电系统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交流配电单元</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#1、单路市电输入，配置≥125A/3P*1 微型断路器；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#2、支持C级防雷，Imax=40kA In=20kA ，配置≥32A/4P*1 微型断路器；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#3、输入输出开关配置≥ 63A/3P*2 微型断路器，维护旁路开关带锁配置 ≥63A/4P*1 微型断路器；空调输入开关配置≥ 40A/1P*2 微型断路器；照明开关≥32A/1P*1微型断路器；备用开关≥32A/1P*1微型断路器，B路IT机柜及备用开关配置 ≥32A/1P*8 微型断路器；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#4、A路IT机柜及备用开关配置 ≥32A/1P*8 微型断路器，监控开关≥32A/1P*1微型断路器；</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#5、具备RS485智能采集模块、电源输入指示灯，支持监测主路及支路供电电压、电流、功率等参数；≤8U高度，支持标准19英寸安装。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集中供电系统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#1、支持机架式安装架构，带载能力≥30KW。</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#2、支持在线双转换，整流及逆变支持IGBT，监控屏支持触摸控制，支持EPO功能，具备RS232或RS485通讯接口或协议。</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#3、输入电压范围不低于120~300VAC。</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#4、输出稳压精度 ≤1%，转换时间 0ms(包括市电与电池之间，旁路与逆变之间)。</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#5、蓄电池可调范围±16~±20。</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#6、系统效率不低于95.5%。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32A竖装PDU</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#32A输入，输出≥12位国标10A插孔+4位国标16A，带接线盒，指示灯等</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D2-4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配线辅材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#≥线径3*6mm2，包含配套辅材，以及安装配套服务，满足单排微模块使用场景</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auto"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D3、温控系统</w:t>
            </w:r>
            <w:r/>
          </w:p>
        </w:tc>
      </w:tr>
      <w:tr>
        <w:trPr>
          <w:trHeight w:val="4902"/>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D3-1</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制冷设备</w:t>
            </w:r>
            <w:r/>
          </w:p>
        </w:tc>
        <w:tc>
          <w:tcPr>
            <w:shd w:val="clear" w:color="auto" w:fill="auto"/>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#1、单台恒温恒湿总制冷量≥12.5KW，风量≥2200m3/h。                                                                                                                      </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▲2、具备高节能特性，具备高效变频压缩机，设备能效比≥3.2（提供具有CMA或CNAS认证的第三方机构检验报告原件扫描件）；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#3、室内风机具备可无极调速的EC离心风机，支持在线热插拔；</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#4、机组具备微处理控制器，支持按照设定的温度要求进行自动调节，显示即时的工作状态，支持储存并显示≥200条历史告警信息；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#5、电加热具备陶瓷式PTC，支持温度自动保护、多级加热，支持精确控制环境温度，PTC电加热≥1.5KW，加湿量≥2.5kg/h</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#6、根据安装环境制冷设备需配强排水泵，水泵带自吸功能，以满足安装要求；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▲7、设备具备全国工业产品生产许可证，且通过国家CCC强制认证（提供全国工业产品生产许可证及CCC证书）。</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auto" w:sz="4" w:space="0"/>
              <w:left w:val="single" w:color="auto" w:sz="4" w:space="0"/>
              <w:right w:val="single" w:color="auto"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含室外机</w:t>
            </w:r>
            <w:r/>
          </w:p>
        </w:tc>
      </w:tr>
      <w:tr>
        <w:trPr/>
        <w:tc>
          <w:tcPr>
            <w:shd w:val="clear" w:color="auto" w:fill="auto"/>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D3-2</w:t>
            </w:r>
            <w:r/>
          </w:p>
        </w:tc>
        <w:tc>
          <w:tcPr>
            <w:shd w:val="clear" w:color="auto" w:fill="auto"/>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制冷设备辅材</w:t>
            </w:r>
            <w:r/>
          </w:p>
        </w:tc>
        <w:tc>
          <w:tcPr>
            <w:shd w:val="clear" w:color="auto" w:fill="auto"/>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#满足2台制冷设备安装，每套含≥20m冷媒管</w:t>
            </w:r>
            <w:r/>
          </w:p>
        </w:tc>
        <w:tc>
          <w:tcPr>
            <w:shd w:val="clear" w:color="auto" w:fill="auto"/>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auto" w:sz="4" w:space="0"/>
              <w:left w:val="single" w:color="000000" w:sz="4" w:space="0"/>
              <w:bottom w:val="single" w:color="000000"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D4、新风系统</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新风机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#风量≥400m</w:t>
            </w:r>
            <w:r>
              <w:rPr>
                <w:rFonts w:hint="eastAsia" w:ascii="宋体" w:hAnsi="宋体" w:eastAsia="宋体" w:cs="宋体"/>
                <w:color w:val="auto"/>
                <w:highlight w:val="none"/>
                <w:vertAlign w:val="superscript"/>
                <w:lang w:bidi="ar"/>
              </w:rPr>
              <w:t xml:space="preserve">3</w:t>
            </w:r>
            <w:r>
              <w:rPr>
                <w:rFonts w:hint="eastAsia" w:ascii="宋体" w:hAnsi="宋体" w:eastAsia="宋体" w:cs="宋体"/>
                <w:color w:val="auto"/>
                <w:highlight w:val="none"/>
                <w:lang w:bidi="ar"/>
              </w:rPr>
              <w:t xml:space="preserve">/h；过滤效率≥95%；支持液晶控制器，可编程分时段开、关机运行；支持过滤器更换提醒，功率≥70w，用电支持220v</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26496" behindDoc="0" locked="0" layoutInCell="1" allowOverlap="1">
                      <wp:simplePos x="0" y="0"/>
                      <wp:positionH relativeFrom="column">
                        <wp:posOffset>320040</wp:posOffset>
                      </wp:positionH>
                      <wp:positionV relativeFrom="paragraph">
                        <wp:posOffset>99060</wp:posOffset>
                      </wp:positionV>
                      <wp:extent cx="135255" cy="624840"/>
                      <wp:effectExtent l="0" t="0" r="0" b="0"/>
                      <wp:wrapNone/>
                      <wp:docPr id="2" name="文本框_7"/>
                      <wp:cNvGraphicFramePr/>
                      <a:graphic xmlns:a="http://schemas.openxmlformats.org/drawingml/2006/main">
                        <a:graphicData uri="http://schemas.openxmlformats.org/drawingml/2006/picture">
                          <pic:pic xmlns:pic="http://schemas.openxmlformats.org/drawingml/2006/picture">
                            <pic:nvPicPr>
                              <pic:cNvPr id="65" name="文本框_7"/>
                              <pic:cNvPicPr>
                                <a:picLocks noChangeArrowheads="1"/>
                              </pic:cNvPicPr>
                              <pic:nvPr/>
                            </pic:nvPicPr>
                            <pic:blipFill>
                              <a:blip r:embed="rId15"/>
                              <a:stretch/>
                            </pic:blipFill>
                            <pic:spPr bwMode="auto">
                              <a:xfrm>
                                <a:off x="0" y="0"/>
                                <a:ext cx="135255" cy="624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26496;o:allowoverlap:true;o:allowincell:true;mso-position-horizontal-relative:text;margin-left:25.2pt;mso-position-horizontal:absolute;mso-position-vertical-relative:text;margin-top:7.8pt;mso-position-vertical:absolute;width:10.7pt;height:49.2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auto"/>
                <w:highlight w:val="none"/>
                <w:lang w:bidi="ar"/>
              </w:rPr>
              <w:t xml:space="preserve">D4-2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防火阀</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#3C型式认证，支持与消防主机联动，接收24V信号启动；手动复位，常开模式</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风管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#≥0.6mm厚镀锌钢板，≥20mm橡塑板保温管道，含三通、弯头、变径等异形风管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平米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风口</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#散流器</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防雨百叶风口</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控制线及铺设</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#新风机配套</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D4-7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配件及安装</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#根据所投设备定制，含电源部分及阀布线接线等配套辅材，以及穿墙、打孔、砸洞安装配套等服务，满足使用要求。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27520"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3" name="文本框_5"/>
                      <wp:cNvGraphicFramePr/>
                      <a:graphic xmlns:a="http://schemas.openxmlformats.org/drawingml/2006/main">
                        <a:graphicData uri="http://schemas.openxmlformats.org/drawingml/2006/picture">
                          <pic:pic xmlns:pic="http://schemas.openxmlformats.org/drawingml/2006/picture">
                            <pic:nvPicPr>
                              <pic:cNvPr id="66" name="文本框_5"/>
                              <pic:cNvPicPr>
                                <a:picLocks noChangeArrowheads="1"/>
                              </pic:cNvPicPr>
                              <pic:nvPr/>
                            </pic:nvPicPr>
                            <pic:blipFill>
                              <a:blip r:embed="rId16"/>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27520;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28544"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4" name="文本框_8"/>
                      <wp:cNvGraphicFramePr/>
                      <a:graphic xmlns:a="http://schemas.openxmlformats.org/drawingml/2006/main">
                        <a:graphicData uri="http://schemas.openxmlformats.org/drawingml/2006/picture">
                          <pic:pic xmlns:pic="http://schemas.openxmlformats.org/drawingml/2006/picture">
                            <pic:nvPicPr>
                              <pic:cNvPr id="67" name="文本框_8"/>
                              <pic:cNvPicPr>
                                <a:picLocks noChangeArrowheads="1"/>
                              </pic:cNvPicPr>
                              <pic:nvPr/>
                            </pic:nvPicPr>
                            <pic:blipFill>
                              <a:blip r:embed="rId17"/>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28544;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29568"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 name="文本框_8_SpCnt_1"/>
                      <wp:cNvGraphicFramePr/>
                      <a:graphic xmlns:a="http://schemas.openxmlformats.org/drawingml/2006/main">
                        <a:graphicData uri="http://schemas.openxmlformats.org/drawingml/2006/picture">
                          <pic:pic xmlns:pic="http://schemas.openxmlformats.org/drawingml/2006/picture">
                            <pic:nvPicPr>
                              <pic:cNvPr id="68" name="文本框_8_SpCnt_1"/>
                              <pic:cNvPicPr>
                                <a:picLocks noChangeArrowheads="1"/>
                              </pic:cNvPicPr>
                              <pic:nvPr/>
                            </pic:nvPicPr>
                            <pic:blipFill>
                              <a:blip r:embed="rId18"/>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29568;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0592"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 name="文本框_8_SpCnt_2"/>
                      <wp:cNvGraphicFramePr/>
                      <a:graphic xmlns:a="http://schemas.openxmlformats.org/drawingml/2006/main">
                        <a:graphicData uri="http://schemas.openxmlformats.org/drawingml/2006/picture">
                          <pic:pic xmlns:pic="http://schemas.openxmlformats.org/drawingml/2006/picture">
                            <pic:nvPicPr>
                              <pic:cNvPr id="69" name="文本框_8_SpCnt_2"/>
                              <pic:cNvPicPr>
                                <a:picLocks noChangeArrowheads="1"/>
                              </pic:cNvPicPr>
                              <pic:nvPr/>
                            </pic:nvPicPr>
                            <pic:blipFill>
                              <a:blip r:embed="rId19"/>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30592;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1616"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7" name="文本框_8_SpCnt_3"/>
                      <wp:cNvGraphicFramePr/>
                      <a:graphic xmlns:a="http://schemas.openxmlformats.org/drawingml/2006/main">
                        <a:graphicData uri="http://schemas.openxmlformats.org/drawingml/2006/picture">
                          <pic:pic xmlns:pic="http://schemas.openxmlformats.org/drawingml/2006/picture">
                            <pic:nvPicPr>
                              <pic:cNvPr id="70" name="文本框_8_SpCnt_3"/>
                              <pic:cNvPicPr>
                                <a:picLocks noChangeArrowheads="1"/>
                              </pic:cNvPicPr>
                              <pic:nvPr/>
                            </pic:nvPicPr>
                            <pic:blipFill>
                              <a:blip r:embed="rId20"/>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31616;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2640"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8" name="文本框_7_SpCnt_1"/>
                      <wp:cNvGraphicFramePr/>
                      <a:graphic xmlns:a="http://schemas.openxmlformats.org/drawingml/2006/main">
                        <a:graphicData uri="http://schemas.openxmlformats.org/drawingml/2006/picture">
                          <pic:pic xmlns:pic="http://schemas.openxmlformats.org/drawingml/2006/picture">
                            <pic:nvPicPr>
                              <pic:cNvPr id="71" name="文本框_7_SpCnt_1"/>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32640;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3664"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9" name="文本框_5_SpCnt_1"/>
                      <wp:cNvGraphicFramePr/>
                      <a:graphic xmlns:a="http://schemas.openxmlformats.org/drawingml/2006/main">
                        <a:graphicData uri="http://schemas.openxmlformats.org/drawingml/2006/picture">
                          <pic:pic xmlns:pic="http://schemas.openxmlformats.org/drawingml/2006/picture">
                            <pic:nvPicPr>
                              <pic:cNvPr id="72" name="文本框_5_SpCnt_1"/>
                              <pic:cNvPicPr>
                                <a:picLocks noChangeArrowheads="1"/>
                              </pic:cNvPicPr>
                              <pic:nvPr/>
                            </pic:nvPicPr>
                            <pic:blipFill>
                              <a:blip r:embed="rId22"/>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33664;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4688"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0" name="文本框_4"/>
                      <wp:cNvGraphicFramePr/>
                      <a:graphic xmlns:a="http://schemas.openxmlformats.org/drawingml/2006/main">
                        <a:graphicData uri="http://schemas.openxmlformats.org/drawingml/2006/picture">
                          <pic:pic xmlns:pic="http://schemas.openxmlformats.org/drawingml/2006/picture">
                            <pic:nvPicPr>
                              <pic:cNvPr id="73" name="文本框_4"/>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34688;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5712"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1" name="文本框_8_SpCnt_4"/>
                      <wp:cNvGraphicFramePr/>
                      <a:graphic xmlns:a="http://schemas.openxmlformats.org/drawingml/2006/main">
                        <a:graphicData uri="http://schemas.openxmlformats.org/drawingml/2006/picture">
                          <pic:pic xmlns:pic="http://schemas.openxmlformats.org/drawingml/2006/picture">
                            <pic:nvPicPr>
                              <pic:cNvPr id="74" name="文本框_8_SpCnt_4"/>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35712;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6736"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2" name="文本框_7_SpCnt_2"/>
                      <wp:cNvGraphicFramePr/>
                      <a:graphic xmlns:a="http://schemas.openxmlformats.org/drawingml/2006/main">
                        <a:graphicData uri="http://schemas.openxmlformats.org/drawingml/2006/picture">
                          <pic:pic xmlns:pic="http://schemas.openxmlformats.org/drawingml/2006/picture">
                            <pic:nvPicPr>
                              <pic:cNvPr id="75" name="文本框_7_SpCnt_2"/>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36736;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7760"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3" name="文本框_5_SpCnt_2"/>
                      <wp:cNvGraphicFramePr/>
                      <a:graphic xmlns:a="http://schemas.openxmlformats.org/drawingml/2006/main">
                        <a:graphicData uri="http://schemas.openxmlformats.org/drawingml/2006/picture">
                          <pic:pic xmlns:pic="http://schemas.openxmlformats.org/drawingml/2006/picture">
                            <pic:nvPicPr>
                              <pic:cNvPr id="76" name="文本框_5_SpCnt_2"/>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37760;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8784"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4" name="文本框_4_SpCnt_1"/>
                      <wp:cNvGraphicFramePr/>
                      <a:graphic xmlns:a="http://schemas.openxmlformats.org/drawingml/2006/main">
                        <a:graphicData uri="http://schemas.openxmlformats.org/drawingml/2006/picture">
                          <pic:pic xmlns:pic="http://schemas.openxmlformats.org/drawingml/2006/picture">
                            <pic:nvPicPr>
                              <pic:cNvPr id="77" name="文本框_4_SpCnt_1"/>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38784;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39808"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5" name="文本框_8_SpCnt_5"/>
                      <wp:cNvGraphicFramePr/>
                      <a:graphic xmlns:a="http://schemas.openxmlformats.org/drawingml/2006/main">
                        <a:graphicData uri="http://schemas.openxmlformats.org/drawingml/2006/picture">
                          <pic:pic xmlns:pic="http://schemas.openxmlformats.org/drawingml/2006/picture">
                            <pic:nvPicPr>
                              <pic:cNvPr id="78" name="文本框_8_SpCnt_5"/>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39808;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0832"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6" name="文本框_7_SpCnt_3"/>
                      <wp:cNvGraphicFramePr/>
                      <a:graphic xmlns:a="http://schemas.openxmlformats.org/drawingml/2006/main">
                        <a:graphicData uri="http://schemas.openxmlformats.org/drawingml/2006/picture">
                          <pic:pic xmlns:pic="http://schemas.openxmlformats.org/drawingml/2006/picture">
                            <pic:nvPicPr>
                              <pic:cNvPr id="79" name="文本框_7_SpCnt_3"/>
                              <pic:cNvPicPr>
                                <a:picLocks noChangeArrowheads="1"/>
                              </pic:cNvPicPr>
                              <pic:nvPr/>
                            </pic:nvPicPr>
                            <pic:blipFill>
                              <a:blip r:embed="rId24"/>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40832;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1856"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7" name="文本框_5_SpCnt_3"/>
                      <wp:cNvGraphicFramePr/>
                      <a:graphic xmlns:a="http://schemas.openxmlformats.org/drawingml/2006/main">
                        <a:graphicData uri="http://schemas.openxmlformats.org/drawingml/2006/picture">
                          <pic:pic xmlns:pic="http://schemas.openxmlformats.org/drawingml/2006/picture">
                            <pic:nvPicPr>
                              <pic:cNvPr id="80" name="文本框_5_SpCnt_3"/>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41856;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2880"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8" name="文本框_4_SpCnt_2"/>
                      <wp:cNvGraphicFramePr/>
                      <a:graphic xmlns:a="http://schemas.openxmlformats.org/drawingml/2006/main">
                        <a:graphicData uri="http://schemas.openxmlformats.org/drawingml/2006/picture">
                          <pic:pic xmlns:pic="http://schemas.openxmlformats.org/drawingml/2006/picture">
                            <pic:nvPicPr>
                              <pic:cNvPr id="81" name="文本框_4_SpCnt_2"/>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42880;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3904"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19" name="文本框_8_SpCnt_6"/>
                      <wp:cNvGraphicFramePr/>
                      <a:graphic xmlns:a="http://schemas.openxmlformats.org/drawingml/2006/main">
                        <a:graphicData uri="http://schemas.openxmlformats.org/drawingml/2006/picture">
                          <pic:pic xmlns:pic="http://schemas.openxmlformats.org/drawingml/2006/picture">
                            <pic:nvPicPr>
                              <pic:cNvPr id="82" name="文本框_8_SpCnt_6"/>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43904;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4928"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20" name="文本框_7_SpCnt_4"/>
                      <wp:cNvGraphicFramePr/>
                      <a:graphic xmlns:a="http://schemas.openxmlformats.org/drawingml/2006/main">
                        <a:graphicData uri="http://schemas.openxmlformats.org/drawingml/2006/picture">
                          <pic:pic xmlns:pic="http://schemas.openxmlformats.org/drawingml/2006/picture">
                            <pic:nvPicPr>
                              <pic:cNvPr id="83" name="文本框_7_SpCnt_4"/>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44928;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5952"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21" name="文本框_5_SpCnt_4"/>
                      <wp:cNvGraphicFramePr/>
                      <a:graphic xmlns:a="http://schemas.openxmlformats.org/drawingml/2006/main">
                        <a:graphicData uri="http://schemas.openxmlformats.org/drawingml/2006/picture">
                          <pic:pic xmlns:pic="http://schemas.openxmlformats.org/drawingml/2006/picture">
                            <pic:nvPicPr>
                              <pic:cNvPr id="84" name="文本框_5_SpCnt_4"/>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45952;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6976" behindDoc="0" locked="0" layoutInCell="1" allowOverlap="1">
                      <wp:simplePos x="0" y="0"/>
                      <wp:positionH relativeFrom="column">
                        <wp:posOffset>1351280</wp:posOffset>
                      </wp:positionH>
                      <wp:positionV relativeFrom="paragraph">
                        <wp:posOffset>0</wp:posOffset>
                      </wp:positionV>
                      <wp:extent cx="167640" cy="2435860"/>
                      <wp:effectExtent l="0" t="0" r="0" b="0"/>
                      <wp:wrapNone/>
                      <wp:docPr id="22" name="文本框_4_SpCnt_3"/>
                      <wp:cNvGraphicFramePr/>
                      <a:graphic xmlns:a="http://schemas.openxmlformats.org/drawingml/2006/main">
                        <a:graphicData uri="http://schemas.openxmlformats.org/drawingml/2006/picture">
                          <pic:pic xmlns:pic="http://schemas.openxmlformats.org/drawingml/2006/picture">
                            <pic:nvPicPr>
                              <pic:cNvPr id="85" name="文本框_4_SpCnt_3"/>
                              <pic:cNvPicPr>
                                <a:picLocks noChangeArrowheads="1"/>
                              </pic:cNvPicPr>
                              <pic:nvPr/>
                            </pic:nvPicPr>
                            <pic:blipFill>
                              <a:blip r:embed="rId23"/>
                              <a:stretch/>
                            </pic:blipFill>
                            <pic:spPr bwMode="auto">
                              <a:xfrm>
                                <a:off x="0" y="0"/>
                                <a:ext cx="167640"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46976;o:allowoverlap:true;o:allowincell:true;mso-position-horizontal-relative:text;margin-left:106.4pt;mso-position-horizontal:absolute;mso-position-vertical-relative:text;margin-top:0.0pt;mso-position-vertical:absolute;width:13.2pt;height:191.8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8000"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3" name="文本框_8_SpCnt_7"/>
                      <wp:cNvGraphicFramePr/>
                      <a:graphic xmlns:a="http://schemas.openxmlformats.org/drawingml/2006/main">
                        <a:graphicData uri="http://schemas.openxmlformats.org/drawingml/2006/picture">
                          <pic:pic xmlns:pic="http://schemas.openxmlformats.org/drawingml/2006/picture">
                            <pic:nvPicPr>
                              <pic:cNvPr id="86" name="文本框_8_SpCnt_7"/>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48000;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49024"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4" name="文本框_7_SpCnt_5"/>
                      <wp:cNvGraphicFramePr/>
                      <a:graphic xmlns:a="http://schemas.openxmlformats.org/drawingml/2006/main">
                        <a:graphicData uri="http://schemas.openxmlformats.org/drawingml/2006/picture">
                          <pic:pic xmlns:pic="http://schemas.openxmlformats.org/drawingml/2006/picture">
                            <pic:nvPicPr>
                              <pic:cNvPr id="87" name="文本框_7_SpCnt_5"/>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49024;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0048"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5" name="文本框_5_SpCnt_5"/>
                      <wp:cNvGraphicFramePr/>
                      <a:graphic xmlns:a="http://schemas.openxmlformats.org/drawingml/2006/main">
                        <a:graphicData uri="http://schemas.openxmlformats.org/drawingml/2006/picture">
                          <pic:pic xmlns:pic="http://schemas.openxmlformats.org/drawingml/2006/picture">
                            <pic:nvPicPr>
                              <pic:cNvPr id="88" name="文本框_5_SpCnt_5"/>
                              <pic:cNvPicPr>
                                <a:picLocks noChangeArrowheads="1"/>
                              </pic:cNvPicPr>
                              <pic:nvPr/>
                            </pic:nvPicPr>
                            <pic:blipFill>
                              <a:blip r:embed="rId26"/>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0048;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6"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1072"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6" name="文本框_4_SpCnt_4"/>
                      <wp:cNvGraphicFramePr/>
                      <a:graphic xmlns:a="http://schemas.openxmlformats.org/drawingml/2006/main">
                        <a:graphicData uri="http://schemas.openxmlformats.org/drawingml/2006/picture">
                          <pic:pic xmlns:pic="http://schemas.openxmlformats.org/drawingml/2006/picture">
                            <pic:nvPicPr>
                              <pic:cNvPr id="89" name="文本框_4_SpCnt_4"/>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1072;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2096"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7" name="文本框_8_SpCnt_8"/>
                      <wp:cNvGraphicFramePr/>
                      <a:graphic xmlns:a="http://schemas.openxmlformats.org/drawingml/2006/main">
                        <a:graphicData uri="http://schemas.openxmlformats.org/drawingml/2006/picture">
                          <pic:pic xmlns:pic="http://schemas.openxmlformats.org/drawingml/2006/picture">
                            <pic:nvPicPr>
                              <pic:cNvPr id="90" name="文本框_8_SpCnt_8"/>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2096;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3120"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8" name="文本框_7_SpCnt_6"/>
                      <wp:cNvGraphicFramePr/>
                      <a:graphic xmlns:a="http://schemas.openxmlformats.org/drawingml/2006/main">
                        <a:graphicData uri="http://schemas.openxmlformats.org/drawingml/2006/picture">
                          <pic:pic xmlns:pic="http://schemas.openxmlformats.org/drawingml/2006/picture">
                            <pic:nvPicPr>
                              <pic:cNvPr id="91" name="文本框_7_SpCnt_6"/>
                              <pic:cNvPicPr>
                                <a:picLocks noChangeArrowheads="1"/>
                              </pic:cNvPicPr>
                              <pic:nvPr/>
                            </pic:nvPicPr>
                            <pic:blipFill>
                              <a:blip r:embed="rId27"/>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3120;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29" name="文本框_5_SpCnt_6"/>
                      <wp:cNvGraphicFramePr/>
                      <a:graphic xmlns:a="http://schemas.openxmlformats.org/drawingml/2006/main">
                        <a:graphicData uri="http://schemas.openxmlformats.org/drawingml/2006/picture">
                          <pic:pic xmlns:pic="http://schemas.openxmlformats.org/drawingml/2006/picture">
                            <pic:nvPicPr>
                              <pic:cNvPr id="92" name="文本框_5_SpCnt_6"/>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4144;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0" name="文本框_4_SpCnt_5"/>
                      <wp:cNvGraphicFramePr/>
                      <a:graphic xmlns:a="http://schemas.openxmlformats.org/drawingml/2006/main">
                        <a:graphicData uri="http://schemas.openxmlformats.org/drawingml/2006/picture">
                          <pic:pic xmlns:pic="http://schemas.openxmlformats.org/drawingml/2006/picture">
                            <pic:nvPicPr>
                              <pic:cNvPr id="93" name="文本框_4_SpCnt_5"/>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5168;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1" name="文本框_40"/>
                      <wp:cNvGraphicFramePr/>
                      <a:graphic xmlns:a="http://schemas.openxmlformats.org/drawingml/2006/main">
                        <a:graphicData uri="http://schemas.openxmlformats.org/drawingml/2006/picture">
                          <pic:pic xmlns:pic="http://schemas.openxmlformats.org/drawingml/2006/picture">
                            <pic:nvPicPr>
                              <pic:cNvPr id="94" name="文本框_40"/>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6192;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2" name="文本框_39"/>
                      <wp:cNvGraphicFramePr/>
                      <a:graphic xmlns:a="http://schemas.openxmlformats.org/drawingml/2006/main">
                        <a:graphicData uri="http://schemas.openxmlformats.org/drawingml/2006/picture">
                          <pic:pic xmlns:pic="http://schemas.openxmlformats.org/drawingml/2006/picture">
                            <pic:nvPicPr>
                              <pic:cNvPr id="95" name="文本框_39"/>
                              <pic:cNvPicPr>
                                <a:picLocks noChangeArrowheads="1"/>
                              </pic:cNvPicPr>
                              <pic:nvPr/>
                            </pic:nvPicPr>
                            <pic:blipFill>
                              <a:blip r:embed="rId28"/>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7216;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8"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3" name="文本框_5_SpCnt_7"/>
                      <wp:cNvGraphicFramePr/>
                      <a:graphic xmlns:a="http://schemas.openxmlformats.org/drawingml/2006/main">
                        <a:graphicData uri="http://schemas.openxmlformats.org/drawingml/2006/picture">
                          <pic:pic xmlns:pic="http://schemas.openxmlformats.org/drawingml/2006/picture">
                            <pic:nvPicPr>
                              <pic:cNvPr id="96" name="文本框_5_SpCnt_7"/>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40;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4" name="文本框_4_SpCnt_6"/>
                      <wp:cNvGraphicFramePr/>
                      <a:graphic xmlns:a="http://schemas.openxmlformats.org/drawingml/2006/main">
                        <a:graphicData uri="http://schemas.openxmlformats.org/drawingml/2006/picture">
                          <pic:pic xmlns:pic="http://schemas.openxmlformats.org/drawingml/2006/picture">
                            <pic:nvPicPr>
                              <pic:cNvPr id="97" name="文本框_4_SpCnt_6"/>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40;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5" name="文本框_8_SpCnt_9"/>
                      <wp:cNvGraphicFramePr/>
                      <a:graphic xmlns:a="http://schemas.openxmlformats.org/drawingml/2006/main">
                        <a:graphicData uri="http://schemas.openxmlformats.org/drawingml/2006/picture">
                          <pic:pic xmlns:pic="http://schemas.openxmlformats.org/drawingml/2006/picture">
                            <pic:nvPicPr>
                              <pic:cNvPr id="98" name="文本框_8_SpCnt_9"/>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9264;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6" name="文本框_7_SpCnt_7"/>
                      <wp:cNvGraphicFramePr/>
                      <a:graphic xmlns:a="http://schemas.openxmlformats.org/drawingml/2006/main">
                        <a:graphicData uri="http://schemas.openxmlformats.org/drawingml/2006/picture">
                          <pic:pic xmlns:pic="http://schemas.openxmlformats.org/drawingml/2006/picture">
                            <pic:nvPicPr>
                              <pic:cNvPr id="99" name="文本框_7_SpCnt_7"/>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0288;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7" name="文本框_5_SpCnt_8"/>
                      <wp:cNvGraphicFramePr/>
                      <a:graphic xmlns:a="http://schemas.openxmlformats.org/drawingml/2006/main">
                        <a:graphicData uri="http://schemas.openxmlformats.org/drawingml/2006/picture">
                          <pic:pic xmlns:pic="http://schemas.openxmlformats.org/drawingml/2006/picture">
                            <pic:nvPicPr>
                              <pic:cNvPr id="100" name="文本框_5_SpCnt_8"/>
                              <pic:cNvPicPr>
                                <a:picLocks noChangeArrowheads="1"/>
                              </pic:cNvPicPr>
                              <pic:nvPr/>
                            </pic:nvPicPr>
                            <pic:blipFill>
                              <a:blip r:embed="rId25"/>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1351280</wp:posOffset>
                      </wp:positionH>
                      <wp:positionV relativeFrom="paragraph">
                        <wp:posOffset>0</wp:posOffset>
                      </wp:positionV>
                      <wp:extent cx="167640" cy="2382520"/>
                      <wp:effectExtent l="0" t="0" r="0" b="0"/>
                      <wp:wrapNone/>
                      <wp:docPr id="38" name="文本框_4_SpCnt_7"/>
                      <wp:cNvGraphicFramePr/>
                      <a:graphic xmlns:a="http://schemas.openxmlformats.org/drawingml/2006/main">
                        <a:graphicData uri="http://schemas.openxmlformats.org/drawingml/2006/picture">
                          <pic:pic xmlns:pic="http://schemas.openxmlformats.org/drawingml/2006/picture">
                            <pic:nvPicPr>
                              <pic:cNvPr id="101" name="文本框_4_SpCnt_7"/>
                              <pic:cNvPicPr>
                                <a:picLocks noChangeArrowheads="1"/>
                              </pic:cNvPicPr>
                              <pic:nvPr/>
                            </pic:nvPicPr>
                            <pic:blipFill>
                              <a:blip r:embed="rId29"/>
                              <a:stretch/>
                            </pic:blipFill>
                            <pic:spPr bwMode="auto">
                              <a:xfrm>
                                <a:off x="0" y="0"/>
                                <a:ext cx="167640" cy="23825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2336;o:allowoverlap:true;o:allowincell:true;mso-position-horizontal-relative:text;margin-left:106.4pt;mso-position-horizontal:absolute;mso-position-vertical-relative:text;margin-top:0.0pt;mso-position-vertical:absolute;width:13.2pt;height:187.6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39" name="文本框_7_SpCnt_8"/>
                      <wp:cNvGraphicFramePr/>
                      <a:graphic xmlns:a="http://schemas.openxmlformats.org/drawingml/2006/main">
                        <a:graphicData uri="http://schemas.openxmlformats.org/drawingml/2006/picture">
                          <pic:pic xmlns:pic="http://schemas.openxmlformats.org/drawingml/2006/picture">
                            <pic:nvPicPr>
                              <pic:cNvPr id="102" name="文本框_7_SpCnt_8"/>
                              <pic:cNvPicPr>
                                <a:picLocks noChangeArrowheads="1"/>
                              </pic:cNvPicPr>
                              <pic:nvPr/>
                            </pic:nvPicPr>
                            <pic:blipFill>
                              <a:blip r:embed="rId30"/>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3360;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0"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0" name="文本框_5_SpCnt_9"/>
                      <wp:cNvGraphicFramePr/>
                      <a:graphic xmlns:a="http://schemas.openxmlformats.org/drawingml/2006/main">
                        <a:graphicData uri="http://schemas.openxmlformats.org/drawingml/2006/picture">
                          <pic:pic xmlns:pic="http://schemas.openxmlformats.org/drawingml/2006/picture">
                            <pic:nvPicPr>
                              <pic:cNvPr id="103" name="文本框_5_SpCnt_9"/>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64384;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1" name="文本框_4_SpCnt_8"/>
                      <wp:cNvGraphicFramePr/>
                      <a:graphic xmlns:a="http://schemas.openxmlformats.org/drawingml/2006/main">
                        <a:graphicData uri="http://schemas.openxmlformats.org/drawingml/2006/picture">
                          <pic:pic xmlns:pic="http://schemas.openxmlformats.org/drawingml/2006/picture">
                            <pic:nvPicPr>
                              <pic:cNvPr id="104" name="文本框_4_SpCnt_8"/>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5408;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2" name="文本框_8_SpCnt_10"/>
                      <wp:cNvGraphicFramePr/>
                      <a:graphic xmlns:a="http://schemas.openxmlformats.org/drawingml/2006/main">
                        <a:graphicData uri="http://schemas.openxmlformats.org/drawingml/2006/picture">
                          <pic:pic xmlns:pic="http://schemas.openxmlformats.org/drawingml/2006/picture">
                            <pic:nvPicPr>
                              <pic:cNvPr id="105" name="文本框_8_SpCnt_10"/>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6432;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3" name="文本框_7_SpCnt_9"/>
                      <wp:cNvGraphicFramePr/>
                      <a:graphic xmlns:a="http://schemas.openxmlformats.org/drawingml/2006/main">
                        <a:graphicData uri="http://schemas.openxmlformats.org/drawingml/2006/picture">
                          <pic:pic xmlns:pic="http://schemas.openxmlformats.org/drawingml/2006/picture">
                            <pic:nvPicPr>
                              <pic:cNvPr id="106" name="文本框_7_SpCnt_9"/>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7456;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4" name="文本框_5_SpCnt_10"/>
                      <wp:cNvGraphicFramePr/>
                      <a:graphic xmlns:a="http://schemas.openxmlformats.org/drawingml/2006/main">
                        <a:graphicData uri="http://schemas.openxmlformats.org/drawingml/2006/picture">
                          <pic:pic xmlns:pic="http://schemas.openxmlformats.org/drawingml/2006/picture">
                            <pic:nvPicPr>
                              <pic:cNvPr id="107" name="文本框_5_SpCnt_10"/>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8480;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5" name="文本框_4_SpCnt_9"/>
                      <wp:cNvGraphicFramePr/>
                      <a:graphic xmlns:a="http://schemas.openxmlformats.org/drawingml/2006/main">
                        <a:graphicData uri="http://schemas.openxmlformats.org/drawingml/2006/picture">
                          <pic:pic xmlns:pic="http://schemas.openxmlformats.org/drawingml/2006/picture">
                            <pic:nvPicPr>
                              <pic:cNvPr id="108" name="文本框_4_SpCnt_9"/>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9504;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6" name="文本框_8_SpCnt_11"/>
                      <wp:cNvGraphicFramePr/>
                      <a:graphic xmlns:a="http://schemas.openxmlformats.org/drawingml/2006/main">
                        <a:graphicData uri="http://schemas.openxmlformats.org/drawingml/2006/picture">
                          <pic:pic xmlns:pic="http://schemas.openxmlformats.org/drawingml/2006/picture">
                            <pic:nvPicPr>
                              <pic:cNvPr id="109" name="文本框_8_SpCnt_11"/>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70528;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7" name="文本框_7_SpCnt_10"/>
                      <wp:cNvGraphicFramePr/>
                      <a:graphic xmlns:a="http://schemas.openxmlformats.org/drawingml/2006/main">
                        <a:graphicData uri="http://schemas.openxmlformats.org/drawingml/2006/picture">
                          <pic:pic xmlns:pic="http://schemas.openxmlformats.org/drawingml/2006/picture">
                            <pic:nvPicPr>
                              <pic:cNvPr id="110" name="文本框_7_SpCnt_10"/>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71552;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8" name="文本框_5_SpCnt_11"/>
                      <wp:cNvGraphicFramePr/>
                      <a:graphic xmlns:a="http://schemas.openxmlformats.org/drawingml/2006/main">
                        <a:graphicData uri="http://schemas.openxmlformats.org/drawingml/2006/picture">
                          <pic:pic xmlns:pic="http://schemas.openxmlformats.org/drawingml/2006/picture">
                            <pic:nvPicPr>
                              <pic:cNvPr id="111" name="文本框_5_SpCnt_11"/>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72576;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49" name="文本框_4_SpCnt_10"/>
                      <wp:cNvGraphicFramePr/>
                      <a:graphic xmlns:a="http://schemas.openxmlformats.org/drawingml/2006/main">
                        <a:graphicData uri="http://schemas.openxmlformats.org/drawingml/2006/picture">
                          <pic:pic xmlns:pic="http://schemas.openxmlformats.org/drawingml/2006/picture">
                            <pic:nvPicPr>
                              <pic:cNvPr id="112" name="文本框_4_SpCnt_10"/>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73600;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50" name="文本框_8_SpCnt_12"/>
                      <wp:cNvGraphicFramePr/>
                      <a:graphic xmlns:a="http://schemas.openxmlformats.org/drawingml/2006/main">
                        <a:graphicData uri="http://schemas.openxmlformats.org/drawingml/2006/picture">
                          <pic:pic xmlns:pic="http://schemas.openxmlformats.org/drawingml/2006/picture">
                            <pic:nvPicPr>
                              <pic:cNvPr id="113" name="文本框_8_SpCnt_12"/>
                              <pic:cNvPicPr>
                                <a:picLocks noChangeArrowheads="1"/>
                              </pic:cNvPicPr>
                              <pic:nvPr/>
                            </pic:nvPicPr>
                            <pic:blipFill>
                              <a:blip r:embed="rId3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74624;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3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51" name="文本框_7_SpCnt_11"/>
                      <wp:cNvGraphicFramePr/>
                      <a:graphic xmlns:a="http://schemas.openxmlformats.org/drawingml/2006/main">
                        <a:graphicData uri="http://schemas.openxmlformats.org/drawingml/2006/picture">
                          <pic:pic xmlns:pic="http://schemas.openxmlformats.org/drawingml/2006/picture">
                            <pic:nvPicPr>
                              <pic:cNvPr id="114" name="文本框_7_SpCnt_11"/>
                              <pic:cNvPicPr>
                                <a:picLocks noChangeArrowheads="1"/>
                              </pic:cNvPicPr>
                              <pic:nvPr/>
                            </pic:nvPicPr>
                            <pic:blipFill>
                              <a:blip r:embed="rId32"/>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75648;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52" name="文本框_5_SpCnt_12"/>
                      <wp:cNvGraphicFramePr/>
                      <a:graphic xmlns:a="http://schemas.openxmlformats.org/drawingml/2006/main">
                        <a:graphicData uri="http://schemas.openxmlformats.org/drawingml/2006/picture">
                          <pic:pic xmlns:pic="http://schemas.openxmlformats.org/drawingml/2006/picture">
                            <pic:nvPicPr>
                              <pic:cNvPr id="115" name="文本框_5_SpCnt_12"/>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76672;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1351280</wp:posOffset>
                      </wp:positionH>
                      <wp:positionV relativeFrom="paragraph">
                        <wp:posOffset>0</wp:posOffset>
                      </wp:positionV>
                      <wp:extent cx="167640" cy="2420620"/>
                      <wp:effectExtent l="0" t="0" r="0" b="0"/>
                      <wp:wrapNone/>
                      <wp:docPr id="53" name="文本框_4_SpCnt_11"/>
                      <wp:cNvGraphicFramePr/>
                      <a:graphic xmlns:a="http://schemas.openxmlformats.org/drawingml/2006/main">
                        <a:graphicData uri="http://schemas.openxmlformats.org/drawingml/2006/picture">
                          <pic:pic xmlns:pic="http://schemas.openxmlformats.org/drawingml/2006/picture">
                            <pic:nvPicPr>
                              <pic:cNvPr id="116" name="文本框_4_SpCnt_11"/>
                              <pic:cNvPicPr>
                                <a:picLocks noChangeArrowheads="1"/>
                              </pic:cNvPicPr>
                              <pic:nvPr/>
                            </pic:nvPicPr>
                            <pic:blipFill>
                              <a:blip r:embed="rId21"/>
                              <a:stretch/>
                            </pic:blipFill>
                            <pic:spPr bwMode="auto">
                              <a:xfrm>
                                <a:off x="0" y="0"/>
                                <a:ext cx="167640" cy="242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77696;o:allowoverlap:true;o:allowincell:true;mso-position-horizontal-relative:text;margin-left:106.4pt;mso-position-horizontal:absolute;mso-position-vertical-relative:text;margin-top:0.0pt;mso-position-vertical:absolute;width:13.2pt;height:190.6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4" name="文本框_7_SpCnt_12"/>
                      <wp:cNvGraphicFramePr/>
                      <a:graphic xmlns:a="http://schemas.openxmlformats.org/drawingml/2006/main">
                        <a:graphicData uri="http://schemas.openxmlformats.org/drawingml/2006/picture">
                          <pic:pic xmlns:pic="http://schemas.openxmlformats.org/drawingml/2006/picture">
                            <pic:nvPicPr>
                              <pic:cNvPr id="117" name="文本框_7_SpCnt_12"/>
                              <pic:cNvPicPr>
                                <a:picLocks noChangeArrowheads="1"/>
                              </pic:cNvPicPr>
                              <pic:nvPr/>
                            </pic:nvPicPr>
                            <pic:blipFill>
                              <a:blip r:embed="rId33"/>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78720;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3"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5" name="文本框_5_SpCnt_13"/>
                      <wp:cNvGraphicFramePr/>
                      <a:graphic xmlns:a="http://schemas.openxmlformats.org/drawingml/2006/main">
                        <a:graphicData uri="http://schemas.openxmlformats.org/drawingml/2006/picture">
                          <pic:pic xmlns:pic="http://schemas.openxmlformats.org/drawingml/2006/picture">
                            <pic:nvPicPr>
                              <pic:cNvPr id="118" name="文本框_5_SpCnt_13"/>
                              <pic:cNvPicPr>
                                <a:picLocks noChangeArrowheads="1"/>
                              </pic:cNvPicPr>
                              <pic:nvPr/>
                            </pic:nvPicPr>
                            <pic:blipFill>
                              <a:blip r:embed="rId34"/>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79744;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4"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6" name="文本框_4_SpCnt_12"/>
                      <wp:cNvGraphicFramePr/>
                      <a:graphic xmlns:a="http://schemas.openxmlformats.org/drawingml/2006/main">
                        <a:graphicData uri="http://schemas.openxmlformats.org/drawingml/2006/picture">
                          <pic:pic xmlns:pic="http://schemas.openxmlformats.org/drawingml/2006/picture">
                            <pic:nvPicPr>
                              <pic:cNvPr id="119" name="文本框_4_SpCnt_12"/>
                              <pic:cNvPicPr>
                                <a:picLocks noChangeArrowheads="1"/>
                              </pic:cNvPicPr>
                              <pic:nvPr/>
                            </pic:nvPicPr>
                            <pic:blipFill>
                              <a:blip r:embed="rId35"/>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80768;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5"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7" name="文本框_8_SpCnt_13"/>
                      <wp:cNvGraphicFramePr/>
                      <a:graphic xmlns:a="http://schemas.openxmlformats.org/drawingml/2006/main">
                        <a:graphicData uri="http://schemas.openxmlformats.org/drawingml/2006/picture">
                          <pic:pic xmlns:pic="http://schemas.openxmlformats.org/drawingml/2006/picture">
                            <pic:nvPicPr>
                              <pic:cNvPr id="120" name="文本框_8_SpCnt_13"/>
                              <pic:cNvPicPr>
                                <a:picLocks noChangeArrowheads="1"/>
                              </pic:cNvPicPr>
                              <pic:nvPr/>
                            </pic:nvPicPr>
                            <pic:blipFill>
                              <a:blip r:embed="rId36"/>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81792;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6"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8" name="文本框_7_SpCnt_13"/>
                      <wp:cNvGraphicFramePr/>
                      <a:graphic xmlns:a="http://schemas.openxmlformats.org/drawingml/2006/main">
                        <a:graphicData uri="http://schemas.openxmlformats.org/drawingml/2006/picture">
                          <pic:pic xmlns:pic="http://schemas.openxmlformats.org/drawingml/2006/picture">
                            <pic:nvPicPr>
                              <pic:cNvPr id="121" name="文本框_7_SpCnt_13"/>
                              <pic:cNvPicPr>
                                <a:picLocks noChangeArrowheads="1"/>
                              </pic:cNvPicPr>
                              <pic:nvPr/>
                            </pic:nvPicPr>
                            <pic:blipFill>
                              <a:blip r:embed="rId37"/>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82816;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7"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59" name="文本框_5_SpCnt_14"/>
                      <wp:cNvGraphicFramePr/>
                      <a:graphic xmlns:a="http://schemas.openxmlformats.org/drawingml/2006/main">
                        <a:graphicData uri="http://schemas.openxmlformats.org/drawingml/2006/picture">
                          <pic:pic xmlns:pic="http://schemas.openxmlformats.org/drawingml/2006/picture">
                            <pic:nvPicPr>
                              <pic:cNvPr id="122" name="文本框_5_SpCnt_14"/>
                              <pic:cNvPicPr>
                                <a:picLocks noChangeArrowheads="1"/>
                              </pic:cNvPicPr>
                              <pic:nvPr/>
                            </pic:nvPicPr>
                            <pic:blipFill>
                              <a:blip r:embed="rId38"/>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83840;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8"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0" name="文本框_4_SpCnt_13"/>
                      <wp:cNvGraphicFramePr/>
                      <a:graphic xmlns:a="http://schemas.openxmlformats.org/drawingml/2006/main">
                        <a:graphicData uri="http://schemas.openxmlformats.org/drawingml/2006/picture">
                          <pic:pic xmlns:pic="http://schemas.openxmlformats.org/drawingml/2006/picture">
                            <pic:nvPicPr>
                              <pic:cNvPr id="123" name="文本框_4_SpCnt_13"/>
                              <pic:cNvPicPr>
                                <a:picLocks noChangeArrowheads="1"/>
                              </pic:cNvPicPr>
                              <pic:nvPr/>
                            </pic:nvPicPr>
                            <pic:blipFill>
                              <a:blip r:embed="rId39"/>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84864;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39"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1" name="文本框_7_SpCnt_14"/>
                      <wp:cNvGraphicFramePr/>
                      <a:graphic xmlns:a="http://schemas.openxmlformats.org/drawingml/2006/main">
                        <a:graphicData uri="http://schemas.openxmlformats.org/drawingml/2006/picture">
                          <pic:pic xmlns:pic="http://schemas.openxmlformats.org/drawingml/2006/picture">
                            <pic:nvPicPr>
                              <pic:cNvPr id="124" name="文本框_7_SpCnt_14"/>
                              <pic:cNvPicPr>
                                <a:picLocks noChangeArrowheads="1"/>
                              </pic:cNvPicPr>
                              <pic:nvPr/>
                            </pic:nvPicPr>
                            <pic:blipFill>
                              <a:blip r:embed="rId40"/>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85888;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40"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2" name="文本框_5_SpCnt_15"/>
                      <wp:cNvGraphicFramePr/>
                      <a:graphic xmlns:a="http://schemas.openxmlformats.org/drawingml/2006/main">
                        <a:graphicData uri="http://schemas.openxmlformats.org/drawingml/2006/picture">
                          <pic:pic xmlns:pic="http://schemas.openxmlformats.org/drawingml/2006/picture">
                            <pic:nvPicPr>
                              <pic:cNvPr id="125" name="文本框_5_SpCnt_15"/>
                              <pic:cNvPicPr>
                                <a:picLocks noChangeArrowheads="1"/>
                              </pic:cNvPicPr>
                              <pic:nvPr/>
                            </pic:nvPicPr>
                            <pic:blipFill>
                              <a:blip r:embed="rId41"/>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86912;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41"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3" name="文本框_4_SpCnt_14"/>
                      <wp:cNvGraphicFramePr/>
                      <a:graphic xmlns:a="http://schemas.openxmlformats.org/drawingml/2006/main">
                        <a:graphicData uri="http://schemas.openxmlformats.org/drawingml/2006/picture">
                          <pic:pic xmlns:pic="http://schemas.openxmlformats.org/drawingml/2006/picture">
                            <pic:nvPicPr>
                              <pic:cNvPr id="126" name="文本框_4_SpCnt_14"/>
                              <pic:cNvPicPr>
                                <a:picLocks noChangeArrowheads="1"/>
                              </pic:cNvPicPr>
                              <pic:nvPr/>
                            </pic:nvPicPr>
                            <pic:blipFill>
                              <a:blip r:embed="rId42"/>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87936;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42" o:title=""/>
                    </v:shape>
                  </w:pict>
                </mc:Fallback>
              </mc:AlternateContent>
            </w:r>
            <w:r>
              <w:rPr>
                <w:rFonts w:hint="eastAsia" w:ascii="宋体" w:hAnsi="宋体" w:eastAsia="宋体" w:cs="宋体"/>
                <w:b/>
                <w:bCs/>
                <w:color w:val="auto"/>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1351280</wp:posOffset>
                      </wp:positionH>
                      <wp:positionV relativeFrom="paragraph">
                        <wp:posOffset>0</wp:posOffset>
                      </wp:positionV>
                      <wp:extent cx="167640" cy="2374900"/>
                      <wp:effectExtent l="0" t="0" r="0" b="0"/>
                      <wp:wrapNone/>
                      <wp:docPr id="64" name="文本框_4_SpCnt_15"/>
                      <wp:cNvGraphicFramePr/>
                      <a:graphic xmlns:a="http://schemas.openxmlformats.org/drawingml/2006/main">
                        <a:graphicData uri="http://schemas.openxmlformats.org/drawingml/2006/picture">
                          <pic:pic xmlns:pic="http://schemas.openxmlformats.org/drawingml/2006/picture">
                            <pic:nvPicPr>
                              <pic:cNvPr id="127" name="文本框_4_SpCnt_15"/>
                              <pic:cNvPicPr>
                                <a:picLocks noChangeArrowheads="1"/>
                              </pic:cNvPicPr>
                              <pic:nvPr/>
                            </pic:nvPicPr>
                            <pic:blipFill>
                              <a:blip r:embed="rId43"/>
                              <a:stretch/>
                            </pic:blipFill>
                            <pic:spPr bwMode="auto">
                              <a:xfrm>
                                <a:off x="0" y="0"/>
                                <a:ext cx="167640" cy="2374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88960;o:allowoverlap:true;o:allowincell:true;mso-position-horizontal-relative:text;margin-left:106.4pt;mso-position-horizontal:absolute;mso-position-vertical-relative:text;margin-top:0.0pt;mso-position-vertical:absolute;width:13.2pt;height:187.0pt;mso-wrap-distance-left:9.0pt;mso-wrap-distance-top:0.0pt;mso-wrap-distance-right:9.0pt;mso-wrap-distance-bottom:0.0pt;" stroked="f">
                      <v:path textboxrect="0,0,0,0"/>
                      <v:imagedata r:id="rId43" o:title=""/>
                    </v:shape>
                  </w:pict>
                </mc:Fallback>
              </mc:AlternateContent>
            </w:r>
            <w:r>
              <w:rPr>
                <w:rFonts w:hint="eastAsia" w:ascii="宋体" w:hAnsi="宋体" w:eastAsia="宋体" w:cs="宋体"/>
                <w:b/>
                <w:bCs/>
                <w:color w:val="auto"/>
                <w:highlight w:val="none"/>
                <w:lang w:bidi="ar"/>
              </w:rPr>
              <w:t xml:space="preserve">D5、动环系统及其他配套</w:t>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动环监控系统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具备微模块监控管理系统，支持对模块化机房各环节的数据采集与管理，具备标准智能通讯接口，支持与动环系统的信息交互。具备触摸显示屏，尺寸≥10.1寸，支持智能终端嵌入式安装。支持监控以下范围的设备：空调、配电柜、精密列头柜等动力设备、烟雾传感器、温/湿度传感器、水浸传感器等环境设备。</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#2.具备监控管理系统功能，支持监控微模块内部设备的配电、电源、空调、IT设备、环境、用电、PUE等参数，支持对外设置独立的通讯接口。</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#3.支持PUE检测，支持测试微模块总用电及IT设备总用电。</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#4.支持自动检测各监控模块故障、传感器故障以及各智能设备与监控系统之间、各监控子系统之间的通讯是否正常，一旦发现通讯故障(包括系统本身的硬件故障)，支持发出报警信息。</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#5.支持WEB服务功能，支持管理人员通过IE浏览器查看到监控画面，画面刷新速度＜4s。</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#6.支持实时动态数据、告警分级管理、联动控制、查询统计归纳等监控管理功能。</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电源控制组件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#含开关电源，为监控一体机、氛围灯、传感器设备组件供电</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#具备RS485接口，支持12V供电，冷通道安装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烟雾传感器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#支持热通道安装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不定位漏水传感器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#漏水传感器，水浸绳≥5米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#≥2台400万像素摄像机，存储时间≥30天</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D5-7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线缆套包</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#根据所投设备定制，包含电源开关、胶带、钢丝、扎带、膨胀螺丝、固定螺丝、配套线缆等辅材，以及穿墙、打孔、砸洞安装配套等服务，满足使用要求。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D6、中心机房装饰、装修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地面工程</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地面防尘漆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#环保水性防尘漆≥2次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地面保温</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#≥20mm B1级</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#≥600×600×35mm，地板滚动载荷364KG地板的板面变形＜0.5MM；</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#集中载荷：当压头加载≥364KG弹性变形≤1.5MM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墙面工程</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门窗封堵</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#定制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墙面防尘漆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#环保水性防尘漆≥2次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墙面保温</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#≥20mm B1级</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墙面彩钢板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#≥0.6mm厚热熔镀锌钢板，≥1200mm宽*3000mm高*12mm厚防火石膏板</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顶面工程</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顶面防尘漆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#环保水性防尘漆≥2次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顶面保温</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#≥20mm B1级</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微孔铝扣板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#≥600×600×0.8mm，支持微孔吸音</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LED平板灯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#≥600mm*600mm*32W</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LED平板灯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#≥600mm*600mm应急90min</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#≥BV2.5</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消防</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#疏散指示安全出口</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手持灭火器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#七氟丙烷4KG手持式气体灭火器，质保≥5年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防雷接地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D6-16</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等电位铜排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#≥30*3mm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D6-17</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绝缘子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#≥m8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D6-18</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接地线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#≥BV16</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D6-19</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等电位箱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#≥300mm*200mm*100mm，厚度≥0.8</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管路桥架</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D6-20</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金属网格式桥架（弱电上走线）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#≥400*100mm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D6-21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金属槽式桥架（强电下走线）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#≥200*100mm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D6-22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KBG管</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#直径≥25mm，壁厚≥1mm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080"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left"/>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D6-23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#根据所投设备定制，包含管线、开关、插座、铜鼻等、胶带、钢丝、扎带、膨胀螺丝、固定螺丝等配套辅材，以及穿墙、打孔、砸洞安装配套等服务，满足使用要求。</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D7、监控中心装饰、装修</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D7-1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抗静电地板</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#≥600×600×35mm，地板滚动载荷364KG地板的板面变形＜0.5MM； </w:t>
            </w:r>
            <w:r>
              <w:rPr>
                <w:rFonts w:hint="eastAsia" w:ascii="宋体" w:hAnsi="宋体" w:eastAsia="宋体" w:cs="宋体"/>
                <w:color w:val="auto"/>
                <w:highlight w:val="none"/>
                <w:lang w:bidi="ar"/>
              </w:rPr>
              <w:br/>
            </w:r>
            <w:r>
              <w:rPr>
                <w:rFonts w:hint="eastAsia" w:ascii="宋体" w:hAnsi="宋体" w:eastAsia="宋体" w:cs="宋体"/>
                <w:color w:val="auto"/>
                <w:highlight w:val="none"/>
                <w:lang w:bidi="ar"/>
              </w:rPr>
              <w:t xml:space="preserve">#集中载荷：当压头加载≥364KG弹性变形≤1.5MM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D7-2</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地面防尘漆</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#环保水性防尘漆≥2次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D7-3</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w:t>
            </w:r>
            <w:r>
              <w:rPr>
                <w:rFonts w:hint="eastAsia" w:ascii="宋体" w:hAnsi="宋体" w:eastAsia="宋体" w:cs="宋体"/>
                <w:color w:val="auto"/>
                <w:highlight w:val="none"/>
                <w:lang w:bidi="ar"/>
              </w:rPr>
              <w:t xml:space="preserve">750mm*700mm*1800mm</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bidi="ar"/>
              </w:rPr>
              <w:t xml:space="preserve">三联操作台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D7-4</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等电位铜排含绝缘子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#≥30*3mm</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D7-5</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手持灭火器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#七氟丙烷4KG手持式气体灭火器，质保≥5年</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gridSpan w:val="5"/>
            <w:shd w:val="clear" w:color="auto" w:fill="auto"/>
            <w:tcBorders>
              <w:top w:val="single" w:color="000000" w:sz="4" w:space="0"/>
              <w:left w:val="single" w:color="000000" w:sz="4" w:space="0"/>
              <w:bottom w:val="single" w:color="000000" w:sz="4" w:space="0"/>
              <w:right w:val="single" w:color="000000" w:sz="4" w:space="0"/>
            </w:tcBorders>
            <w:tcW w:w="8202" w:type="dxa"/>
            <w:vAlign w:val="center"/>
            <w:textDirection w:val="lrTb"/>
            <w:noWrap w:val="false"/>
          </w:tcPr>
          <w:p>
            <w:pPr>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lang w:bidi="ar"/>
              </w:rPr>
              <w:t xml:space="preserve">D8、其他</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D8-1</w:t>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设备承重支架</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#含机柜承重支架、制冷设备室外机承重支架，承重≥1200KG</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4894"/>
        </w:trPr>
        <w:tc>
          <w:tcPr>
            <w:gridSpan w:val="6"/>
            <w:shd w:val="clear" w:color="auto" w:fill="auto"/>
            <w:tcBorders>
              <w:top w:val="single" w:color="000000" w:sz="4" w:space="0"/>
              <w:left w:val="single" w:color="000000" w:sz="4" w:space="0"/>
              <w:bottom w:val="single" w:color="000000" w:sz="4" w:space="0"/>
              <w:right w:val="single" w:color="000000" w:sz="4" w:space="0"/>
            </w:tcBorders>
            <w:tcW w:w="8864" w:type="dxa"/>
            <w:vAlign w:val="center"/>
            <w:textDirection w:val="lrTb"/>
            <w:noWrap w:val="false"/>
          </w:tcPr>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注：核心产品与重要技术参数要求</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采购清单中技术要求前标有“●”的为核心产品；提供相同品牌产品且通过资格审查、符合性审查的不同投标人参加同一合同项下投标的，按一家投标人计算,评审后得分最高的同品牌投标人获得成交人推荐资格；</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2、采购清单中技术要求前标有“★”的为关键技术参数，不接受负偏离，按要求提供证明材料，否则按无效标处理；</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3、采购清单中技术要求前标有“▲”的为重要技术参数，按要求提供证明材料。成交后七个工作日内提供原件备查，未提供属于提供虚假材料，采购单位有权取消</w:t>
            </w:r>
            <w:r>
              <w:rPr>
                <w:rFonts w:hint="eastAsia" w:ascii="宋体" w:hAnsi="宋体" w:cs="宋体"/>
                <w:color w:val="auto"/>
                <w:highlight w:val="none"/>
                <w:lang w:val="en-US" w:eastAsia="zh-CN" w:bidi="ar"/>
              </w:rPr>
              <w:t xml:space="preserve">中标</w:t>
            </w:r>
            <w:r>
              <w:rPr>
                <w:rFonts w:hint="eastAsia" w:ascii="宋体" w:hAnsi="宋体" w:eastAsia="宋体" w:cs="宋体"/>
                <w:color w:val="auto"/>
                <w:highlight w:val="none"/>
                <w:lang w:bidi="ar"/>
              </w:rPr>
              <w:t xml:space="preserve">资格；</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4、采购清单中技术要求前标有“#”的为一般技术参数，投标人需详尽真实的提供投标产品的技术要求响应及偏离表，且均需在技术要求响应及偏离表内详尽真实的提供偏差情况；</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5、除特别标注尺寸偏差、大于、大于等于、小于及小于等于之外，其它固定尺寸允许偏差±5%。</w:t>
            </w:r>
            <w:r/>
          </w:p>
          <w:p>
            <w:pPr>
              <w:jc w:val="left"/>
              <w:widowControl/>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6、投标人须提供所投标的产品品牌、型号、产地，须按照招标文件中投标文件格式要求填写完整。除辅材、辅助材料（含以施工为主的条目）和技术参数标明为定制的产品之外的其它应该标明品牌和型号的产品，在投标文件中必须标明产品的品牌、型号，否则作无效投标处理。</w:t>
            </w:r>
            <w:r/>
          </w:p>
          <w:p>
            <w:pPr>
              <w:jc w:val="left"/>
              <w:widowControl/>
              <w:rPr>
                <w:rFonts w:hint="eastAsia" w:ascii="宋体" w:hAnsi="宋体" w:eastAsia="宋体" w:cs="宋体"/>
                <w:color w:val="auto"/>
                <w:highlight w:val="none"/>
              </w:rPr>
            </w:pPr>
            <w:r>
              <w:rPr>
                <w:rFonts w:hint="eastAsia" w:ascii="宋体" w:hAnsi="宋体" w:eastAsia="宋体" w:cs="宋体"/>
                <w:color w:val="auto"/>
                <w:highlight w:val="none"/>
                <w:lang w:bidi="ar"/>
              </w:rPr>
              <w:t xml:space="preserve">7、中标人供货时产品的品牌、型号必须和投标文件中填写的产品的品牌、型号一致，否则，采购人有权拒收并要求中标人按投标文件中填写的产品的品牌、型号供货。</w:t>
            </w:r>
            <w:r/>
          </w:p>
        </w:tc>
      </w:tr>
    </w:tbl>
    <w:p>
      <w:pPr>
        <w:pStyle w:val="78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三、采购标的需实现的功能或者目标，以及为落实政府采购政策需满足的要求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1、采购本国货物、工程和服务</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政府采购应当采购本国货物、工程和服务，但有《中华人民共和国政府采购法》第十条规定情形的除外。</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2、节能、环保产品政策</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3、商品包装、快递包装政府采购需求标准（试行）</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4、绿色数据中心政府采购需求标准（试行）</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为加快数据中心绿色转型，根据财政部 生态环境部 工业和信息化部关于印发《绿色数据中心政府采购需求标准（试行）》的通知），本项目如涉及绿色数据中心，具体详见采购需求内容。</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5、限制标准的产品要求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本项目中涉及涂料、胶黏剂、油墨、清洗剂等挥发性有机物产品的，属于强制性标准的，投标人应当提供符合国家和江苏省相关VOCs 含量限制标准的产品。 </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四、项目要求</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（一）产品的包装、发运及运输要求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投标人应在产品发运前对其进行满足运输距离、防潮、防震、防锈和防破损装卸等要求包装，以保证产品安全运达采购人指定地点。供应商所投产品需进行商品包装和快递包装的，应不低于《关于印发〈商品包装政府采购需求标准（试行）〉、〈快递包装政府采购需求标准（试行）〉的通知》（财办库〔2020〕123号）文件规定的参考标准。</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（2）使用说明书、质量检验证明书、随配附件和工具以及清单一并附于货物内。</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（3）投标人在产品发运手续办理完毕后24小时内或货到采购人48小时前通知采购人，以准备接货。</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（4）产品在交付采购人前发生的风险均由投标人负责。</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（6）产品在规定的交付期限内由投标人送达采购人指定的地点视为交付，投标人同时需通知采购人产品已送达。</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（二）培训要求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中标人须派遣有设备操作、管理、维护经验的工程师，到采购人单位对采购单位的人员进行优质的培训服务。对设备的使用、操作、维护进行培训，并提供安装使用维护说明书，以确保使用单位能够对设备有足够的了解，能够独立进行日常操作、管理和维护。 </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（2）中标人必须为所有被培训人员提供培训用文字资料和讲义等相关用品。所有的资料必须是中文书写。上述资料的费用包含在投标报价内。 </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（3）所有的培训费用包括差旅、食宿、教材、资料等由中标人负责，均计入投标报价中。</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（三）供货、安装及质量要求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1、供货要求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中标人应严格按照投标文件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2、安装施工现场要求：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标的物由中标方负责安装，现场调试。中标方应派驻现场项目负责人及成员具备相关项目集成管理、信息安全、安防系统规划、网络规划、网络安全保障等专业技术能力，所有安装货物质量必须严格按照国家规范及江苏省相应地方规范、招标文件、材料厂家的技术规范的有关要求执行；</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中标方应对安装施工安全、质量全面负责，并承担设备保护，如因中标方原因造成网络规划不合理、重大信息或网络安全事件、安防系统覆盖不全面、质量事故、设备损坏等，中标方应承担一切经济法律责任；</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（3）中标方负责标的物合格、正常、安全使用。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（4）中标方应遵守现场的一切规章制度，按照采购人要求文明施工，项目安装过程中的施工人员安全问题由中标单位全权负责，与采购人无关。</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（5）施工现场的协调工作由中标方负责，采购人配合；</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（6）中标方负责对货物、安装货物（工具）等提供适当的保护、包装或覆盖等处理，负责保管、看护进场的货物及附配件，以免受损；</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（7）在安装、调试期间或保修过程中，中标方负责及时清理现场垃圾；</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3、产品质量要求：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（1）所有货物在到达安装现场时须经采购人代表验收后才可进行货物安装，验货时须提交该货物的质量合格证明，初步验收不代表对产品隐性质量问题的认可。</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（2）所有货物、附（配）件应具备该类产品的功能要求，无瑕疵和缺陷，质量为合格产品，同时有明确的生产厂商或制造厂商；</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缺陷保修：如果货物交付使用后，缺陷多次反复出现，中标方必须提出分析报告和解决方案，直到最后纠正缺陷、中标方提供的售后服务期（运行维护期）从纠正之日起重新计算售后服务期（运行维护期）。</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（4）如果是超出中标方的责任范围的疏忽、误操作等情况而导致的更换修正，应由中标方进行修理，其额外费用由双方协商承担。</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（5）所有货物均须使用成熟产品，除数量增加外，不得增加任何费用。</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（四）质量保证及售后服务</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1、产品质量要求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1.1产品质量必须执行相关强制性执行标准，没有国家标准的执行行业标准。</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1.2保证提供的产品为原装正品。其它设备、辅料、配件及在整体设备安装和调试时不能缺少或必需的一切附属配件必须为专业生产企业的定型品牌产品，不得使用已经淘汰或拼凑、组装的伪劣、假冒部件及产品。</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1.3设备以生产厂家出具的质量保证及售后服务承诺书原件为准。验收通过之日起对所投产品运行维护期</w:t>
      </w:r>
      <w:r>
        <w:rPr>
          <w:rFonts w:hint="eastAsia" w:ascii="宋体" w:hAnsi="宋体" w:eastAsia="宋体" w:cs="宋体"/>
          <w:color w:val="auto"/>
          <w:sz w:val="22"/>
          <w:highlight w:val="none"/>
          <w:u w:val="single"/>
        </w:rPr>
        <w:t xml:space="preserve"> 三 </w:t>
      </w:r>
      <w:r>
        <w:rPr>
          <w:rFonts w:hint="eastAsia" w:ascii="宋体" w:hAnsi="宋体" w:eastAsia="宋体" w:cs="宋体"/>
          <w:color w:val="auto"/>
          <w:sz w:val="22"/>
          <w:highlight w:val="none"/>
        </w:rPr>
        <w:t xml:space="preserve">年。在</w:t>
      </w:r>
      <w:r>
        <w:rPr>
          <w:rFonts w:hint="eastAsia" w:ascii="宋体" w:hAnsi="宋体" w:eastAsia="宋体" w:cs="宋体"/>
          <w:color w:val="auto"/>
          <w:sz w:val="22"/>
          <w:highlight w:val="none"/>
          <w:u w:val="single"/>
        </w:rPr>
        <w:t xml:space="preserve"> 三 </w:t>
      </w:r>
      <w:r>
        <w:rPr>
          <w:rFonts w:hint="eastAsia" w:ascii="宋体" w:hAnsi="宋体" w:eastAsia="宋体" w:cs="宋体"/>
          <w:color w:val="auto"/>
          <w:sz w:val="22"/>
          <w:highlight w:val="none"/>
        </w:rPr>
        <w:t xml:space="preserve">年运行维护期内因质量问题包换。运行维护期内免费为甲方提供维修、保养、软件免费升级、同质备件及替换等，甲方不承担任何费用，乙方保证设备运行维护期内有效运行，运行维护期内免费为客户排除软硬件故障，与原厂商的服务结合起来，使客户方系统得到更好的维护与支持。</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2、售后服务</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2.1所投产品售后服务期（运行维护期）不少于</w:t>
      </w:r>
      <w:r>
        <w:rPr>
          <w:rFonts w:hint="eastAsia" w:ascii="宋体" w:hAnsi="宋体" w:eastAsia="宋体" w:cs="宋体"/>
          <w:color w:val="auto"/>
          <w:sz w:val="22"/>
          <w:highlight w:val="none"/>
          <w:u w:val="single"/>
        </w:rPr>
        <w:t xml:space="preserve">三</w:t>
      </w:r>
      <w:r>
        <w:rPr>
          <w:rFonts w:hint="eastAsia" w:ascii="宋体" w:hAnsi="宋体" w:eastAsia="宋体" w:cs="宋体"/>
          <w:color w:val="auto"/>
          <w:sz w:val="22"/>
          <w:highlight w:val="none"/>
        </w:rPr>
        <w:t xml:space="preserve">年。</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2.2供应商须配备技术人员，服务电话，负责解答用户在设备使用中遇到的问题，及时提出解决问题的建议和操作方法，并能够及时派出技术人员，现场提供临时性应急保障及维修需求。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2.3售后服务响应时间：中标方应提供7X24小时服务，接到临时性应急保障及故障报修电话后30分钟内电话响应，电话解决不了的，选派经验丰富的工作人员12小时内到现场进行保障、维修。</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2.4服务保证：自验收单上签字之日起计算,在规定的售后服务期（运行维护期）内，对提供的产品进行维修，不收取任何额外费用；保修期间内，应保证提供每年至少2次的免费维护、检修服务，除易损件（出厂随机配备的备品、备件范围）外，各种设备经两次维修后仍不能正常使用，应更换同品牌、同型号设备。自更换之日起重新计算质量保证期限。</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2.5项目实施及售后服务要求：中标方需编制维保方案提供本次采购的货物保修期内的合理、科学的维护和后续其他维护服务方案，售后服务期（运行维护期）期满后，相关备品备件承诺不得高于市场价。</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rPr>
        <w:t xml:space="preserve">（五）验收要求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（1）签订合同后</w:t>
      </w:r>
      <w:r>
        <w:rPr>
          <w:rFonts w:hint="eastAsia" w:ascii="宋体" w:hAnsi="宋体" w:eastAsia="宋体" w:cs="宋体"/>
          <w:color w:val="auto"/>
          <w:sz w:val="22"/>
          <w:highlight w:val="none"/>
          <w:u w:val="single"/>
        </w:rPr>
        <w:t xml:space="preserve">  80   </w:t>
      </w:r>
      <w:r>
        <w:rPr>
          <w:rFonts w:hint="eastAsia" w:ascii="宋体" w:hAnsi="宋体" w:eastAsia="宋体" w:cs="宋体"/>
          <w:color w:val="auto"/>
          <w:sz w:val="22"/>
          <w:highlight w:val="none"/>
        </w:rPr>
        <w:t xml:space="preserve">日历天内将货物送至采购人指定地点并安装调试完毕成交供应商向采购人提交项目验收技术资料以及验收申请单，采购人依法组织履约验收工作。</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采购人在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（3）对于实际使用人和采购人分离的项目，采购人邀请实际使用人参与验收。</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（4）如有必要，采购人邀请参加本项目的其他供应商或第三方专业机构及专家参与验收，相关意见将作为验收书的参考资料。</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5）采购人成立验收小组，按照采购合同的约定对中标人的履约情况进行验收。验收时间、验收标准见招标文件验收内容。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6）验收合格的项目，采购人根据采购合同的约定及时向中标人支付合同款项、退还履约保证金。验收不合格的项目，采购人依法及时处理。采购合同的履行、违约责任和解决争议的方式等适用《民法典》。中标人在履约过程中有政府采购法律法规规定的违法违规情形的，采购人将及时报告本级财政部门。</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（7）中标人货物送达后，采购方对其数量、品种、规格、运输保存方式等进行检查验收，如不合格应无条件退货或换货。</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（8）若因中标人原因造成无法验收通过的，采购人将拒绝付款，并追究中标人的违约责任。</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（9）合同履行期满，中标人向采购人提交项目验收技术资料以及终验申请单，采购人收到申请后</w:t>
      </w:r>
      <w:r>
        <w:rPr>
          <w:rFonts w:hint="eastAsia" w:ascii="宋体" w:hAnsi="宋体" w:eastAsia="宋体" w:cs="宋体"/>
          <w:color w:val="auto"/>
          <w:sz w:val="22"/>
          <w:highlight w:val="none"/>
          <w:u w:val="single"/>
        </w:rPr>
        <w:t xml:space="preserve">   3   </w:t>
      </w:r>
      <w:r>
        <w:rPr>
          <w:rFonts w:hint="eastAsia" w:ascii="宋体" w:hAnsi="宋体" w:eastAsia="宋体" w:cs="宋体"/>
          <w:color w:val="auto"/>
          <w:sz w:val="22"/>
          <w:highlight w:val="none"/>
        </w:rPr>
        <w:t xml:space="preserve">个工作日内组织终验且验收无问题后签署终验单。</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（10）验收标准：按照招标文件、投标文件及相关标准实施。有国家标准的应符合国家标准，无国家标准的应符合行业标准、地方标准或者其他标准、规范，并满足采购文件要求，同时服从采购人安排要求。</w:t>
      </w:r>
      <w:r/>
    </w:p>
    <w:p>
      <w:pPr>
        <w:ind w:firstLine="220"/>
        <w:spacing w:line="499" w:lineRule="atLeast"/>
        <w:rPr>
          <w:rFonts w:hint="eastAsia" w:ascii="宋体" w:hAnsi="宋体" w:eastAsia="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lang w:val="en-US" w:eastAsia="zh-CN"/>
        </w:rPr>
        <w:t xml:space="preserve">六</w:t>
      </w:r>
      <w:r>
        <w:rPr>
          <w:rFonts w:hint="eastAsia" w:ascii="宋体" w:hAnsi="宋体" w:eastAsia="宋体" w:cs="宋体"/>
          <w:b/>
          <w:bCs/>
          <w:color w:val="auto"/>
          <w:sz w:val="22"/>
          <w:highlight w:val="none"/>
          <w:lang w:eastAsia="zh-CN"/>
        </w:rPr>
        <w:t xml:space="preserve">）</w:t>
      </w:r>
      <w:r>
        <w:rPr>
          <w:rFonts w:hint="eastAsia" w:ascii="宋体" w:hAnsi="宋体" w:eastAsia="宋体" w:cs="宋体"/>
          <w:b/>
          <w:bCs/>
          <w:color w:val="auto"/>
          <w:sz w:val="22"/>
          <w:highlight w:val="none"/>
        </w:rPr>
        <w:t xml:space="preserve">项目实施要求</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rPr>
          <w:rFonts w:hint="eastAsia" w:ascii="宋体" w:hAnsi="宋体" w:eastAsia="宋体" w:cs="宋体"/>
          <w:color w:val="auto"/>
          <w:sz w:val="22"/>
          <w:highlight w:val="none"/>
          <w:lang w:val="en-US" w:eastAsia="zh-CN"/>
        </w:rPr>
        <w:t xml:space="preserve">1、</w:t>
      </w:r>
      <w:r>
        <w:rPr>
          <w:rFonts w:hint="eastAsia" w:ascii="宋体" w:hAnsi="宋体" w:eastAsia="宋体" w:cs="宋体"/>
          <w:color w:val="auto"/>
          <w:sz w:val="22"/>
          <w:highlight w:val="none"/>
        </w:rPr>
        <w:t xml:space="preserve">项目实施计划方案</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投标人针对本项目根据采购清单结合平面图情况提供包含但不限于以下四个方面深化设计方案：</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网络系统：包含校园网整体网络建设规划、无线网络组网规划、网络设备运维管理设计、教室内网络点位布局、网络通信光缆建设规划、汇聚节点网络互联规划等方面进行深化设计并提供设计图及设计理念描述。</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（2）安防监控系统：根据实际场景需求进行深化设计，并提供详细点位布局图、监控网络设备组网规划、监控中心设备布局图、明厨亮灶平台对接方案等。</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（3）广播系统：根据校园环境实际需求针对教学楼、综合楼、食堂、风雨操场和室外场景等区域进行深化设计，按照集中式或分布式进行广播控制，提供详细点位布局图及设计理念描述。</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中心机房系统:根据需求进行机房布局深化设计，提供设计图纸，图纸须契合现场，至少包含以下图纸：机房总布局图、配电柜系统图等电位连接图、空调内外机安装、机房防雷接地系统（含接地环网系统图)、新风系统布置图、动力环境监控系统图、综合布线系统图。</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项目组人员配备</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（1）投标人针对本项目拟派的项目负责人具有人社部门颁发的信息系统项目管理师、注册信息安全专业人员证书；</w:t>
      </w:r>
      <w:r>
        <w:rPr>
          <w:rFonts w:hint="eastAsia" w:ascii="宋体" w:hAnsi="宋体" w:eastAsia="宋体" w:cs="宋体"/>
          <w:color w:val="auto"/>
          <w:sz w:val="22"/>
          <w:highlight w:val="none"/>
        </w:rPr>
        <w:br/>
      </w:r>
      <w:r>
        <w:rPr>
          <w:rFonts w:hint="eastAsia" w:ascii="宋体" w:hAnsi="宋体" w:eastAsia="宋体" w:cs="宋体"/>
          <w:color w:val="auto"/>
          <w:sz w:val="22"/>
          <w:highlight w:val="none"/>
        </w:rPr>
        <w:t xml:space="preserve"> （2）项目组其他人员（不含项目负责人）具有相关行政主管部门颁发的安防系统工程师证书、网络安全能力认证证书、网络工程师证书。</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售后服务</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投标人针对本项目提供售后服务，包括但不限于响应时间、上门时间、服务人员的技术水平和应急处理方案、备品备件等：</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（1）提供项目全周期售后服务方案（现场服务措施以及售后服务期内外的后续技术支持、响应时间、上门时间和维护能力等）；</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（2）提供专业售后保障服务团队方案（综合能力配备、服务团队的技术能力等）； </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（3）应急处理方案、应急保障措施、故障响应及修复时间方案、应急服务电话等；</w:t>
      </w:r>
      <w:r/>
    </w:p>
    <w:p>
      <w:pPr>
        <w:ind w:firstLine="220"/>
        <w:spacing w:line="499"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（4）备品备件：依据投标文件中备品备件是否齐全、供应是否及时、售后服务期满后的服务方案及保养等。</w:t>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89"/>
        <w:rPr>
          <w:rFonts w:hint="eastAsia" w:ascii="宋体" w:hAnsi="宋体" w:eastAsia="宋体" w:cs="宋体"/>
          <w:color w:val="auto"/>
          <w:sz w:val="22"/>
          <w:highlight w:val="none"/>
        </w:rPr>
      </w:pPr>
      <w:r>
        <w:rPr>
          <w:rFonts w:hint="eastAsia" w:ascii="宋体" w:hAnsi="宋体" w:eastAsia="宋体" w:cs="宋体"/>
          <w:color w:val="auto"/>
          <w:sz w:val="22"/>
          <w:highlight w:val="none"/>
        </w:rPr>
      </w:r>
      <w:r/>
    </w:p>
    <w:p>
      <w:pPr>
        <w:pStyle w:val="790"/>
        <w:rPr>
          <w:rFonts w:hint="eastAsia"/>
          <w:color w:val="auto"/>
          <w:highlight w:val="none"/>
        </w:rPr>
      </w:pPr>
      <w:r>
        <w:rPr>
          <w:rFonts w:hint="eastAsia"/>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78"/>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11" w:name="_Toc26937"/>
      <w:r>
        <w:rPr>
          <w:rFonts w:hint="eastAsia" w:ascii="宋体" w:hAnsi="宋体" w:eastAsia="宋体" w:cs="宋体"/>
          <w:b/>
          <w:color w:val="auto"/>
          <w:sz w:val="44"/>
          <w:highlight w:val="none"/>
        </w:rPr>
        <w:t xml:space="preserve">第五章评标方法与评标标准</w:t>
      </w:r>
      <w:bookmarkEnd w:id="11"/>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88"/>
        <w:tblW w:w="82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05"/>
        <w:gridCol w:w="4105"/>
      </w:tblGrid>
      <w:tr>
        <w:trPr/>
        <w:tc>
          <w:tcPr>
            <w:shd w:val="clear" w:color="auto" w:fill="auto"/>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资格审查因素</w:t>
            </w:r>
            <w:r/>
          </w:p>
        </w:tc>
        <w:tc>
          <w:tcPr>
            <w:shd w:val="clear" w:color="auto" w:fill="auto"/>
            <w:tcMar>
              <w:left w:w="0" w:type="dxa"/>
              <w:top w:w="0" w:type="dxa"/>
              <w:right w:w="0" w:type="dxa"/>
              <w:bottom w:w="0" w:type="dxa"/>
            </w:tcMar>
            <w:tcW w:w="4105"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rHeight w:val="387"/>
        </w:trPr>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投标声明及承诺函</w:t>
            </w:r>
            <w:r/>
          </w:p>
        </w:tc>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信用信息</w:t>
            </w:r>
            <w:r/>
          </w:p>
        </w:tc>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联合体投标</w:t>
            </w:r>
            <w:r/>
          </w:p>
        </w:tc>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接受联合体投标</w:t>
            </w:r>
            <w:r/>
          </w:p>
        </w:tc>
      </w:tr>
      <w:tr>
        <w:trPr>
          <w:trHeight w:val="109"/>
        </w:trPr>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caps w:val="0"/>
                <w:color w:val="auto"/>
                <w:spacing w:val="0"/>
                <w:sz w:val="21"/>
                <w:szCs w:val="21"/>
                <w:highlight w:val="none"/>
              </w:rPr>
              <w:t xml:space="preserve">落实政府采购政策需满足的资格要求</w:t>
            </w:r>
            <w:r/>
          </w:p>
        </w:tc>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rHeight w:val="109"/>
        </w:trPr>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2"/>
                <w:highlight w:val="none"/>
              </w:rPr>
              <w:t xml:space="preserve">其他</w:t>
            </w:r>
            <w:r/>
          </w:p>
        </w:tc>
        <w:tc>
          <w:tcPr>
            <w:shd w:val="clear" w:color="auto" w:fill="auto"/>
            <w:tcMar>
              <w:left w:w="0" w:type="dxa"/>
              <w:top w:w="0" w:type="dxa"/>
              <w:right w:w="0" w:type="dxa"/>
              <w:bottom w:w="0" w:type="dxa"/>
            </w:tcMar>
            <w:tcW w:w="4105" w:type="dxa"/>
            <w:vAlign w:val="center"/>
            <w:textDirection w:val="lrTb"/>
            <w:noWrap w:val="false"/>
          </w:tcPr>
          <w:p>
            <w:pPr>
              <w:rPr>
                <w:rFonts w:hint="eastAsia" w:ascii="宋体" w:hAnsi="宋体" w:eastAsia="宋体" w:cs="宋体"/>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0"/>
        <w:gridCol w:w="4120"/>
      </w:tblGrid>
      <w:tr>
        <w:trPr/>
        <w:tc>
          <w:tcPr>
            <w:shd w:val="clear" w:color="auto" w:fill="auto"/>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符合性审查因素</w:t>
            </w:r>
            <w:r/>
          </w:p>
        </w:tc>
        <w:tc>
          <w:tcPr>
            <w:shd w:val="clear" w:color="auto" w:fill="auto"/>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审查标准</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法定代表人身份证明或授权委托书</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开标一览表及投标报价</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格式、填写要求符合招标文件规定</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技术标准和要求</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r>
        <w:trPr/>
        <w:tc>
          <w:tcPr>
            <w:shd w:val="clear" w:color="auto" w:fill="auto"/>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09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其他</w:t>
            </w:r>
            <w:r/>
          </w:p>
        </w:tc>
        <w:tc>
          <w:tcPr>
            <w:shd w:val="clear" w:color="auto" w:fill="auto"/>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0" w:type="dxa"/>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符合招标文件要求</w:t>
            </w:r>
            <w:r/>
          </w:p>
        </w:tc>
      </w:tr>
    </w:tbl>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三、评分办法—综合评分法</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综合评分保留至小数点后两位。 </w:t>
      </w:r>
      <w:r/>
    </w:p>
    <w:p>
      <w:pPr>
        <w:ind w:firstLine="482"/>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88"/>
        <w:tblW w:w="5195" w:type="pct"/>
        <w:tblInd w:w="0" w:type="dxa"/>
        <w:tblLayout w:type="autofit"/>
        <w:tblCellMar>
          <w:left w:w="0" w:type="dxa"/>
          <w:top w:w="0" w:type="dxa"/>
          <w:right w:w="0" w:type="dxa"/>
          <w:bottom w:w="0" w:type="dxa"/>
        </w:tblCellMar>
        <w:tblLook w:val="04A0" w:firstRow="1" w:lastRow="0" w:firstColumn="1" w:lastColumn="0" w:noHBand="0" w:noVBand="1"/>
      </w:tblPr>
      <w:tblGrid>
        <w:gridCol w:w="694"/>
        <w:gridCol w:w="899"/>
        <w:gridCol w:w="682"/>
        <w:gridCol w:w="6266"/>
      </w:tblGrid>
      <w:tr>
        <w:trPr>
          <w:trHeight w:val="285"/>
        </w:trPr>
        <w:tc>
          <w:tcPr>
            <w:gridSpan w:val="2"/>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2" w:type="pct"/>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分数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jc w:val="center"/>
              <w:widowControl/>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bidi="ar"/>
              </w:rPr>
              <w:t xml:space="preserve">评审标准</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6"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报价分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投标报价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采用低价优先法计算，即满足招标文件要求且投标价格最低的投标报价为评标基准价，其价格分为满分。其他投标人投标报价得分＝（评标基准价/投标报价）*30</w:t>
            </w:r>
            <w:r>
              <w:rPr>
                <w:rFonts w:hint="eastAsia" w:ascii="宋体" w:hAnsi="宋体" w:eastAsia="宋体" w:cs="宋体"/>
                <w:color w:val="auto"/>
                <w:sz w:val="22"/>
                <w:szCs w:val="22"/>
                <w:highlight w:val="none"/>
                <w:lang w:eastAsia="zh-CN" w:bidi="ar"/>
              </w:rPr>
              <w:t xml:space="preserve">。</w:t>
            </w:r>
            <w:r/>
          </w:p>
        </w:tc>
      </w:tr>
      <w:tr>
        <w:trPr>
          <w:trHeight w:val="116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6" w:type="pct"/>
            <w:vAlign w:val="center"/>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技术响应</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bidi="ar"/>
              </w:rPr>
              <w:t xml:space="preserve">技术参数</w:t>
            </w:r>
            <w:r>
              <w:rPr>
                <w:rFonts w:hint="eastAsia" w:ascii="宋体" w:hAnsi="宋体" w:eastAsia="宋体" w:cs="宋体"/>
                <w:color w:val="auto"/>
                <w:sz w:val="22"/>
                <w:szCs w:val="22"/>
                <w:highlight w:val="none"/>
                <w:lang w:val="en-US" w:eastAsia="zh-CN"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投标人所投产品的技术参数能够完全响应招标文件要求的得47分：</w:t>
            </w:r>
            <w:r/>
          </w:p>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1、标“★”部分，为关键技术参数（共1条），不接受负偏离，按要求提供证明材料，否则按无效标处理。</w:t>
            </w:r>
            <w:r/>
          </w:p>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2、标“▲”部分，为重要技术参数（共32条，合计32分），每有一项负偏离扣1分，重要技术参数是否偏离以采购需求技术要求中规定的证明性材料为准。</w:t>
            </w:r>
            <w:r/>
          </w:p>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3、标“#”部分为一般技术参数（共7</w:t>
            </w:r>
            <w:r>
              <w:rPr>
                <w:rFonts w:hint="eastAsia" w:ascii="宋体" w:hAnsi="宋体" w:eastAsia="宋体" w:cs="宋体"/>
                <w:color w:val="auto"/>
                <w:sz w:val="22"/>
                <w:szCs w:val="22"/>
                <w:highlight w:val="none"/>
                <w:lang w:val="en-US" w:eastAsia="zh-CN" w:bidi="ar"/>
              </w:rPr>
              <w:t xml:space="preserve">37</w:t>
            </w:r>
            <w:r>
              <w:rPr>
                <w:rFonts w:hint="eastAsia" w:ascii="宋体" w:hAnsi="宋体" w:eastAsia="宋体" w:cs="宋体"/>
                <w:color w:val="auto"/>
                <w:sz w:val="22"/>
                <w:szCs w:val="22"/>
                <w:highlight w:val="none"/>
                <w:lang w:bidi="ar"/>
              </w:rPr>
              <w:t xml:space="preserve">条，合计15分），每有一项负偏离扣0.02分,扣完为止。投标人需详尽真实的提供投标产品的技术要求响应及偏离表，且均需在技术要求响应及偏离表内详尽真实的提供偏差情况，否则视为无响应或无效响应。</w:t>
            </w:r>
            <w:r/>
          </w:p>
        </w:tc>
      </w:tr>
      <w:tr>
        <w:trPr>
          <w:trHeight w:val="142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6" w:type="pct"/>
            <w:vAlign w:val="center"/>
            <w:vMerge w:val="restart"/>
            <w:textDirection w:val="lrTb"/>
            <w:noWrap w:val="false"/>
          </w:tcPr>
          <w:p>
            <w:pPr>
              <w:jc w:val="lef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企业经营业绩、信誉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企业业绩</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投标人自2021年1月1日以来（以合同签订时间为准）承担过类似业绩的，每提供一个得1分，最高得2分。</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注：投标人需提供业绩证明材料至投标文件，证明材料原件扫描件需包含业绩中标（或者成交）通知书、合同（或者合同协议书）、验收报告（或者验收证明），三者缺一不可，未提供或提供不全或模糊不清无法辨认均不予计分。</w:t>
            </w:r>
            <w:r/>
          </w:p>
        </w:tc>
      </w:tr>
      <w:tr>
        <w:trPr>
          <w:trHeight w:val="199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6" w:type="pct"/>
            <w:vAlign w:val="center"/>
            <w:vMerge w:val="continue"/>
            <w:textDirection w:val="lrTb"/>
            <w:noWrap w:val="false"/>
          </w:tcPr>
          <w:p>
            <w:pPr>
              <w:jc w:val="lef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环境标志、节能产品认证证书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0.5分，未提供的不得分。本小项最高得0.5分。</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0.5分，未提供的不得分。本小项最高得0.5分。</w:t>
            </w:r>
            <w:r/>
          </w:p>
        </w:tc>
      </w:tr>
      <w:tr>
        <w:trPr>
          <w:trHeight w:val="90"/>
        </w:trPr>
        <w:tc>
          <w:tcPr>
            <w:shd w:val="clear" w:color="auto" w:fill="auto"/>
            <w:tcBorders>
              <w:top w:val="single" w:color="000000" w:sz="4" w:space="0"/>
              <w:left w:val="single" w:color="000000" w:sz="4" w:space="0"/>
              <w:right w:val="single" w:color="000000" w:sz="4" w:space="0"/>
            </w:tcBorders>
            <w:tcMar>
              <w:left w:w="15" w:type="dxa"/>
              <w:top w:w="15" w:type="dxa"/>
              <w:right w:w="15" w:type="dxa"/>
            </w:tcMar>
            <w:tcW w:w="406" w:type="pct"/>
            <w:vAlign w:val="center"/>
            <w:vMerge w:val="restart"/>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项目实施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项目实施计划方案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投标人针对本项目根据采购清单结合平面图情况提供包含但不限于以下四个方面深化设计方案：</w:t>
            </w:r>
            <w:r/>
          </w:p>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网络系统：包含校园网整体网络建设规划、无线网络组网规划、网络设备运维管理设计、教室内网络点位布局、网络通信光缆建设规划、汇聚节点网络互联规划等方面进行深化设计并提供设计图及设计理念描述。①内容全面、组织严谨、关键点把控到位的，且优于采购需求的，得3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②内容较完整详实、思路清晰、可行性较好能够满足采购基本需求的，得2分；③内容有一定偏差，针对采购需求内容要求制定未细致，但承诺经过优化能够满足采购需求的，得1分，没有内容的不得分。</w:t>
            </w:r>
            <w:r/>
          </w:p>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(2)安防监控系统：根据实际场景需求进行深化设计，并提供详细点位布局图、监控网络设备组网规划、监控中心设备布局图、明厨亮灶平台对接方案等。①内容全面、组织严谨、关键点把控到位的，且优于采购需求的，得3分;②内容较完整详实、思路清晰、可行性较好能够满足采购基本需求的，得2分；③内容有一定偏差，针对采购需求内容要求制定未细致，但承诺经过优化能够满足采购需求的，得1分，没有内容的不得分。</w:t>
            </w:r>
            <w:r/>
          </w:p>
          <w:p>
            <w:pP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(3)广播系统：根据校园环境实际需求针对教学楼、综合楼、食堂、风雨操场和室外场景等区域进行深化设计，按照集中式或分布式进行广播控制，提供详细点位布局图及设计理念描述。①内容全面、组织严谨、关键点把控到位的，且优于采购需求的，得3分;②内容较完整详实、思路清晰、可行性较好能够满足采购基本需求的，得2分；③内容有一定偏差，针对采购需求内容要求制定未细致，但承诺经过优化能够满足采购需求的，得1分，没有内容的不得分。</w:t>
            </w:r>
            <w:r/>
          </w:p>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中心机房系统:根据需求进行机房布局深化设计，提供设计图纸，图纸须契合现场，评委根据图纸的完整性、可行性，进行综合打分。至少包含以下图纸：机房总布局图、配电柜系统图等电位连接图、空调内外机安装、机房防雷接地系统（含接地环网系统图)、新风系统布置图、动力环境监控系统图、综合布线系统图。①图纸符合国家规范及标准，契合实际情况，全面、详细、准确，得3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②图纸符合国家规范及标准，基本符合实际情况，基本全面、详细、准确，得1分</w:t>
            </w:r>
            <w:r>
              <w:rPr>
                <w:rFonts w:hint="eastAsia" w:ascii="宋体" w:hAnsi="宋体" w:eastAsia="宋体" w:cs="宋体"/>
                <w:color w:val="auto"/>
                <w:sz w:val="22"/>
                <w:szCs w:val="22"/>
                <w:highlight w:val="none"/>
                <w:lang w:eastAsia="zh-CN" w:bidi="ar"/>
              </w:rPr>
              <w:t xml:space="preserve">；</w:t>
            </w:r>
            <w:r>
              <w:rPr>
                <w:rFonts w:hint="eastAsia" w:ascii="宋体" w:hAnsi="宋体" w:eastAsia="宋体" w:cs="宋体"/>
                <w:color w:val="auto"/>
                <w:sz w:val="22"/>
                <w:szCs w:val="22"/>
                <w:highlight w:val="none"/>
                <w:lang w:bidi="ar"/>
              </w:rPr>
              <w:t xml:space="preserve">③不符合现场实际的不得分。</w:t>
            </w:r>
            <w:r/>
          </w:p>
        </w:tc>
      </w:tr>
      <w:tr>
        <w:trPr>
          <w:trHeight w:val="1640"/>
        </w:trPr>
        <w:tc>
          <w:tcPr>
            <w:shd w:val="clear" w:color="auto" w:fill="auto"/>
            <w:tcBorders>
              <w:left w:val="single" w:color="000000" w:sz="4" w:space="0"/>
              <w:right w:val="single" w:color="000000" w:sz="4" w:space="0"/>
            </w:tcBorders>
            <w:tcMar>
              <w:left w:w="15" w:type="dxa"/>
              <w:top w:w="15" w:type="dxa"/>
              <w:right w:w="15" w:type="dxa"/>
            </w:tcMar>
            <w:tcW w:w="406" w:type="pct"/>
            <w:vAlign w:val="center"/>
            <w:vMerge w:val="continue"/>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项目组人员配备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1、投标人针对本项目拟派的项目负责人具有人社部门颁发的信息系统项目管理师、</w:t>
            </w:r>
            <w:r>
              <w:rPr>
                <w:rFonts w:hint="eastAsia" w:ascii="宋体" w:hAnsi="宋体" w:eastAsia="宋体" w:cs="宋体"/>
                <w:color w:val="auto"/>
                <w:sz w:val="22"/>
                <w:szCs w:val="22"/>
                <w:highlight w:val="none"/>
                <w:lang w:bidi="ar"/>
              </w:rPr>
              <w:t xml:space="preserve">注册信息安全专业人员</w:t>
            </w:r>
            <w:r>
              <w:rPr>
                <w:rFonts w:hint="eastAsia" w:ascii="宋体" w:hAnsi="宋体" w:eastAsia="宋体" w:cs="宋体"/>
                <w:color w:val="auto"/>
                <w:sz w:val="22"/>
                <w:szCs w:val="22"/>
                <w:highlight w:val="none"/>
                <w:lang w:bidi="ar"/>
              </w:rPr>
              <w:t xml:space="preserve">证书的，每有一个得1分，最高得2分；</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2、项目组其他人员</w:t>
            </w:r>
            <w:r>
              <w:rPr>
                <w:rFonts w:hint="eastAsia" w:ascii="宋体" w:hAnsi="宋体" w:eastAsia="宋体" w:cs="宋体"/>
                <w:color w:val="auto"/>
                <w:sz w:val="22"/>
                <w:highlight w:val="none"/>
              </w:rPr>
              <w:t xml:space="preserve">（不含项目负责人）</w:t>
            </w:r>
            <w:r>
              <w:rPr>
                <w:rFonts w:hint="eastAsia" w:ascii="宋体" w:hAnsi="宋体" w:eastAsia="宋体" w:cs="宋体"/>
                <w:color w:val="auto"/>
                <w:sz w:val="22"/>
                <w:szCs w:val="22"/>
                <w:highlight w:val="none"/>
                <w:lang w:bidi="ar"/>
              </w:rPr>
              <w:t xml:space="preserve">具有相关行政主管部门颁发的</w:t>
            </w:r>
            <w:r>
              <w:rPr>
                <w:rFonts w:hint="eastAsia" w:ascii="宋体" w:hAnsi="宋体" w:eastAsia="宋体" w:cs="宋体"/>
                <w:color w:val="auto"/>
                <w:sz w:val="22"/>
                <w:szCs w:val="22"/>
                <w:highlight w:val="none"/>
                <w:lang w:bidi="ar"/>
              </w:rPr>
              <w:t xml:space="preserve">安防</w:t>
            </w:r>
            <w:r>
              <w:rPr>
                <w:rFonts w:hint="eastAsia" w:ascii="宋体" w:hAnsi="宋体" w:eastAsia="宋体" w:cs="宋体"/>
                <w:color w:val="auto"/>
                <w:sz w:val="22"/>
                <w:szCs w:val="22"/>
                <w:highlight w:val="none"/>
                <w:lang w:bidi="ar"/>
              </w:rPr>
              <w:t xml:space="preserve">系统工程师</w:t>
            </w:r>
            <w:r>
              <w:rPr>
                <w:rFonts w:hint="eastAsia" w:ascii="宋体" w:hAnsi="宋体" w:eastAsia="宋体" w:cs="宋体"/>
                <w:color w:val="auto"/>
                <w:sz w:val="22"/>
                <w:szCs w:val="22"/>
                <w:highlight w:val="none"/>
                <w:lang w:bidi="ar"/>
              </w:rPr>
              <w:t xml:space="preserve">证书</w:t>
            </w:r>
            <w:r>
              <w:rPr>
                <w:rFonts w:hint="eastAsia" w:ascii="宋体" w:hAnsi="宋体" w:eastAsia="宋体" w:cs="宋体"/>
                <w:color w:val="auto"/>
                <w:sz w:val="22"/>
                <w:szCs w:val="22"/>
                <w:highlight w:val="none"/>
                <w:lang w:bidi="ar"/>
              </w:rPr>
              <w:t xml:space="preserve">、网络安全能力</w:t>
            </w:r>
            <w:r>
              <w:rPr>
                <w:rFonts w:hint="eastAsia" w:ascii="宋体" w:hAnsi="宋体" w:eastAsia="宋体" w:cs="宋体"/>
                <w:color w:val="auto"/>
                <w:sz w:val="22"/>
                <w:szCs w:val="22"/>
                <w:highlight w:val="none"/>
                <w:lang w:bidi="ar"/>
              </w:rPr>
              <w:t xml:space="preserve">认证证书</w:t>
            </w:r>
            <w:r>
              <w:rPr>
                <w:rFonts w:hint="eastAsia" w:ascii="宋体" w:hAnsi="宋体" w:eastAsia="宋体" w:cs="宋体"/>
                <w:color w:val="auto"/>
                <w:sz w:val="22"/>
                <w:szCs w:val="22"/>
                <w:highlight w:val="none"/>
                <w:lang w:bidi="ar"/>
              </w:rPr>
              <w:t xml:space="preserve">、网络工程师</w:t>
            </w:r>
            <w:r>
              <w:rPr>
                <w:rFonts w:hint="eastAsia" w:ascii="宋体" w:hAnsi="宋体" w:eastAsia="宋体" w:cs="宋体"/>
                <w:color w:val="auto"/>
                <w:sz w:val="22"/>
                <w:szCs w:val="22"/>
                <w:highlight w:val="none"/>
                <w:lang w:bidi="ar"/>
              </w:rPr>
              <w:t xml:space="preserve">证书</w:t>
            </w:r>
            <w:r>
              <w:rPr>
                <w:rFonts w:hint="eastAsia" w:ascii="宋体" w:hAnsi="宋体" w:eastAsia="宋体" w:cs="宋体"/>
                <w:color w:val="auto"/>
                <w:sz w:val="22"/>
                <w:szCs w:val="22"/>
                <w:highlight w:val="none"/>
                <w:lang w:bidi="ar"/>
              </w:rPr>
              <w:t xml:space="preserve">的每有一个得1分，最高得3分。</w:t>
            </w:r>
            <w:r>
              <w:rPr>
                <w:rFonts w:hint="eastAsia" w:ascii="宋体" w:hAnsi="宋体" w:eastAsia="宋体" w:cs="宋体"/>
                <w:color w:val="auto"/>
                <w:sz w:val="22"/>
                <w:szCs w:val="22"/>
                <w:highlight w:val="none"/>
                <w:lang w:bidi="ar"/>
              </w:rPr>
              <w:br/>
            </w:r>
            <w:r>
              <w:rPr>
                <w:rFonts w:hint="eastAsia" w:ascii="宋体" w:hAnsi="宋体" w:eastAsia="宋体" w:cs="宋体"/>
                <w:color w:val="auto"/>
                <w:sz w:val="22"/>
                <w:szCs w:val="22"/>
                <w:highlight w:val="none"/>
                <w:lang w:bidi="ar"/>
              </w:rPr>
              <w:t xml:space="preserve">注：（1）上述项目组成员必须为本单位员工，需提供投标人为其缴纳的2023年12月以来任意一个月的社保证明材料原件扫描件，否则不得分；（2）同一人员（项目负责人除外）具备上述多种证书的，不重复计分；同一证书多人具备的，不重复计分；（3）以上项目组成员的证书均须提供原件扫描件，同时提供身份证正反面原件扫描件，未提供的本项不得分； （4）提供上述项目组成员相关证书原件备查，服务过程中，人员不得更改。</w:t>
            </w:r>
            <w:r/>
          </w:p>
        </w:tc>
      </w:tr>
      <w:tr>
        <w:trPr>
          <w:trHeight w:val="638"/>
        </w:trPr>
        <w:tc>
          <w:tcPr>
            <w:shd w:val="clear" w:color="auto" w:fill="auto"/>
            <w:tcBorders>
              <w:left w:val="single" w:color="000000" w:sz="4" w:space="0"/>
              <w:bottom w:val="single" w:color="000000" w:sz="4" w:space="0"/>
              <w:right w:val="single" w:color="000000" w:sz="4" w:space="0"/>
            </w:tcBorders>
            <w:tcMar>
              <w:left w:w="15" w:type="dxa"/>
              <w:top w:w="15" w:type="dxa"/>
              <w:right w:w="15" w:type="dxa"/>
            </w:tcMar>
            <w:tcW w:w="406" w:type="pct"/>
            <w:vAlign w:val="center"/>
            <w:vMerge w:val="continue"/>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26"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9" w:type="pct"/>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7" w:type="pct"/>
            <w:vAlign w:val="center"/>
            <w:textDirection w:val="lrTb"/>
            <w:noWrap w:val="false"/>
          </w:tcPr>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投标人针对本项目提供售后服务，包括但不限于响应时间、服务人员的技术水平和应急处理方案、备品备件等：</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rPr>
              <w:t xml:space="preserve">）提供项目全周期售后服务方案（现场服务措施以及售后服务期内外的后续技术支持、响应时间和维护能力等）；</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rPr>
              <w:t xml:space="preserve">）提供专业售后保障服务团队方案（综合能力配备、服务团队的技术能力等）；</w:t>
            </w:r>
            <w:r>
              <w:rPr>
                <w:rFonts w:hint="eastAsia" w:ascii="宋体" w:hAnsi="宋体" w:eastAsia="宋体" w:cs="宋体"/>
                <w:color w:val="auto"/>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rPr>
              <w:t xml:space="preserve">）应急处理方案、应急保障措施、故障响应及修复时间方案、应急服务电话等；</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rPr>
              <w:t xml:space="preserve">4</w:t>
            </w:r>
            <w:r>
              <w:rPr>
                <w:rFonts w:hint="eastAsia" w:ascii="宋体" w:hAnsi="宋体" w:eastAsia="宋体" w:cs="宋体"/>
                <w:color w:val="auto"/>
                <w:sz w:val="22"/>
                <w:highlight w:val="none"/>
              </w:rPr>
              <w:t xml:space="preserve">）备品备件：依据投标文件中备品备件是否齐全、供应是否及时、售后服务期满后的服务方案及保养等。</w:t>
            </w:r>
            <w:r/>
          </w:p>
          <w:p>
            <w:pPr>
              <w:jc w:val="left"/>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highlight w:val="none"/>
              </w:rPr>
              <w:t xml:space="preserve">售后服务方案内容完整详实，能够针对采购项目内容要求而细化制定，且优于采购需求的得</w:t>
            </w:r>
            <w:r>
              <w:rPr>
                <w:rFonts w:hint="eastAsia" w:ascii="宋体" w:hAnsi="宋体" w:eastAsia="宋体" w:cs="宋体"/>
                <w:color w:val="auto"/>
                <w:sz w:val="22"/>
                <w:highlight w:val="none"/>
              </w:rPr>
              <w:t xml:space="preserve">3</w:t>
            </w:r>
            <w:r>
              <w:rPr>
                <w:rFonts w:hint="eastAsia" w:ascii="宋体" w:hAnsi="宋体" w:eastAsia="宋体" w:cs="宋体"/>
                <w:color w:val="auto"/>
                <w:sz w:val="22"/>
                <w:highlight w:val="none"/>
              </w:rPr>
              <w:t xml:space="preserve">分；内容较完整详实，基本符合项目需求的得</w:t>
            </w:r>
            <w:r>
              <w:rPr>
                <w:rFonts w:hint="eastAsia" w:ascii="宋体" w:hAnsi="宋体" w:eastAsia="宋体" w:cs="宋体"/>
                <w:color w:val="auto"/>
                <w:sz w:val="22"/>
                <w:highlight w:val="none"/>
              </w:rPr>
              <w:t xml:space="preserve">2</w:t>
            </w:r>
            <w:r>
              <w:rPr>
                <w:rFonts w:hint="eastAsia" w:ascii="宋体" w:hAnsi="宋体" w:eastAsia="宋体" w:cs="宋体"/>
                <w:color w:val="auto"/>
                <w:sz w:val="22"/>
                <w:highlight w:val="none"/>
              </w:rPr>
              <w:t xml:space="preserve">分；内容存在缺陷的得</w:t>
            </w:r>
            <w:r>
              <w:rPr>
                <w:rFonts w:hint="eastAsia" w:ascii="宋体" w:hAnsi="宋体" w:eastAsia="宋体" w:cs="宋体"/>
                <w:color w:val="auto"/>
                <w:sz w:val="22"/>
                <w:highlight w:val="none"/>
              </w:rPr>
              <w:t xml:space="preserve">1</w:t>
            </w:r>
            <w:r>
              <w:rPr>
                <w:rFonts w:hint="eastAsia" w:ascii="宋体" w:hAnsi="宋体" w:eastAsia="宋体" w:cs="宋体"/>
                <w:color w:val="auto"/>
                <w:sz w:val="22"/>
                <w:highlight w:val="none"/>
              </w:rPr>
              <w:t xml:space="preserve">分；没有内容不得分。</w:t>
            </w:r>
            <w:r/>
          </w:p>
        </w:tc>
      </w:tr>
    </w:tbl>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spacing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（四）政府采购政策功能落实</w:t>
      </w:r>
      <w:r/>
    </w:p>
    <w:p>
      <w:pPr>
        <w:spacing w:line="49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本项目落实的政府采购政策对应以下序号为</w:t>
      </w:r>
      <w:r>
        <w:rPr>
          <w:rFonts w:hint="eastAsia" w:ascii="宋体" w:hAnsi="宋体" w:eastAsia="宋体" w:cs="宋体"/>
          <w:b/>
          <w:color w:val="auto"/>
          <w:sz w:val="24"/>
          <w:highlight w:val="none"/>
          <w:u w:val="single"/>
        </w:rPr>
        <w:t xml:space="preserve"> 1  </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采购本国货物、工程和服务</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2、中小企业政策</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本项目按以下第</w:t>
      </w:r>
      <w:r>
        <w:rPr>
          <w:rFonts w:hint="eastAsia" w:ascii="宋体" w:hAnsi="宋体" w:eastAsia="宋体" w:cs="宋体"/>
          <w:b/>
          <w:color w:val="auto"/>
          <w:sz w:val="24"/>
          <w:highlight w:val="none"/>
          <w:u w:val="single"/>
        </w:rPr>
        <w:t xml:space="preserve">  2  </w:t>
      </w:r>
      <w:r>
        <w:rPr>
          <w:rFonts w:hint="eastAsia" w:ascii="宋体" w:hAnsi="宋体" w:eastAsia="宋体" w:cs="宋体"/>
          <w:color w:val="auto"/>
          <w:sz w:val="24"/>
          <w:highlight w:val="none"/>
        </w:rPr>
        <w:t xml:space="preserve">种政策确定本项目落实的中小企业政策：</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（1）本项目专门面向中小企业（含监狱企业、残疾人福利企业）采购。</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（2）投标人提供的货物符合下列情形的，对小微企业报价给予</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的扣除，用扣除后的价格参加评审。</w:t>
      </w:r>
      <w:r/>
    </w:p>
    <w:p>
      <w:pPr>
        <w:ind w:firstLine="480"/>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aps w:val="0"/>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highlight w:val="none"/>
          <w:lang w:val="en-US" w:eastAsia="zh-CN"/>
        </w:rPr>
        <w:t xml:space="preserve">5</w:t>
      </w:r>
      <w:r>
        <w:rPr>
          <w:rFonts w:hint="eastAsia" w:ascii="宋体" w:hAnsi="宋体" w:eastAsia="宋体" w:cs="宋体"/>
          <w:caps w:val="0"/>
          <w:color w:val="auto"/>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lang w:val="en-US" w:eastAsia="zh-CN"/>
        </w:rPr>
        <w:t xml:space="preserve">投标人须知</w:t>
      </w:r>
      <w:r>
        <w:rPr>
          <w:rFonts w:hint="eastAsia" w:ascii="宋体" w:hAnsi="宋体" w:eastAsia="宋体" w:cs="宋体"/>
          <w:caps w:val="0"/>
          <w:color w:val="auto"/>
          <w:sz w:val="24"/>
          <w:highlight w:val="none"/>
          <w:lang w:eastAsia="zh-CN"/>
        </w:rPr>
        <w:t xml:space="preserve">”、</w:t>
      </w:r>
      <w:r>
        <w:rPr>
          <w:rFonts w:hint="eastAsia" w:ascii="宋体" w:hAnsi="宋体" w:eastAsia="宋体" w:cs="宋体"/>
          <w:caps w:val="0"/>
          <w:color w:val="auto"/>
          <w:sz w:val="24"/>
          <w:highlight w:val="none"/>
        </w:rPr>
        <w:t xml:space="preserve">“采购需求”相关内容为准。）</w:t>
      </w:r>
      <w:r/>
    </w:p>
    <w:p>
      <w:pPr>
        <w:ind w:firstLine="480"/>
        <w:spacing w:line="460"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3、政府采购节能产品、环境标志产品</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4、商品包装、快递包装政府采购需求标准（试行）</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5、绿色数据中心政府采购需求标准（试行）</w:t>
      </w:r>
      <w:r/>
    </w:p>
    <w:p>
      <w:pPr>
        <w:ind w:firstLine="480"/>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0"/>
          <w:highlight w:val="none"/>
        </w:rPr>
        <w:t xml:space="preserve"> </w:t>
      </w:r>
      <w:r/>
    </w:p>
    <w:p>
      <w:pPr>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spacing w:before="240" w:after="240"/>
        <w:rPr>
          <w:rFonts w:hint="eastAsia" w:ascii="宋体" w:hAnsi="宋体" w:eastAsia="宋体" w:cs="宋体"/>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rPr>
        <w:t xml:space="preserve"> </w:t>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20"/>
        <w:rPr>
          <w:rFonts w:hint="eastAsia" w:ascii="宋体" w:hAnsi="宋体" w:eastAsia="宋体" w:cs="宋体"/>
          <w:b/>
          <w:bCs w:val="0"/>
          <w:caps w:val="0"/>
          <w:color w:val="auto"/>
          <w:sz w:val="44"/>
          <w:highlight w:val="none"/>
        </w:rPr>
      </w:pPr>
      <w:r/>
      <w:bookmarkStart w:id="12" w:name="_Toc24610"/>
      <w:r/>
      <w:bookmarkStart w:id="13" w:name="_Toc6133"/>
      <w:r>
        <w:rPr>
          <w:rFonts w:hint="eastAsia" w:ascii="宋体" w:hAnsi="宋体" w:eastAsia="宋体" w:cs="宋体"/>
          <w:b/>
          <w:bCs w:val="0"/>
          <w:caps w:val="0"/>
          <w:color w:val="auto"/>
          <w:sz w:val="44"/>
          <w:highlight w:val="none"/>
        </w:rPr>
        <w:t xml:space="preserve">第六章  投标文件格式</w:t>
      </w:r>
      <w:bookmarkEnd w:id="12"/>
      <w:r/>
      <w:bookmarkEnd w:id="13"/>
      <w:r>
        <w:rPr>
          <w:rFonts w:hint="eastAsia" w:ascii="宋体" w:hAnsi="宋体" w:eastAsia="宋体" w:cs="宋体"/>
          <w:b/>
          <w:bCs w:val="0"/>
          <w:caps w:val="0"/>
          <w:color w:val="auto"/>
          <w:sz w:val="44"/>
          <w:highlight w:val="none"/>
        </w:rPr>
        <w:t xml:space="preserve"> </w:t>
      </w:r>
      <w:r/>
    </w:p>
    <w:p>
      <w:pPr>
        <w:jc w:val="center"/>
        <w:rPr>
          <w:rFonts w:hint="eastAsia" w:ascii="宋体" w:hAnsi="宋体" w:eastAsia="宋体" w:cs="宋体"/>
          <w:b/>
          <w:caps w:val="0"/>
          <w:color w:val="auto"/>
          <w:sz w:val="72"/>
          <w:highlight w:val="none"/>
        </w:rPr>
      </w:pPr>
      <w:r/>
      <w:bookmarkStart w:id="14" w:name="_Hlt26955039"/>
      <w:r/>
      <w:bookmarkEnd w:id="14"/>
      <w:r/>
      <w:bookmarkStart w:id="15" w:name="_Hlt26671244"/>
      <w:r/>
      <w:bookmarkEnd w:id="15"/>
      <w:r/>
      <w:bookmarkStart w:id="16" w:name="_Toc49090576"/>
      <w:r/>
      <w:bookmarkStart w:id="17" w:name="_Toc120614282"/>
      <w:r/>
      <w:bookmarkStart w:id="18" w:name="_Toc26554094"/>
      <w:r/>
      <w:r/>
    </w:p>
    <w:p>
      <w:pPr>
        <w:jc w:val="center"/>
        <w:rPr>
          <w:rFonts w:hint="eastAsia" w:ascii="宋体" w:hAnsi="宋体" w:eastAsia="宋体" w:cs="宋体"/>
          <w:b/>
          <w:caps w:val="0"/>
          <w:color w:val="auto"/>
          <w:sz w:val="72"/>
          <w:highlight w:val="none"/>
        </w:rPr>
        <w:outlineLvl w:val="0"/>
      </w:pPr>
      <w:r/>
      <w:bookmarkStart w:id="19" w:name="_Toc10180"/>
      <w:r>
        <w:rPr>
          <w:rFonts w:hint="eastAsia" w:ascii="宋体" w:hAnsi="宋体" w:eastAsia="宋体" w:cs="宋体"/>
          <w:b/>
          <w:caps w:val="0"/>
          <w:color w:val="auto"/>
          <w:sz w:val="72"/>
          <w:highlight w:val="none"/>
        </w:rPr>
        <w:t xml:space="preserve">投  标  文  件</w:t>
      </w:r>
      <w:bookmarkEnd w:id="19"/>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rPr>
        <w:outlineLvl w:val="0"/>
      </w:pPr>
      <w:r/>
      <w:bookmarkStart w:id="20" w:name="_Toc24708"/>
      <w:r>
        <w:rPr>
          <w:rFonts w:hint="eastAsia" w:ascii="宋体" w:hAnsi="宋体" w:eastAsia="宋体" w:cs="宋体"/>
          <w:b/>
          <w:caps w:val="0"/>
          <w:color w:val="auto"/>
          <w:sz w:val="36"/>
          <w:highlight w:val="none"/>
        </w:rPr>
        <w:t xml:space="preserve">项 目 名 称：</w:t>
      </w:r>
      <w:bookmarkEnd w:id="20"/>
      <w:r>
        <w:rPr>
          <w:rFonts w:hint="eastAsia" w:ascii="宋体" w:hAnsi="宋体" w:eastAsia="宋体" w:cs="宋体"/>
          <w:b/>
          <w:caps w:val="0"/>
          <w:color w:val="auto"/>
          <w:sz w:val="36"/>
          <w:highlight w:val="none"/>
          <w:u w:val="single"/>
        </w:rPr>
        <w:t xml:space="preserve">               </w:t>
      </w:r>
      <w:r/>
    </w:p>
    <w:p>
      <w:pPr>
        <w:ind w:firstLine="1084"/>
        <w:rPr>
          <w:rFonts w:hint="eastAsia" w:ascii="宋体" w:hAnsi="宋体" w:eastAsia="宋体" w:cs="宋体"/>
          <w:b/>
          <w:caps w:val="0"/>
          <w:color w:val="auto"/>
          <w:sz w:val="36"/>
          <w:highlight w:val="none"/>
          <w:u w:val="single"/>
        </w:rPr>
        <w:outlineLvl w:val="0"/>
      </w:pPr>
      <w:r/>
      <w:bookmarkStart w:id="21" w:name="_Toc2350"/>
      <w:r>
        <w:rPr>
          <w:rFonts w:hint="eastAsia" w:ascii="宋体" w:hAnsi="宋体" w:eastAsia="宋体" w:cs="宋体"/>
          <w:b/>
          <w:caps w:val="0"/>
          <w:color w:val="auto"/>
          <w:sz w:val="36"/>
          <w:highlight w:val="none"/>
        </w:rPr>
        <w:t xml:space="preserve">项 目 编 号：</w:t>
      </w:r>
      <w:bookmarkEnd w:id="21"/>
      <w:r>
        <w:rPr>
          <w:rFonts w:hint="eastAsia" w:ascii="宋体" w:hAnsi="宋体" w:eastAsia="宋体" w:cs="宋体"/>
          <w:b/>
          <w:caps w:val="0"/>
          <w:color w:val="auto"/>
          <w:sz w:val="36"/>
          <w:highlight w:val="none"/>
          <w:u w:val="single"/>
        </w:rPr>
        <w:t xml:space="preserve">               </w:t>
      </w:r>
      <w:r/>
    </w:p>
    <w:p>
      <w:pPr>
        <w:rPr>
          <w:rFonts w:hint="eastAsia" w:ascii="宋体" w:hAnsi="宋体" w:eastAsia="宋体" w:cs="宋体"/>
          <w:b/>
          <w:caps w:val="0"/>
          <w:color w:val="auto"/>
          <w:sz w:val="36"/>
          <w:highlight w:val="none"/>
          <w:u w:val="single"/>
        </w:rPr>
        <w:outlineLvl w:val="0"/>
      </w:pPr>
      <w:r>
        <w:rPr>
          <w:rFonts w:hint="eastAsia" w:ascii="宋体" w:hAnsi="宋体" w:eastAsia="宋体" w:cs="宋体"/>
          <w:b/>
          <w:caps w:val="0"/>
          <w:color w:val="auto"/>
          <w:sz w:val="36"/>
          <w:highlight w:val="none"/>
        </w:rPr>
        <w:t xml:space="preserve">      </w:t>
      </w:r>
      <w:bookmarkStart w:id="22" w:name="_Toc13341"/>
      <w:r>
        <w:rPr>
          <w:rFonts w:hint="eastAsia" w:ascii="宋体" w:hAnsi="宋体" w:eastAsia="宋体" w:cs="宋体"/>
          <w:b/>
          <w:caps w:val="0"/>
          <w:color w:val="auto"/>
          <w:sz w:val="36"/>
          <w:highlight w:val="none"/>
        </w:rPr>
        <w:t xml:space="preserve">投标人名称 ：</w:t>
      </w:r>
      <w:r>
        <w:rPr>
          <w:rFonts w:hint="eastAsia" w:ascii="宋体" w:hAnsi="宋体" w:eastAsia="宋体" w:cs="宋体"/>
          <w:b/>
          <w:caps w:val="0"/>
          <w:color w:val="auto"/>
          <w:sz w:val="36"/>
          <w:highlight w:val="none"/>
          <w:u w:val="single"/>
        </w:rPr>
        <w:t xml:space="preserve">（加盖CA电子公章）</w:t>
      </w:r>
      <w:bookmarkEnd w:id="22"/>
      <w:r/>
      <w:r/>
    </w:p>
    <w:p>
      <w:pPr>
        <w:rPr>
          <w:rFonts w:hint="eastAsia" w:ascii="宋体" w:hAnsi="宋体" w:eastAsia="宋体" w:cs="宋体"/>
          <w:b/>
          <w:caps w:val="0"/>
          <w:color w:val="auto"/>
          <w:sz w:val="36"/>
          <w:highlight w:val="none"/>
          <w:u w:val="single"/>
        </w:rPr>
        <w:outlineLvl w:val="0"/>
      </w:pPr>
      <w:r>
        <w:rPr>
          <w:rFonts w:hint="eastAsia" w:ascii="宋体" w:hAnsi="宋体" w:eastAsia="宋体" w:cs="宋体"/>
          <w:b/>
          <w:caps w:val="0"/>
          <w:color w:val="auto"/>
          <w:sz w:val="36"/>
          <w:highlight w:val="none"/>
        </w:rPr>
        <w:t xml:space="preserve">      </w:t>
      </w:r>
      <w:bookmarkStart w:id="23" w:name="_Toc11129"/>
      <w:r>
        <w:rPr>
          <w:rFonts w:hint="eastAsia" w:ascii="宋体" w:hAnsi="宋体" w:eastAsia="宋体" w:cs="宋体"/>
          <w:b/>
          <w:caps w:val="0"/>
          <w:color w:val="auto"/>
          <w:sz w:val="36"/>
          <w:highlight w:val="none"/>
        </w:rPr>
        <w:t xml:space="preserve">日      期 ：</w:t>
      </w:r>
      <w:bookmarkEnd w:id="23"/>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bookmarkEnd w:id="16"/>
      <w:r/>
      <w:bookmarkEnd w:id="17"/>
      <w:r/>
      <w:bookmarkEnd w:id="18"/>
      <w:r/>
      <w:r/>
    </w:p>
    <w:p>
      <w:pPr>
        <w:ind w:firstLine="1084"/>
        <w:jc w:val="center"/>
        <w:rPr>
          <w:rFonts w:hint="eastAsia" w:ascii="宋体" w:hAnsi="宋体" w:eastAsia="宋体" w:cs="宋体"/>
          <w:b/>
          <w:bCs/>
          <w:color w:val="auto"/>
          <w:sz w:val="32"/>
          <w:szCs w:val="32"/>
          <w:highlight w:val="none"/>
        </w:rPr>
        <w:outlineLvl w:val="0"/>
      </w:pPr>
      <w:r/>
      <w:bookmarkStart w:id="24" w:name="_Toc26650"/>
      <w:r>
        <w:rPr>
          <w:rFonts w:hint="eastAsia" w:ascii="宋体" w:hAnsi="宋体" w:eastAsia="宋体" w:cs="宋体"/>
          <w:b/>
          <w:bCs/>
          <w:color w:val="auto"/>
          <w:sz w:val="32"/>
          <w:szCs w:val="32"/>
          <w:highlight w:val="none"/>
        </w:rPr>
        <w:t xml:space="preserve">投标文件的</w:t>
      </w:r>
      <w:r>
        <w:rPr>
          <w:rFonts w:hint="eastAsia" w:ascii="宋体" w:hAnsi="宋体" w:eastAsia="宋体" w:cs="宋体"/>
          <w:b/>
          <w:bCs/>
          <w:color w:val="auto"/>
          <w:sz w:val="32"/>
          <w:szCs w:val="32"/>
          <w:highlight w:val="none"/>
        </w:rPr>
        <w:t xml:space="preserve">组成</w:t>
      </w:r>
      <w:bookmarkEnd w:id="24"/>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spacing w:line="400" w:lineRule="exact"/>
        <w:rPr>
          <w:rFonts w:hint="eastAsia" w:ascii="宋体" w:hAnsi="宋体" w:eastAsia="宋体" w:cs="宋体"/>
          <w:b/>
          <w:color w:val="auto"/>
          <w:sz w:val="24"/>
          <w:szCs w:val="21"/>
          <w:highlight w:val="none"/>
        </w:rPr>
        <w:outlineLvl w:val="0"/>
      </w:pPr>
      <w:r/>
      <w:bookmarkStart w:id="25" w:name="_Toc26761"/>
      <w:r>
        <w:rPr>
          <w:rFonts w:hint="eastAsia" w:ascii="宋体" w:hAnsi="宋体" w:eastAsia="宋体" w:cs="宋体"/>
          <w:b/>
          <w:color w:val="auto"/>
          <w:sz w:val="24"/>
          <w:szCs w:val="21"/>
          <w:highlight w:val="none"/>
        </w:rPr>
        <w:t xml:space="preserve">一、基本目录</w:t>
      </w:r>
      <w:bookmarkEnd w:id="25"/>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开标一览表（格式见附件</w:t>
      </w: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rPr>
        <w:t xml:space="preserve">投标分项报价表（格式见</w:t>
      </w:r>
      <w:r>
        <w:rPr>
          <w:rFonts w:hint="eastAsia" w:ascii="宋体" w:hAnsi="宋体" w:eastAsia="宋体" w:cs="宋体"/>
          <w:color w:val="auto"/>
          <w:sz w:val="24"/>
          <w:szCs w:val="21"/>
          <w:highlight w:val="none"/>
        </w:rPr>
        <w:t xml:space="preserve">附件2</w:t>
      </w:r>
      <w:r>
        <w:rPr>
          <w:rFonts w:hint="eastAsia" w:ascii="宋体" w:hAnsi="宋体" w:eastAsia="宋体" w:cs="宋体"/>
          <w:color w:val="auto"/>
          <w:sz w:val="24"/>
          <w:szCs w:val="21"/>
          <w:highlight w:val="none"/>
        </w:rPr>
        <w:t xml:space="preserve">）</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rPr>
        <w:t xml:space="preserve">技术要求响应及偏离表（格式见</w:t>
      </w:r>
      <w:r>
        <w:rPr>
          <w:rFonts w:hint="eastAsia" w:ascii="宋体" w:hAnsi="宋体" w:eastAsia="宋体" w:cs="宋体"/>
          <w:color w:val="auto"/>
          <w:sz w:val="24"/>
          <w:szCs w:val="21"/>
          <w:highlight w:val="none"/>
        </w:rPr>
        <w:t xml:space="preserve">附件3</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w:t>
      </w:r>
      <w:r>
        <w:rPr>
          <w:rFonts w:hint="eastAsia" w:ascii="宋体" w:hAnsi="宋体" w:eastAsia="宋体" w:cs="宋体"/>
          <w:color w:val="auto"/>
          <w:sz w:val="24"/>
          <w:szCs w:val="21"/>
          <w:highlight w:val="none"/>
        </w:rPr>
        <w:t xml:space="preserve">商务要求响应及偏离表（格式见</w:t>
      </w:r>
      <w:r>
        <w:rPr>
          <w:rFonts w:hint="eastAsia" w:ascii="宋体" w:hAnsi="宋体" w:eastAsia="宋体" w:cs="宋体"/>
          <w:color w:val="auto"/>
          <w:sz w:val="24"/>
          <w:szCs w:val="21"/>
          <w:highlight w:val="none"/>
        </w:rPr>
        <w:t xml:space="preserve">附件4</w:t>
      </w:r>
      <w:r>
        <w:rPr>
          <w:rFonts w:hint="eastAsia" w:ascii="宋体" w:hAnsi="宋体" w:eastAsia="宋体" w:cs="宋体"/>
          <w:color w:val="auto"/>
          <w:sz w:val="24"/>
          <w:szCs w:val="21"/>
          <w:highlight w:val="none"/>
        </w:rPr>
        <w:t xml:space="preserve">）</w:t>
      </w:r>
      <w:r/>
    </w:p>
    <w:p>
      <w:pPr>
        <w:ind w:left="480"/>
        <w:spacing w:line="400" w:lineRule="exact"/>
        <w:rPr>
          <w:rFonts w:hint="eastAsia" w:ascii="宋体" w:hAnsi="宋体" w:eastAsia="宋体" w:cs="宋体"/>
          <w:b/>
          <w:color w:val="auto"/>
          <w:sz w:val="24"/>
          <w:szCs w:val="21"/>
          <w:highlight w:val="none"/>
        </w:rPr>
        <w:outlineLvl w:val="0"/>
      </w:pPr>
      <w:r/>
      <w:bookmarkStart w:id="26" w:name="_Toc10487"/>
      <w:r>
        <w:rPr>
          <w:rFonts w:hint="eastAsia" w:ascii="宋体" w:hAnsi="宋体" w:eastAsia="宋体" w:cs="宋体"/>
          <w:b/>
          <w:color w:val="auto"/>
          <w:sz w:val="24"/>
          <w:szCs w:val="21"/>
          <w:highlight w:val="none"/>
        </w:rPr>
        <w:t xml:space="preserve">二</w:t>
      </w:r>
      <w:r>
        <w:rPr>
          <w:rFonts w:hint="eastAsia" w:ascii="宋体" w:hAnsi="宋体" w:eastAsia="宋体" w:cs="宋体"/>
          <w:b/>
          <w:color w:val="auto"/>
          <w:sz w:val="24"/>
          <w:szCs w:val="21"/>
          <w:highlight w:val="none"/>
        </w:rPr>
        <w:t xml:space="preserve">、资格审查内容</w:t>
      </w:r>
      <w:bookmarkEnd w:id="26"/>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tl w:val="0"/>
          <w:lang w:val="en-US" w:eastAsia="zh-CN"/>
        </w:rPr>
        <w:t xml:space="preserve">投标声明及承诺函</w:t>
      </w:r>
      <w:r>
        <w:rPr>
          <w:rFonts w:hint="eastAsia" w:ascii="宋体" w:hAnsi="宋体" w:eastAsia="宋体" w:cs="宋体"/>
          <w:color w:val="auto"/>
          <w:sz w:val="24"/>
          <w:szCs w:val="21"/>
          <w:highlight w:val="none"/>
        </w:rPr>
        <w:t xml:space="preserve">（格式见附件</w:t>
      </w: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p>
    <w:p>
      <w:pPr>
        <w:ind w:left="480"/>
        <w:spacing w:line="400" w:lineRule="exact"/>
        <w:rPr>
          <w:rFonts w:hint="eastAsia" w:ascii="宋体" w:hAnsi="宋体" w:eastAsia="宋体" w:cs="宋体"/>
          <w:color w:val="auto"/>
          <w:sz w:val="24"/>
          <w:szCs w:val="21"/>
          <w:highlight w:val="none"/>
          <w:rtl w:val="0"/>
          <w:lang w:val="en-US" w:eastAsia="zh-CN"/>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tl w:val="0"/>
          <w:lang w:val="en-US" w:eastAsia="zh-CN"/>
        </w:rPr>
        <w:t xml:space="preserve">信用信息</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3.联合体投标协议书（格式见附件10）</w:t>
      </w:r>
      <w:r/>
    </w:p>
    <w:p>
      <w:pPr>
        <w:ind w:left="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tl w:val="0"/>
          <w:lang w:val="en-US" w:eastAsia="zh-CN"/>
        </w:rPr>
        <w:t xml:space="preserve">4.</w:t>
      </w:r>
      <w:r>
        <w:rPr>
          <w:rFonts w:hint="eastAsia" w:ascii="宋体" w:hAnsi="宋体" w:eastAsia="宋体" w:cs="宋体"/>
          <w:color w:val="auto"/>
          <w:sz w:val="24"/>
          <w:szCs w:val="21"/>
          <w:highlight w:val="none"/>
          <w:lang w:val="en-US" w:eastAsia="zh-CN"/>
        </w:rPr>
        <w:t xml:space="preserve">落实政府采购政策需满足的资格要求</w:t>
      </w:r>
      <w:r>
        <w:rPr>
          <w:rFonts w:hint="eastAsia" w:ascii="宋体" w:hAnsi="宋体" w:eastAsia="宋体" w:cs="宋体"/>
          <w:color w:val="auto"/>
          <w:sz w:val="24"/>
          <w:highlight w:val="none"/>
        </w:rPr>
        <w:t xml:space="preserve">（格式自拟）</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Pr>
        <w:t xml:space="preserve">特定资格要求的证明文件（如果本项目对投标人</w:t>
      </w:r>
      <w:r>
        <w:rPr>
          <w:rFonts w:hint="eastAsia" w:ascii="宋体" w:hAnsi="宋体" w:eastAsia="宋体" w:cs="宋体"/>
          <w:color w:val="auto"/>
          <w:sz w:val="24"/>
          <w:szCs w:val="21"/>
          <w:highlight w:val="none"/>
        </w:rPr>
        <w:t xml:space="preserve">做出特定资格要求的</w:t>
      </w:r>
      <w:r>
        <w:rPr>
          <w:rFonts w:hint="eastAsia" w:ascii="宋体" w:hAnsi="宋体" w:eastAsia="宋体" w:cs="宋体"/>
          <w:color w:val="auto"/>
          <w:sz w:val="24"/>
          <w:szCs w:val="21"/>
          <w:highlight w:val="none"/>
        </w:rPr>
        <w:t xml:space="preserve">，必须提供）</w:t>
      </w:r>
      <w:r/>
    </w:p>
    <w:p>
      <w:pPr>
        <w:ind w:left="480"/>
        <w:spacing w:line="400" w:lineRule="exact"/>
        <w:rPr>
          <w:rFonts w:hint="eastAsia" w:ascii="宋体" w:hAnsi="宋体" w:eastAsia="宋体" w:cs="宋体"/>
          <w:b/>
          <w:color w:val="auto"/>
          <w:sz w:val="24"/>
          <w:szCs w:val="21"/>
          <w:highlight w:val="none"/>
        </w:rPr>
        <w:outlineLvl w:val="0"/>
      </w:pPr>
      <w:r/>
      <w:bookmarkStart w:id="27" w:name="_Toc13419"/>
      <w:r>
        <w:rPr>
          <w:rFonts w:hint="eastAsia" w:ascii="宋体" w:hAnsi="宋体" w:eastAsia="宋体" w:cs="宋体"/>
          <w:b/>
          <w:color w:val="auto"/>
          <w:sz w:val="24"/>
          <w:szCs w:val="21"/>
          <w:highlight w:val="none"/>
        </w:rPr>
        <w:t xml:space="preserve">三</w:t>
      </w:r>
      <w:r>
        <w:rPr>
          <w:rFonts w:hint="eastAsia" w:ascii="宋体" w:hAnsi="宋体" w:eastAsia="宋体" w:cs="宋体"/>
          <w:b/>
          <w:color w:val="auto"/>
          <w:sz w:val="24"/>
          <w:szCs w:val="21"/>
          <w:highlight w:val="none"/>
        </w:rPr>
        <w:t xml:space="preserve">、</w:t>
      </w:r>
      <w:r>
        <w:rPr>
          <w:rFonts w:hint="eastAsia" w:ascii="宋体" w:hAnsi="宋体" w:eastAsia="宋体" w:cs="宋体"/>
          <w:b/>
          <w:color w:val="auto"/>
          <w:sz w:val="24"/>
          <w:szCs w:val="21"/>
          <w:highlight w:val="none"/>
        </w:rPr>
        <w:t xml:space="preserve">符合性</w:t>
      </w:r>
      <w:r>
        <w:rPr>
          <w:rFonts w:hint="eastAsia" w:ascii="宋体" w:hAnsi="宋体" w:eastAsia="宋体" w:cs="宋体"/>
          <w:b/>
          <w:color w:val="auto"/>
          <w:sz w:val="24"/>
          <w:szCs w:val="21"/>
          <w:highlight w:val="none"/>
        </w:rPr>
        <w:t xml:space="preserve">审查内容</w:t>
      </w:r>
      <w:bookmarkEnd w:id="27"/>
      <w:r/>
      <w:r/>
    </w:p>
    <w:p>
      <w:pPr>
        <w:ind w:firstLine="480"/>
        <w:spacing w:line="4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tl w:val="0"/>
          <w:lang w:val="en-US" w:eastAsia="zh-CN"/>
        </w:rPr>
        <w:t xml:space="preserve">法定代表人身份证明或授权委托书</w:t>
      </w:r>
      <w:r>
        <w:rPr>
          <w:rFonts w:hint="eastAsia" w:ascii="宋体" w:hAnsi="宋体" w:eastAsia="宋体" w:cs="宋体"/>
          <w:color w:val="auto"/>
          <w:sz w:val="24"/>
          <w:szCs w:val="21"/>
          <w:highlight w:val="none"/>
        </w:rPr>
        <w:t xml:space="preserve">（格式见</w:t>
      </w:r>
      <w:r>
        <w:rPr>
          <w:rFonts w:hint="eastAsia" w:ascii="宋体" w:hAnsi="宋体" w:eastAsia="宋体" w:cs="宋体"/>
          <w:color w:val="auto"/>
          <w:sz w:val="24"/>
          <w:szCs w:val="21"/>
          <w:highlight w:val="none"/>
        </w:rPr>
        <w:t xml:space="preserve">附件</w:t>
      </w: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投标人必须</w:t>
      </w:r>
      <w:r>
        <w:rPr>
          <w:rFonts w:hint="eastAsia" w:ascii="宋体" w:hAnsi="宋体" w:eastAsia="宋体" w:cs="宋体"/>
          <w:color w:val="auto"/>
          <w:sz w:val="24"/>
          <w:szCs w:val="21"/>
          <w:highlight w:val="none"/>
        </w:rPr>
        <w:t xml:space="preserve">对</w:t>
      </w:r>
      <w:r>
        <w:rPr>
          <w:rFonts w:hint="eastAsia" w:ascii="宋体" w:hAnsi="宋体" w:eastAsia="宋体" w:cs="宋体"/>
          <w:color w:val="auto"/>
          <w:sz w:val="24"/>
          <w:szCs w:val="21"/>
          <w:highlight w:val="none"/>
        </w:rPr>
        <w:t xml:space="preserve">技术</w:t>
      </w:r>
      <w:r>
        <w:rPr>
          <w:rFonts w:hint="eastAsia" w:ascii="宋体" w:hAnsi="宋体" w:eastAsia="宋体" w:cs="宋体"/>
          <w:color w:val="auto"/>
          <w:sz w:val="24"/>
          <w:szCs w:val="21"/>
          <w:highlight w:val="none"/>
        </w:rPr>
        <w:t xml:space="preserve">要求和商务</w:t>
      </w:r>
      <w:r>
        <w:rPr>
          <w:rFonts w:hint="eastAsia" w:ascii="宋体" w:hAnsi="宋体" w:eastAsia="宋体" w:cs="宋体"/>
          <w:color w:val="auto"/>
          <w:sz w:val="24"/>
          <w:szCs w:val="21"/>
          <w:highlight w:val="none"/>
        </w:rPr>
        <w:t xml:space="preserve">要求</w:t>
      </w:r>
      <w:r>
        <w:rPr>
          <w:rFonts w:hint="eastAsia" w:ascii="宋体" w:hAnsi="宋体" w:eastAsia="宋体" w:cs="宋体"/>
          <w:color w:val="auto"/>
          <w:sz w:val="24"/>
          <w:szCs w:val="21"/>
          <w:highlight w:val="none"/>
        </w:rPr>
        <w:t xml:space="preserve">中加斜体下划线的实质性要求</w:t>
      </w:r>
      <w:r>
        <w:rPr>
          <w:rFonts w:hint="eastAsia" w:ascii="宋体" w:hAnsi="宋体" w:eastAsia="宋体" w:cs="宋体"/>
          <w:color w:val="auto"/>
          <w:sz w:val="24"/>
          <w:szCs w:val="21"/>
          <w:highlight w:val="none"/>
        </w:rPr>
        <w:t xml:space="preserve">逐条</w:t>
      </w:r>
      <w:r>
        <w:rPr>
          <w:rFonts w:hint="eastAsia" w:ascii="宋体" w:hAnsi="宋体" w:eastAsia="宋体" w:cs="宋体"/>
          <w:color w:val="auto"/>
          <w:sz w:val="24"/>
          <w:szCs w:val="21"/>
          <w:highlight w:val="none"/>
        </w:rPr>
        <w:t xml:space="preserve">做出响应，并按照招标</w:t>
      </w:r>
      <w:r>
        <w:rPr>
          <w:rFonts w:hint="eastAsia" w:ascii="宋体" w:hAnsi="宋体" w:eastAsia="宋体" w:cs="宋体"/>
          <w:color w:val="auto"/>
          <w:sz w:val="24"/>
          <w:szCs w:val="21"/>
          <w:highlight w:val="none"/>
        </w:rPr>
        <w:t xml:space="preserve">文件</w:t>
      </w:r>
      <w:r>
        <w:rPr>
          <w:rFonts w:hint="eastAsia" w:ascii="宋体" w:hAnsi="宋体" w:eastAsia="宋体" w:cs="宋体"/>
          <w:color w:val="auto"/>
          <w:sz w:val="24"/>
          <w:szCs w:val="21"/>
          <w:highlight w:val="none"/>
        </w:rPr>
        <w:t xml:space="preserve">要求提供</w:t>
      </w:r>
      <w:r>
        <w:rPr>
          <w:rFonts w:hint="eastAsia" w:ascii="宋体" w:hAnsi="宋体" w:eastAsia="宋体" w:cs="宋体"/>
          <w:color w:val="auto"/>
          <w:sz w:val="24"/>
          <w:szCs w:val="21"/>
          <w:highlight w:val="none"/>
        </w:rPr>
        <w:t xml:space="preserve">证明</w:t>
      </w:r>
      <w:r>
        <w:rPr>
          <w:rFonts w:hint="eastAsia" w:ascii="宋体" w:hAnsi="宋体" w:eastAsia="宋体" w:cs="宋体"/>
          <w:color w:val="auto"/>
          <w:sz w:val="24"/>
          <w:szCs w:val="21"/>
          <w:highlight w:val="none"/>
        </w:rPr>
        <w:t xml:space="preserve">材料</w:t>
      </w:r>
      <w:r>
        <w:rPr>
          <w:rFonts w:hint="eastAsia" w:ascii="宋体" w:hAnsi="宋体" w:eastAsia="宋体" w:cs="宋体"/>
          <w:color w:val="auto"/>
          <w:sz w:val="24"/>
          <w:szCs w:val="21"/>
          <w:highlight w:val="none"/>
        </w:rPr>
        <w:t xml:space="preserve">，否则做无效投标处理。（格式见</w:t>
      </w:r>
      <w:r>
        <w:rPr>
          <w:rFonts w:hint="eastAsia" w:ascii="宋体" w:hAnsi="宋体" w:eastAsia="宋体" w:cs="宋体"/>
          <w:color w:val="auto"/>
          <w:sz w:val="24"/>
          <w:szCs w:val="21"/>
          <w:highlight w:val="none"/>
        </w:rPr>
        <w:t xml:space="preserve">附件</w:t>
      </w:r>
      <w:r>
        <w:rPr>
          <w:rFonts w:hint="eastAsia" w:ascii="宋体" w:hAnsi="宋体" w:eastAsia="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w:t>
      </w:r>
      <w:r/>
    </w:p>
    <w:p>
      <w:pPr>
        <w:ind w:firstLine="480"/>
        <w:rPr>
          <w:rFonts w:hint="eastAsia" w:ascii="宋体" w:hAnsi="宋体" w:eastAsia="宋体" w:cs="宋体"/>
          <w:b/>
          <w:color w:val="auto"/>
          <w:sz w:val="24"/>
          <w:szCs w:val="21"/>
          <w:highlight w:val="none"/>
        </w:rPr>
        <w:outlineLvl w:val="0"/>
      </w:pPr>
      <w:r/>
      <w:bookmarkStart w:id="28" w:name="_Toc13832"/>
      <w:r>
        <w:rPr>
          <w:rFonts w:hint="eastAsia" w:ascii="宋体" w:hAnsi="宋体" w:eastAsia="宋体" w:cs="宋体"/>
          <w:b/>
          <w:color w:val="auto"/>
          <w:sz w:val="24"/>
          <w:szCs w:val="21"/>
          <w:highlight w:val="none"/>
        </w:rPr>
        <w:t xml:space="preserve">四、价格</w:t>
      </w:r>
      <w:r>
        <w:rPr>
          <w:rFonts w:hint="eastAsia" w:ascii="宋体" w:hAnsi="宋体" w:eastAsia="宋体" w:cs="宋体"/>
          <w:b/>
          <w:color w:val="auto"/>
          <w:sz w:val="24"/>
          <w:szCs w:val="21"/>
          <w:highlight w:val="none"/>
        </w:rPr>
        <w:t xml:space="preserve">扣除证明文件</w:t>
      </w:r>
      <w:bookmarkEnd w:id="28"/>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中小微企业声明函（</w:t>
      </w:r>
      <w:r>
        <w:rPr>
          <w:rFonts w:hint="eastAsia" w:ascii="宋体" w:hAnsi="宋体" w:eastAsia="宋体" w:cs="宋体"/>
          <w:color w:val="auto"/>
          <w:sz w:val="24"/>
          <w:szCs w:val="21"/>
          <w:highlight w:val="none"/>
        </w:rPr>
        <w:t xml:space="preserve">格式</w:t>
      </w:r>
      <w:r>
        <w:rPr>
          <w:rFonts w:hint="eastAsia" w:ascii="宋体" w:hAnsi="宋体" w:eastAsia="宋体" w:cs="宋体"/>
          <w:color w:val="auto"/>
          <w:sz w:val="24"/>
          <w:szCs w:val="21"/>
          <w:highlight w:val="none"/>
        </w:rPr>
        <w:t xml:space="preserve">见</w:t>
      </w:r>
      <w:r>
        <w:rPr>
          <w:rFonts w:hint="eastAsia" w:ascii="宋体" w:hAnsi="宋体" w:eastAsia="宋体" w:cs="宋体"/>
          <w:color w:val="auto"/>
          <w:sz w:val="24"/>
          <w:szCs w:val="21"/>
          <w:highlight w:val="none"/>
        </w:rPr>
        <w:t xml:space="preserve">附件</w:t>
      </w:r>
      <w:r>
        <w:rPr>
          <w:rFonts w:hint="eastAsia" w:ascii="宋体" w:hAnsi="宋体" w:eastAsia="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rPr>
        <w:t xml:space="preserve">残疾人福利性单位声明函（</w:t>
      </w:r>
      <w:r>
        <w:rPr>
          <w:rFonts w:hint="eastAsia" w:ascii="宋体" w:hAnsi="宋体" w:eastAsia="宋体" w:cs="宋体"/>
          <w:color w:val="auto"/>
          <w:sz w:val="24"/>
          <w:szCs w:val="21"/>
          <w:highlight w:val="none"/>
        </w:rPr>
        <w:t xml:space="preserve">格式</w:t>
      </w:r>
      <w:r>
        <w:rPr>
          <w:rFonts w:hint="eastAsia" w:ascii="宋体" w:hAnsi="宋体" w:eastAsia="宋体" w:cs="宋体"/>
          <w:color w:val="auto"/>
          <w:sz w:val="24"/>
          <w:szCs w:val="21"/>
          <w:highlight w:val="none"/>
        </w:rPr>
        <w:t xml:space="preserve">见</w:t>
      </w:r>
      <w:r>
        <w:rPr>
          <w:rFonts w:hint="eastAsia" w:ascii="宋体" w:hAnsi="宋体" w:eastAsia="宋体" w:cs="宋体"/>
          <w:color w:val="auto"/>
          <w:sz w:val="24"/>
          <w:szCs w:val="21"/>
          <w:highlight w:val="none"/>
        </w:rPr>
        <w:t xml:space="preserve">附件</w:t>
      </w:r>
      <w:r>
        <w:rPr>
          <w:rFonts w:hint="eastAsia" w:ascii="宋体" w:hAnsi="宋体" w:eastAsia="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w:t>
      </w:r>
      <w:r/>
    </w:p>
    <w:p>
      <w:pPr>
        <w:ind w:left="480"/>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center"/>
        <w:rPr>
          <w:rFonts w:hint="eastAsia" w:ascii="宋体" w:hAnsi="宋体" w:eastAsia="宋体" w:cs="宋体"/>
          <w:color w:val="auto"/>
          <w:sz w:val="24"/>
          <w:szCs w:val="20"/>
          <w:highlight w:val="none"/>
        </w:rPr>
        <w:outlineLvl w:val="0"/>
      </w:pPr>
      <w:r>
        <w:rPr>
          <w:rFonts w:hint="eastAsia" w:ascii="宋体" w:hAnsi="宋体" w:eastAsia="宋体" w:cs="宋体"/>
          <w:b/>
          <w:color w:val="auto"/>
          <w:sz w:val="24"/>
          <w:szCs w:val="24"/>
          <w:highlight w:val="none"/>
        </w:rPr>
        <w:br w:type="page" w:clear="all"/>
      </w:r>
      <w:bookmarkStart w:id="29" w:name="_Toc26291"/>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rPr>
        <w:t xml:space="preserve">1 </w:t>
      </w:r>
      <w:r>
        <w:rPr>
          <w:rFonts w:hint="eastAsia" w:ascii="宋体" w:hAnsi="宋体" w:eastAsia="宋体" w:cs="宋体"/>
          <w:b/>
          <w:color w:val="auto"/>
          <w:sz w:val="24"/>
          <w:szCs w:val="24"/>
          <w:highlight w:val="none"/>
        </w:rPr>
        <w:t xml:space="preserve">开标一览表</w:t>
      </w:r>
      <w:bookmarkEnd w:id="29"/>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投标人全称（加盖CA电子签章）：</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w:t>
      </w:r>
      <w:r/>
    </w:p>
    <w:p>
      <w:pPr>
        <w:ind w:firstLine="482"/>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分包号：</w:t>
      </w:r>
      <w:r/>
    </w:p>
    <w:tbl>
      <w:tblPr>
        <w:tblStyle w:val="78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小写：                             （人民币：元）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1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outlineLvl w:val="0"/>
      </w:pPr>
      <w:r/>
      <w:bookmarkStart w:id="30" w:name="_Toc4056"/>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rPr>
        <w:t xml:space="preserve"> 投标分项报价表（分包号：***）</w:t>
      </w:r>
      <w:bookmarkEnd w:id="30"/>
      <w:r/>
      <w:r/>
    </w:p>
    <w:p>
      <w:pPr>
        <w:pStyle w:val="819"/>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88"/>
        <w:tblW w:w="96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738"/>
        <w:gridCol w:w="796"/>
        <w:gridCol w:w="1016"/>
        <w:gridCol w:w="761"/>
        <w:gridCol w:w="1315"/>
        <w:gridCol w:w="797"/>
        <w:gridCol w:w="703"/>
        <w:gridCol w:w="820"/>
        <w:gridCol w:w="750"/>
      </w:tblGrid>
      <w:tr>
        <w:trPr>
          <w:cantSplit/>
          <w:trHeight w:val="544"/>
        </w:trPr>
        <w:tc>
          <w:tcPr>
            <w:tcW w:w="500"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r>
      <w:tr>
        <w:trPr>
          <w:cantSplit/>
          <w:trHeight w:val="29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型号</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制造商名称</w:t>
            </w:r>
            <w:r/>
          </w:p>
        </w:tc>
        <w:tc>
          <w:tcPr>
            <w:tcW w:w="761"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交付期</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单位</w:t>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分项</w:t>
            </w:r>
            <w:r/>
          </w:p>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p>
          <w:p>
            <w:pPr>
              <w:jc w:val="center"/>
              <w:spacing w:line="0" w:lineRule="atLeas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80"/>
        </w:trPr>
        <w:tc>
          <w:tcPr>
            <w:tcW w:w="50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72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38"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16"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61" w:type="dxa"/>
            <w:vAlign w:val="top"/>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97"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3"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82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0"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249"/>
        </w:trPr>
        <w:tc>
          <w:tcPr>
            <w:tcW w:w="500" w:type="dxa"/>
            <w:vAlign w:val="top"/>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10"/>
            <w:tcW w:w="8402" w:type="dxa"/>
            <w:vAlign w:val="center"/>
            <w:textDirection w:val="lrTb"/>
            <w:noWrap w:val="false"/>
          </w:tcPr>
          <w:p>
            <w:pPr>
              <w:jc w:val="center"/>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75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1.投标报价</w:t>
      </w:r>
      <w:r>
        <w:rPr>
          <w:rFonts w:hint="eastAsia" w:ascii="宋体" w:hAnsi="宋体" w:eastAsia="宋体" w:cs="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hint="eastAsia" w:ascii="宋体" w:hAnsi="宋体" w:eastAsia="宋体" w:cs="宋体"/>
          <w:color w:val="auto"/>
          <w:sz w:val="24"/>
          <w:szCs w:val="21"/>
          <w:highlight w:val="none"/>
        </w:rPr>
        <w:t xml:space="preserve">有</w:t>
      </w:r>
      <w:r>
        <w:rPr>
          <w:rFonts w:hint="eastAsia" w:ascii="宋体" w:hAnsi="宋体" w:eastAsia="宋体" w:cs="宋体"/>
          <w:color w:val="auto"/>
          <w:sz w:val="24"/>
          <w:szCs w:val="21"/>
          <w:highlight w:val="none"/>
        </w:rPr>
        <w:t xml:space="preserve">）国内运输保险、报关清关（如果</w:t>
      </w:r>
      <w:r>
        <w:rPr>
          <w:rFonts w:hint="eastAsia" w:ascii="宋体" w:hAnsi="宋体" w:eastAsia="宋体" w:cs="宋体"/>
          <w:color w:val="auto"/>
          <w:sz w:val="24"/>
          <w:szCs w:val="21"/>
          <w:highlight w:val="none"/>
        </w:rPr>
        <w:t xml:space="preserve">有</w:t>
      </w:r>
      <w:r>
        <w:rPr>
          <w:rFonts w:hint="eastAsia" w:ascii="宋体" w:hAnsi="宋体" w:eastAsia="宋体" w:cs="宋体"/>
          <w:color w:val="auto"/>
          <w:sz w:val="24"/>
          <w:szCs w:val="21"/>
          <w:highlight w:val="none"/>
        </w:rPr>
        <w:t xml:space="preserve">）、开证（如果</w:t>
      </w:r>
      <w:r>
        <w:rPr>
          <w:rFonts w:hint="eastAsia" w:ascii="宋体" w:hAnsi="宋体" w:eastAsia="宋体" w:cs="宋体"/>
          <w:color w:val="auto"/>
          <w:sz w:val="24"/>
          <w:szCs w:val="21"/>
          <w:highlight w:val="none"/>
        </w:rPr>
        <w:t xml:space="preserve">有</w:t>
      </w:r>
      <w:r>
        <w:rPr>
          <w:rFonts w:hint="eastAsia" w:ascii="宋体" w:hAnsi="宋体" w:eastAsia="宋体" w:cs="宋体"/>
          <w:color w:val="auto"/>
          <w:sz w:val="24"/>
          <w:szCs w:val="21"/>
          <w:highlight w:val="none"/>
        </w:rPr>
        <w:t xml:space="preserve">）、办理全套免税手续费用（如果</w:t>
      </w:r>
      <w:r>
        <w:rPr>
          <w:rFonts w:hint="eastAsia" w:ascii="宋体" w:hAnsi="宋体" w:eastAsia="宋体" w:cs="宋体"/>
          <w:color w:val="auto"/>
          <w:sz w:val="24"/>
          <w:szCs w:val="21"/>
          <w:highlight w:val="none"/>
        </w:rPr>
        <w:t xml:space="preserve">有</w:t>
      </w:r>
      <w:r>
        <w:rPr>
          <w:rFonts w:hint="eastAsia" w:ascii="宋体" w:hAnsi="宋体" w:eastAsia="宋体" w:cs="宋体"/>
          <w:color w:val="auto"/>
          <w:sz w:val="24"/>
          <w:szCs w:val="21"/>
          <w:highlight w:val="none"/>
        </w:rPr>
        <w:t xml:space="preserve">）及其他有关的为完成本项目发生的所有费用，招标文件中另有规定的除外。</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投标分项报价表</w:t>
      </w:r>
      <w:r>
        <w:rPr>
          <w:rFonts w:hint="eastAsia" w:ascii="宋体" w:hAnsi="宋体" w:eastAsia="宋体" w:cs="宋体"/>
          <w:color w:val="auto"/>
          <w:szCs w:val="21"/>
          <w:highlight w:val="none"/>
        </w:rPr>
        <w:t xml:space="preserve">”</w:t>
      </w:r>
      <w:r>
        <w:rPr>
          <w:rFonts w:hint="eastAsia" w:ascii="宋体" w:hAnsi="宋体" w:eastAsia="宋体" w:cs="宋体"/>
          <w:color w:val="auto"/>
          <w:sz w:val="24"/>
          <w:szCs w:val="21"/>
          <w:highlight w:val="none"/>
        </w:rPr>
        <w:t xml:space="preserve">中“投标总报价”数额应当与“开标一览表”中“投标总报价”数额一致。</w:t>
      </w:r>
      <w:r/>
    </w:p>
    <w:p>
      <w:pPr>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3.投标人需认真填写本报价表，尤其注意</w:t>
      </w:r>
      <w:r>
        <w:rPr>
          <w:rFonts w:hint="eastAsia" w:ascii="宋体" w:hAnsi="宋体" w:eastAsia="宋体" w:cs="宋体"/>
          <w:color w:val="auto"/>
          <w:sz w:val="24"/>
          <w:szCs w:val="21"/>
          <w:highlight w:val="none"/>
          <w:lang w:val="en-US" w:eastAsia="zh-CN"/>
        </w:rPr>
        <w:t xml:space="preserve">品牌</w:t>
      </w:r>
      <w:r>
        <w:rPr>
          <w:rFonts w:hint="eastAsia" w:ascii="宋体" w:hAnsi="宋体" w:eastAsia="宋体" w:cs="宋体"/>
          <w:color w:val="auto"/>
          <w:sz w:val="24"/>
          <w:szCs w:val="21"/>
          <w:highlight w:val="none"/>
        </w:rPr>
        <w:t xml:space="preserve">型号的准确填写。</w:t>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outlineLvl w:val="0"/>
      </w:pPr>
      <w:r/>
      <w:bookmarkStart w:id="31" w:name="_Toc4071"/>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rPr>
        <w:t xml:space="preserve">3 </w:t>
      </w:r>
      <w:r>
        <w:rPr>
          <w:rFonts w:hint="eastAsia" w:ascii="宋体" w:hAnsi="宋体" w:eastAsia="宋体" w:cs="宋体"/>
          <w:b/>
          <w:color w:val="auto"/>
          <w:sz w:val="24"/>
          <w:szCs w:val="24"/>
          <w:highlight w:val="none"/>
        </w:rPr>
        <w:t xml:space="preserve">技术要求响应及偏离表（分包号：**）</w:t>
      </w:r>
      <w:bookmarkEnd w:id="31"/>
      <w:r/>
      <w:r/>
    </w:p>
    <w:tbl>
      <w:tblPr>
        <w:tblStyle w:val="7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outlineLvl w:val="0"/>
      </w:pPr>
      <w:r/>
      <w:bookmarkStart w:id="32" w:name="_Toc22134"/>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-1  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1，证明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bookmarkEnd w:id="32"/>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w:t>
      </w:r>
      <w:r>
        <w:rPr>
          <w:rFonts w:hint="eastAsia" w:ascii="宋体" w:hAnsi="宋体" w:eastAsia="宋体" w:cs="宋体"/>
          <w:color w:val="auto"/>
          <w:sz w:val="24"/>
          <w:szCs w:val="24"/>
          <w:highlight w:val="none"/>
        </w:rPr>
        <w:t xml:space="preserve">对技术</w:t>
      </w:r>
      <w:r>
        <w:rPr>
          <w:rFonts w:hint="eastAsia" w:ascii="宋体" w:hAnsi="宋体" w:eastAsia="宋体" w:cs="宋体"/>
          <w:color w:val="auto"/>
          <w:sz w:val="24"/>
          <w:szCs w:val="24"/>
          <w:highlight w:val="none"/>
        </w:rPr>
        <w:t xml:space="preserve">要求（未加斜体</w:t>
      </w:r>
      <w:r>
        <w:rPr>
          <w:rFonts w:hint="eastAsia" w:ascii="宋体" w:hAnsi="宋体" w:eastAsia="宋体" w:cs="宋体"/>
          <w:color w:val="auto"/>
          <w:sz w:val="24"/>
          <w:szCs w:val="24"/>
          <w:highlight w:val="none"/>
        </w:rPr>
        <w:t xml:space="preserve">下划线的</w:t>
      </w:r>
      <w:r>
        <w:rPr>
          <w:rFonts w:hint="eastAsia" w:ascii="宋体" w:hAnsi="宋体" w:eastAsia="宋体" w:cs="宋体"/>
          <w:color w:val="auto"/>
          <w:sz w:val="24"/>
          <w:szCs w:val="24"/>
          <w:highlight w:val="none"/>
        </w:rPr>
        <w:t xml:space="preserve">非</w:t>
      </w:r>
      <w:r>
        <w:rPr>
          <w:rFonts w:hint="eastAsia" w:ascii="宋体" w:hAnsi="宋体" w:eastAsia="宋体" w:cs="宋体"/>
          <w:color w:val="auto"/>
          <w:sz w:val="24"/>
          <w:szCs w:val="24"/>
          <w:highlight w:val="none"/>
        </w:rPr>
        <w:t xml:space="preserve">实质性</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rPr>
        <w:t xml:space="preserve">逐条做出明确响应</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w:t>
      </w:r>
      <w:r>
        <w:rPr>
          <w:rFonts w:hint="eastAsia" w:ascii="宋体" w:hAnsi="宋体" w:eastAsia="宋体" w:cs="宋体"/>
          <w:color w:val="auto"/>
          <w:sz w:val="24"/>
          <w:szCs w:val="24"/>
          <w:highlight w:val="none"/>
        </w:rPr>
        <w:t xml:space="preserve">文件要求提供</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rPr>
        <w:t xml:space="preserve">材料，投标人</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rPr>
        <w:t xml:space="preserve">将证明材料</w:t>
      </w:r>
      <w:r>
        <w:rPr>
          <w:rFonts w:hint="eastAsia" w:ascii="宋体" w:hAnsi="宋体" w:eastAsia="宋体" w:cs="宋体"/>
          <w:color w:val="auto"/>
          <w:sz w:val="24"/>
          <w:szCs w:val="24"/>
          <w:highlight w:val="none"/>
        </w:rPr>
        <w:t xml:space="preserve">列于</w:t>
      </w:r>
      <w:r>
        <w:rPr>
          <w:rFonts w:hint="eastAsia" w:ascii="宋体" w:hAnsi="宋体" w:eastAsia="宋体" w:cs="宋体"/>
          <w:color w:val="auto"/>
          <w:sz w:val="24"/>
          <w:szCs w:val="24"/>
          <w:highlight w:val="none"/>
        </w:rPr>
        <w:t xml:space="preserve">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outlineLvl w:val="0"/>
      </w:pPr>
      <w:r/>
      <w:bookmarkStart w:id="33" w:name="_Toc17161"/>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rPr>
        <w:t xml:space="preserve">4 </w:t>
      </w:r>
      <w:r>
        <w:rPr>
          <w:rFonts w:hint="eastAsia" w:ascii="宋体" w:hAnsi="宋体" w:eastAsia="宋体" w:cs="宋体"/>
          <w:b/>
          <w:color w:val="auto"/>
          <w:sz w:val="24"/>
          <w:szCs w:val="24"/>
          <w:highlight w:val="none"/>
        </w:rPr>
        <w:t xml:space="preserve">商务要求响应及偏离表（分包号：**）</w:t>
      </w:r>
      <w:bookmarkEnd w:id="33"/>
      <w:r/>
      <w:r/>
    </w:p>
    <w:tbl>
      <w:tblPr>
        <w:tblStyle w:val="7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商务要求</w:t>
            </w:r>
            <w:r/>
          </w:p>
        </w:tc>
        <w:tc>
          <w:tcPr>
            <w:tcW w:w="3191"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063"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191"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8"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outlineLvl w:val="0"/>
      </w:pPr>
      <w:r/>
      <w:bookmarkStart w:id="34" w:name="_Toc16190"/>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-1  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1，证明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bookmarkEnd w:id="34"/>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1.投标人需</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rPr>
        <w:t xml:space="preserve">商务要求（未加斜体</w:t>
      </w:r>
      <w:r>
        <w:rPr>
          <w:rFonts w:hint="eastAsia" w:ascii="宋体" w:hAnsi="宋体" w:eastAsia="宋体" w:cs="宋体"/>
          <w:color w:val="auto"/>
          <w:sz w:val="24"/>
          <w:szCs w:val="24"/>
          <w:highlight w:val="none"/>
        </w:rPr>
        <w:t xml:space="preserve">下划线的</w:t>
      </w:r>
      <w:r>
        <w:rPr>
          <w:rFonts w:hint="eastAsia" w:ascii="宋体" w:hAnsi="宋体" w:eastAsia="宋体" w:cs="宋体"/>
          <w:color w:val="auto"/>
          <w:sz w:val="24"/>
          <w:szCs w:val="24"/>
          <w:highlight w:val="none"/>
        </w:rPr>
        <w:t xml:space="preserve">非</w:t>
      </w:r>
      <w:r>
        <w:rPr>
          <w:rFonts w:hint="eastAsia" w:ascii="宋体" w:hAnsi="宋体" w:eastAsia="宋体" w:cs="宋体"/>
          <w:color w:val="auto"/>
          <w:sz w:val="24"/>
          <w:szCs w:val="24"/>
          <w:highlight w:val="none"/>
        </w:rPr>
        <w:t xml:space="preserve">实质性</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rPr>
        <w:t xml:space="preserve">逐条做出明确响应</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w:t>
      </w:r>
      <w:r>
        <w:rPr>
          <w:rFonts w:hint="eastAsia" w:ascii="宋体" w:hAnsi="宋体" w:eastAsia="宋体" w:cs="宋体"/>
          <w:color w:val="auto"/>
          <w:sz w:val="24"/>
          <w:szCs w:val="24"/>
          <w:highlight w:val="none"/>
        </w:rPr>
        <w:t xml:space="preserve">文件要求提供</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rPr>
        <w:t xml:space="preserve">材料，投标人</w:t>
      </w:r>
      <w:r>
        <w:rPr>
          <w:rFonts w:hint="eastAsia" w:ascii="宋体" w:hAnsi="宋体" w:eastAsia="宋体" w:cs="宋体"/>
          <w:color w:val="auto"/>
          <w:sz w:val="24"/>
          <w:szCs w:val="24"/>
          <w:highlight w:val="none"/>
        </w:rPr>
        <w:t xml:space="preserve">需</w:t>
      </w:r>
      <w:r>
        <w:rPr>
          <w:rFonts w:hint="eastAsia" w:ascii="宋体" w:hAnsi="宋体" w:eastAsia="宋体" w:cs="宋体"/>
          <w:color w:val="auto"/>
          <w:sz w:val="24"/>
          <w:szCs w:val="24"/>
          <w:highlight w:val="none"/>
        </w:rPr>
        <w:t xml:space="preserve">将证明材料</w:t>
      </w:r>
      <w:r>
        <w:rPr>
          <w:rFonts w:hint="eastAsia" w:ascii="宋体" w:hAnsi="宋体" w:eastAsia="宋体" w:cs="宋体"/>
          <w:color w:val="auto"/>
          <w:sz w:val="24"/>
          <w:szCs w:val="24"/>
          <w:highlight w:val="none"/>
        </w:rPr>
        <w:t xml:space="preserve">列于</w:t>
      </w:r>
      <w:r>
        <w:rPr>
          <w:rFonts w:hint="eastAsia" w:ascii="宋体" w:hAnsi="宋体" w:eastAsia="宋体" w:cs="宋体"/>
          <w:color w:val="auto"/>
          <w:sz w:val="24"/>
          <w:szCs w:val="24"/>
          <w:highlight w:val="none"/>
        </w:rPr>
        <w:t xml:space="preserve">该表之下。</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spacing w:line="460" w:lineRule="exact"/>
        <w:rPr>
          <w:rFonts w:hint="eastAsia" w:ascii="宋体" w:hAnsi="宋体" w:eastAsia="宋体" w:cs="宋体"/>
          <w:b/>
          <w:color w:val="auto"/>
          <w:sz w:val="24"/>
          <w:szCs w:val="21"/>
          <w:highlight w:val="none"/>
        </w:rPr>
      </w:pPr>
      <w:r/>
      <w:bookmarkStart w:id="35" w:name="_Toc120614284"/>
      <w:r/>
      <w:r/>
    </w:p>
    <w:p>
      <w:pPr>
        <w:keepLines/>
        <w:keepNext/>
        <w:spacing w:before="260" w:after="260" w:line="416" w:lineRule="auto"/>
        <w:rPr>
          <w:rFonts w:hint="eastAsia" w:ascii="宋体" w:hAnsi="宋体" w:eastAsia="宋体" w:cs="宋体"/>
          <w:b/>
          <w:i/>
          <w:color w:val="auto"/>
          <w:sz w:val="32"/>
          <w:szCs w:val="32"/>
          <w:highlight w:val="none"/>
          <w:u w:val="single"/>
        </w:rPr>
        <w:outlineLvl w:val="0"/>
      </w:pPr>
      <w:r>
        <w:rPr>
          <w:rFonts w:hint="eastAsia" w:ascii="宋体" w:hAnsi="宋体" w:eastAsia="宋体" w:cs="宋体"/>
          <w:b/>
          <w:color w:val="auto"/>
          <w:sz w:val="24"/>
          <w:szCs w:val="44"/>
          <w:highlight w:val="none"/>
        </w:rPr>
        <w:br w:type="page" w:clear="all"/>
      </w:r>
      <w:bookmarkStart w:id="36" w:name="_Toc15559"/>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Pr>
        <w:t xml:space="preserve">投标函</w:t>
      </w:r>
      <w:bookmarkEnd w:id="36"/>
      <w:r/>
      <w:r/>
    </w:p>
    <w:p>
      <w:pPr>
        <w:jc w:val="left"/>
        <w:spacing w:line="420" w:lineRule="exact"/>
        <w:rPr>
          <w:rFonts w:hint="eastAsia" w:ascii="宋体" w:hAnsi="宋体" w:eastAsia="宋体" w:cs="宋体"/>
          <w:color w:val="auto"/>
          <w:sz w:val="24"/>
          <w:szCs w:val="21"/>
          <w:highlight w:val="none"/>
          <w:u w:val="singl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u w:val="single"/>
          <w:lang w:val="en-US" w:eastAsia="zh-CN"/>
        </w:rPr>
        <w:t xml:space="preserve">           </w:t>
      </w:r>
      <w:r/>
    </w:p>
    <w:p>
      <w:pPr>
        <w:ind w:firstLine="480"/>
        <w:spacing w:line="559" w:lineRule="atLeast"/>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highlight w:val="none"/>
        </w:rPr>
        <w:t xml:space="preserve">JSZC-321324-XSZX-G2024-0005</w:t>
      </w:r>
      <w:r>
        <w:rPr>
          <w:rFonts w:hint="eastAsia" w:ascii="宋体" w:hAnsi="宋体" w:eastAsia="宋体" w:cs="宋体"/>
          <w:color w:val="auto"/>
          <w:sz w:val="24"/>
          <w:szCs w:val="21"/>
          <w:highlight w:val="none"/>
        </w:rPr>
        <w:t xml:space="preserve">号招标文件，正式授权下述签字人_____(姓名)代表我方_______（投标人的名称），全权处理本次项目投标的有关事宜。</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w:t>
      </w:r>
      <w:r>
        <w:rPr>
          <w:rFonts w:hint="eastAsia" w:ascii="宋体" w:hAnsi="宋体" w:eastAsia="宋体" w:cs="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w:t>
      </w:r>
      <w:r>
        <w:rPr>
          <w:rFonts w:hint="eastAsia" w:ascii="宋体" w:hAnsi="宋体" w:eastAsia="宋体" w:cs="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w:t>
      </w:r>
      <w:r>
        <w:rPr>
          <w:rFonts w:hint="eastAsia" w:ascii="宋体" w:hAnsi="宋体" w:eastAsia="宋体" w:cs="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期：________年____月____日</w:t>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480"/>
        <w:spacing w:line="460" w:lineRule="exact"/>
        <w:rPr>
          <w:rFonts w:hint="eastAsia" w:ascii="宋体" w:hAnsi="宋体" w:eastAsia="宋体" w:cs="宋体"/>
          <w:bCs/>
          <w:color w:val="auto"/>
          <w:sz w:val="24"/>
          <w:szCs w:val="21"/>
          <w:highlight w:val="none"/>
        </w:rPr>
        <w:outlineLvl w:val="0"/>
      </w:pPr>
      <w:r/>
      <w:bookmarkStart w:id="37" w:name="_Toc1506"/>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6</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Pr>
        <w:t xml:space="preserve">法人授权书</w:t>
      </w:r>
      <w:bookmarkEnd w:id="37"/>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本授权书声明：____________（投标人名称）授权________________（被授权人的姓名）为我方就 </w:t>
      </w:r>
      <w:r>
        <w:rPr>
          <w:rFonts w:hint="eastAsia" w:ascii="宋体" w:hAnsi="宋体" w:eastAsia="宋体" w:cs="宋体"/>
          <w:color w:val="auto"/>
          <w:sz w:val="24"/>
          <w:highlight w:val="none"/>
        </w:rPr>
        <w:t xml:space="preserve">JSZC-321324-XSZX-G2024-0005</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r/>
    </w:p>
    <w:p>
      <w:pPr>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r/>
    </w:p>
    <w:p>
      <w:pPr>
        <w:ind w:firstLine="120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r/>
    </w:p>
    <w:p>
      <w:pPr>
        <w:ind w:firstLine="480"/>
        <w:spacing w:line="40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38" w:name="_Hlt26671380"/>
      <w:r/>
      <w:bookmarkEnd w:id="38"/>
      <w:r/>
      <w:bookmarkStart w:id="39" w:name="_格式3__银行出具的资信证明"/>
      <w:r/>
      <w:bookmarkEnd w:id="39"/>
      <w:r/>
      <w:bookmarkStart w:id="40" w:name="_Hlt26955070"/>
      <w:r/>
      <w:bookmarkEnd w:id="40"/>
      <w:r>
        <w:rPr>
          <w:rFonts w:hint="eastAsia" w:ascii="宋体" w:hAnsi="宋体" w:eastAsia="宋体" w:cs="宋体"/>
          <w:color w:val="auto"/>
          <w:sz w:val="24"/>
          <w:szCs w:val="24"/>
          <w:highlight w:val="none"/>
          <w:u w:val="single"/>
        </w:rPr>
        <w:t xml:space="preserve">                                         </w:t>
      </w:r>
      <w:r/>
    </w:p>
    <w:p>
      <w:pPr>
        <w:jc w:val="both"/>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jc w:val="both"/>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241"/>
        <w:jc w:val="center"/>
        <w:spacing w:line="560" w:lineRule="exact"/>
        <w:rPr>
          <w:rFonts w:hint="eastAsia" w:ascii="宋体" w:hAnsi="宋体" w:eastAsia="宋体" w:cs="宋体"/>
          <w:b/>
          <w:color w:val="auto"/>
          <w:sz w:val="24"/>
          <w:szCs w:val="21"/>
          <w:highlight w:val="none"/>
        </w:rPr>
        <w:outlineLvl w:val="0"/>
      </w:pPr>
      <w:r/>
      <w:bookmarkStart w:id="41" w:name="_Toc23772"/>
      <w:r>
        <w:rPr>
          <w:rFonts w:hint="eastAsia" w:ascii="宋体" w:hAnsi="宋体" w:eastAsia="宋体" w:cs="宋体"/>
          <w:b/>
          <w:color w:val="auto"/>
          <w:sz w:val="24"/>
          <w:szCs w:val="21"/>
          <w:highlight w:val="none"/>
        </w:rPr>
        <w:t xml:space="preserve">附件</w:t>
      </w:r>
      <w:r>
        <w:rPr>
          <w:rFonts w:hint="eastAsia" w:ascii="宋体" w:hAnsi="宋体" w:eastAsia="宋体" w:cs="宋体"/>
          <w:b/>
          <w:color w:val="auto"/>
          <w:sz w:val="24"/>
          <w:szCs w:val="21"/>
          <w:highlight w:val="none"/>
          <w:lang w:val="en-US" w:eastAsia="zh-CN"/>
        </w:rPr>
        <w:t xml:space="preserve">7</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Pr>
        <w:t xml:space="preserve"> </w:t>
      </w:r>
      <w:r>
        <w:rPr>
          <w:rFonts w:hint="eastAsia" w:ascii="宋体" w:hAnsi="宋体" w:eastAsia="宋体" w:cs="宋体"/>
          <w:b/>
          <w:color w:val="auto"/>
          <w:sz w:val="24"/>
          <w:szCs w:val="21"/>
          <w:highlight w:val="none"/>
        </w:rPr>
        <w:t xml:space="preserve">中小微企业声明函（货物类项目）（分包号：**）</w:t>
      </w:r>
      <w:bookmarkEnd w:id="41"/>
      <w:r/>
      <w:r/>
    </w:p>
    <w:p>
      <w:pPr>
        <w:ind w:firstLine="480"/>
        <w:spacing w:line="55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eastAsia="宋体" w:cs="宋体"/>
          <w:color w:val="auto"/>
          <w:sz w:val="24"/>
          <w:highlight w:val="none"/>
        </w:rPr>
        <w:t xml:space="preserve">JSZC-321324-XSZX-G2024-0005</w:t>
      </w:r>
      <w:r>
        <w:rPr>
          <w:rFonts w:hint="eastAsia" w:ascii="宋体" w:hAnsi="宋体" w:eastAsia="宋体" w:cs="宋体"/>
          <w:color w:val="auto"/>
          <w:sz w:val="24"/>
          <w:highlight w:val="none"/>
          <w:lang w:val="en-US" w:eastAsia="zh-CN"/>
        </w:rPr>
        <w:t xml:space="preserve">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（项目名称）（分包号：**）</w:t>
      </w:r>
      <w:r>
        <w:rPr>
          <w:rFonts w:hint="eastAsia" w:ascii="宋体" w:hAnsi="宋体" w:eastAsia="宋体" w:cs="宋体"/>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 □小型企业 □微型企业）；</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2.专门</w:t>
      </w:r>
      <w:r>
        <w:rPr>
          <w:rFonts w:hint="eastAsia" w:ascii="宋体" w:hAnsi="宋体" w:eastAsia="宋体" w:cs="宋体"/>
          <w:color w:val="auto"/>
          <w:sz w:val="24"/>
          <w:szCs w:val="24"/>
          <w:highlight w:val="none"/>
        </w:rPr>
        <w:t xml:space="preserve">面向中小微型企业</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的项目，</w:t>
      </w:r>
      <w:r>
        <w:rPr>
          <w:rFonts w:hint="eastAsia" w:ascii="宋体" w:hAnsi="宋体" w:eastAsia="宋体" w:cs="宋体"/>
          <w:color w:val="auto"/>
          <w:sz w:val="24"/>
          <w:szCs w:val="24"/>
          <w:highlight w:val="none"/>
        </w:rPr>
        <w:t xml:space="preserve">供应商如不提供此声明函，则</w:t>
      </w:r>
      <w:r>
        <w:rPr>
          <w:rFonts w:hint="eastAsia" w:ascii="宋体" w:hAnsi="宋体" w:eastAsia="宋体" w:cs="宋体"/>
          <w:color w:val="auto"/>
          <w:sz w:val="24"/>
          <w:szCs w:val="24"/>
          <w:highlight w:val="none"/>
        </w:rPr>
        <w:t xml:space="preserve">不能通过资格审查；</w:t>
      </w:r>
      <w:r>
        <w:rPr>
          <w:rFonts w:hint="eastAsia" w:ascii="宋体" w:hAnsi="宋体" w:eastAsia="宋体" w:cs="宋体"/>
          <w:color w:val="auto"/>
          <w:sz w:val="24"/>
          <w:szCs w:val="24"/>
          <w:highlight w:val="none"/>
        </w:rPr>
        <w:t xml:space="preserve">非专门</w:t>
      </w:r>
      <w:r>
        <w:rPr>
          <w:rFonts w:hint="eastAsia" w:ascii="宋体" w:hAnsi="宋体" w:eastAsia="宋体" w:cs="宋体"/>
          <w:color w:val="auto"/>
          <w:sz w:val="24"/>
          <w:szCs w:val="24"/>
          <w:highlight w:val="none"/>
        </w:rPr>
        <w:t xml:space="preserve">面向中小微型企业</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rPr>
        <w:t xml:space="preserve">的项目，</w:t>
      </w:r>
      <w:r>
        <w:rPr>
          <w:rFonts w:hint="eastAsia" w:ascii="宋体" w:hAnsi="宋体" w:eastAsia="宋体" w:cs="宋体"/>
          <w:color w:val="auto"/>
          <w:sz w:val="24"/>
          <w:szCs w:val="24"/>
          <w:highlight w:val="none"/>
        </w:rPr>
        <w:t xml:space="preserve">供应商如不提供此声明函，价格将不做相应扣除。</w:t>
      </w:r>
      <w:r/>
    </w:p>
    <w:p>
      <w:pPr>
        <w:ind w:left="540" w:hanging="12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w:t>
      </w:r>
      <w:r>
        <w:rPr>
          <w:rFonts w:hint="eastAsia" w:ascii="宋体" w:hAnsi="宋体" w:eastAsia="宋体" w:cs="宋体"/>
          <w:color w:val="auto"/>
          <w:sz w:val="24"/>
          <w:szCs w:val="24"/>
          <w:highlight w:val="none"/>
        </w:rPr>
        <w:t xml:space="preserve">自行勾选</w:t>
      </w:r>
      <w:r>
        <w:rPr>
          <w:rFonts w:hint="eastAsia" w:ascii="宋体" w:hAnsi="宋体" w:eastAsia="宋体" w:cs="宋体"/>
          <w:color w:val="auto"/>
          <w:sz w:val="24"/>
          <w:szCs w:val="24"/>
          <w:highlight w:val="none"/>
        </w:rPr>
        <w:t xml:space="preserve">制造商</w:t>
      </w:r>
      <w:r>
        <w:rPr>
          <w:rFonts w:hint="eastAsia" w:ascii="宋体" w:hAnsi="宋体" w:eastAsia="宋体" w:cs="宋体"/>
          <w:color w:val="auto"/>
          <w:sz w:val="24"/>
          <w:szCs w:val="24"/>
          <w:highlight w:val="none"/>
        </w:rPr>
        <w:t xml:space="preserve">的企业</w:t>
      </w:r>
      <w:r>
        <w:rPr>
          <w:rFonts w:hint="eastAsia" w:ascii="宋体" w:hAnsi="宋体" w:eastAsia="宋体" w:cs="宋体"/>
          <w:color w:val="auto"/>
          <w:sz w:val="24"/>
          <w:szCs w:val="24"/>
          <w:highlight w:val="none"/>
        </w:rPr>
        <w:t xml:space="preserve">规模类型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  残疾人福利性单位声明函（货物类项目）（分包号：**）</w:t>
      </w:r>
      <w:r/>
    </w:p>
    <w:p>
      <w:pPr>
        <w:ind w:firstLine="480"/>
        <w:spacing w:line="559" w:lineRule="atLeast"/>
        <w:rPr>
          <w:rFonts w:hint="eastAsia"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 xml:space="preserve">JSZC-321324-XSZX-G2024-0005</w:t>
      </w:r>
      <w:r>
        <w:rPr>
          <w:rFonts w:hint="eastAsia" w:ascii="宋体" w:hAnsi="宋体" w:eastAsia="宋体" w:cs="宋体"/>
          <w:color w:val="auto"/>
          <w:sz w:val="24"/>
          <w:highlight w:val="none"/>
          <w:lang w:val="en-US" w:eastAsia="zh-CN"/>
        </w:rPr>
        <w:t xml:space="preserve">号</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Pr>
        <w:t xml:space="preserve">专门面向中小微型企业采购的</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1"/>
          <w:highlight w:val="none"/>
        </w:rPr>
        <w:t xml:space="preserve">，供应商为残疾人福利性单位并提供本单位制造的货物，或者提供其他残疾人福利性单位制造的货物，必须提供此</w:t>
      </w:r>
      <w:r>
        <w:rPr>
          <w:rFonts w:hint="eastAsia" w:ascii="宋体" w:hAnsi="宋体" w:eastAsia="宋体" w:cs="宋体"/>
          <w:color w:val="auto"/>
          <w:sz w:val="24"/>
          <w:szCs w:val="21"/>
          <w:highlight w:val="none"/>
        </w:rPr>
        <w:t xml:space="preserve">声明函</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rPr>
        <w:t xml:space="preserve">否则将</w:t>
      </w:r>
      <w:r>
        <w:rPr>
          <w:rFonts w:hint="eastAsia" w:ascii="宋体" w:hAnsi="宋体" w:eastAsia="宋体" w:cs="宋体"/>
          <w:color w:val="auto"/>
          <w:sz w:val="24"/>
          <w:szCs w:val="21"/>
          <w:highlight w:val="none"/>
        </w:rPr>
        <w:t xml:space="preserve">不能</w:t>
      </w:r>
      <w:r>
        <w:rPr>
          <w:rFonts w:hint="eastAsia" w:ascii="宋体" w:hAnsi="宋体" w:eastAsia="宋体" w:cs="宋体"/>
          <w:color w:val="auto"/>
          <w:sz w:val="24"/>
          <w:szCs w:val="21"/>
          <w:highlight w:val="none"/>
        </w:rPr>
        <w:t xml:space="preserve">通过资格审查</w:t>
      </w:r>
      <w:r>
        <w:rPr>
          <w:rFonts w:hint="eastAsia" w:ascii="宋体" w:hAnsi="宋体" w:eastAsia="宋体" w:cs="宋体"/>
          <w:color w:val="auto"/>
          <w:sz w:val="24"/>
          <w:szCs w:val="21"/>
          <w:highlight w:val="none"/>
        </w:rPr>
        <w:t xml:space="preserve">。</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2.非专门面向中小微型企业采购的</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1"/>
          <w:highlight w:val="none"/>
        </w:rPr>
        <w:t xml:space="preserve">，供应商如不提供此声明函，价格将不做相应扣除。</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w:t>
      </w:r>
      <w:r>
        <w:rPr>
          <w:rFonts w:hint="eastAsia" w:ascii="宋体" w:hAnsi="宋体" w:eastAsia="宋体" w:cs="宋体"/>
          <w:color w:val="auto"/>
          <w:sz w:val="24"/>
          <w:szCs w:val="21"/>
          <w:highlight w:val="none"/>
        </w:rPr>
        <w:t xml:space="preserve">.中标/成交供应商为残疾人福利性单位的，此声明函将随中标/成交结果同时公告，接受社会监督。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59" w:firstLine="624"/>
        <w:jc w:val="center"/>
        <w:spacing w:line="40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供应商全称（加盖CA电子公章）：</w:t>
      </w:r>
      <w:r/>
    </w:p>
    <w:p>
      <w:pPr>
        <w:ind w:right="1559" w:firstLine="480"/>
        <w:jc w:val="center"/>
        <w:spacing w:line="400"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both"/>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z w:val="24"/>
          <w:szCs w:val="24"/>
          <w:highlight w:val="none"/>
        </w:rPr>
        <w:outlineLvl w:val="0"/>
      </w:pPr>
      <w:r/>
      <w:bookmarkStart w:id="42" w:name="_Toc6846"/>
      <w:r>
        <w:rPr>
          <w:rFonts w:hint="eastAsia" w:ascii="宋体" w:hAnsi="宋体" w:eastAsia="宋体" w:cs="宋体"/>
          <w:b/>
          <w:color w:val="auto"/>
          <w:sz w:val="24"/>
          <w:szCs w:val="24"/>
          <w:highlight w:val="none"/>
        </w:rPr>
        <w:t xml:space="preserve">附件</w:t>
      </w:r>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实质性要求响应及偏离表（分包号：**）</w:t>
      </w:r>
      <w:bookmarkEnd w:id="42"/>
      <w:r/>
      <w:r/>
    </w:p>
    <w:tbl>
      <w:tblPr>
        <w:tblStyle w:val="78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609"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eastAsia="宋体" w:cs="宋体"/>
                <w:color w:val="auto"/>
                <w:sz w:val="24"/>
                <w:szCs w:val="24"/>
                <w:highlight w:val="none"/>
              </w:rPr>
              <w:t xml:space="preserve">要求和商务要求中的实质性要求</w:t>
            </w:r>
            <w:r>
              <w:rPr>
                <w:rFonts w:hint="eastAsia" w:ascii="宋体" w:hAnsi="宋体" w:eastAsia="宋体" w:cs="宋体"/>
                <w:i/>
                <w:color w:val="auto"/>
                <w:sz w:val="24"/>
                <w:szCs w:val="24"/>
                <w:highlight w:val="none"/>
                <w:u w:val="single"/>
              </w:rPr>
              <w:t xml:space="preserve">（加</w:t>
            </w:r>
            <w:r>
              <w:rPr>
                <w:rFonts w:hint="eastAsia" w:ascii="宋体" w:hAnsi="宋体" w:eastAsia="宋体" w:cs="宋体"/>
                <w:i/>
                <w:color w:val="auto"/>
                <w:sz w:val="24"/>
                <w:szCs w:val="24"/>
                <w:highlight w:val="none"/>
                <w:u w:val="single"/>
              </w:rPr>
              <w:t xml:space="preserve">斜体下划线内容</w:t>
            </w:r>
            <w:r>
              <w:rPr>
                <w:rFonts w:hint="eastAsia" w:ascii="宋体" w:hAnsi="宋体" w:eastAsia="宋体" w:cs="宋体"/>
                <w:i w:val="0"/>
                <w:iCs/>
                <w:color w:val="auto"/>
                <w:sz w:val="24"/>
                <w:szCs w:val="24"/>
                <w:highlight w:val="none"/>
                <w:u w:val="single"/>
                <w:lang w:val="en-US" w:eastAsia="zh-CN"/>
              </w:rPr>
              <w:t xml:space="preserve">或打“★”内容</w:t>
            </w:r>
            <w:r>
              <w:rPr>
                <w:rFonts w:hint="eastAsia" w:ascii="宋体" w:hAnsi="宋体" w:eastAsia="宋体" w:cs="宋体"/>
                <w:i w:val="0"/>
                <w:iCs/>
                <w:color w:val="auto"/>
                <w:sz w:val="24"/>
                <w:szCs w:val="24"/>
                <w:highlight w:val="none"/>
                <w:u w:val="single"/>
              </w:rPr>
              <w:t xml:space="preserve">）</w:t>
            </w:r>
            <w:r/>
          </w:p>
        </w:tc>
        <w:tc>
          <w:tcPr>
            <w:tcW w:w="3317"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40"/>
        </w:trPr>
        <w:tc>
          <w:tcPr>
            <w:tcW w:w="545"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609"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3317"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6" w:type="dxa"/>
            <w:vAlign w:val="top"/>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00" w:lineRule="exact"/>
        <w:rPr>
          <w:rFonts w:hint="eastAsia" w:ascii="宋体" w:hAnsi="宋体" w:eastAsia="宋体" w:cs="宋体"/>
          <w:color w:val="auto"/>
          <w:sz w:val="24"/>
          <w:szCs w:val="24"/>
          <w:highlight w:val="none"/>
        </w:rPr>
        <w:outlineLvl w:val="0"/>
      </w:pPr>
      <w:r/>
      <w:bookmarkStart w:id="43" w:name="_Toc19353"/>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1，证明</w:t>
      </w:r>
      <w:r>
        <w:rPr>
          <w:rFonts w:hint="eastAsia" w:ascii="宋体" w:hAnsi="宋体" w:eastAsia="宋体" w:cs="宋体"/>
          <w:color w:val="auto"/>
          <w:sz w:val="24"/>
          <w:szCs w:val="24"/>
          <w:highlight w:val="none"/>
        </w:rPr>
        <w:t xml:space="preserve">材料</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bookmarkEnd w:id="43"/>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1.投标人必须</w:t>
      </w:r>
      <w:r>
        <w:rPr>
          <w:rFonts w:hint="eastAsia" w:ascii="宋体" w:hAnsi="宋体" w:eastAsia="宋体" w:cs="宋体"/>
          <w:color w:val="auto"/>
          <w:sz w:val="24"/>
          <w:szCs w:val="24"/>
          <w:highlight w:val="none"/>
        </w:rPr>
        <w:t xml:space="preserve">对技术</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rPr>
        <w:t xml:space="preserve">和商务要求中的实质性要求</w:t>
      </w:r>
      <w:r>
        <w:rPr>
          <w:rFonts w:hint="eastAsia" w:ascii="宋体" w:hAnsi="宋体" w:eastAsia="宋体" w:cs="宋体"/>
          <w:i/>
          <w:color w:val="auto"/>
          <w:sz w:val="24"/>
          <w:szCs w:val="24"/>
          <w:highlight w:val="none"/>
          <w:u w:val="single"/>
        </w:rPr>
        <w:t xml:space="preserve">（加</w:t>
      </w:r>
      <w:r>
        <w:rPr>
          <w:rFonts w:hint="eastAsia" w:ascii="宋体" w:hAnsi="宋体" w:eastAsia="宋体" w:cs="宋体"/>
          <w:i/>
          <w:color w:val="auto"/>
          <w:sz w:val="24"/>
          <w:szCs w:val="24"/>
          <w:highlight w:val="none"/>
          <w:u w:val="single"/>
        </w:rPr>
        <w:t xml:space="preserve">斜体下划线内容</w:t>
      </w:r>
      <w:r>
        <w:rPr>
          <w:rFonts w:hint="eastAsia" w:ascii="宋体" w:hAnsi="宋体" w:eastAsia="宋体" w:cs="宋体"/>
          <w:i w:val="0"/>
          <w:iCs/>
          <w:color w:val="auto"/>
          <w:sz w:val="24"/>
          <w:szCs w:val="24"/>
          <w:highlight w:val="none"/>
          <w:u w:val="single"/>
          <w:lang w:val="en-US" w:eastAsia="zh-CN"/>
        </w:rPr>
        <w:t xml:space="preserve">或</w:t>
      </w:r>
      <w:r>
        <w:rPr>
          <w:rFonts w:hint="eastAsia" w:ascii="宋体" w:hAnsi="宋体" w:eastAsia="宋体" w:cs="宋体"/>
          <w:i w:val="0"/>
          <w:iCs/>
          <w:color w:val="auto"/>
          <w:sz w:val="24"/>
          <w:szCs w:val="24"/>
          <w:highlight w:val="none"/>
          <w:u w:val="single"/>
        </w:rPr>
        <w:t xml:space="preserve">打“★”内容</w:t>
      </w:r>
      <w:r>
        <w:rPr>
          <w:rFonts w:hint="eastAsia" w:ascii="宋体" w:hAnsi="宋体" w:eastAsia="宋体" w:cs="宋体"/>
          <w:i w:val="0"/>
          <w:iCs/>
          <w:color w:val="auto"/>
          <w:sz w:val="24"/>
          <w:szCs w:val="24"/>
          <w:highlight w:val="none"/>
          <w:u w:val="single"/>
        </w:rPr>
        <w:t xml:space="preserve">）</w:t>
      </w:r>
      <w:r>
        <w:rPr>
          <w:rFonts w:hint="eastAsia" w:ascii="宋体" w:hAnsi="宋体" w:eastAsia="宋体" w:cs="宋体"/>
          <w:color w:val="auto"/>
          <w:sz w:val="24"/>
          <w:szCs w:val="24"/>
          <w:highlight w:val="none"/>
        </w:rPr>
        <w:t xml:space="preserve">逐条做出明确响应</w:t>
      </w:r>
      <w:r>
        <w:rPr>
          <w:rFonts w:hint="eastAsia" w:ascii="宋体" w:hAnsi="宋体" w:eastAsia="宋体" w:cs="宋体"/>
          <w:color w:val="auto"/>
          <w:sz w:val="24"/>
          <w:szCs w:val="24"/>
          <w:highlight w:val="none"/>
        </w:rPr>
        <w:t xml:space="preserve">。</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2.如果招标</w:t>
      </w:r>
      <w:r>
        <w:rPr>
          <w:rFonts w:hint="eastAsia" w:ascii="宋体" w:hAnsi="宋体" w:eastAsia="宋体" w:cs="宋体"/>
          <w:color w:val="auto"/>
          <w:sz w:val="24"/>
          <w:szCs w:val="24"/>
          <w:highlight w:val="none"/>
        </w:rPr>
        <w:t xml:space="preserve">文件要求提供</w:t>
      </w:r>
      <w:r>
        <w:rPr>
          <w:rFonts w:hint="eastAsia" w:ascii="宋体" w:hAnsi="宋体" w:eastAsia="宋体" w:cs="宋体"/>
          <w:color w:val="auto"/>
          <w:sz w:val="24"/>
          <w:szCs w:val="24"/>
          <w:highlight w:val="none"/>
        </w:rPr>
        <w:t xml:space="preserve">证明</w:t>
      </w:r>
      <w:r>
        <w:rPr>
          <w:rFonts w:hint="eastAsia" w:ascii="宋体" w:hAnsi="宋体" w:eastAsia="宋体" w:cs="宋体"/>
          <w:color w:val="auto"/>
          <w:sz w:val="24"/>
          <w:szCs w:val="24"/>
          <w:highlight w:val="none"/>
        </w:rPr>
        <w:t xml:space="preserve">材料，投标人</w:t>
      </w:r>
      <w:r>
        <w:rPr>
          <w:rFonts w:hint="eastAsia" w:ascii="宋体" w:hAnsi="宋体" w:eastAsia="宋体" w:cs="宋体"/>
          <w:color w:val="auto"/>
          <w:sz w:val="24"/>
          <w:szCs w:val="24"/>
          <w:highlight w:val="none"/>
        </w:rPr>
        <w:t xml:space="preserve">必须</w:t>
      </w:r>
      <w:r>
        <w:rPr>
          <w:rFonts w:hint="eastAsia" w:ascii="宋体" w:hAnsi="宋体" w:eastAsia="宋体" w:cs="宋体"/>
          <w:color w:val="auto"/>
          <w:sz w:val="24"/>
          <w:szCs w:val="24"/>
          <w:highlight w:val="none"/>
        </w:rPr>
        <w:t xml:space="preserve">将证明材料</w:t>
      </w:r>
      <w:r>
        <w:rPr>
          <w:rFonts w:hint="eastAsia" w:ascii="宋体" w:hAnsi="宋体" w:eastAsia="宋体" w:cs="宋体"/>
          <w:color w:val="auto"/>
          <w:sz w:val="24"/>
          <w:szCs w:val="24"/>
          <w:highlight w:val="none"/>
        </w:rPr>
        <w:t xml:space="preserve">列于</w:t>
      </w:r>
      <w:r>
        <w:rPr>
          <w:rFonts w:hint="eastAsia" w:ascii="宋体" w:hAnsi="宋体" w:eastAsia="宋体" w:cs="宋体"/>
          <w:color w:val="auto"/>
          <w:sz w:val="24"/>
          <w:szCs w:val="24"/>
          <w:highlight w:val="none"/>
        </w:rPr>
        <w:t xml:space="preserve">该表之下。</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3.投标人未对实质性要求逐条作出明确响应的，或未按招标文件要求提供证明材料的，该分包作无效投标处理。</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bookmarkEnd w:id="35"/>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both"/>
        <w:spacing w:line="360" w:lineRule="auto"/>
        <w:rPr>
          <w:rFonts w:hint="eastAsia" w:ascii="宋体" w:hAnsi="宋体" w:eastAsia="宋体" w:cs="宋体"/>
          <w:b/>
          <w:bCs/>
          <w:color w:val="auto"/>
          <w:sz w:val="24"/>
          <w:highlight w:val="none"/>
          <w:lang w:val="en-US" w:eastAsia="zh-CN"/>
        </w:rPr>
        <w:outlineLvl w:val="0"/>
      </w:pPr>
      <w:r/>
      <w:bookmarkStart w:id="44" w:name="_Toc8375"/>
      <w:r>
        <w:rPr>
          <w:rFonts w:hint="eastAsia" w:ascii="宋体" w:hAnsi="宋体" w:eastAsia="宋体" w:cs="宋体"/>
          <w:b/>
          <w:bCs/>
          <w:color w:val="auto"/>
          <w:sz w:val="24"/>
          <w:highlight w:val="none"/>
          <w:lang w:val="en-US" w:eastAsia="zh-CN"/>
        </w:rPr>
        <w:t xml:space="preserve">附件10</w:t>
      </w:r>
      <w:bookmarkEnd w:id="44"/>
      <w:r/>
      <w:r/>
    </w:p>
    <w:p>
      <w:pPr>
        <w:jc w:val="center"/>
        <w:spacing w:line="360" w:lineRule="auto"/>
        <w:rPr>
          <w:rFonts w:hint="eastAsia" w:ascii="宋体" w:hAnsi="宋体" w:eastAsia="宋体" w:cs="宋体"/>
          <w:b/>
          <w:bCs/>
          <w:i w:val="0"/>
          <w:iCs w:val="0"/>
          <w:color w:val="auto"/>
          <w:sz w:val="24"/>
          <w:highlight w:val="none"/>
        </w:rPr>
        <w:outlineLvl w:val="0"/>
      </w:pPr>
      <w:r/>
      <w:bookmarkStart w:id="45" w:name="_Toc13500"/>
      <w:r>
        <w:rPr>
          <w:rFonts w:hint="eastAsia" w:ascii="宋体" w:hAnsi="宋体" w:eastAsia="宋体" w:cs="宋体"/>
          <w:b/>
          <w:bCs/>
          <w:i w:val="0"/>
          <w:iCs w:val="0"/>
          <w:color w:val="auto"/>
          <w:sz w:val="24"/>
          <w:highlight w:val="none"/>
        </w:rPr>
        <w:t xml:space="preserve">联合投标协议书</w:t>
      </w:r>
      <w:bookmarkEnd w:id="45"/>
      <w:r/>
      <w:r/>
    </w:p>
    <w:p>
      <w:pP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甲方（牵头人）:</w:t>
      </w:r>
      <w:r/>
    </w:p>
    <w:p>
      <w:pPr>
        <w:spacing w:line="360" w:lineRule="auto"/>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乙方（联合体成员单位）:</w:t>
      </w:r>
      <w:r/>
    </w:p>
    <w:p>
      <w:pPr>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丙方（联合体成员单位）：（如果有，可按甲、乙、丙序列增加，没有请删除）</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各方经协商,就响应</w:t>
      </w:r>
      <w:r>
        <w:rPr>
          <w:rFonts w:hint="eastAsia" w:ascii="宋体" w:hAnsi="宋体" w:eastAsia="宋体" w:cs="宋体"/>
          <w:i w:val="0"/>
          <w:iCs w:val="0"/>
          <w:color w:val="auto"/>
          <w:sz w:val="24"/>
          <w:highlight w:val="none"/>
          <w:u w:val="single"/>
        </w:rPr>
        <w:t xml:space="preserve">  （采购人名称)   </w:t>
      </w:r>
      <w:r>
        <w:rPr>
          <w:rFonts w:hint="eastAsia" w:ascii="宋体" w:hAnsi="宋体" w:eastAsia="宋体" w:cs="宋体"/>
          <w:i w:val="0"/>
          <w:iCs w:val="0"/>
          <w:color w:val="auto"/>
          <w:sz w:val="24"/>
          <w:highlight w:val="none"/>
        </w:rPr>
        <w:t xml:space="preserve">组织的采购编号为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 xml:space="preserve">的招标活动联合进行投标之事宜,达成如下协议:</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1、 双方一致决定,以</w:t>
      </w:r>
      <w:r>
        <w:rPr>
          <w:rFonts w:hint="eastAsia" w:ascii="宋体" w:hAnsi="宋体" w:eastAsia="宋体" w:cs="宋体"/>
          <w:i w:val="0"/>
          <w:iCs w:val="0"/>
          <w:color w:val="auto"/>
          <w:sz w:val="24"/>
          <w:highlight w:val="none"/>
          <w:u w:val="single"/>
        </w:rPr>
        <w:t xml:space="preserve">  （牵头人名称)  </w:t>
      </w:r>
      <w:r>
        <w:rPr>
          <w:rFonts w:hint="eastAsia" w:ascii="宋体" w:hAnsi="宋体" w:eastAsia="宋体" w:cs="宋体"/>
          <w:i w:val="0"/>
          <w:iCs w:val="0"/>
          <w:color w:val="auto"/>
          <w:sz w:val="24"/>
          <w:highlight w:val="none"/>
        </w:rPr>
        <w:t xml:space="preserve">为牵头人进行投标,并按照招标文件的规定分别提交资格文件。</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2、在本次投标过程中牵头人法定代表人或授权委托人（即代理人）根据招标文件规定及投标内容而对采购人所作的任何合法承诺，包括书面澄清及响应等均对联合投标各方产生约束力。如果中标并签订合同,则联合投标各方将共同履行对采购人所负有的全部义务并就供货合同约定的事项对采购人承担连带责任。</w:t>
      </w:r>
      <w:r/>
    </w:p>
    <w:p>
      <w:pPr>
        <w:ind w:firstLine="480"/>
        <w:spacing w:line="440" w:lineRule="exac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3、联合投标乙方保证对牵头人为响应本次招标提供全部质量保证及售后服务支持。</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4、本次联合投标中，甲方所占份额为：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，承担的工作和义务为：</w:t>
      </w:r>
      <w:r>
        <w:rPr>
          <w:rFonts w:hint="eastAsia" w:ascii="宋体" w:hAnsi="宋体" w:eastAsia="宋体" w:cs="宋体"/>
          <w:color w:val="auto"/>
          <w:sz w:val="24"/>
          <w:highlight w:val="none"/>
          <w:u w:val="single"/>
        </w:rPr>
        <w:t xml:space="preserve">       </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乙方所占份额为：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，承担的工作和义务为：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丙方所占份额为：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，承担的工作和义务为：</w:t>
      </w:r>
      <w:r>
        <w:rPr>
          <w:rFonts w:hint="eastAsia" w:ascii="宋体" w:hAnsi="宋体" w:eastAsia="宋体" w:cs="宋体"/>
          <w:color w:val="auto"/>
          <w:sz w:val="24"/>
          <w:highlight w:val="none"/>
          <w:u w:val="single"/>
        </w:rPr>
        <w:t xml:space="preserve">                  </w:t>
      </w:r>
      <w:r/>
    </w:p>
    <w:p>
      <w:pPr>
        <w:ind w:firstLine="48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5、有关本次联合投标的其他事宜:</w:t>
      </w:r>
      <w:r>
        <w:rPr>
          <w:rFonts w:hint="eastAsia" w:ascii="宋体" w:hAnsi="宋体" w:eastAsia="宋体" w:cs="宋体"/>
          <w:color w:val="auto"/>
          <w:sz w:val="24"/>
          <w:highlight w:val="none"/>
          <w:u w:val="single"/>
        </w:rPr>
        <w:t xml:space="preserve">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6、本协议提交采购人后，联合投标各方不得以任何形式对上述实质内容进行修改或撤销。</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7、本协议一式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份,签约各方各持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牵头人名称：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成员名称：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（盖单位公章）</w:t>
      </w:r>
      <w:r/>
    </w:p>
    <w:p>
      <w:pPr>
        <w:ind w:firstLine="480"/>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ind w:left="0" w:right="0" w:firstLine="0"/>
        <w:jc w:val="left"/>
        <w:spacing w:before="0" w:after="0"/>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r>
      <w:r/>
    </w:p>
    <w:p>
      <w:pPr>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bookmarkStart w:id="46" w:name="_Toc7997"/>
      <w:r>
        <w:rPr>
          <w:rFonts w:hint="eastAsia" w:ascii="宋体" w:hAnsi="宋体" w:eastAsia="宋体" w:cs="宋体"/>
          <w:b/>
          <w:bCs/>
          <w:color w:val="auto"/>
          <w:sz w:val="32"/>
          <w:szCs w:val="32"/>
          <w:highlight w:val="none"/>
        </w:rPr>
        <w:t xml:space="preserve">质疑函范本</w:t>
      </w:r>
      <w:bookmarkEnd w:id="46"/>
      <w:r/>
      <w:r/>
    </w:p>
    <w:p>
      <w:pPr>
        <w:spacing w:before="290" w:line="360" w:lineRule="auto"/>
        <w:rPr>
          <w:rFonts w:hint="eastAsia" w:ascii="宋体" w:hAnsi="宋体" w:eastAsia="宋体" w:cs="宋体"/>
          <w:bCs/>
          <w:color w:val="auto"/>
          <w:sz w:val="24"/>
          <w:szCs w:val="24"/>
          <w:highlight w:val="none"/>
        </w:rPr>
        <w:outlineLvl w:val="0"/>
      </w:pPr>
      <w:r/>
      <w:bookmarkStart w:id="47" w:name="_Toc2557"/>
      <w:r>
        <w:rPr>
          <w:rFonts w:hint="eastAsia" w:ascii="宋体" w:hAnsi="宋体" w:eastAsia="宋体" w:cs="宋体"/>
          <w:bCs/>
          <w:color w:val="auto"/>
          <w:sz w:val="24"/>
          <w:szCs w:val="24"/>
          <w:highlight w:val="none"/>
        </w:rPr>
        <w:t xml:space="preserve">一、质疑供应商基本信息</w:t>
      </w:r>
      <w:bookmarkEnd w:id="47"/>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outlineLvl w:val="0"/>
      </w:pPr>
      <w:r/>
      <w:bookmarkStart w:id="48" w:name="_Toc12578"/>
      <w:r>
        <w:rPr>
          <w:rFonts w:hint="eastAsia" w:ascii="宋体" w:hAnsi="宋体" w:eastAsia="宋体" w:cs="宋体"/>
          <w:bCs/>
          <w:color w:val="auto"/>
          <w:sz w:val="24"/>
          <w:szCs w:val="24"/>
          <w:highlight w:val="none"/>
        </w:rPr>
        <w:t xml:space="preserve">二、质疑项目基本情况</w:t>
      </w:r>
      <w:bookmarkEnd w:id="48"/>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bCs/>
          <w:color w:val="auto"/>
          <w:sz w:val="24"/>
          <w:szCs w:val="24"/>
          <w:highlight w:val="none"/>
        </w:rPr>
        <w:outlineLvl w:val="0"/>
      </w:pPr>
      <w:r/>
      <w:bookmarkStart w:id="49" w:name="_Toc4854"/>
      <w:r>
        <w:rPr>
          <w:rFonts w:hint="eastAsia" w:ascii="宋体" w:hAnsi="宋体" w:eastAsia="宋体" w:cs="宋体"/>
          <w:bCs/>
          <w:color w:val="auto"/>
          <w:sz w:val="24"/>
          <w:szCs w:val="24"/>
          <w:highlight w:val="none"/>
        </w:rPr>
        <w:t xml:space="preserve">三、质疑事项具体内容</w:t>
      </w:r>
      <w:bookmarkEnd w:id="49"/>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outlineLvl w:val="0"/>
      </w:pPr>
      <w:r/>
      <w:bookmarkStart w:id="50" w:name="_Toc32611"/>
      <w:r>
        <w:rPr>
          <w:rFonts w:hint="eastAsia" w:ascii="宋体" w:hAnsi="宋体" w:eastAsia="宋体" w:cs="宋体"/>
          <w:bCs/>
          <w:color w:val="auto"/>
          <w:sz w:val="24"/>
          <w:szCs w:val="24"/>
          <w:highlight w:val="none"/>
        </w:rPr>
        <w:t xml:space="preserve">四、与质疑事项相关的质疑请求</w:t>
      </w:r>
      <w:bookmarkEnd w:id="50"/>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18"/>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firstLine="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819"/>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51"/>
      <w:r/>
      <w:r/>
    </w:p>
    <w:sectPr>
      <w:headerReference w:type="default" r:id="rId9"/>
      <w:footerReference w:type="default" r:id="rId11"/>
      <w:footerReference w:type="even" r:id="rId12"/>
      <w:footnotePr/>
      <w:endnotePr/>
      <w:type w:val="nextPage"/>
      <w:pgSz w:w="11906" w:h="16838" w:orient="portrait"/>
      <w:pgMar w:top="1418" w:right="2351"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Cambria">
    <w:panose1 w:val="02040503050406030204"/>
  </w:font>
  <w:font w:name="方正黑体_GBK">
    <w:panose1 w:val="020B0503020202020204"/>
  </w:font>
  <w:font w:name="Tahoma">
    <w:panose1 w:val="020B0604030504040204"/>
  </w:font>
  <w:font w:name="Calibri">
    <w:panose1 w:val="020F0502020204030204"/>
  </w:font>
  <w:font w:name="Courier New">
    <w:panose1 w:val="02070309020205020404"/>
  </w:font>
  <w:font w:name="Wingdings">
    <w:panose1 w:val="05000000000000000000"/>
  </w:font>
  <w:font w:name="华文楷体">
    <w:panose1 w:val="0201060004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1024" behindDoc="0" locked="0" layoutInCell="1" allowOverlap="1">
              <wp:simplePos x="0" y="0"/>
              <wp:positionH relativeFrom="margin">
                <wp:align>center</wp:align>
              </wp:positionH>
              <wp:positionV relativeFrom="paragraph">
                <wp:posOffset>0</wp:posOffset>
              </wp:positionV>
              <wp:extent cx="67310" cy="15303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67310" cy="153035"/>
                      </a:xfrm>
                      <a:prstGeom prst="rect">
                        <a:avLst/>
                      </a:prstGeom>
                      <a:noFill/>
                      <a:ln>
                        <a:noFill/>
                      </a:ln>
                    </wps:spPr>
                    <wps:txbx>
                      <w:txbxContent>
                        <w:p>
                          <w:pPr>
                            <w:pStyle w:val="80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a:spAutoFit/>
                    </wps:bodyPr>
                  </wps:wsp>
                </a:graphicData>
              </a:graphic>
            </wp:anchor>
          </w:drawing>
        </mc:Choice>
        <mc:Fallback>
          <w:pict>
            <v:shape id="shape 0" o:spid="_x0000_s0" o:spt="202" type="#_x0000_t202" style="position:absolute;z-index:1024;o:allowoverlap:true;o:allowincell:true;mso-position-horizontal-relative:margin;mso-position-horizontal:center;mso-position-vertical-relative:text;margin-top:0.0pt;mso-position-vertical:absolute;width:5.3pt;height:12.0pt;mso-wrap-distance-left:9.0pt;mso-wrap-distance-top:0.0pt;mso-wrap-distance-right:9.0pt;mso-wrap-distance-bottom:0.0pt;visibility:visible;" filled="f" stroked="f">
              <v:textbox inset="0,0,0,0">
                <w:txbxContent>
                  <w:p>
                    <w:pPr>
                      <w:pStyle w:val="801"/>
                      <w:tabs>
                        <w:tab w:val="center" w:pos="4153" w:leader="none"/>
                        <w:tab w:val="clear" w:pos="7143" w:leader="none"/>
                        <w:tab w:val="right" w:pos="8306" w:leader="none"/>
                        <w:tab w:val="clear" w:pos="14287"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43"/>
        <w:rFonts w:ascii="宋体" w:hAnsi="宋体"/>
      </w:rPr>
      <w:framePr w:wrap="around" w:vAnchor="text" w:hAnchor="margin" w:xAlign="center" w:y="1"/>
    </w:pPr>
    <w:r>
      <w:rPr>
        <w:rFonts w:ascii="宋体" w:hAnsi="宋体"/>
      </w:rPr>
      <w:fldChar w:fldCharType="begin"/>
    </w:r>
    <w:r>
      <w:rPr>
        <w:rStyle w:val="1043"/>
        <w:rFonts w:ascii="宋体" w:hAnsi="宋体"/>
      </w:rPr>
      <w:instrText xml:space="preserve">PAGE  </w:instrText>
    </w:r>
    <w:r>
      <w:rPr>
        <w:rFonts w:ascii="宋体" w:hAnsi="宋体"/>
      </w:rPr>
      <w:fldChar w:fldCharType="separate"/>
    </w:r>
    <w:r>
      <w:rPr>
        <w:rStyle w:val="1043"/>
        <w:rFonts w:ascii="宋体" w:hAnsi="宋体"/>
      </w:rPr>
      <w:t xml:space="preserve">３５</w:t>
    </w:r>
    <w:r>
      <w:rPr>
        <w:rFonts w:ascii="宋体" w:hAnsi="宋体"/>
      </w:rPr>
      <w:fldChar w:fldCharType="end"/>
    </w:r>
    <w:r/>
  </w:p>
  <w:p>
    <w:pPr>
      <w:pStyle w:val="1012"/>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3"/>
      <w:isLgl w:val="false"/>
      <w:suff w:val="nothing"/>
      <w:lvlText w:val=""/>
      <w:lvlJc w:val="left"/>
      <w:pPr>
        <w:ind w:left="0" w:firstLine="0"/>
      </w:pPr>
      <w:rPr>
        <w:rFonts w:hint="eastAsia"/>
      </w:rPr>
    </w:lvl>
    <w:lvl w:ilvl="6">
      <w:start w:val="1"/>
      <w:numFmt w:val="decimal"/>
      <w:pStyle w:val="974"/>
      <w:isLgl w:val="false"/>
      <w:suff w:val="nothing"/>
      <w:lvlText w:val=""/>
      <w:lvlJc w:val="left"/>
      <w:pPr>
        <w:ind w:left="0" w:firstLine="0"/>
      </w:pPr>
      <w:rPr>
        <w:rFonts w:hint="eastAsia"/>
      </w:rPr>
    </w:lvl>
    <w:lvl w:ilvl="7">
      <w:start w:val="1"/>
      <w:numFmt w:val="decimal"/>
      <w:pStyle w:val="975"/>
      <w:isLgl w:val="false"/>
      <w:suff w:val="nothing"/>
      <w:lvlText w:val=""/>
      <w:lvlJc w:val="left"/>
      <w:pPr>
        <w:ind w:left="0" w:firstLine="0"/>
      </w:pPr>
      <w:rPr>
        <w:rFonts w:hint="eastAsia"/>
      </w:rPr>
    </w:lvl>
    <w:lvl w:ilvl="8">
      <w:start w:val="1"/>
      <w:numFmt w:val="decimal"/>
      <w:pStyle w:val="976"/>
      <w:isLgl w:val="false"/>
      <w:suff w:val="nothing"/>
      <w:lvlText w:val=""/>
      <w:lvlJc w:val="left"/>
      <w:pPr>
        <w:ind w:left="0" w:firstLine="0"/>
      </w:pPr>
      <w:rPr>
        <w:rFonts w:hint="eastAsia"/>
      </w:rPr>
    </w:lvl>
  </w:abstractNum>
  <w:abstractNum w:abstractNumId="8">
    <w:multiLevelType w:val="hybridMultilevel"/>
    <w:lvl w:ilvl="0">
      <w:start w:val="1"/>
      <w:numFmt w:val="decimal"/>
      <w:pStyle w:val="798"/>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7"/>
  </w:num>
  <w:num w:numId="3">
    <w:abstractNumId w:val="9"/>
  </w:num>
  <w:num w:numId="4">
    <w:abstractNumId w:val="1"/>
  </w:num>
  <w:num w:numId="5">
    <w:abstractNumId w:val="10"/>
  </w:num>
  <w:num w:numId="6">
    <w:abstractNumId w:val="2"/>
  </w:num>
  <w:num w:numId="7">
    <w:abstractNumId w:val="6"/>
  </w:num>
  <w:num w:numId="8">
    <w:abstractNumId w:val="4"/>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787"/>
    <w:link w:val="778"/>
    <w:uiPriority w:val="9"/>
    <w:rPr>
      <w:rFonts w:ascii="Arial" w:hAnsi="Arial" w:eastAsia="Arial" w:cs="Arial"/>
      <w:sz w:val="40"/>
      <w:szCs w:val="40"/>
    </w:rPr>
  </w:style>
  <w:style w:type="character" w:styleId="737">
    <w:name w:val="Heading 2 Char"/>
    <w:basedOn w:val="787"/>
    <w:link w:val="779"/>
    <w:uiPriority w:val="9"/>
    <w:rPr>
      <w:rFonts w:ascii="Arial" w:hAnsi="Arial" w:eastAsia="Arial" w:cs="Arial"/>
      <w:sz w:val="34"/>
    </w:rPr>
  </w:style>
  <w:style w:type="character" w:styleId="738">
    <w:name w:val="Heading 3 Char"/>
    <w:basedOn w:val="787"/>
    <w:link w:val="780"/>
    <w:uiPriority w:val="9"/>
    <w:rPr>
      <w:rFonts w:ascii="Arial" w:hAnsi="Arial" w:eastAsia="Arial" w:cs="Arial"/>
      <w:sz w:val="30"/>
      <w:szCs w:val="30"/>
    </w:rPr>
  </w:style>
  <w:style w:type="character" w:styleId="739">
    <w:name w:val="Heading 4 Char"/>
    <w:basedOn w:val="787"/>
    <w:link w:val="781"/>
    <w:uiPriority w:val="9"/>
    <w:rPr>
      <w:rFonts w:ascii="Arial" w:hAnsi="Arial" w:eastAsia="Arial" w:cs="Arial"/>
      <w:b/>
      <w:bCs/>
      <w:sz w:val="26"/>
      <w:szCs w:val="26"/>
    </w:rPr>
  </w:style>
  <w:style w:type="character" w:styleId="740">
    <w:name w:val="Heading 5 Char"/>
    <w:basedOn w:val="787"/>
    <w:link w:val="782"/>
    <w:uiPriority w:val="9"/>
    <w:rPr>
      <w:rFonts w:ascii="Arial" w:hAnsi="Arial" w:eastAsia="Arial" w:cs="Arial"/>
      <w:b/>
      <w:bCs/>
      <w:sz w:val="24"/>
      <w:szCs w:val="24"/>
    </w:rPr>
  </w:style>
  <w:style w:type="character" w:styleId="741">
    <w:name w:val="Heading 6 Char"/>
    <w:basedOn w:val="787"/>
    <w:link w:val="783"/>
    <w:uiPriority w:val="9"/>
    <w:rPr>
      <w:rFonts w:ascii="Arial" w:hAnsi="Arial" w:eastAsia="Arial" w:cs="Arial"/>
      <w:b/>
      <w:bCs/>
      <w:sz w:val="22"/>
      <w:szCs w:val="22"/>
    </w:rPr>
  </w:style>
  <w:style w:type="character" w:styleId="742">
    <w:name w:val="Heading 7 Char"/>
    <w:basedOn w:val="787"/>
    <w:link w:val="784"/>
    <w:uiPriority w:val="9"/>
    <w:rPr>
      <w:rFonts w:ascii="Arial" w:hAnsi="Arial" w:eastAsia="Arial" w:cs="Arial"/>
      <w:b/>
      <w:bCs/>
      <w:i/>
      <w:iCs/>
      <w:sz w:val="22"/>
      <w:szCs w:val="22"/>
    </w:rPr>
  </w:style>
  <w:style w:type="character" w:styleId="743">
    <w:name w:val="Heading 8 Char"/>
    <w:basedOn w:val="787"/>
    <w:link w:val="785"/>
    <w:uiPriority w:val="9"/>
    <w:rPr>
      <w:rFonts w:ascii="Arial" w:hAnsi="Arial" w:eastAsia="Arial" w:cs="Arial"/>
      <w:i/>
      <w:iCs/>
      <w:sz w:val="22"/>
      <w:szCs w:val="22"/>
    </w:rPr>
  </w:style>
  <w:style w:type="character" w:styleId="744">
    <w:name w:val="Heading 9 Char"/>
    <w:basedOn w:val="787"/>
    <w:link w:val="786"/>
    <w:uiPriority w:val="9"/>
    <w:rPr>
      <w:rFonts w:ascii="Arial" w:hAnsi="Arial" w:eastAsia="Arial" w:cs="Arial"/>
      <w:i/>
      <w:iCs/>
      <w:sz w:val="21"/>
      <w:szCs w:val="21"/>
    </w:rPr>
  </w:style>
  <w:style w:type="paragraph" w:styleId="745">
    <w:name w:val="List Paragraph"/>
    <w:basedOn w:val="777"/>
    <w:uiPriority w:val="34"/>
    <w:qFormat/>
    <w:pPr>
      <w:contextualSpacing/>
      <w:ind w:left="720"/>
    </w:pPr>
  </w:style>
  <w:style w:type="paragraph" w:styleId="746">
    <w:name w:val="No Spacing"/>
    <w:uiPriority w:val="1"/>
    <w:qFormat/>
    <w:pPr>
      <w:spacing w:before="0" w:after="0" w:line="240" w:lineRule="auto"/>
    </w:pPr>
  </w:style>
  <w:style w:type="character" w:styleId="747">
    <w:name w:val="Title Char"/>
    <w:basedOn w:val="787"/>
    <w:link w:val="811"/>
    <w:uiPriority w:val="10"/>
    <w:rPr>
      <w:sz w:val="48"/>
      <w:szCs w:val="48"/>
    </w:rPr>
  </w:style>
  <w:style w:type="character" w:styleId="748">
    <w:name w:val="Subtitle Char"/>
    <w:basedOn w:val="787"/>
    <w:link w:val="805"/>
    <w:uiPriority w:val="11"/>
    <w:rPr>
      <w:sz w:val="24"/>
      <w:szCs w:val="24"/>
    </w:rPr>
  </w:style>
  <w:style w:type="paragraph" w:styleId="749">
    <w:name w:val="Quote"/>
    <w:basedOn w:val="777"/>
    <w:next w:val="777"/>
    <w:link w:val="750"/>
    <w:uiPriority w:val="29"/>
    <w:qFormat/>
    <w:pPr>
      <w:ind w:left="720" w:right="720"/>
    </w:pPr>
    <w:rPr>
      <w:i/>
    </w:rPr>
  </w:style>
  <w:style w:type="character" w:styleId="750">
    <w:name w:val="Quote Char"/>
    <w:link w:val="749"/>
    <w:uiPriority w:val="29"/>
    <w:rPr>
      <w:i/>
    </w:rPr>
  </w:style>
  <w:style w:type="paragraph" w:styleId="751">
    <w:name w:val="Intense Quote"/>
    <w:basedOn w:val="777"/>
    <w:next w:val="777"/>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787"/>
    <w:link w:val="802"/>
    <w:uiPriority w:val="99"/>
  </w:style>
  <w:style w:type="character" w:styleId="754">
    <w:name w:val="Caption Char"/>
    <w:basedOn w:val="792"/>
    <w:link w:val="801"/>
    <w:uiPriority w:val="99"/>
  </w:style>
  <w:style w:type="table" w:styleId="755">
    <w:name w:val="Plain Table 1"/>
    <w:basedOn w:val="7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4">
    <w:name w:val="Footnote Text Char"/>
    <w:link w:val="806"/>
    <w:uiPriority w:val="99"/>
    <w:rPr>
      <w:sz w:val="18"/>
    </w:rPr>
  </w:style>
  <w:style w:type="character" w:styleId="775">
    <w:name w:val="Endnote Text Char"/>
    <w:link w:val="800"/>
    <w:uiPriority w:val="99"/>
    <w:rPr>
      <w:sz w:val="20"/>
    </w:rPr>
  </w:style>
  <w:style w:type="paragraph" w:styleId="776">
    <w:name w:val="TOC Heading"/>
    <w:uiPriority w:val="39"/>
    <w:unhideWhenUsed/>
  </w:style>
  <w:style w:type="paragraph" w:styleId="777" w:default="1">
    <w:name w:val="Normal"/>
    <w:next w:val="789"/>
    <w:link w:val="1043"/>
    <w:uiPriority w:val="0"/>
    <w:qFormat/>
    <w:pPr>
      <w:jc w:val="both"/>
      <w:widowControl w:val="off"/>
    </w:pPr>
    <w:rPr>
      <w:rFonts w:ascii="Times New Roman" w:hAnsi="Times New Roman" w:eastAsia="宋体" w:cs="Times New Roman"/>
      <w:sz w:val="21"/>
      <w:szCs w:val="21"/>
      <w:lang w:val="en-US" w:eastAsia="zh-CN" w:bidi="ar-SA"/>
    </w:rPr>
  </w:style>
  <w:style w:type="paragraph" w:styleId="778">
    <w:name w:val="Heading 1"/>
    <w:basedOn w:val="777"/>
    <w:next w:val="777"/>
    <w:link w:val="821"/>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22"/>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23"/>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24"/>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25"/>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26"/>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28"/>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29"/>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Body Text"/>
    <w:basedOn w:val="777"/>
    <w:next w:val="790"/>
    <w:uiPriority w:val="0"/>
    <w:qFormat/>
    <w:pPr>
      <w:spacing w:line="60" w:lineRule="auto"/>
    </w:pPr>
    <w:rPr>
      <w:rFonts w:ascii="仿宋_GB2312" w:eastAsia="仿宋_GB2312"/>
      <w:sz w:val="32"/>
    </w:rPr>
  </w:style>
  <w:style w:type="paragraph" w:styleId="790">
    <w:name w:val="Normal Indent"/>
    <w:basedOn w:val="777"/>
    <w:next w:val="777"/>
    <w:uiPriority w:val="99"/>
    <w:qFormat/>
    <w:pPr>
      <w:ind w:firstLine="420"/>
    </w:pPr>
  </w:style>
  <w:style w:type="paragraph" w:styleId="791">
    <w:name w:val="toc 7"/>
    <w:basedOn w:val="777"/>
    <w:next w:val="777"/>
    <w:uiPriority w:val="39"/>
    <w:unhideWhenUsed/>
    <w:qFormat/>
    <w:pPr>
      <w:ind w:left="1701"/>
      <w:spacing w:after="57"/>
    </w:pPr>
  </w:style>
  <w:style w:type="paragraph" w:styleId="792">
    <w:name w:val="Caption"/>
    <w:basedOn w:val="777"/>
    <w:next w:val="777"/>
    <w:uiPriority w:val="35"/>
    <w:unhideWhenUsed/>
    <w:qFormat/>
    <w:pPr>
      <w:spacing w:line="276" w:lineRule="auto"/>
    </w:pPr>
    <w:rPr>
      <w:b/>
      <w:bCs/>
      <w:color w:val="4f81bd"/>
      <w:sz w:val="18"/>
      <w:szCs w:val="18"/>
    </w:rPr>
  </w:style>
  <w:style w:type="paragraph" w:styleId="793">
    <w:name w:val="toa heading"/>
    <w:basedOn w:val="777"/>
    <w:next w:val="777"/>
    <w:uiPriority w:val="0"/>
    <w:qFormat/>
    <w:pPr>
      <w:jc w:val="left"/>
      <w:spacing w:line="520" w:lineRule="exact"/>
      <w:widowControl/>
    </w:pPr>
    <w:rPr>
      <w:rFonts w:ascii="宋体" w:hAnsi="宋体" w:eastAsia="Times New Roman" w:cs="Arial"/>
      <w:sz w:val="28"/>
      <w:szCs w:val="24"/>
    </w:rPr>
  </w:style>
  <w:style w:type="paragraph" w:styleId="794">
    <w:name w:val="Body Text Indent"/>
    <w:basedOn w:val="777"/>
    <w:next w:val="777"/>
    <w:uiPriority w:val="0"/>
    <w:qFormat/>
    <w:pPr>
      <w:ind w:firstLine="225"/>
    </w:pPr>
    <w:rPr>
      <w:rFonts w:ascii="仿宋_GB2312" w:eastAsia="仿宋_GB2312"/>
      <w:sz w:val="32"/>
    </w:rPr>
  </w:style>
  <w:style w:type="paragraph" w:styleId="795">
    <w:name w:val="toc 5"/>
    <w:basedOn w:val="777"/>
    <w:next w:val="777"/>
    <w:uiPriority w:val="39"/>
    <w:unhideWhenUsed/>
    <w:qFormat/>
    <w:pPr>
      <w:ind w:left="1134"/>
      <w:spacing w:after="57"/>
    </w:pPr>
  </w:style>
  <w:style w:type="paragraph" w:styleId="796">
    <w:name w:val="toc 3"/>
    <w:basedOn w:val="777"/>
    <w:next w:val="777"/>
    <w:uiPriority w:val="39"/>
    <w:unhideWhenUsed/>
    <w:qFormat/>
    <w:pPr>
      <w:ind w:left="567"/>
      <w:spacing w:after="57"/>
    </w:pPr>
  </w:style>
  <w:style w:type="paragraph" w:styleId="797">
    <w:name w:val="Plain Text"/>
    <w:basedOn w:val="777"/>
    <w:next w:val="798"/>
    <w:uiPriority w:val="0"/>
    <w:qFormat/>
    <w:rPr>
      <w:rFonts w:ascii="宋体"/>
    </w:rPr>
  </w:style>
  <w:style w:type="paragraph" w:styleId="798">
    <w:name w:val="List Number 5"/>
    <w:basedOn w:val="777"/>
    <w:uiPriority w:val="99"/>
    <w:semiHidden/>
    <w:unhideWhenUsed/>
    <w:qFormat/>
    <w:pPr>
      <w:numPr>
        <w:ilvl w:val="0"/>
        <w:numId w:val="1"/>
      </w:numPr>
    </w:pPr>
  </w:style>
  <w:style w:type="paragraph" w:styleId="799">
    <w:name w:val="toc 8"/>
    <w:basedOn w:val="777"/>
    <w:next w:val="777"/>
    <w:uiPriority w:val="39"/>
    <w:unhideWhenUsed/>
    <w:qFormat/>
    <w:pPr>
      <w:ind w:left="1984"/>
      <w:spacing w:after="57"/>
    </w:pPr>
  </w:style>
  <w:style w:type="paragraph" w:styleId="800">
    <w:name w:val="endnote text"/>
    <w:basedOn w:val="777"/>
    <w:link w:val="967"/>
    <w:uiPriority w:val="99"/>
    <w:unhideWhenUsed/>
    <w:qFormat/>
    <w:rPr>
      <w:sz w:val="20"/>
    </w:rPr>
  </w:style>
  <w:style w:type="paragraph" w:styleId="801">
    <w:name w:val="Footer"/>
    <w:basedOn w:val="777"/>
    <w:link w:val="840"/>
    <w:uiPriority w:val="99"/>
    <w:unhideWhenUsed/>
    <w:qFormat/>
    <w:pPr>
      <w:tabs>
        <w:tab w:val="center" w:pos="7143" w:leader="none"/>
        <w:tab w:val="right" w:pos="14287" w:leader="none"/>
      </w:tabs>
    </w:pPr>
  </w:style>
  <w:style w:type="paragraph" w:styleId="802">
    <w:name w:val="Header"/>
    <w:basedOn w:val="777"/>
    <w:link w:val="838"/>
    <w:uiPriority w:val="99"/>
    <w:unhideWhenUsed/>
    <w:qFormat/>
    <w:pPr>
      <w:tabs>
        <w:tab w:val="center" w:pos="7143" w:leader="none"/>
        <w:tab w:val="right" w:pos="14287" w:leader="none"/>
      </w:tabs>
    </w:pPr>
  </w:style>
  <w:style w:type="paragraph" w:styleId="803">
    <w:name w:val="toc 1"/>
    <w:basedOn w:val="777"/>
    <w:next w:val="777"/>
    <w:uiPriority w:val="39"/>
    <w:unhideWhenUsed/>
    <w:qFormat/>
    <w:pPr>
      <w:spacing w:after="57"/>
    </w:pPr>
  </w:style>
  <w:style w:type="paragraph" w:styleId="804">
    <w:name w:val="toc 4"/>
    <w:basedOn w:val="777"/>
    <w:next w:val="777"/>
    <w:uiPriority w:val="39"/>
    <w:unhideWhenUsed/>
    <w:qFormat/>
    <w:pPr>
      <w:ind w:left="850"/>
      <w:spacing w:after="57"/>
    </w:pPr>
  </w:style>
  <w:style w:type="paragraph" w:styleId="805">
    <w:name w:val="Subtitle"/>
    <w:basedOn w:val="777"/>
    <w:next w:val="777"/>
    <w:link w:val="833"/>
    <w:uiPriority w:val="11"/>
    <w:qFormat/>
    <w:pPr>
      <w:spacing w:before="200" w:after="200"/>
    </w:pPr>
    <w:rPr>
      <w:sz w:val="24"/>
      <w:szCs w:val="24"/>
    </w:rPr>
  </w:style>
  <w:style w:type="paragraph" w:styleId="806">
    <w:name w:val="footnote text"/>
    <w:basedOn w:val="777"/>
    <w:link w:val="966"/>
    <w:uiPriority w:val="99"/>
    <w:unhideWhenUsed/>
    <w:qFormat/>
    <w:pPr>
      <w:spacing w:after="40"/>
    </w:pPr>
    <w:rPr>
      <w:sz w:val="18"/>
    </w:rPr>
  </w:style>
  <w:style w:type="paragraph" w:styleId="807">
    <w:name w:val="toc 6"/>
    <w:basedOn w:val="777"/>
    <w:next w:val="777"/>
    <w:uiPriority w:val="39"/>
    <w:unhideWhenUsed/>
    <w:qFormat/>
    <w:pPr>
      <w:ind w:left="1417"/>
      <w:spacing w:after="57"/>
    </w:pPr>
  </w:style>
  <w:style w:type="paragraph" w:styleId="808">
    <w:name w:val="table of figures"/>
    <w:basedOn w:val="777"/>
    <w:next w:val="777"/>
    <w:uiPriority w:val="99"/>
    <w:unhideWhenUsed/>
    <w:qFormat/>
  </w:style>
  <w:style w:type="paragraph" w:styleId="809">
    <w:name w:val="toc 2"/>
    <w:basedOn w:val="777"/>
    <w:next w:val="777"/>
    <w:uiPriority w:val="39"/>
    <w:unhideWhenUsed/>
    <w:qFormat/>
    <w:pPr>
      <w:ind w:left="283"/>
      <w:spacing w:after="57"/>
    </w:pPr>
  </w:style>
  <w:style w:type="paragraph" w:styleId="810">
    <w:name w:val="toc 9"/>
    <w:basedOn w:val="777"/>
    <w:next w:val="777"/>
    <w:uiPriority w:val="39"/>
    <w:unhideWhenUsed/>
    <w:qFormat/>
    <w:pPr>
      <w:ind w:left="2268"/>
      <w:spacing w:after="57"/>
    </w:pPr>
  </w:style>
  <w:style w:type="paragraph" w:styleId="811">
    <w:name w:val="Title"/>
    <w:basedOn w:val="777"/>
    <w:next w:val="777"/>
    <w:link w:val="832"/>
    <w:uiPriority w:val="10"/>
    <w:qFormat/>
    <w:pPr>
      <w:contextualSpacing/>
      <w:spacing w:before="300" w:after="200"/>
    </w:pPr>
    <w:rPr>
      <w:sz w:val="48"/>
      <w:szCs w:val="48"/>
    </w:rPr>
  </w:style>
  <w:style w:type="paragraph" w:styleId="812">
    <w:name w:val="Body Text First Indent 2"/>
    <w:basedOn w:val="794"/>
    <w:next w:val="797"/>
    <w:uiPriority w:val="0"/>
    <w:qFormat/>
    <w:pPr>
      <w:ind w:left="200" w:firstLine="200"/>
      <w:spacing w:after="120"/>
    </w:pPr>
    <w:rPr>
      <w:rFonts w:ascii="Times New Roman"/>
      <w:sz w:val="24"/>
    </w:r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unhideWhenUsed/>
    <w:qFormat/>
    <w:rPr>
      <w:vertAlign w:val="superscript"/>
    </w:rPr>
  </w:style>
  <w:style w:type="character" w:styleId="815">
    <w:name w:val="Hyperlink"/>
    <w:uiPriority w:val="99"/>
    <w:unhideWhenUsed/>
    <w:qFormat/>
    <w:rPr>
      <w:color w:val="0000ff"/>
      <w:u w:val="single"/>
    </w:rPr>
  </w:style>
  <w:style w:type="character" w:styleId="816">
    <w:name w:val="footnote reference"/>
    <w:uiPriority w:val="99"/>
    <w:unhideWhenUsed/>
    <w:qFormat/>
    <w:rPr>
      <w:vertAlign w:val="superscript"/>
    </w:rPr>
  </w:style>
  <w:style w:type="paragraph" w:styleId="817" w:customStyle="1">
    <w:name w:val="正文文本11"/>
    <w:basedOn w:val="777"/>
    <w:next w:val="818"/>
    <w:link w:val="997"/>
    <w:uiPriority w:val="0"/>
    <w:qFormat/>
    <w:rPr>
      <w:rFonts w:ascii="楷体_GB2312" w:hAnsi="Arial" w:eastAsia="楷体_GB2312"/>
      <w:sz w:val="28"/>
      <w:szCs w:val="28"/>
    </w:rPr>
  </w:style>
  <w:style w:type="paragraph" w:styleId="818" w:customStyle="1">
    <w:name w:val="正文缩进1"/>
    <w:basedOn w:val="777"/>
    <w:next w:val="777"/>
    <w:link w:val="982"/>
    <w:uiPriority w:val="0"/>
    <w:qFormat/>
    <w:pPr>
      <w:ind w:firstLine="420"/>
    </w:pPr>
  </w:style>
  <w:style w:type="paragraph" w:styleId="81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0" w:customStyle="1">
    <w:name w:val="标题 11"/>
    <w:basedOn w:val="777"/>
    <w:next w:val="777"/>
    <w:link w:val="979"/>
    <w:uiPriority w:val="0"/>
    <w:qFormat/>
    <w:pPr>
      <w:jc w:val="center"/>
      <w:keepNext/>
      <w:outlineLvl w:val="0"/>
    </w:pPr>
    <w:rPr>
      <w:rFonts w:ascii="楷体_GB2312" w:eastAsia="楷体_GB2312"/>
      <w:sz w:val="28"/>
      <w:szCs w:val="28"/>
    </w:rPr>
  </w:style>
  <w:style w:type="character" w:styleId="821" w:customStyle="1">
    <w:name w:val="标题 1 字符"/>
    <w:link w:val="778"/>
    <w:uiPriority w:val="9"/>
    <w:qFormat/>
    <w:rPr>
      <w:rFonts w:ascii="Arial" w:hAnsi="Arial" w:eastAsia="Arial" w:cs="Arial"/>
      <w:sz w:val="40"/>
      <w:szCs w:val="40"/>
    </w:rPr>
  </w:style>
  <w:style w:type="character" w:styleId="822" w:customStyle="1">
    <w:name w:val="标题 2 字符"/>
    <w:link w:val="779"/>
    <w:uiPriority w:val="9"/>
    <w:qFormat/>
    <w:rPr>
      <w:rFonts w:ascii="Arial" w:hAnsi="Arial" w:eastAsia="Arial" w:cs="Arial"/>
      <w:sz w:val="34"/>
    </w:rPr>
  </w:style>
  <w:style w:type="character" w:styleId="823" w:customStyle="1">
    <w:name w:val="标题 3 字符"/>
    <w:link w:val="780"/>
    <w:uiPriority w:val="9"/>
    <w:qFormat/>
    <w:rPr>
      <w:rFonts w:ascii="Arial" w:hAnsi="Arial" w:eastAsia="Arial" w:cs="Arial"/>
      <w:sz w:val="30"/>
      <w:szCs w:val="30"/>
    </w:rPr>
  </w:style>
  <w:style w:type="character" w:styleId="824" w:customStyle="1">
    <w:name w:val="标题 4 字符"/>
    <w:link w:val="781"/>
    <w:uiPriority w:val="9"/>
    <w:qFormat/>
    <w:rPr>
      <w:rFonts w:ascii="Arial" w:hAnsi="Arial" w:eastAsia="Arial" w:cs="Arial"/>
      <w:b/>
      <w:bCs/>
      <w:sz w:val="26"/>
      <w:szCs w:val="26"/>
    </w:rPr>
  </w:style>
  <w:style w:type="character" w:styleId="825" w:customStyle="1">
    <w:name w:val="标题 5 字符"/>
    <w:link w:val="782"/>
    <w:uiPriority w:val="9"/>
    <w:qFormat/>
    <w:rPr>
      <w:rFonts w:ascii="Arial" w:hAnsi="Arial" w:eastAsia="Arial" w:cs="Arial"/>
      <w:b/>
      <w:bCs/>
      <w:sz w:val="24"/>
      <w:szCs w:val="24"/>
    </w:rPr>
  </w:style>
  <w:style w:type="character" w:styleId="826" w:customStyle="1">
    <w:name w:val="标题 6 字符"/>
    <w:link w:val="783"/>
    <w:uiPriority w:val="9"/>
    <w:qFormat/>
    <w:rPr>
      <w:rFonts w:ascii="Arial" w:hAnsi="Arial" w:eastAsia="Arial" w:cs="Arial"/>
      <w:b/>
      <w:bCs/>
      <w:sz w:val="22"/>
      <w:szCs w:val="22"/>
    </w:rPr>
  </w:style>
  <w:style w:type="character" w:styleId="827" w:customStyle="1">
    <w:name w:val="标题 7 字符"/>
    <w:link w:val="784"/>
    <w:uiPriority w:val="9"/>
    <w:qFormat/>
    <w:rPr>
      <w:rFonts w:ascii="Arial" w:hAnsi="Arial" w:eastAsia="Arial" w:cs="Arial"/>
      <w:b/>
      <w:bCs/>
      <w:i/>
      <w:iCs/>
      <w:sz w:val="22"/>
      <w:szCs w:val="22"/>
    </w:rPr>
  </w:style>
  <w:style w:type="character" w:styleId="828" w:customStyle="1">
    <w:name w:val="标题 8 字符"/>
    <w:link w:val="785"/>
    <w:uiPriority w:val="9"/>
    <w:qFormat/>
    <w:rPr>
      <w:rFonts w:ascii="Arial" w:hAnsi="Arial" w:eastAsia="Arial" w:cs="Arial"/>
      <w:i/>
      <w:iCs/>
      <w:sz w:val="22"/>
      <w:szCs w:val="22"/>
    </w:rPr>
  </w:style>
  <w:style w:type="character" w:styleId="829" w:customStyle="1">
    <w:name w:val="标题 9 字符"/>
    <w:link w:val="786"/>
    <w:uiPriority w:val="9"/>
    <w:qFormat/>
    <w:rPr>
      <w:rFonts w:ascii="Arial" w:hAnsi="Arial" w:eastAsia="Arial" w:cs="Arial"/>
      <w:i/>
      <w:iCs/>
      <w:sz w:val="21"/>
      <w:szCs w:val="21"/>
    </w:rPr>
  </w:style>
  <w:style w:type="paragraph" w:styleId="830" w:customStyle="1">
    <w:name w:val="列表段落1"/>
    <w:basedOn w:val="777"/>
    <w:uiPriority w:val="34"/>
    <w:qFormat/>
    <w:pPr>
      <w:contextualSpacing/>
      <w:ind w:left="720"/>
    </w:pPr>
  </w:style>
  <w:style w:type="paragraph" w:styleId="831" w:customStyle="1">
    <w:name w:val="无间隔1"/>
    <w:uiPriority w:val="1"/>
    <w:qFormat/>
    <w:rPr>
      <w:rFonts w:ascii="Times New Roman" w:hAnsi="Times New Roman" w:eastAsia="宋体" w:cs="Times New Roman"/>
      <w:lang w:val="en-US" w:eastAsia="zh-CN" w:bidi="ar-SA"/>
    </w:rPr>
  </w:style>
  <w:style w:type="character" w:styleId="832" w:customStyle="1">
    <w:name w:val="标题 字符"/>
    <w:link w:val="811"/>
    <w:uiPriority w:val="10"/>
    <w:qFormat/>
    <w:rPr>
      <w:sz w:val="48"/>
      <w:szCs w:val="48"/>
    </w:rPr>
  </w:style>
  <w:style w:type="character" w:styleId="833" w:customStyle="1">
    <w:name w:val="副标题 字符"/>
    <w:link w:val="805"/>
    <w:uiPriority w:val="11"/>
    <w:qFormat/>
    <w:rPr>
      <w:sz w:val="24"/>
      <w:szCs w:val="24"/>
    </w:rPr>
  </w:style>
  <w:style w:type="paragraph" w:styleId="834" w:customStyle="1">
    <w:name w:val="引用1"/>
    <w:basedOn w:val="777"/>
    <w:next w:val="777"/>
    <w:link w:val="835"/>
    <w:uiPriority w:val="29"/>
    <w:qFormat/>
    <w:pPr>
      <w:ind w:left="720" w:right="720"/>
    </w:pPr>
    <w:rPr>
      <w:i/>
    </w:rPr>
  </w:style>
  <w:style w:type="character" w:styleId="835" w:customStyle="1">
    <w:name w:val="引用 字符"/>
    <w:link w:val="834"/>
    <w:uiPriority w:val="29"/>
    <w:qFormat/>
    <w:rPr>
      <w:i/>
    </w:rPr>
  </w:style>
  <w:style w:type="paragraph" w:styleId="836" w:customStyle="1">
    <w:name w:val="明显引用1"/>
    <w:basedOn w:val="777"/>
    <w:next w:val="777"/>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字符"/>
    <w:link w:val="836"/>
    <w:uiPriority w:val="30"/>
    <w:qFormat/>
    <w:rPr>
      <w:i/>
    </w:rPr>
  </w:style>
  <w:style w:type="character" w:styleId="838" w:customStyle="1">
    <w:name w:val="页眉 字符"/>
    <w:link w:val="802"/>
    <w:uiPriority w:val="99"/>
    <w:qFormat/>
  </w:style>
  <w:style w:type="character" w:styleId="839" w:customStyle="1">
    <w:name w:val="Footer Char"/>
    <w:uiPriority w:val="99"/>
    <w:qFormat/>
  </w:style>
  <w:style w:type="character" w:styleId="840" w:customStyle="1">
    <w:name w:val="页脚 字符"/>
    <w:link w:val="801"/>
    <w:uiPriority w:val="99"/>
    <w:qFormat/>
  </w:style>
  <w:style w:type="table" w:styleId="84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4" w:customStyle="1">
    <w:name w:val="无格式表格 31"/>
    <w:uiPriority w:val="99"/>
    <w:qFormat/>
    <w:tblPr>
      <w:tblCellMar>
        <w:left w:w="0" w:type="dxa"/>
        <w:top w:w="0" w:type="dxa"/>
        <w:right w:w="0" w:type="dxa"/>
        <w:bottom w:w="0" w:type="dxa"/>
      </w:tblCellMar>
    </w:tblPr>
  </w:style>
  <w:style w:type="table" w:styleId="845" w:customStyle="1">
    <w:name w:val="无格式表格 41"/>
    <w:uiPriority w:val="99"/>
    <w:qFormat/>
    <w:tblPr>
      <w:tblCellMar>
        <w:left w:w="0" w:type="dxa"/>
        <w:top w:w="0" w:type="dxa"/>
        <w:right w:w="0" w:type="dxa"/>
        <w:bottom w:w="0" w:type="dxa"/>
      </w:tblCellMar>
    </w:tblPr>
  </w:style>
  <w:style w:type="table" w:styleId="846" w:customStyle="1">
    <w:name w:val="无格式表格 51"/>
    <w:uiPriority w:val="99"/>
    <w:qFormat/>
    <w:tblPr>
      <w:tblCellMar>
        <w:left w:w="0" w:type="dxa"/>
        <w:top w:w="0" w:type="dxa"/>
        <w:right w:w="0" w:type="dxa"/>
        <w:bottom w:w="0" w:type="dxa"/>
      </w:tblCellMar>
    </w:tblPr>
  </w:style>
  <w:style w:type="table" w:styleId="84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6" w:customStyle="1">
    <w:name w:val="清单表 1 浅色1"/>
    <w:uiPriority w:val="99"/>
    <w:qFormat/>
    <w:tblPr>
      <w:tblCellMar>
        <w:left w:w="0" w:type="dxa"/>
        <w:top w:w="0" w:type="dxa"/>
        <w:right w:w="0" w:type="dxa"/>
        <w:bottom w:w="0" w:type="dxa"/>
      </w:tblCellMar>
    </w:tblPr>
  </w:style>
  <w:style w:type="table" w:styleId="897" w:customStyle="1">
    <w:name w:val="List Table 1 Light - Accent 1"/>
    <w:uiPriority w:val="99"/>
    <w:qFormat/>
    <w:tblPr>
      <w:tblCellMar>
        <w:left w:w="0" w:type="dxa"/>
        <w:top w:w="0" w:type="dxa"/>
        <w:right w:w="0" w:type="dxa"/>
        <w:bottom w:w="0" w:type="dxa"/>
      </w:tblCellMar>
    </w:tblPr>
  </w:style>
  <w:style w:type="table" w:styleId="898" w:customStyle="1">
    <w:name w:val="List Table 1 Light - Accent 2"/>
    <w:uiPriority w:val="99"/>
    <w:qFormat/>
    <w:tblPr>
      <w:tblCellMar>
        <w:left w:w="0" w:type="dxa"/>
        <w:top w:w="0" w:type="dxa"/>
        <w:right w:w="0" w:type="dxa"/>
        <w:bottom w:w="0" w:type="dxa"/>
      </w:tblCellMar>
    </w:tblPr>
  </w:style>
  <w:style w:type="table" w:styleId="899" w:customStyle="1">
    <w:name w:val="List Table 1 Light - Accent 3"/>
    <w:uiPriority w:val="99"/>
    <w:qFormat/>
    <w:tblPr>
      <w:tblCellMar>
        <w:left w:w="0" w:type="dxa"/>
        <w:top w:w="0" w:type="dxa"/>
        <w:right w:w="0" w:type="dxa"/>
        <w:bottom w:w="0" w:type="dxa"/>
      </w:tblCellMar>
    </w:tblPr>
  </w:style>
  <w:style w:type="table" w:styleId="900" w:customStyle="1">
    <w:name w:val="List Table 1 Light - Accent 4"/>
    <w:uiPriority w:val="99"/>
    <w:qFormat/>
    <w:tblPr>
      <w:tblCellMar>
        <w:left w:w="0" w:type="dxa"/>
        <w:top w:w="0" w:type="dxa"/>
        <w:right w:w="0" w:type="dxa"/>
        <w:bottom w:w="0" w:type="dxa"/>
      </w:tblCellMar>
    </w:tblPr>
  </w:style>
  <w:style w:type="table" w:styleId="901" w:customStyle="1">
    <w:name w:val="List Table 1 Light - Accent 5"/>
    <w:uiPriority w:val="99"/>
    <w:qFormat/>
    <w:tblPr>
      <w:tblCellMar>
        <w:left w:w="0" w:type="dxa"/>
        <w:top w:w="0" w:type="dxa"/>
        <w:right w:w="0" w:type="dxa"/>
        <w:bottom w:w="0" w:type="dxa"/>
      </w:tblCellMar>
    </w:tblPr>
  </w:style>
  <w:style w:type="table" w:styleId="902" w:customStyle="1">
    <w:name w:val="List Table 1 Light - Accent 6"/>
    <w:uiPriority w:val="99"/>
    <w:qFormat/>
    <w:tblPr>
      <w:tblCellMar>
        <w:left w:w="0" w:type="dxa"/>
        <w:top w:w="0" w:type="dxa"/>
        <w:right w:w="0" w:type="dxa"/>
        <w:bottom w:w="0" w:type="dxa"/>
      </w:tblCellMar>
    </w:tblPr>
  </w:style>
  <w:style w:type="table" w:styleId="90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1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1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2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2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3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5" w:customStyle="1">
    <w:name w:val="Lined - Accent"/>
    <w:uiPriority w:val="99"/>
    <w:qFormat/>
    <w:rPr>
      <w:color w:val="404040"/>
    </w:rPr>
    <w:tblPr>
      <w:tblCellMar>
        <w:left w:w="0" w:type="dxa"/>
        <w:top w:w="0" w:type="dxa"/>
        <w:right w:w="0" w:type="dxa"/>
        <w:bottom w:w="0" w:type="dxa"/>
      </w:tblCellMar>
    </w:tblPr>
  </w:style>
  <w:style w:type="table" w:styleId="946" w:customStyle="1">
    <w:name w:val="Lined - Accent 1"/>
    <w:uiPriority w:val="99"/>
    <w:qFormat/>
    <w:rPr>
      <w:color w:val="404040"/>
    </w:rPr>
    <w:tblPr>
      <w:tblCellMar>
        <w:left w:w="0" w:type="dxa"/>
        <w:top w:w="0" w:type="dxa"/>
        <w:right w:w="0" w:type="dxa"/>
        <w:bottom w:w="0" w:type="dxa"/>
      </w:tblCellMar>
    </w:tblPr>
  </w:style>
  <w:style w:type="table" w:styleId="947" w:customStyle="1">
    <w:name w:val="Lined - Accent 2"/>
    <w:uiPriority w:val="99"/>
    <w:qFormat/>
    <w:rPr>
      <w:color w:val="404040"/>
    </w:rPr>
    <w:tblPr>
      <w:tblCellMar>
        <w:left w:w="0" w:type="dxa"/>
        <w:top w:w="0" w:type="dxa"/>
        <w:right w:w="0" w:type="dxa"/>
        <w:bottom w:w="0" w:type="dxa"/>
      </w:tblCellMar>
    </w:tblPr>
  </w:style>
  <w:style w:type="table" w:styleId="948" w:customStyle="1">
    <w:name w:val="Lined - Accent 3"/>
    <w:uiPriority w:val="99"/>
    <w:qFormat/>
    <w:rPr>
      <w:color w:val="404040"/>
    </w:rPr>
    <w:tblPr>
      <w:tblCellMar>
        <w:left w:w="0" w:type="dxa"/>
        <w:top w:w="0" w:type="dxa"/>
        <w:right w:w="0" w:type="dxa"/>
        <w:bottom w:w="0" w:type="dxa"/>
      </w:tblCellMar>
    </w:tblPr>
  </w:style>
  <w:style w:type="table" w:styleId="949" w:customStyle="1">
    <w:name w:val="Lined - Accent 4"/>
    <w:uiPriority w:val="99"/>
    <w:qFormat/>
    <w:rPr>
      <w:color w:val="404040"/>
    </w:rPr>
    <w:tblPr>
      <w:tblCellMar>
        <w:left w:w="0" w:type="dxa"/>
        <w:top w:w="0" w:type="dxa"/>
        <w:right w:w="0" w:type="dxa"/>
        <w:bottom w:w="0" w:type="dxa"/>
      </w:tblCellMar>
    </w:tblPr>
  </w:style>
  <w:style w:type="table" w:styleId="950" w:customStyle="1">
    <w:name w:val="Lined - Accent 5"/>
    <w:uiPriority w:val="99"/>
    <w:qFormat/>
    <w:rPr>
      <w:color w:val="404040"/>
    </w:rPr>
    <w:tblPr>
      <w:tblCellMar>
        <w:left w:w="0" w:type="dxa"/>
        <w:top w:w="0" w:type="dxa"/>
        <w:right w:w="0" w:type="dxa"/>
        <w:bottom w:w="0" w:type="dxa"/>
      </w:tblCellMar>
    </w:tblPr>
  </w:style>
  <w:style w:type="table" w:styleId="951" w:customStyle="1">
    <w:name w:val="Lined - Accent 6"/>
    <w:uiPriority w:val="99"/>
    <w:qFormat/>
    <w:rPr>
      <w:color w:val="404040"/>
    </w:rPr>
    <w:tblPr>
      <w:tblCellMar>
        <w:left w:w="0" w:type="dxa"/>
        <w:top w:w="0" w:type="dxa"/>
        <w:right w:w="0" w:type="dxa"/>
        <w:bottom w:w="0" w:type="dxa"/>
      </w:tblCellMar>
    </w:tblPr>
  </w:style>
  <w:style w:type="table" w:styleId="95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6" w:customStyle="1">
    <w:name w:val="脚注文本 字符"/>
    <w:link w:val="806"/>
    <w:uiPriority w:val="99"/>
    <w:qFormat/>
    <w:rPr>
      <w:sz w:val="18"/>
    </w:rPr>
  </w:style>
  <w:style w:type="character" w:styleId="967" w:customStyle="1">
    <w:name w:val="尾注文本 字符"/>
    <w:link w:val="800"/>
    <w:uiPriority w:val="99"/>
    <w:qFormat/>
    <w:rPr>
      <w:sz w:val="20"/>
    </w:rPr>
  </w:style>
  <w:style w:type="paragraph" w:styleId="968" w:customStyle="1">
    <w:name w:val="TOC 标题1"/>
    <w:uiPriority w:val="39"/>
    <w:unhideWhenUsed/>
    <w:qFormat/>
    <w:rPr>
      <w:rFonts w:ascii="Times New Roman" w:hAnsi="Times New Roman" w:eastAsia="宋体" w:cs="Times New Roman"/>
      <w:lang w:val="en-US" w:eastAsia="zh-CN" w:bidi="ar-SA"/>
    </w:rPr>
  </w:style>
  <w:style w:type="paragraph" w:styleId="969" w:customStyle="1">
    <w:name w:val="标题 21"/>
    <w:basedOn w:val="777"/>
    <w:next w:val="777"/>
    <w:link w:val="9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0" w:customStyle="1">
    <w:name w:val="标题 31"/>
    <w:basedOn w:val="777"/>
    <w:next w:val="818"/>
    <w:link w:val="981"/>
    <w:uiPriority w:val="0"/>
    <w:qFormat/>
    <w:pPr>
      <w:keepLines/>
      <w:keepNext/>
      <w:spacing w:before="260" w:after="260" w:line="416" w:lineRule="auto"/>
      <w:outlineLvl w:val="2"/>
    </w:pPr>
    <w:rPr>
      <w:b/>
      <w:bCs/>
      <w:sz w:val="32"/>
      <w:szCs w:val="32"/>
    </w:rPr>
  </w:style>
  <w:style w:type="paragraph" w:styleId="971" w:customStyle="1">
    <w:name w:val="标题 41"/>
    <w:basedOn w:val="777"/>
    <w:next w:val="818"/>
    <w:link w:val="983"/>
    <w:uiPriority w:val="0"/>
    <w:qFormat/>
    <w:pPr>
      <w:keepLines/>
      <w:keepNext/>
      <w:spacing w:before="280" w:after="290" w:line="376" w:lineRule="auto"/>
      <w:outlineLvl w:val="3"/>
    </w:pPr>
    <w:rPr>
      <w:rFonts w:ascii="Arial" w:hAnsi="Arial" w:eastAsia="黑体" w:cs="Arial"/>
      <w:b/>
      <w:bCs/>
      <w:sz w:val="28"/>
      <w:szCs w:val="28"/>
    </w:rPr>
  </w:style>
  <w:style w:type="paragraph" w:styleId="972" w:customStyle="1">
    <w:name w:val="标题 51"/>
    <w:basedOn w:val="777"/>
    <w:next w:val="818"/>
    <w:link w:val="984"/>
    <w:uiPriority w:val="0"/>
    <w:qFormat/>
    <w:pPr>
      <w:keepNext/>
      <w:outlineLvl w:val="4"/>
    </w:pPr>
    <w:rPr>
      <w:rFonts w:ascii="宋体"/>
      <w:color w:val="000000"/>
      <w:sz w:val="28"/>
      <w:szCs w:val="28"/>
    </w:rPr>
  </w:style>
  <w:style w:type="paragraph" w:styleId="973" w:customStyle="1">
    <w:name w:val="标题 61"/>
    <w:basedOn w:val="777"/>
    <w:next w:val="777"/>
    <w:link w:val="985"/>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4" w:customStyle="1">
    <w:name w:val="标题 71"/>
    <w:basedOn w:val="777"/>
    <w:next w:val="777"/>
    <w:link w:val="986"/>
    <w:uiPriority w:val="0"/>
    <w:qFormat/>
    <w:pPr>
      <w:numPr>
        <w:ilvl w:val="6"/>
        <w:numId w:val="2"/>
      </w:numPr>
      <w:keepLines/>
      <w:keepNext/>
      <w:spacing w:before="240" w:after="64" w:line="320" w:lineRule="auto"/>
      <w:outlineLvl w:val="6"/>
    </w:pPr>
    <w:rPr>
      <w:b/>
      <w:bCs/>
      <w:sz w:val="24"/>
      <w:szCs w:val="24"/>
    </w:rPr>
  </w:style>
  <w:style w:type="paragraph" w:styleId="975" w:customStyle="1">
    <w:name w:val="标题 81"/>
    <w:basedOn w:val="777"/>
    <w:next w:val="777"/>
    <w:link w:val="987"/>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6" w:customStyle="1">
    <w:name w:val="标题 91"/>
    <w:basedOn w:val="777"/>
    <w:next w:val="777"/>
    <w:link w:val="988"/>
    <w:uiPriority w:val="0"/>
    <w:qFormat/>
    <w:pPr>
      <w:numPr>
        <w:ilvl w:val="8"/>
        <w:numId w:val="2"/>
      </w:numPr>
      <w:keepLines/>
      <w:keepNext/>
      <w:spacing w:before="240" w:after="64" w:line="320" w:lineRule="auto"/>
      <w:outlineLvl w:val="8"/>
    </w:pPr>
    <w:rPr>
      <w:rFonts w:ascii="Arial" w:hAnsi="Arial" w:eastAsia="黑体"/>
    </w:rPr>
  </w:style>
  <w:style w:type="character" w:styleId="977" w:customStyle="1">
    <w:name w:val="默认段落字体1"/>
    <w:uiPriority w:val="1"/>
    <w:unhideWhenUsed/>
    <w:qFormat/>
  </w:style>
  <w:style w:type="table" w:styleId="978" w:customStyle="1">
    <w:name w:val="普通表格1"/>
    <w:uiPriority w:val="99"/>
    <w:unhideWhenUsed/>
    <w:qFormat/>
    <w:tblPr>
      <w:tblCellMar>
        <w:left w:w="0" w:type="dxa"/>
        <w:top w:w="0" w:type="dxa"/>
        <w:right w:w="0" w:type="dxa"/>
        <w:bottom w:w="0" w:type="dxa"/>
      </w:tblCellMar>
    </w:tblPr>
  </w:style>
  <w:style w:type="character" w:styleId="979" w:customStyle="1">
    <w:name w:val="标题 1 Char"/>
    <w:link w:val="820"/>
    <w:uiPriority w:val="0"/>
    <w:qFormat/>
    <w:rPr>
      <w:rFonts w:ascii="楷体_GB2312" w:hAnsi="Times New Roman" w:eastAsia="楷体_GB2312" w:cs="Times New Roman"/>
      <w:sz w:val="28"/>
      <w:szCs w:val="28"/>
    </w:rPr>
  </w:style>
  <w:style w:type="character" w:styleId="980" w:customStyle="1">
    <w:name w:val="标题 2 Char"/>
    <w:link w:val="969"/>
    <w:uiPriority w:val="0"/>
    <w:qFormat/>
    <w:rPr>
      <w:rFonts w:ascii="Arial" w:hAnsi="Arial" w:eastAsia="幼圆" w:cs="Arial"/>
      <w:b/>
      <w:bCs/>
      <w:sz w:val="44"/>
      <w:szCs w:val="44"/>
    </w:rPr>
  </w:style>
  <w:style w:type="character" w:styleId="981" w:customStyle="1">
    <w:name w:val="标题 3 Char"/>
    <w:link w:val="970"/>
    <w:uiPriority w:val="0"/>
    <w:qFormat/>
    <w:rPr>
      <w:rFonts w:ascii="Times New Roman" w:hAnsi="Times New Roman" w:eastAsia="宋体" w:cs="Times New Roman"/>
      <w:b/>
      <w:bCs/>
      <w:sz w:val="32"/>
      <w:szCs w:val="32"/>
    </w:rPr>
  </w:style>
  <w:style w:type="character" w:styleId="982" w:customStyle="1">
    <w:name w:val="正文缩进 Char"/>
    <w:link w:val="818"/>
    <w:uiPriority w:val="0"/>
    <w:qFormat/>
    <w:rPr>
      <w:rFonts w:ascii="Times New Roman" w:hAnsi="Times New Roman" w:eastAsia="宋体" w:cs="Times New Roman"/>
      <w:szCs w:val="21"/>
    </w:rPr>
  </w:style>
  <w:style w:type="character" w:styleId="983" w:customStyle="1">
    <w:name w:val="标题 4 Char"/>
    <w:link w:val="971"/>
    <w:uiPriority w:val="0"/>
    <w:qFormat/>
    <w:rPr>
      <w:rFonts w:ascii="Arial" w:hAnsi="Arial" w:eastAsia="黑体" w:cs="Arial"/>
      <w:b/>
      <w:bCs/>
      <w:sz w:val="28"/>
      <w:szCs w:val="28"/>
    </w:rPr>
  </w:style>
  <w:style w:type="character" w:styleId="984" w:customStyle="1">
    <w:name w:val="标题 5 Char"/>
    <w:link w:val="972"/>
    <w:uiPriority w:val="0"/>
    <w:qFormat/>
    <w:rPr>
      <w:rFonts w:ascii="宋体" w:hAnsi="Times New Roman" w:eastAsia="宋体" w:cs="Times New Roman"/>
      <w:color w:val="000000"/>
      <w:sz w:val="28"/>
      <w:szCs w:val="28"/>
    </w:rPr>
  </w:style>
  <w:style w:type="character" w:styleId="985" w:customStyle="1">
    <w:name w:val="标题 6 Char"/>
    <w:link w:val="973"/>
    <w:uiPriority w:val="0"/>
    <w:qFormat/>
    <w:rPr>
      <w:rFonts w:ascii="Arial" w:hAnsi="Arial" w:eastAsia="黑体" w:cs="Times New Roman"/>
      <w:b/>
      <w:bCs/>
      <w:sz w:val="24"/>
      <w:szCs w:val="24"/>
    </w:rPr>
  </w:style>
  <w:style w:type="character" w:styleId="986" w:customStyle="1">
    <w:name w:val="标题 7 Char"/>
    <w:link w:val="974"/>
    <w:uiPriority w:val="0"/>
    <w:qFormat/>
    <w:rPr>
      <w:rFonts w:ascii="Times New Roman" w:hAnsi="Times New Roman" w:eastAsia="宋体" w:cs="Times New Roman"/>
      <w:b/>
      <w:bCs/>
      <w:sz w:val="24"/>
      <w:szCs w:val="24"/>
    </w:rPr>
  </w:style>
  <w:style w:type="character" w:styleId="987" w:customStyle="1">
    <w:name w:val="标题 8 Char"/>
    <w:link w:val="975"/>
    <w:uiPriority w:val="0"/>
    <w:qFormat/>
    <w:rPr>
      <w:rFonts w:ascii="Arial" w:hAnsi="Arial" w:eastAsia="黑体" w:cs="Times New Roman"/>
      <w:sz w:val="24"/>
      <w:szCs w:val="24"/>
    </w:rPr>
  </w:style>
  <w:style w:type="character" w:styleId="988" w:customStyle="1">
    <w:name w:val="标题 9 Char"/>
    <w:link w:val="976"/>
    <w:uiPriority w:val="0"/>
    <w:qFormat/>
    <w:rPr>
      <w:rFonts w:ascii="Arial" w:hAnsi="Arial" w:eastAsia="黑体" w:cs="Times New Roman"/>
      <w:szCs w:val="21"/>
    </w:rPr>
  </w:style>
  <w:style w:type="paragraph" w:styleId="989" w:customStyle="1">
    <w:name w:val="列表 31"/>
    <w:basedOn w:val="777"/>
    <w:uiPriority w:val="0"/>
    <w:qFormat/>
    <w:pPr>
      <w:ind w:left="100" w:hanging="200"/>
    </w:pPr>
  </w:style>
  <w:style w:type="paragraph" w:styleId="990" w:customStyle="1">
    <w:name w:val="目录 71"/>
    <w:basedOn w:val="777"/>
    <w:next w:val="777"/>
    <w:uiPriority w:val="0"/>
    <w:semiHidden/>
    <w:qFormat/>
    <w:pPr>
      <w:ind w:left="1260"/>
      <w:jc w:val="left"/>
    </w:pPr>
  </w:style>
  <w:style w:type="paragraph" w:styleId="991" w:customStyle="1">
    <w:name w:val="文档结构图1"/>
    <w:basedOn w:val="777"/>
    <w:link w:val="992"/>
    <w:uiPriority w:val="0"/>
    <w:semiHidden/>
    <w:qFormat/>
    <w:pPr>
      <w:shd w:val="clear" w:color="auto" w:fill="000080"/>
    </w:pPr>
  </w:style>
  <w:style w:type="character" w:styleId="992" w:customStyle="1">
    <w:name w:val="文档结构图 Char"/>
    <w:link w:val="991"/>
    <w:uiPriority w:val="0"/>
    <w:semiHidden/>
    <w:qFormat/>
    <w:rPr>
      <w:rFonts w:ascii="Times New Roman" w:hAnsi="Times New Roman" w:eastAsia="宋体" w:cs="Times New Roman"/>
      <w:szCs w:val="21"/>
      <w:shd w:val="clear" w:color="auto" w:fill="000080"/>
    </w:rPr>
  </w:style>
  <w:style w:type="paragraph" w:styleId="993" w:customStyle="1">
    <w:name w:val="批注文字1"/>
    <w:basedOn w:val="777"/>
    <w:link w:val="994"/>
    <w:uiPriority w:val="0"/>
    <w:semiHidden/>
    <w:qFormat/>
    <w:pPr>
      <w:jc w:val="left"/>
    </w:pPr>
  </w:style>
  <w:style w:type="character" w:styleId="994" w:customStyle="1">
    <w:name w:val="批注文字 Char"/>
    <w:link w:val="993"/>
    <w:uiPriority w:val="0"/>
    <w:semiHidden/>
    <w:qFormat/>
    <w:rPr>
      <w:rFonts w:ascii="Times New Roman" w:hAnsi="Times New Roman" w:eastAsia="宋体" w:cs="Times New Roman"/>
      <w:szCs w:val="21"/>
    </w:rPr>
  </w:style>
  <w:style w:type="paragraph" w:styleId="995" w:customStyle="1">
    <w:name w:val="正文文本 31"/>
    <w:basedOn w:val="777"/>
    <w:link w:val="996"/>
    <w:uiPriority w:val="0"/>
    <w:qFormat/>
    <w:rPr>
      <w:rFonts w:ascii="仿宋_GB2312" w:hAnsi="Arial" w:eastAsia="仿宋_GB2312"/>
      <w:sz w:val="32"/>
      <w:szCs w:val="32"/>
    </w:rPr>
  </w:style>
  <w:style w:type="character" w:styleId="996" w:customStyle="1">
    <w:name w:val="正文文本 3 Char"/>
    <w:link w:val="995"/>
    <w:uiPriority w:val="0"/>
    <w:qFormat/>
    <w:rPr>
      <w:rFonts w:ascii="仿宋_GB2312" w:hAnsi="Arial" w:eastAsia="仿宋_GB2312" w:cs="Times New Roman"/>
      <w:sz w:val="32"/>
      <w:szCs w:val="32"/>
    </w:rPr>
  </w:style>
  <w:style w:type="character" w:styleId="997" w:customStyle="1">
    <w:name w:val="正文文本 Char"/>
    <w:link w:val="817"/>
    <w:uiPriority w:val="0"/>
    <w:qFormat/>
    <w:rPr>
      <w:rFonts w:ascii="楷体_GB2312" w:hAnsi="Arial" w:eastAsia="楷体_GB2312" w:cs="Times New Roman"/>
      <w:sz w:val="28"/>
      <w:szCs w:val="28"/>
    </w:rPr>
  </w:style>
  <w:style w:type="paragraph" w:styleId="998" w:customStyle="1">
    <w:name w:val="正文文本缩进1"/>
    <w:basedOn w:val="777"/>
    <w:next w:val="777"/>
    <w:link w:val="999"/>
    <w:uiPriority w:val="0"/>
    <w:qFormat/>
    <w:pPr>
      <w:ind w:firstLine="645"/>
    </w:pPr>
    <w:rPr>
      <w:rFonts w:ascii="楷体_GB2312" w:eastAsia="楷体_GB2312"/>
      <w:sz w:val="32"/>
      <w:szCs w:val="32"/>
    </w:rPr>
  </w:style>
  <w:style w:type="character" w:styleId="999" w:customStyle="1">
    <w:name w:val="正文文本缩进 Char"/>
    <w:link w:val="998"/>
    <w:uiPriority w:val="0"/>
    <w:qFormat/>
    <w:rPr>
      <w:rFonts w:ascii="楷体_GB2312" w:hAnsi="Times New Roman" w:eastAsia="楷体_GB2312" w:cs="Times New Roman"/>
      <w:sz w:val="32"/>
      <w:szCs w:val="32"/>
    </w:rPr>
  </w:style>
  <w:style w:type="paragraph" w:styleId="1000" w:customStyle="1">
    <w:name w:val="列表 21"/>
    <w:basedOn w:val="777"/>
    <w:uiPriority w:val="0"/>
    <w:qFormat/>
    <w:pPr>
      <w:ind w:left="100" w:hanging="200"/>
    </w:pPr>
  </w:style>
  <w:style w:type="paragraph" w:styleId="1001" w:customStyle="1">
    <w:name w:val="目录 51"/>
    <w:basedOn w:val="777"/>
    <w:next w:val="777"/>
    <w:uiPriority w:val="0"/>
    <w:semiHidden/>
    <w:qFormat/>
    <w:pPr>
      <w:ind w:left="840"/>
      <w:jc w:val="left"/>
    </w:pPr>
  </w:style>
  <w:style w:type="paragraph" w:styleId="1002" w:customStyle="1">
    <w:name w:val="目录 31"/>
    <w:basedOn w:val="777"/>
    <w:next w:val="777"/>
    <w:uiPriority w:val="0"/>
    <w:semiHidden/>
    <w:qFormat/>
    <w:pPr>
      <w:ind w:left="420"/>
      <w:jc w:val="left"/>
    </w:pPr>
    <w:rPr>
      <w:i/>
      <w:iCs/>
      <w:szCs w:val="24"/>
    </w:rPr>
  </w:style>
  <w:style w:type="paragraph" w:styleId="1003" w:customStyle="1">
    <w:name w:val="纯文本1"/>
    <w:basedOn w:val="777"/>
    <w:link w:val="1004"/>
    <w:uiPriority w:val="0"/>
    <w:qFormat/>
    <w:rPr>
      <w:rFonts w:ascii="宋体" w:hAnsi="Courier New" w:cs="Courier New"/>
    </w:rPr>
  </w:style>
  <w:style w:type="character" w:styleId="1004" w:customStyle="1">
    <w:name w:val="纯文本 Char"/>
    <w:link w:val="1003"/>
    <w:uiPriority w:val="0"/>
    <w:qFormat/>
    <w:rPr>
      <w:rFonts w:ascii="宋体" w:hAnsi="Courier New" w:eastAsia="宋体" w:cs="Courier New"/>
      <w:szCs w:val="21"/>
    </w:rPr>
  </w:style>
  <w:style w:type="paragraph" w:styleId="1005" w:customStyle="1">
    <w:name w:val="目录 81"/>
    <w:basedOn w:val="777"/>
    <w:next w:val="777"/>
    <w:uiPriority w:val="0"/>
    <w:semiHidden/>
    <w:qFormat/>
    <w:pPr>
      <w:ind w:left="1470"/>
      <w:jc w:val="left"/>
    </w:pPr>
  </w:style>
  <w:style w:type="paragraph" w:styleId="1006" w:customStyle="1">
    <w:name w:val="日期1"/>
    <w:basedOn w:val="777"/>
    <w:next w:val="777"/>
    <w:link w:val="1007"/>
    <w:uiPriority w:val="0"/>
    <w:qFormat/>
    <w:rPr>
      <w:sz w:val="24"/>
      <w:szCs w:val="24"/>
    </w:rPr>
  </w:style>
  <w:style w:type="character" w:styleId="1007" w:customStyle="1">
    <w:name w:val="日期 Char"/>
    <w:link w:val="1006"/>
    <w:uiPriority w:val="0"/>
    <w:qFormat/>
    <w:rPr>
      <w:rFonts w:ascii="Times New Roman" w:hAnsi="Times New Roman" w:eastAsia="宋体" w:cs="Times New Roman"/>
      <w:sz w:val="24"/>
      <w:szCs w:val="24"/>
    </w:rPr>
  </w:style>
  <w:style w:type="paragraph" w:styleId="1008" w:customStyle="1">
    <w:name w:val="正文文本缩进 21"/>
    <w:basedOn w:val="777"/>
    <w:link w:val="1009"/>
    <w:uiPriority w:val="0"/>
    <w:qFormat/>
    <w:pPr>
      <w:ind w:left="630" w:firstLine="645"/>
    </w:pPr>
    <w:rPr>
      <w:rFonts w:ascii="Arial" w:hAnsi="Arial" w:eastAsia="仿宋_GB2312" w:cs="Arial"/>
      <w:sz w:val="32"/>
      <w:szCs w:val="32"/>
    </w:rPr>
  </w:style>
  <w:style w:type="character" w:styleId="1009" w:customStyle="1">
    <w:name w:val="正文文本缩进 2 Char"/>
    <w:link w:val="1008"/>
    <w:uiPriority w:val="0"/>
    <w:qFormat/>
    <w:rPr>
      <w:rFonts w:ascii="Arial" w:hAnsi="Arial" w:eastAsia="仿宋_GB2312" w:cs="Arial"/>
      <w:sz w:val="32"/>
      <w:szCs w:val="32"/>
    </w:rPr>
  </w:style>
  <w:style w:type="paragraph" w:styleId="1010" w:customStyle="1">
    <w:name w:val="批注框文本1"/>
    <w:basedOn w:val="777"/>
    <w:link w:val="1011"/>
    <w:uiPriority w:val="0"/>
    <w:semiHidden/>
    <w:qFormat/>
    <w:rPr>
      <w:sz w:val="18"/>
      <w:szCs w:val="18"/>
    </w:rPr>
  </w:style>
  <w:style w:type="character" w:styleId="1011" w:customStyle="1">
    <w:name w:val="批注框文本 Char"/>
    <w:link w:val="1010"/>
    <w:uiPriority w:val="0"/>
    <w:semiHidden/>
    <w:qFormat/>
    <w:rPr>
      <w:rFonts w:ascii="Times New Roman" w:hAnsi="Times New Roman" w:eastAsia="宋体" w:cs="Times New Roman"/>
      <w:sz w:val="18"/>
      <w:szCs w:val="18"/>
    </w:rPr>
  </w:style>
  <w:style w:type="paragraph" w:styleId="1012" w:customStyle="1">
    <w:name w:val="页脚1"/>
    <w:basedOn w:val="777"/>
    <w:link w:val="1013"/>
    <w:uiPriority w:val="0"/>
    <w:qFormat/>
    <w:pPr>
      <w:jc w:val="left"/>
      <w:tabs>
        <w:tab w:val="center" w:pos="4153" w:leader="none"/>
        <w:tab w:val="right" w:pos="8306" w:leader="none"/>
      </w:tabs>
    </w:pPr>
    <w:rPr>
      <w:sz w:val="18"/>
      <w:szCs w:val="18"/>
    </w:rPr>
  </w:style>
  <w:style w:type="character" w:styleId="1013" w:customStyle="1">
    <w:name w:val="页脚 Char"/>
    <w:link w:val="1012"/>
    <w:uiPriority w:val="0"/>
    <w:qFormat/>
    <w:rPr>
      <w:rFonts w:ascii="Times New Roman" w:hAnsi="Times New Roman" w:eastAsia="宋体" w:cs="Times New Roman"/>
      <w:sz w:val="18"/>
      <w:szCs w:val="18"/>
    </w:rPr>
  </w:style>
  <w:style w:type="paragraph" w:styleId="1014" w:customStyle="1">
    <w:name w:val="寄信人地址1"/>
    <w:basedOn w:val="1015"/>
    <w:uiPriority w:val="99"/>
    <w:unhideWhenUsed/>
    <w:qFormat/>
    <w:rPr>
      <w:rFonts w:ascii="Arial" w:hAnsi="Arial"/>
    </w:rPr>
  </w:style>
  <w:style w:type="paragraph" w:styleId="1015" w:customStyle="1">
    <w:name w:val="正文_16"/>
    <w:next w:val="1016"/>
    <w:uiPriority w:val="0"/>
    <w:qFormat/>
    <w:pPr>
      <w:jc w:val="both"/>
      <w:widowControl w:val="off"/>
    </w:pPr>
    <w:rPr>
      <w:rFonts w:ascii="Calibri" w:hAnsi="Calibri" w:eastAsia="宋体" w:cs="Times New Roman"/>
      <w:sz w:val="21"/>
      <w:szCs w:val="22"/>
      <w:lang w:val="en-US" w:eastAsia="zh-CN" w:bidi="ar-SA"/>
    </w:rPr>
  </w:style>
  <w:style w:type="paragraph" w:styleId="1016" w:customStyle="1">
    <w:name w:val="标题 3_0"/>
    <w:basedOn w:val="1015"/>
    <w:next w:val="1015"/>
    <w:uiPriority w:val="0"/>
    <w:unhideWhenUsed/>
    <w:qFormat/>
    <w:pPr>
      <w:keepLines/>
      <w:keepNext/>
      <w:spacing w:before="260" w:after="260" w:line="413" w:lineRule="auto"/>
      <w:outlineLvl w:val="2"/>
    </w:pPr>
    <w:rPr>
      <w:rFonts w:hint="eastAsia" w:ascii="Times New Roman" w:hAnsi="Times New Roman" w:eastAsia="Times New Roman"/>
      <w:b/>
      <w:sz w:val="32"/>
      <w:szCs w:val="20"/>
    </w:rPr>
  </w:style>
  <w:style w:type="paragraph" w:styleId="1017" w:customStyle="1">
    <w:name w:val="正文首行缩进 2_0"/>
    <w:basedOn w:val="1018"/>
    <w:uiPriority w:val="0"/>
    <w:qFormat/>
    <w:pPr>
      <w:ind w:left="200" w:firstLine="200"/>
      <w:spacing w:after="120"/>
    </w:pPr>
    <w:rPr>
      <w:rFonts w:ascii="Times New Roman" w:hAnsi="Times New Roman"/>
      <w:sz w:val="24"/>
      <w:szCs w:val="24"/>
    </w:rPr>
  </w:style>
  <w:style w:type="paragraph" w:styleId="1018" w:customStyle="1">
    <w:name w:val="正文文本缩进_0"/>
    <w:basedOn w:val="1015"/>
    <w:next w:val="1014"/>
    <w:uiPriority w:val="0"/>
    <w:qFormat/>
    <w:pPr>
      <w:ind w:firstLine="225"/>
    </w:pPr>
    <w:rPr>
      <w:rFonts w:ascii="仿宋_GB2312" w:eastAsia="仿宋_GB2312"/>
      <w:sz w:val="32"/>
    </w:rPr>
  </w:style>
  <w:style w:type="paragraph" w:styleId="1019" w:customStyle="1">
    <w:name w:val="页眉1"/>
    <w:basedOn w:val="777"/>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qFormat/>
    <w:rPr>
      <w:rFonts w:ascii="Times New Roman" w:hAnsi="Times New Roman" w:eastAsia="宋体" w:cs="Times New Roman"/>
      <w:sz w:val="18"/>
      <w:szCs w:val="18"/>
    </w:rPr>
  </w:style>
  <w:style w:type="paragraph" w:styleId="1021"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77"/>
    <w:next w:val="777"/>
    <w:uiPriority w:val="0"/>
    <w:semiHidden/>
    <w:qFormat/>
    <w:pPr>
      <w:ind w:left="630"/>
      <w:jc w:val="left"/>
    </w:pPr>
  </w:style>
  <w:style w:type="paragraph" w:styleId="1023" w:customStyle="1">
    <w:name w:val="列表1"/>
    <w:basedOn w:val="777"/>
    <w:uiPriority w:val="0"/>
    <w:qFormat/>
    <w:pPr>
      <w:ind w:left="200" w:hanging="200"/>
    </w:pPr>
  </w:style>
  <w:style w:type="paragraph" w:styleId="1024" w:customStyle="1">
    <w:name w:val="目录 61"/>
    <w:basedOn w:val="777"/>
    <w:next w:val="777"/>
    <w:uiPriority w:val="0"/>
    <w:semiHidden/>
    <w:qFormat/>
    <w:pPr>
      <w:ind w:left="1050"/>
      <w:jc w:val="left"/>
    </w:pPr>
  </w:style>
  <w:style w:type="paragraph" w:styleId="1025" w:customStyle="1">
    <w:name w:val="正文文本缩进 31"/>
    <w:basedOn w:val="777"/>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Char"/>
    <w:link w:val="1025"/>
    <w:uiPriority w:val="0"/>
    <w:qFormat/>
    <w:rPr>
      <w:rFonts w:ascii="Arial" w:hAnsi="Arial" w:eastAsia="仿宋_GB2312" w:cs="Arial"/>
      <w:color w:val="ffff00"/>
      <w:sz w:val="32"/>
      <w:szCs w:val="32"/>
    </w:rPr>
  </w:style>
  <w:style w:type="paragraph" w:styleId="1027" w:customStyle="1">
    <w:name w:val="图表目录1"/>
    <w:basedOn w:val="777"/>
    <w:next w:val="777"/>
    <w:uiPriority w:val="0"/>
    <w:semiHidden/>
    <w:qFormat/>
    <w:pPr>
      <w:ind w:left="840" w:hanging="420"/>
    </w:pPr>
  </w:style>
  <w:style w:type="paragraph" w:styleId="1028" w:customStyle="1">
    <w:name w:val="目录 21"/>
    <w:basedOn w:val="777"/>
    <w:next w:val="777"/>
    <w:uiPriority w:val="0"/>
    <w:semiHidden/>
    <w:qFormat/>
    <w:pPr>
      <w:ind w:left="210"/>
      <w:jc w:val="left"/>
    </w:pPr>
    <w:rPr>
      <w:smallCaps/>
      <w:szCs w:val="24"/>
    </w:rPr>
  </w:style>
  <w:style w:type="paragraph" w:styleId="1029" w:customStyle="1">
    <w:name w:val="目录 91"/>
    <w:basedOn w:val="777"/>
    <w:next w:val="777"/>
    <w:uiPriority w:val="0"/>
    <w:semiHidden/>
    <w:qFormat/>
    <w:pPr>
      <w:ind w:left="1680"/>
      <w:jc w:val="left"/>
    </w:pPr>
  </w:style>
  <w:style w:type="paragraph" w:styleId="1030" w:customStyle="1">
    <w:name w:val="正文文本 21"/>
    <w:basedOn w:val="777"/>
    <w:link w:val="1031"/>
    <w:uiPriority w:val="0"/>
    <w:qFormat/>
    <w:pPr>
      <w:jc w:val="center"/>
      <w:widowControl/>
    </w:pPr>
    <w:rPr>
      <w:rFonts w:ascii="楷体_GB2312" w:eastAsia="楷体_GB2312"/>
      <w:sz w:val="28"/>
      <w:szCs w:val="28"/>
    </w:rPr>
  </w:style>
  <w:style w:type="character" w:styleId="1031" w:customStyle="1">
    <w:name w:val="正文文本 2 Char"/>
    <w:link w:val="1030"/>
    <w:uiPriority w:val="0"/>
    <w:qFormat/>
    <w:rPr>
      <w:rFonts w:ascii="楷体_GB2312" w:hAnsi="Times New Roman" w:eastAsia="楷体_GB2312" w:cs="Times New Roman"/>
      <w:sz w:val="28"/>
      <w:szCs w:val="28"/>
    </w:rPr>
  </w:style>
  <w:style w:type="paragraph" w:styleId="1032" w:customStyle="1">
    <w:name w:val="列表接续 21"/>
    <w:basedOn w:val="777"/>
    <w:next w:val="777"/>
    <w:uiPriority w:val="0"/>
    <w:qFormat/>
    <w:pPr>
      <w:ind w:left="840"/>
      <w:spacing w:after="120"/>
    </w:pPr>
  </w:style>
  <w:style w:type="paragraph" w:styleId="1033"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77"/>
    <w:next w:val="777"/>
    <w:uiPriority w:val="0"/>
    <w:semiHidden/>
    <w:qFormat/>
    <w:pPr>
      <w:spacing w:line="240" w:lineRule="atLeast"/>
    </w:pPr>
    <w:rPr>
      <w:b/>
      <w:bCs/>
    </w:rPr>
  </w:style>
  <w:style w:type="paragraph" w:styleId="1035" w:customStyle="1">
    <w:name w:val="批注主题1"/>
    <w:basedOn w:val="993"/>
    <w:next w:val="993"/>
    <w:link w:val="1036"/>
    <w:uiPriority w:val="0"/>
    <w:semiHidden/>
    <w:qFormat/>
    <w:rPr>
      <w:b/>
      <w:bCs/>
    </w:rPr>
  </w:style>
  <w:style w:type="character" w:styleId="1036" w:customStyle="1">
    <w:name w:val="批注主题 Char"/>
    <w:link w:val="1035"/>
    <w:uiPriority w:val="0"/>
    <w:semiHidden/>
    <w:qFormat/>
    <w:rPr>
      <w:rFonts w:ascii="Times New Roman" w:hAnsi="Times New Roman" w:eastAsia="宋体" w:cs="Times New Roman"/>
      <w:b/>
      <w:bCs/>
      <w:szCs w:val="21"/>
    </w:rPr>
  </w:style>
  <w:style w:type="paragraph" w:styleId="1037" w:customStyle="1">
    <w:name w:val="正文首行缩进11"/>
    <w:basedOn w:val="777"/>
    <w:link w:val="1038"/>
    <w:uiPriority w:val="0"/>
    <w:qFormat/>
    <w:pPr>
      <w:ind w:firstLine="200"/>
      <w:spacing w:line="360" w:lineRule="auto"/>
    </w:pPr>
    <w:rPr>
      <w:rFonts w:ascii="仿宋_GB2312" w:eastAsia="仿宋_GB2312"/>
      <w:sz w:val="30"/>
      <w:szCs w:val="30"/>
    </w:rPr>
  </w:style>
  <w:style w:type="character" w:styleId="1038" w:customStyle="1">
    <w:name w:val="正文首行缩进 Char"/>
    <w:link w:val="1037"/>
    <w:uiPriority w:val="0"/>
    <w:qFormat/>
    <w:rPr>
      <w:rFonts w:ascii="仿宋_GB2312" w:hAnsi="Times New Roman" w:eastAsia="仿宋_GB2312" w:cs="Times New Roman"/>
      <w:sz w:val="30"/>
      <w:szCs w:val="30"/>
    </w:rPr>
  </w:style>
  <w:style w:type="paragraph" w:styleId="1039" w:customStyle="1">
    <w:name w:val="正文首行缩进 21"/>
    <w:basedOn w:val="998"/>
    <w:link w:val="1040"/>
    <w:uiPriority w:val="0"/>
    <w:qFormat/>
    <w:pPr>
      <w:ind w:firstLine="420"/>
      <w:spacing w:line="360" w:lineRule="auto"/>
    </w:pPr>
    <w:rPr>
      <w:rFonts w:ascii="宋体" w:hAnsi="宋体" w:eastAsia="宋体"/>
      <w:sz w:val="21"/>
      <w:szCs w:val="20"/>
    </w:rPr>
  </w:style>
  <w:style w:type="character" w:styleId="1040" w:customStyle="1">
    <w:name w:val="正文首行缩进 2 Char"/>
    <w:link w:val="1039"/>
    <w:uiPriority w:val="0"/>
    <w:qFormat/>
    <w:rPr>
      <w:rFonts w:ascii="宋体" w:hAnsi="宋体" w:eastAsia="宋体" w:cs="Times New Roman"/>
      <w:sz w:val="32"/>
      <w:szCs w:val="20"/>
    </w:rPr>
  </w:style>
  <w:style w:type="table" w:styleId="1041" w:customStyle="1">
    <w:name w:val="网格型1"/>
    <w:basedOn w:val="978"/>
    <w:uiPriority w:val="0"/>
    <w:qFormat/>
    <w:pPr>
      <w:jc w:val="both"/>
      <w:widowControl w:val="off"/>
    </w:pPr>
    <w:tblPr/>
  </w:style>
  <w:style w:type="character" w:styleId="1042" w:customStyle="1">
    <w:name w:val="要点1"/>
    <w:uiPriority w:val="0"/>
    <w:qFormat/>
    <w:rPr>
      <w:b/>
      <w:bCs/>
    </w:rPr>
  </w:style>
  <w:style w:type="character" w:styleId="1043" w:customStyle="1">
    <w:name w:val="页码1"/>
    <w:link w:val="777"/>
    <w:uiPriority w:val="0"/>
    <w:qFormat/>
    <w:rPr>
      <w:rFonts w:ascii="Times New Roman" w:hAnsi="Times New Roman" w:eastAsia="宋体" w:cs="Times New Roman"/>
      <w:sz w:val="21"/>
      <w:szCs w:val="21"/>
      <w:lang w:val="en-US" w:eastAsia="zh-CN" w:bidi="ar-SA"/>
    </w:rPr>
  </w:style>
  <w:style w:type="character" w:styleId="1044" w:customStyle="1">
    <w:name w:val="已访问的超链接1"/>
    <w:uiPriority w:val="0"/>
    <w:qFormat/>
    <w:rPr>
      <w:color w:val="800080"/>
      <w:u w:val="single"/>
    </w:rPr>
  </w:style>
  <w:style w:type="character" w:styleId="1045" w:customStyle="1">
    <w:name w:val="超链接1"/>
    <w:uiPriority w:val="0"/>
    <w:qFormat/>
    <w:rPr>
      <w:color w:val="0000ff"/>
      <w:u w:val="single"/>
    </w:rPr>
  </w:style>
  <w:style w:type="character" w:styleId="1046" w:customStyle="1">
    <w:name w:val="批注引用1"/>
    <w:uiPriority w:val="0"/>
    <w:semiHidden/>
    <w:qFormat/>
    <w:rPr>
      <w:sz w:val="21"/>
      <w:szCs w:val="21"/>
    </w:rPr>
  </w:style>
  <w:style w:type="character" w:styleId="1047" w:customStyle="1">
    <w:name w:val="列出段落 Char"/>
    <w:link w:val="1048"/>
    <w:uiPriority w:val="0"/>
    <w:qFormat/>
    <w:rPr>
      <w:rFonts w:ascii="Calibri" w:hAnsi="Calibri"/>
      <w:sz w:val="24"/>
      <w:szCs w:val="24"/>
      <w:lang w:eastAsia="en-US" w:bidi="en-US"/>
    </w:rPr>
  </w:style>
  <w:style w:type="paragraph" w:styleId="1048" w:customStyle="1">
    <w:name w:val="列出段落1"/>
    <w:basedOn w:val="777"/>
    <w:link w:val="1047"/>
    <w:uiPriority w:val="0"/>
    <w:qFormat/>
    <w:pPr>
      <w:contextualSpacing/>
      <w:ind w:left="720"/>
      <w:jc w:val="left"/>
      <w:widowControl/>
    </w:pPr>
    <w:rPr>
      <w:rFonts w:ascii="Calibri" w:hAnsi="Calibri"/>
      <w:sz w:val="24"/>
      <w:szCs w:val="24"/>
      <w:lang w:eastAsia="en-US" w:bidi="en-US"/>
    </w:rPr>
  </w:style>
  <w:style w:type="character" w:styleId="1049" w:customStyle="1">
    <w:name w:val="font5 Char"/>
    <w:uiPriority w:val="0"/>
    <w:qFormat/>
    <w:rPr>
      <w:rFonts w:ascii="宋体" w:hAnsi="宋体" w:eastAsia="宋体"/>
      <w:sz w:val="28"/>
      <w:szCs w:val="28"/>
      <w:lang w:val="en-US" w:eastAsia="zh-CN" w:bidi="ar-SA"/>
    </w:rPr>
  </w:style>
  <w:style w:type="character" w:styleId="1050" w:customStyle="1">
    <w:name w:val="二级目录 Char"/>
    <w:link w:val="1051"/>
    <w:uiPriority w:val="0"/>
    <w:qFormat/>
    <w:rPr>
      <w:b/>
      <w:sz w:val="30"/>
      <w:szCs w:val="28"/>
    </w:rPr>
  </w:style>
  <w:style w:type="paragraph" w:styleId="1051" w:customStyle="1">
    <w:name w:val="二级目录"/>
    <w:next w:val="777"/>
    <w:link w:val="1050"/>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052" w:customStyle="1">
    <w:name w:val="首行缩进"/>
    <w:basedOn w:val="777"/>
    <w:uiPriority w:val="0"/>
    <w:qFormat/>
    <w:pPr>
      <w:ind w:firstLine="480"/>
    </w:pPr>
    <w:rPr>
      <w:lang w:val="zh-CN"/>
    </w:rPr>
  </w:style>
  <w:style w:type="paragraph" w:styleId="1053" w:customStyle="1">
    <w:name w:val="正文_3_0_0"/>
    <w:next w:val="1054"/>
    <w:uiPriority w:val="0"/>
    <w:unhideWhenUsed/>
    <w:qFormat/>
    <w:pPr>
      <w:jc w:val="both"/>
      <w:widowControl w:val="off"/>
    </w:pPr>
    <w:rPr>
      <w:rFonts w:ascii="Calibri" w:hAnsi="Calibri" w:eastAsia="宋体" w:cs="Times New Roman"/>
      <w:sz w:val="21"/>
      <w:szCs w:val="24"/>
      <w:lang w:val="en-US" w:eastAsia="zh-CN" w:bidi="ar-SA"/>
    </w:rPr>
  </w:style>
  <w:style w:type="paragraph" w:styleId="1054" w:customStyle="1">
    <w:name w:val="正文文本缩进_1_0_0"/>
    <w:basedOn w:val="1053"/>
    <w:next w:val="1053"/>
    <w:uiPriority w:val="99"/>
    <w:unhideWhenUsed/>
    <w:qFormat/>
    <w:pPr>
      <w:ind w:firstLine="225"/>
    </w:pPr>
    <w:rPr>
      <w:rFonts w:hint="eastAsia" w:ascii="仿宋_GB2312" w:eastAsia="仿宋_GB2312"/>
      <w:sz w:val="32"/>
    </w:rPr>
  </w:style>
  <w:style w:type="paragraph" w:styleId="1055" w:customStyle="1">
    <w:name w:val="索引 41"/>
    <w:basedOn w:val="777"/>
    <w:next w:val="777"/>
    <w:uiPriority w:val="0"/>
    <w:semiHidden/>
    <w:qFormat/>
    <w:pPr>
      <w:ind w:left="1260"/>
    </w:pPr>
    <w:rPr>
      <w:rFonts w:ascii="Calibri" w:hAnsi="Calibri" w:eastAsia="Calibri" w:cs="宋体"/>
      <w:sz w:val="20"/>
      <w:lang w:val="zh-CN"/>
    </w:rPr>
  </w:style>
  <w:style w:type="paragraph" w:styleId="1056" w:customStyle="1">
    <w:name w:val="Normal_13_0"/>
    <w:uiPriority w:val="0"/>
    <w:qFormat/>
    <w:rPr>
      <w:rFonts w:ascii="黑体" w:hAnsi="黑体" w:eastAsia="黑体" w:cs="黑体"/>
      <w:b/>
      <w:sz w:val="32"/>
      <w:szCs w:val="24"/>
      <w:lang w:val="en-US" w:eastAsia="zh-CN" w:bidi="ar-SA"/>
    </w:rPr>
  </w:style>
  <w:style w:type="paragraph" w:styleId="1057" w:customStyle="1">
    <w:name w:val="table_1stline"/>
    <w:basedOn w:val="777"/>
    <w:uiPriority w:val="0"/>
    <w:qFormat/>
    <w:pPr>
      <w:jc w:val="left"/>
      <w:spacing w:before="120"/>
      <w:widowControl/>
    </w:pPr>
    <w:rPr>
      <w:bCs/>
      <w:sz w:val="20"/>
      <w:szCs w:val="20"/>
      <w:lang w:val="de-DE" w:eastAsia="de-DE"/>
    </w:rPr>
  </w:style>
  <w:style w:type="paragraph" w:styleId="1058" w:customStyle="1">
    <w:name w:val="正文_12_0_0_0_0"/>
    <w:basedOn w:val="777"/>
    <w:uiPriority w:val="0"/>
    <w:qFormat/>
    <w:rPr>
      <w:szCs w:val="24"/>
    </w:rPr>
  </w:style>
  <w:style w:type="paragraph" w:styleId="1059" w:customStyle="1">
    <w:name w:val="正文_3_0"/>
    <w:next w:val="1060"/>
    <w:uiPriority w:val="0"/>
    <w:qFormat/>
    <w:pPr>
      <w:jc w:val="both"/>
      <w:widowControl w:val="off"/>
    </w:pPr>
    <w:rPr>
      <w:rFonts w:ascii="Calibri" w:hAnsi="Calibri" w:eastAsia="宋体" w:cs="Times New Roman"/>
      <w:sz w:val="21"/>
      <w:szCs w:val="22"/>
      <w:lang w:val="en-US" w:eastAsia="zh-CN" w:bidi="ar-SA"/>
    </w:rPr>
  </w:style>
  <w:style w:type="paragraph" w:styleId="1060" w:customStyle="1">
    <w:name w:val="正文文本缩进_1_0"/>
    <w:basedOn w:val="1059"/>
    <w:next w:val="1059"/>
    <w:uiPriority w:val="99"/>
    <w:unhideWhenUsed/>
    <w:qFormat/>
    <w:pPr>
      <w:ind w:firstLine="225"/>
    </w:pPr>
    <w:rPr>
      <w:rFonts w:hint="eastAsia" w:ascii="仿宋_GB2312" w:eastAsia="仿宋_GB2312"/>
      <w:sz w:val="32"/>
      <w:szCs w:val="24"/>
    </w:rPr>
  </w:style>
  <w:style w:type="paragraph" w:styleId="1061"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062"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64" w:customStyle="1">
    <w:name w:val="4"/>
    <w:basedOn w:val="777"/>
    <w:next w:val="1025"/>
    <w:uiPriority w:val="0"/>
    <w:qFormat/>
    <w:pPr>
      <w:ind w:firstLine="420"/>
      <w:spacing w:line="360" w:lineRule="auto"/>
    </w:pPr>
    <w:rPr>
      <w:color w:val="ff0000"/>
      <w:sz w:val="24"/>
      <w:szCs w:val="24"/>
    </w:rPr>
  </w:style>
  <w:style w:type="paragraph" w:styleId="1065" w:customStyle="1">
    <w:name w:val="左对齐正文"/>
    <w:uiPriority w:val="99"/>
    <w:qFormat/>
    <w:rPr>
      <w:rFonts w:ascii="Calibri" w:hAnsi="Calibri" w:eastAsia="仿宋_GB2312" w:cs="Calibri"/>
      <w:sz w:val="32"/>
      <w:szCs w:val="32"/>
      <w:lang w:val="en-US" w:eastAsia="zh-CN" w:bidi="ar-SA"/>
    </w:rPr>
  </w:style>
  <w:style w:type="paragraph" w:styleId="1066"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正文1_0"/>
    <w:basedOn w:val="1068"/>
    <w:next w:val="1069"/>
    <w:uiPriority w:val="0"/>
    <w:qFormat/>
    <w:rPr>
      <w:rFonts w:ascii="Times New Roman" w:hAnsi="Times New Roman"/>
      <w:szCs w:val="24"/>
    </w:rPr>
  </w:style>
  <w:style w:type="paragraph" w:styleId="1068" w:customStyle="1">
    <w:name w:val="正文_2_0"/>
    <w:next w:val="1069"/>
    <w:uiPriority w:val="0"/>
    <w:qFormat/>
    <w:pPr>
      <w:jc w:val="both"/>
      <w:widowControl w:val="off"/>
    </w:pPr>
    <w:rPr>
      <w:rFonts w:ascii="Calibri" w:hAnsi="Calibri" w:eastAsia="宋体" w:cs="Times New Roman"/>
      <w:sz w:val="21"/>
      <w:szCs w:val="22"/>
      <w:lang w:val="en-US" w:eastAsia="zh-CN" w:bidi="ar-SA"/>
    </w:rPr>
  </w:style>
  <w:style w:type="paragraph" w:styleId="1069" w:customStyle="1">
    <w:name w:val="UserStyle_0"/>
    <w:basedOn w:val="1067"/>
    <w:uiPriority w:val="0"/>
    <w:qFormat/>
    <w:pPr>
      <w:ind w:left="420"/>
      <w:spacing w:after="120"/>
    </w:pPr>
    <w:rPr>
      <w:rFonts w:eastAsia="Times New Roman"/>
    </w:rPr>
  </w:style>
  <w:style w:type="paragraph" w:styleId="107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072" w:customStyle="1">
    <w:name w:val="正文_16_0_0"/>
    <w:next w:val="1067"/>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Char"/>
    <w:basedOn w:val="991"/>
    <w:uiPriority w:val="0"/>
    <w:qFormat/>
    <w:rPr>
      <w:rFonts w:ascii="Tahoma" w:hAnsi="Tahoma"/>
      <w:sz w:val="24"/>
      <w:szCs w:val="24"/>
    </w:rPr>
  </w:style>
  <w:style w:type="paragraph" w:styleId="1074" w:customStyle="1">
    <w:name w:val="Char1"/>
    <w:basedOn w:val="777"/>
    <w:uiPriority w:val="0"/>
    <w:qFormat/>
    <w:pPr>
      <w:ind w:firstLine="200"/>
      <w:tabs>
        <w:tab w:val="left" w:pos="360" w:leader="none"/>
      </w:tabs>
    </w:pPr>
    <w:rPr>
      <w:sz w:val="28"/>
      <w:szCs w:val="30"/>
    </w:rPr>
  </w:style>
  <w:style w:type="paragraph" w:styleId="1075" w:customStyle="1">
    <w:name w:val="table_lines"/>
    <w:basedOn w:val="777"/>
    <w:uiPriority w:val="0"/>
    <w:qFormat/>
    <w:pPr>
      <w:jc w:val="left"/>
      <w:widowControl/>
    </w:pPr>
    <w:rPr>
      <w:sz w:val="20"/>
      <w:szCs w:val="20"/>
      <w:lang w:val="de-DE" w:eastAsia="de-DE"/>
    </w:rPr>
  </w:style>
  <w:style w:type="paragraph" w:styleId="1076"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7" w:customStyle="1">
    <w:name w:val="Char Char Char Char"/>
    <w:basedOn w:val="991"/>
    <w:uiPriority w:val="0"/>
    <w:qFormat/>
    <w:pPr>
      <w:spacing w:line="360" w:lineRule="auto"/>
    </w:pPr>
    <w:rPr>
      <w:rFonts w:ascii="Tahoma" w:hAnsi="Tahoma"/>
      <w:sz w:val="24"/>
      <w:szCs w:val="24"/>
    </w:rPr>
  </w:style>
  <w:style w:type="paragraph" w:styleId="1078" w:customStyle="1">
    <w:name w:val="列出段落"/>
    <w:basedOn w:val="777"/>
    <w:uiPriority w:val="0"/>
    <w:qFormat/>
    <w:pPr>
      <w:contextualSpacing/>
      <w:ind w:left="720"/>
      <w:jc w:val="left"/>
      <w:widowControl/>
    </w:pPr>
    <w:rPr>
      <w:rFonts w:ascii="Calibri" w:hAnsi="Calibri"/>
      <w:sz w:val="24"/>
      <w:szCs w:val="24"/>
      <w:lang w:eastAsia="en-US" w:bidi="en-US"/>
    </w:rPr>
  </w:style>
  <w:style w:type="paragraph" w:styleId="1079" w:customStyle="1">
    <w:name w:val="Normal_18_0"/>
    <w:uiPriority w:val="0"/>
    <w:qFormat/>
    <w:rPr>
      <w:rFonts w:ascii="黑体" w:hAnsi="黑体" w:eastAsia="黑体" w:cs="黑体"/>
      <w:b/>
      <w:sz w:val="32"/>
      <w:szCs w:val="24"/>
      <w:lang w:val="en-US" w:eastAsia="zh-CN" w:bidi="ar-SA"/>
    </w:rPr>
  </w:style>
  <w:style w:type="paragraph" w:styleId="1080" w:customStyle="1">
    <w:name w:val="部分1"/>
    <w:basedOn w:val="777"/>
    <w:uiPriority w:val="0"/>
    <w:qFormat/>
    <w:pPr>
      <w:jc w:val="center"/>
      <w:keepNext/>
      <w:pageBreakBefore/>
      <w:spacing w:line="360" w:lineRule="auto"/>
      <w:tabs>
        <w:tab w:val="left" w:pos="720" w:leader="none"/>
      </w:tabs>
      <w:outlineLvl w:val="0"/>
    </w:pPr>
    <w:rPr>
      <w:rFonts w:eastAsia="黑体"/>
      <w:b/>
      <w:sz w:val="36"/>
      <w:szCs w:val="20"/>
    </w:rPr>
  </w:style>
  <w:style w:type="paragraph" w:styleId="1081" w:customStyle="1">
    <w:name w:val="正文_1"/>
    <w:uiPriority w:val="0"/>
    <w:qFormat/>
    <w:pPr>
      <w:jc w:val="both"/>
      <w:widowControl w:val="off"/>
    </w:pPr>
    <w:rPr>
      <w:rFonts w:ascii="Times New Roman" w:hAnsi="Times New Roman" w:eastAsia="仿宋_GB2312" w:cs="Times New Roman"/>
      <w:sz w:val="28"/>
      <w:szCs w:val="24"/>
      <w:lang w:val="en-US" w:eastAsia="zh-CN" w:bidi="ar-SA"/>
    </w:rPr>
  </w:style>
  <w:style w:type="paragraph" w:styleId="1082" w:customStyle="1">
    <w:name w:val="Normal_1_2"/>
    <w:uiPriority w:val="0"/>
    <w:qFormat/>
    <w:rPr>
      <w:rFonts w:ascii="Times New Roman" w:hAnsi="Times New Roman" w:eastAsia="Times New Roman" w:cs="Times New Roman"/>
      <w:sz w:val="24"/>
      <w:szCs w:val="24"/>
      <w:lang w:val="en-US" w:eastAsia="zh-CN" w:bidi="ar-SA"/>
    </w:rPr>
  </w:style>
  <w:style w:type="paragraph" w:styleId="1083" w:customStyle="1">
    <w:name w:val="正文文本1"/>
    <w:basedOn w:val="777"/>
    <w:next w:val="1084"/>
    <w:uiPriority w:val="0"/>
    <w:qFormat/>
    <w:pPr>
      <w:spacing w:line="60" w:lineRule="auto"/>
    </w:pPr>
    <w:rPr>
      <w:rFonts w:ascii="仿宋_GB2312" w:eastAsia="仿宋_GB2312"/>
      <w:sz w:val="32"/>
    </w:rPr>
  </w:style>
  <w:style w:type="paragraph" w:styleId="1084" w:customStyle="1">
    <w:name w:val="正文首行缩进1"/>
    <w:basedOn w:val="1083"/>
    <w:uiPriority w:val="0"/>
    <w:qFormat/>
    <w:pPr>
      <w:ind w:firstLine="100"/>
      <w:spacing w:after="120" w:line="240" w:lineRule="auto"/>
    </w:pPr>
    <w:rPr>
      <w:rFonts w:ascii="Times New Roman" w:eastAsia="宋体"/>
      <w:sz w:val="21"/>
    </w:rPr>
  </w:style>
  <w:style w:type="paragraph" w:styleId="1085" w:customStyle="1">
    <w:name w:val="正文文本12"/>
    <w:basedOn w:val="777"/>
    <w:uiPriority w:val="1"/>
    <w:qFormat/>
    <w:pPr>
      <w:ind w:left="120"/>
    </w:pPr>
    <w:rPr>
      <w:rFonts w:ascii="宋体" w:hAnsi="宋体" w:cs="宋体"/>
      <w:lang w:val="zh-CN" w:bidi="zh-CN"/>
    </w:rPr>
  </w:style>
  <w:style w:type="paragraph" w:styleId="1086"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87"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8"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089"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090"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1"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092" w:customStyle="1">
    <w:name w:val="正文_3_0_0_0_0"/>
    <w:next w:val="1093"/>
    <w:uiPriority w:val="0"/>
    <w:unhideWhenUsed/>
    <w:qFormat/>
    <w:pPr>
      <w:jc w:val="both"/>
      <w:widowControl w:val="off"/>
    </w:pPr>
    <w:rPr>
      <w:rFonts w:ascii="Calibri" w:hAnsi="Calibri" w:eastAsia="宋体" w:cs="Times New Roman"/>
      <w:sz w:val="21"/>
      <w:szCs w:val="24"/>
      <w:lang w:val="en-US" w:eastAsia="zh-CN" w:bidi="ar-SA"/>
    </w:rPr>
  </w:style>
  <w:style w:type="paragraph" w:styleId="1093" w:customStyle="1">
    <w:name w:val="正文文本缩进_1_0_0_0_0"/>
    <w:basedOn w:val="1092"/>
    <w:next w:val="1092"/>
    <w:uiPriority w:val="99"/>
    <w:unhideWhenUsed/>
    <w:qFormat/>
    <w:pPr>
      <w:ind w:firstLine="225"/>
    </w:pPr>
    <w:rPr>
      <w:rFonts w:hint="eastAsia" w:ascii="仿宋_GB2312" w:eastAsia="仿宋_GB2312"/>
      <w:sz w:val="32"/>
    </w:rPr>
  </w:style>
  <w:style w:type="paragraph" w:styleId="1094" w:customStyle="1">
    <w:name w:val="样式1"/>
    <w:basedOn w:val="777"/>
    <w:uiPriority w:val="0"/>
    <w:qFormat/>
    <w:pPr>
      <w:numPr>
        <w:ilvl w:val="0"/>
        <w:numId w:val="3"/>
      </w:numPr>
    </w:pPr>
    <w:rPr>
      <w:rFonts w:ascii="宋体" w:hAnsi="宋体"/>
    </w:rPr>
  </w:style>
  <w:style w:type="paragraph" w:styleId="1095" w:customStyle="1">
    <w:name w:val="正文2"/>
    <w:basedOn w:val="777"/>
    <w:uiPriority w:val="0"/>
    <w:qFormat/>
    <w:pPr>
      <w:ind w:firstLine="510"/>
      <w:spacing w:before="156" w:line="360" w:lineRule="auto"/>
    </w:pPr>
    <w:rPr>
      <w:sz w:val="24"/>
      <w:szCs w:val="20"/>
    </w:rPr>
  </w:style>
  <w:style w:type="paragraph" w:styleId="1096"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97"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098" w:customStyle="1">
    <w:name w:val="Char 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099"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10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修订1"/>
    <w:uiPriority w:val="99"/>
    <w:semiHidden/>
    <w:qFormat/>
    <w:rPr>
      <w:rFonts w:ascii="Times New Roman" w:hAnsi="Times New Roman" w:eastAsia="宋体" w:cs="Times New Roman"/>
      <w:sz w:val="21"/>
      <w:szCs w:val="21"/>
      <w:lang w:val="en-US" w:eastAsia="zh-CN" w:bidi="ar-SA"/>
    </w:rPr>
  </w:style>
  <w:style w:type="paragraph" w:styleId="110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104" w:customStyle="1">
    <w:name w:val="正文文本缩进_1_0_0_0"/>
    <w:basedOn w:val="1105"/>
    <w:next w:val="1105"/>
    <w:uiPriority w:val="99"/>
    <w:unhideWhenUsed/>
    <w:qFormat/>
    <w:pPr>
      <w:ind w:firstLine="225"/>
    </w:pPr>
    <w:rPr>
      <w:rFonts w:hint="eastAsia" w:ascii="仿宋_GB2312" w:eastAsia="仿宋_GB2312"/>
      <w:sz w:val="32"/>
    </w:rPr>
  </w:style>
  <w:style w:type="paragraph" w:styleId="1105" w:customStyle="1">
    <w:name w:val="正文_3_0_0_0"/>
    <w:next w:val="1104"/>
    <w:uiPriority w:val="0"/>
    <w:unhideWhenUsed/>
    <w:qFormat/>
    <w:pPr>
      <w:jc w:val="both"/>
      <w:widowControl w:val="off"/>
    </w:pPr>
    <w:rPr>
      <w:rFonts w:ascii="Calibri" w:hAnsi="Calibri" w:eastAsia="宋体" w:cs="Times New Roman"/>
      <w:sz w:val="21"/>
      <w:szCs w:val="24"/>
      <w:lang w:val="en-US" w:eastAsia="zh-CN" w:bidi="ar-SA"/>
    </w:rPr>
  </w:style>
  <w:style w:type="paragraph" w:styleId="1106"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07" w:customStyle="1">
    <w:name w:val="Normal_6_0"/>
    <w:uiPriority w:val="0"/>
    <w:qFormat/>
    <w:rPr>
      <w:rFonts w:ascii="黑体" w:hAnsi="黑体" w:eastAsia="黑体" w:cs="黑体"/>
      <w:b/>
      <w:sz w:val="32"/>
      <w:szCs w:val="24"/>
      <w:lang w:val="en-US" w:eastAsia="zh-CN" w:bidi="ar-SA"/>
    </w:rPr>
  </w:style>
  <w:style w:type="paragraph" w:styleId="1108" w:customStyle="1">
    <w:name w:val="Char Char Char Char1"/>
    <w:basedOn w:val="991"/>
    <w:uiPriority w:val="0"/>
    <w:qFormat/>
    <w:pPr>
      <w:spacing w:line="360" w:lineRule="auto"/>
    </w:pPr>
    <w:rPr>
      <w:rFonts w:ascii="Tahoma" w:hAnsi="Tahoma"/>
      <w:sz w:val="24"/>
      <w:szCs w:val="24"/>
    </w:rPr>
  </w:style>
  <w:style w:type="paragraph" w:styleId="110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2" w:customStyle="1">
    <w:name w:val="Body Text(ch)"/>
    <w:basedOn w:val="777"/>
    <w:next w:val="817"/>
    <w:uiPriority w:val="0"/>
    <w:qFormat/>
    <w:pPr>
      <w:spacing w:after="120"/>
    </w:pPr>
    <w:rPr>
      <w:rFonts w:ascii="宋体" w:hAnsi="Arial"/>
      <w:bCs/>
      <w:iCs/>
      <w:szCs w:val="24"/>
    </w:rPr>
  </w:style>
  <w:style w:type="paragraph" w:styleId="1113"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customStyle="1">
    <w:name w:val="正文文本缩进_1"/>
    <w:basedOn w:val="1115"/>
    <w:next w:val="1117"/>
    <w:uiPriority w:val="99"/>
    <w:unhideWhenUsed/>
    <w:qFormat/>
    <w:pPr>
      <w:ind w:firstLine="225"/>
    </w:pPr>
    <w:rPr>
      <w:rFonts w:hint="eastAsia" w:ascii="仿宋_GB2312" w:eastAsia="仿宋_GB2312"/>
      <w:sz w:val="32"/>
      <w:szCs w:val="24"/>
    </w:rPr>
  </w:style>
  <w:style w:type="paragraph" w:styleId="1115" w:customStyle="1">
    <w:name w:val="正文_17_0"/>
    <w:next w:val="1116"/>
    <w:uiPriority w:val="0"/>
    <w:qFormat/>
    <w:pPr>
      <w:jc w:val="both"/>
      <w:widowControl w:val="off"/>
    </w:pPr>
    <w:rPr>
      <w:rFonts w:ascii="Calibri" w:hAnsi="Calibri" w:eastAsia="宋体" w:cs="Times New Roman"/>
      <w:sz w:val="21"/>
      <w:szCs w:val="22"/>
      <w:lang w:val="en-US" w:eastAsia="zh-CN" w:bidi="ar-SA"/>
    </w:rPr>
  </w:style>
  <w:style w:type="paragraph" w:styleId="1116" w:customStyle="1">
    <w:name w:val="正文首行缩进 2_1"/>
    <w:basedOn w:val="1114"/>
    <w:uiPriority w:val="0"/>
    <w:qFormat/>
    <w:pPr>
      <w:ind w:firstLine="420"/>
    </w:pPr>
  </w:style>
  <w:style w:type="paragraph" w:styleId="1117" w:customStyle="1">
    <w:name w:val="正文_3"/>
    <w:next w:val="1016"/>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19"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正文空2字"/>
    <w:basedOn w:val="1065"/>
    <w:uiPriority w:val="99"/>
    <w:qFormat/>
    <w:pPr>
      <w:ind w:firstLine="640"/>
      <w:spacing w:line="560" w:lineRule="exact"/>
      <w:widowControl w:val="off"/>
    </w:pPr>
    <w:rPr>
      <w:rFonts w:ascii="仿宋_GB2312" w:hAnsi="仿宋_GB2312" w:cs="仿宋_GB2312"/>
      <w:lang w:val="zh-TW"/>
    </w:rPr>
  </w:style>
  <w:style w:type="paragraph" w:styleId="1121" w:customStyle="1">
    <w:name w:val="列出段落_2"/>
    <w:basedOn w:val="1109"/>
    <w:uiPriority w:val="34"/>
    <w:qFormat/>
    <w:pPr>
      <w:ind w:firstLine="420"/>
    </w:pPr>
  </w:style>
  <w:style w:type="paragraph" w:styleId="1122" w:customStyle="1">
    <w:name w:val="Normal_20"/>
    <w:uiPriority w:val="0"/>
    <w:qFormat/>
    <w:rPr>
      <w:rFonts w:ascii="黑体" w:hAnsi="黑体" w:eastAsia="黑体" w:cs="黑体"/>
      <w:b/>
      <w:sz w:val="32"/>
      <w:szCs w:val="24"/>
      <w:lang w:val="en-US" w:eastAsia="zh-CN" w:bidi="ar-SA"/>
    </w:rPr>
  </w:style>
  <w:style w:type="paragraph" w:styleId="1123" w:customStyle="1">
    <w:name w:val="Normal_0"/>
    <w:uiPriority w:val="0"/>
    <w:qFormat/>
    <w:rPr>
      <w:rFonts w:ascii="黑体" w:hAnsi="黑体" w:eastAsia="黑体" w:cs="Times New Roman"/>
      <w:b/>
      <w:sz w:val="32"/>
      <w:szCs w:val="24"/>
      <w:lang w:val="en-US" w:eastAsia="zh-CN" w:bidi="ar-SA"/>
    </w:rPr>
  </w:style>
  <w:style w:type="paragraph" w:styleId="1124"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25" w:customStyle="1">
    <w:name w:val="Char Char Char Char Char Char Char Char Char Char"/>
    <w:basedOn w:val="777"/>
    <w:uiPriority w:val="0"/>
    <w:qFormat/>
    <w:pPr>
      <w:spacing w:line="360" w:lineRule="auto"/>
    </w:pPr>
    <w:rPr>
      <w:sz w:val="24"/>
      <w:szCs w:val="20"/>
    </w:rPr>
  </w:style>
  <w:style w:type="paragraph" w:styleId="1126"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127"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table" w:styleId="1128" w:customStyle="1">
    <w:name w:val="Table Normal"/>
    <w:uiPriority w:val="0"/>
    <w:qFormat/>
    <w:tblPr>
      <w:tblCellMar>
        <w:left w:w="0" w:type="dxa"/>
        <w:top w:w="0" w:type="dxa"/>
        <w:right w:w="0" w:type="dxa"/>
        <w:bottom w:w="0" w:type="dxa"/>
      </w:tblCellMar>
    </w:tblPr>
  </w:style>
  <w:style w:type="character" w:styleId="1129" w:customStyle="1">
    <w:name w:val="NormalCharacter"/>
    <w:uiPriority w:val="0"/>
    <w:qFormat/>
  </w:style>
  <w:style w:type="paragraph" w:styleId="1130" w:customStyle="1">
    <w:name w:val="标题二、"/>
    <w:basedOn w:val="777"/>
    <w:uiPriority w:val="99"/>
    <w:qFormat/>
    <w:pPr>
      <w:ind w:firstLine="200"/>
      <w:spacing w:line="360" w:lineRule="auto"/>
      <w:outlineLvl w:val="2"/>
    </w:pPr>
    <w:rPr>
      <w:rFonts w:ascii="宋体" w:hAnsi="宋体"/>
      <w:b/>
    </w:rPr>
  </w:style>
  <w:style w:type="character" w:styleId="1131" w:customStyle="1">
    <w:name w:val="font121"/>
    <w:uiPriority w:val="0"/>
    <w:qFormat/>
    <w:rPr>
      <w:rFonts w:hint="eastAsia" w:ascii="宋体" w:hAnsi="宋体" w:eastAsia="宋体" w:cs="宋体"/>
      <w:color w:val="000000"/>
      <w:sz w:val="18"/>
      <w:szCs w:val="18"/>
      <w:u w:val="none"/>
    </w:rPr>
  </w:style>
  <w:style w:type="paragraph" w:styleId="1132" w:customStyle="1">
    <w:name w:val="正文1"/>
    <w:next w:val="1069"/>
    <w:uiPriority w:val="0"/>
    <w:qFormat/>
    <w:pPr>
      <w:jc w:val="both"/>
      <w:widowControl w:val="off"/>
    </w:pPr>
    <w:rPr>
      <w:rFonts w:ascii="Calibri" w:hAnsi="Calibri" w:eastAsia="宋体" w:cs="Times New Roman"/>
      <w:sz w:val="21"/>
      <w:szCs w:val="24"/>
      <w:lang w:val="en-US" w:eastAsia="zh-CN" w:bidi="ar-SA"/>
    </w:rPr>
  </w:style>
  <w:style w:type="paragraph" w:styleId="1133" w:customStyle="1">
    <w:name w:val="正文_2_1"/>
    <w:next w:val="1134"/>
    <w:uiPriority w:val="0"/>
    <w:qFormat/>
    <w:pPr>
      <w:jc w:val="both"/>
      <w:widowControl w:val="off"/>
    </w:pPr>
    <w:rPr>
      <w:rFonts w:ascii="Calibri" w:hAnsi="Calibri" w:eastAsia="宋体" w:cs="Times New Roman"/>
      <w:sz w:val="21"/>
      <w:szCs w:val="22"/>
      <w:lang w:val="en-US" w:eastAsia="zh-CN" w:bidi="ar-SA"/>
    </w:rPr>
  </w:style>
  <w:style w:type="paragraph" w:styleId="1134" w:customStyle="1">
    <w:name w:val="标题 2_0"/>
    <w:basedOn w:val="1133"/>
    <w:next w:val="1133"/>
    <w:uiPriority w:val="0"/>
    <w:qFormat/>
    <w:pPr>
      <w:keepLines/>
      <w:keepNext/>
      <w:spacing w:before="260" w:after="260" w:line="416" w:lineRule="auto"/>
      <w:outlineLvl w:val="1"/>
    </w:pPr>
    <w:rPr>
      <w:rFonts w:ascii="Cambria" w:hAnsi="Cambria"/>
      <w:b/>
      <w:bCs/>
      <w:sz w:val="32"/>
      <w:szCs w:val="32"/>
    </w:rPr>
  </w:style>
  <w:style w:type="paragraph" w:styleId="1135" w:customStyle="1">
    <w:name w:val="正文_19"/>
    <w:uiPriority w:val="0"/>
    <w:qFormat/>
    <w:pPr>
      <w:jc w:val="both"/>
      <w:widowControl w:val="off"/>
    </w:pPr>
    <w:rPr>
      <w:rFonts w:ascii="Calibri" w:hAnsi="Calibri" w:eastAsia="宋体" w:cs="Times New Roman"/>
      <w:sz w:val="21"/>
      <w:szCs w:val="22"/>
      <w:lang w:val="en-US" w:eastAsia="zh-CN" w:bidi="ar-SA"/>
    </w:rPr>
  </w:style>
  <w:style w:type="paragraph" w:styleId="1136" w:customStyle="1">
    <w:name w:val="正文_2_0_0"/>
    <w:uiPriority w:val="0"/>
    <w:qFormat/>
    <w:pPr>
      <w:jc w:val="both"/>
      <w:widowControl w:val="off"/>
    </w:pPr>
    <w:rPr>
      <w:rFonts w:ascii="Calibri" w:hAnsi="Calibri" w:eastAsia="宋体" w:cs="Times New Roman"/>
      <w:lang w:val="en-US" w:eastAsia="zh-CN" w:bidi="ar-SA"/>
    </w:rPr>
  </w:style>
  <w:style w:type="paragraph" w:styleId="1137" w:customStyle="1">
    <w:name w:val="正文_2_1_1"/>
    <w:uiPriority w:val="0"/>
    <w:qFormat/>
    <w:pPr>
      <w:jc w:val="both"/>
      <w:widowControl w:val="off"/>
    </w:pPr>
    <w:rPr>
      <w:rFonts w:ascii="Calibri" w:hAnsi="Calibri" w:eastAsia="宋体" w:cs="Times New Roman"/>
      <w:lang w:val="en-US" w:eastAsia="zh-CN" w:bidi="ar-SA"/>
    </w:rPr>
  </w:style>
  <w:style w:type="paragraph" w:styleId="1138" w:customStyle="1">
    <w:name w:val="Normal Indent_0"/>
    <w:basedOn w:val="777"/>
    <w:uiPriority w:val="99"/>
    <w:unhideWhenUsed/>
    <w:qFormat/>
    <w:pPr>
      <w:ind w:firstLine="420"/>
      <w:jc w:val="left"/>
      <w:widowControl/>
    </w:pPr>
    <w:rPr>
      <w:rFonts w:ascii="宋体" w:eastAsia="Times New Roman"/>
      <w:sz w:val="24"/>
      <w:szCs w:val="24"/>
    </w:rPr>
  </w:style>
  <w:style w:type="paragraph" w:styleId="1139" w:customStyle="1">
    <w:name w:val="Normal_19"/>
    <w:uiPriority w:val="0"/>
    <w:qFormat/>
    <w:rPr>
      <w:rFonts w:ascii="Times New Roman" w:hAnsi="Times New Roman" w:eastAsia="Times New Roman" w:cs="Times New Roman"/>
      <w:sz w:val="24"/>
      <w:szCs w:val="24"/>
      <w:lang w:val="en-US" w:eastAsia="zh-CN" w:bidi="ar-SA"/>
    </w:rPr>
  </w:style>
  <w:style w:type="paragraph" w:styleId="1140" w:customStyle="1">
    <w:name w:val="WPSOffice手动目录 1"/>
    <w:uiPriority w:val="0"/>
    <w:rPr>
      <w:sz w:val="20"/>
      <w:szCs w:val="20"/>
    </w:rPr>
  </w:style>
  <w:style w:type="numbering" w:styleId="11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A7CA9E2-B66F-49CA-BA87-0C9DCB723FB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张美英</cp:lastModifiedBy>
  <cp:revision>5</cp:revision>
  <dcterms:created xsi:type="dcterms:W3CDTF">2024-06-17T12:48:00Z</dcterms:created>
  <dcterms:modified xsi:type="dcterms:W3CDTF">2024-06-27T08:13:11Z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y fmtid="{D5CDD505-2E9C-101B-9397-08002B2CF9AE}" pid="3" name="ICV">
    <vt:lpwstr>816AF7D613636513AFB167667B011D02_31</vt:lpwstr>
  </property>
</Properties>
</file>