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44"/>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663"/>
        <w:rPr>
          <w:color w:val="000000"/>
          <w:highlight w:val="none"/>
        </w:rPr>
        <w:outlineLvl w:val="9"/>
      </w:pPr>
      <w:r>
        <w:rPr>
          <w:color w:val="000000"/>
          <w:highlight w:val="none"/>
        </w:rPr>
      </w:r>
      <w:r/>
    </w:p>
    <w:p>
      <w:pPr>
        <w:pStyle w:val="1644"/>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663"/>
        <w:rPr>
          <w:color w:val="000000"/>
          <w:highlight w:val="none"/>
        </w:rPr>
        <w:outlineLvl w:val="9"/>
      </w:pPr>
      <w:r>
        <w:rPr>
          <w:color w:val="000000"/>
          <w:highlight w:val="none"/>
        </w:rPr>
      </w:r>
      <w:r/>
    </w:p>
    <w:p>
      <w:pPr>
        <w:pStyle w:val="1644"/>
        <w:jc w:val="center"/>
        <w:rPr>
          <w:b/>
          <w:color w:val="000000"/>
          <w:sz w:val="96"/>
          <w:szCs w:val="96"/>
          <w:highlight w:val="none"/>
        </w:rPr>
        <w:outlineLvl w:val="9"/>
      </w:pPr>
      <w:r>
        <w:rPr>
          <w:sz w:val="20"/>
          <w:szCs w:val="18"/>
        </w:rPr>
      </w:r>
      <w:bookmarkStart w:id="0" w:name="_Toc20707"/>
      <w:r>
        <w:rPr>
          <w:sz w:val="20"/>
          <w:szCs w:val="18"/>
        </w:rPr>
      </w:r>
      <w:bookmarkStart w:id="1" w:name="_Toc24222"/>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644"/>
        <w:rPr>
          <w:rFonts w:hint="eastAsia"/>
          <w:b/>
          <w:color w:val="000000"/>
          <w:sz w:val="28"/>
          <w:szCs w:val="28"/>
          <w:highlight w:val="none"/>
        </w:rPr>
        <w:outlineLvl w:val="9"/>
      </w:pPr>
      <w:r>
        <w:rPr>
          <w:rFonts w:hint="eastAsia"/>
          <w:b/>
          <w:color w:val="000000"/>
          <w:sz w:val="28"/>
          <w:szCs w:val="28"/>
          <w:highlight w:val="none"/>
        </w:rPr>
      </w:r>
      <w:r/>
    </w:p>
    <w:p>
      <w:pPr>
        <w:pStyle w:val="1676"/>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644"/>
        <w:rPr>
          <w:rFonts w:hint="eastAsia"/>
          <w:b/>
          <w:color w:val="000000"/>
          <w:sz w:val="28"/>
          <w:szCs w:val="28"/>
          <w:highlight w:val="none"/>
        </w:rPr>
        <w:outlineLvl w:val="9"/>
      </w:pPr>
      <w:r>
        <w:rPr>
          <w:rFonts w:hint="eastAsia"/>
          <w:b/>
          <w:color w:val="000000"/>
          <w:sz w:val="28"/>
          <w:szCs w:val="28"/>
          <w:highlight w:val="none"/>
        </w:rPr>
      </w:r>
      <w:r/>
    </w:p>
    <w:p>
      <w:pPr>
        <w:pStyle w:val="1676"/>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676"/>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644"/>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644"/>
        <w:rPr>
          <w:b w:val="0"/>
          <w:bCs/>
          <w:color w:val="000000"/>
          <w:sz w:val="28"/>
          <w:szCs w:val="28"/>
          <w:highlight w:val="none"/>
        </w:rPr>
        <w:outlineLvl w:val="9"/>
      </w:pPr>
      <w:r>
        <w:rPr>
          <w:b w:val="0"/>
          <w:bCs/>
          <w:color w:val="000000"/>
          <w:sz w:val="28"/>
          <w:szCs w:val="28"/>
          <w:highlight w:val="none"/>
        </w:rPr>
      </w:r>
      <w:r/>
    </w:p>
    <w:p>
      <w:pPr>
        <w:pStyle w:val="1667"/>
        <w:ind w:left="1260"/>
        <w:rPr>
          <w:b/>
          <w:color w:val="000000"/>
          <w:sz w:val="28"/>
          <w:szCs w:val="28"/>
          <w:highlight w:val="none"/>
        </w:rPr>
        <w:outlineLvl w:val="9"/>
      </w:pPr>
      <w:r>
        <w:rPr>
          <w:b/>
          <w:color w:val="000000"/>
          <w:sz w:val="28"/>
          <w:szCs w:val="28"/>
          <w:highlight w:val="none"/>
        </w:rPr>
      </w:r>
      <w:r/>
    </w:p>
    <w:p>
      <w:pPr>
        <w:pStyle w:val="1644"/>
        <w:rPr>
          <w:b/>
          <w:color w:val="000000"/>
          <w:sz w:val="28"/>
          <w:szCs w:val="28"/>
          <w:highlight w:val="none"/>
        </w:rPr>
        <w:outlineLvl w:val="9"/>
      </w:pPr>
      <w:r>
        <w:rPr>
          <w:b/>
          <w:color w:val="000000"/>
          <w:sz w:val="28"/>
          <w:szCs w:val="28"/>
          <w:highlight w:val="none"/>
        </w:rPr>
      </w:r>
      <w:r/>
    </w:p>
    <w:p>
      <w:pPr>
        <w:pStyle w:val="1644"/>
        <w:jc w:val="center"/>
        <w:rPr>
          <w:b/>
          <w:color w:val="000000"/>
          <w:sz w:val="28"/>
          <w:szCs w:val="28"/>
          <w:highlight w:val="none"/>
        </w:rPr>
        <w:outlineLvl w:val="9"/>
      </w:pPr>
      <w:r>
        <w:rPr>
          <w:b/>
          <w:color w:val="000000"/>
          <w:sz w:val="28"/>
          <w:szCs w:val="28"/>
          <w:highlight w:val="none"/>
        </w:rPr>
      </w:r>
      <w:r/>
    </w:p>
    <w:p>
      <w:pPr>
        <w:pStyle w:val="1644"/>
        <w:jc w:val="center"/>
        <w:rPr>
          <w:rFonts w:hint="eastAsia"/>
          <w:b/>
          <w:color w:val="000000"/>
          <w:sz w:val="28"/>
          <w:szCs w:val="28"/>
          <w:highlight w:val="none"/>
        </w:rPr>
        <w:outlineLvl w:val="9"/>
      </w:pPr>
      <w:r/>
      <w:bookmarkStart w:id="4" w:name="_Toc9350"/>
      <w:r/>
      <w:bookmarkStart w:id="5" w:name="_Toc607"/>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715"/>
        <w:ind w:firstLine="0"/>
        <w:rPr>
          <w:color w:val="000000"/>
          <w:highlight w:val="none"/>
        </w:rPr>
        <w:outlineLvl w:val="9"/>
      </w:pPr>
      <w:r>
        <w:rPr>
          <w:color w:val="000000"/>
          <w:highlight w:val="none"/>
        </w:rPr>
      </w:r>
      <w:r/>
    </w:p>
    <w:p>
      <w:pPr>
        <w:pStyle w:val="1715"/>
        <w:ind w:firstLine="0"/>
        <w:rPr>
          <w:color w:val="000000"/>
          <w:highlight w:val="none"/>
        </w:rPr>
        <w:outlineLvl w:val="9"/>
      </w:pPr>
      <w:r>
        <w:rPr>
          <w:color w:val="000000"/>
          <w:highlight w:val="none"/>
        </w:rPr>
      </w:r>
      <w:r/>
    </w:p>
    <w:p>
      <w:pPr>
        <w:pStyle w:val="1715"/>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644"/>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644"/>
        <w:spacing w:line="360" w:lineRule="auto"/>
        <w:rPr>
          <w:rFonts w:hint="eastAsia" w:ascii="宋体" w:hAnsi="宋体" w:eastAsia="宋体" w:cs="宋体"/>
          <w:color w:val="000000"/>
          <w:sz w:val="30"/>
          <w:szCs w:val="30"/>
          <w:highlight w:val="none"/>
          <w:lang w:eastAsia="zh-CN"/>
        </w:rPr>
        <w:outlineLvl w:val="9"/>
      </w:pPr>
      <w:r/>
      <w:bookmarkStart w:id="6" w:name="_Toc158"/>
      <w:r/>
      <w:bookmarkStart w:id="7" w:name="_Toc30450"/>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JSZC-320205-THGC-G2024-0091</w:t>
      </w:r>
      <w:r>
        <w:rPr>
          <w:rFonts w:hint="eastAsia" w:ascii="宋体" w:hAnsi="宋体" w:eastAsia="宋体" w:cs="宋体"/>
          <w:color w:val="000000"/>
          <w:sz w:val="30"/>
          <w:szCs w:val="30"/>
          <w:highlight w:val="none"/>
          <w:lang w:eastAsia="zh-CN"/>
        </w:rPr>
      </w:r>
      <w:r/>
    </w:p>
    <w:p>
      <w:pPr>
        <w:pStyle w:val="1644"/>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芙蓉塘河(联福路桥)污水处理设施租赁服务项目</w:t>
      </w:r>
      <w:r>
        <w:rPr>
          <w:rFonts w:hint="eastAsia" w:ascii="宋体" w:hAnsi="宋体" w:eastAsia="宋体" w:cs="Times New Roman"/>
          <w:b w:val="0"/>
          <w:bCs/>
          <w:color w:val="000000"/>
          <w:sz w:val="30"/>
          <w:szCs w:val="30"/>
          <w:highlight w:val="none"/>
          <w:lang w:eastAsia="zh-CN"/>
        </w:rPr>
      </w:r>
      <w:r/>
    </w:p>
    <w:p>
      <w:pPr>
        <w:pStyle w:val="1644"/>
        <w:jc w:val="left"/>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人：无锡市锡山区人民政府厚桥街道办事处</w:t>
      </w:r>
      <w:r>
        <w:rPr>
          <w:rFonts w:hint="eastAsia" w:ascii="宋体" w:hAnsi="宋体" w:cs="宋体"/>
          <w:color w:val="000000"/>
          <w:sz w:val="30"/>
          <w:szCs w:val="30"/>
          <w:highlight w:val="none"/>
        </w:rPr>
      </w:r>
      <w:r/>
    </w:p>
    <w:p>
      <w:pPr>
        <w:pStyle w:val="1644"/>
        <w:spacing w:line="360" w:lineRule="auto"/>
        <w:rPr>
          <w:rFonts w:hint="eastAsia" w:ascii="宋体" w:hAnsi="宋体" w:cs="宋体"/>
          <w:color w:val="000000"/>
          <w:sz w:val="30"/>
          <w:szCs w:val="30"/>
          <w:highlight w:val="none"/>
        </w:rPr>
        <w:outlineLvl w:val="9"/>
      </w:pPr>
      <w:r/>
      <w:bookmarkStart w:id="8" w:name="_Toc12700"/>
      <w:r/>
      <w:bookmarkStart w:id="9" w:name="_Toc22627"/>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644"/>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644"/>
        <w:jc w:val="center"/>
        <w:rPr>
          <w:rStyle w:val="1697"/>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Style w:val="1697"/>
          <w:rFonts w:eastAsia="黑体"/>
          <w:bCs/>
          <w:color w:val="000000"/>
          <w:sz w:val="48"/>
          <w:highlight w:val="none"/>
        </w:rPr>
      </w:r>
      <w:r/>
    </w:p>
    <w:p>
      <w:pPr>
        <w:pStyle w:val="1644"/>
        <w:jc w:val="center"/>
        <w:rPr>
          <w:rStyle w:val="1697"/>
          <w:rFonts w:hint="eastAsia" w:eastAsia="黑体"/>
          <w:bCs/>
          <w:color w:val="000000"/>
          <w:sz w:val="48"/>
          <w:highlight w:val="none"/>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697"/>
          <w:rFonts w:hint="eastAsia" w:eastAsia="黑体"/>
          <w:bCs/>
          <w:color w:val="000000"/>
          <w:sz w:val="48"/>
          <w:highlight w:val="none"/>
        </w:rPr>
      </w:r>
      <w:r/>
    </w:p>
    <w:p>
      <w:pPr>
        <w:pStyle w:val="1676"/>
        <w:tabs>
          <w:tab w:val="center" w:pos="4153" w:leader="none"/>
          <w:tab w:val="right" w:pos="8306" w:leader="none"/>
        </w:tabs>
        <w:rPr>
          <w:rFonts w:hint="eastAsia"/>
          <w:color w:val="000000"/>
          <w:highlight w:val="none"/>
        </w:rPr>
      </w:pPr>
      <w:r>
        <w:rPr>
          <w:rFonts w:hint="eastAsia"/>
          <w:color w:val="000000"/>
          <w:highlight w:val="none"/>
        </w:rPr>
      </w:r>
      <w:r/>
    </w:p>
    <w:p>
      <w:pPr>
        <w:pStyle w:val="1716"/>
        <w:rPr>
          <w:rFonts w:hint="eastAsia"/>
          <w:color w:val="000000"/>
          <w:highlight w:val="none"/>
        </w:rPr>
        <w:outlineLvl w:val="9"/>
      </w:pPr>
      <w:r>
        <w:rPr>
          <w:rFonts w:hint="eastAsia"/>
          <w:color w:val="000000"/>
          <w:highlight w:val="none"/>
        </w:rPr>
      </w:r>
      <w:r/>
    </w:p>
    <w:p>
      <w:pPr>
        <w:pStyle w:val="1644"/>
        <w:jc w:val="center"/>
        <w:rPr>
          <w:rStyle w:val="1697"/>
          <w:rFonts w:hint="eastAsia" w:ascii="宋体" w:hAnsi="宋体" w:cs="宋体"/>
          <w:b/>
          <w:color w:val="000000"/>
          <w:sz w:val="44"/>
          <w:szCs w:val="44"/>
          <w:highlight w:val="none"/>
        </w:rPr>
        <w:outlineLvl w:val="9"/>
      </w:pPr>
      <w:r/>
      <w:bookmarkStart w:id="11" w:name="_Toc23032"/>
      <w:r/>
      <w:bookmarkStart w:id="12" w:name="_Toc32576"/>
      <w:r/>
      <w:bookmarkStart w:id="13" w:name="_Toc15618"/>
      <w:r>
        <w:rPr>
          <w:rStyle w:val="1697"/>
          <w:rFonts w:hint="eastAsia" w:ascii="宋体" w:hAnsi="宋体" w:cs="宋体"/>
          <w:b/>
          <w:color w:val="000000"/>
          <w:sz w:val="44"/>
          <w:szCs w:val="44"/>
          <w:highlight w:val="none"/>
        </w:rPr>
        <w:t xml:space="preserve">目     录</w:t>
      </w:r>
      <w:bookmarkEnd w:id="10"/>
      <w:r/>
      <w:bookmarkEnd w:id="11"/>
      <w:r/>
      <w:bookmarkEnd w:id="12"/>
      <w:r/>
      <w:bookmarkEnd w:id="13"/>
      <w:r>
        <w:rPr>
          <w:rStyle w:val="1697"/>
          <w:rFonts w:hint="eastAsia" w:ascii="宋体" w:hAnsi="宋体" w:cs="宋体"/>
          <w:b/>
          <w:color w:val="000000"/>
          <w:sz w:val="44"/>
          <w:szCs w:val="44"/>
          <w:highlight w:val="none"/>
        </w:rPr>
      </w:r>
      <w:r/>
    </w:p>
    <w:p>
      <w:pPr>
        <w:pStyle w:val="1644"/>
        <w:rPr>
          <w:color w:val="000000"/>
          <w:highlight w:val="none"/>
        </w:rPr>
      </w:pPr>
      <w:r>
        <w:rPr>
          <w:color w:val="000000"/>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81"/>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644"/>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644"/>
        <w:spacing w:line="720" w:lineRule="auto"/>
        <w:rPr>
          <w:rFonts w:ascii="宋体"/>
          <w:bCs/>
          <w:color w:val="000000"/>
          <w:sz w:val="28"/>
          <w:szCs w:val="28"/>
          <w:highlight w:val="none"/>
        </w:rPr>
      </w:pPr>
      <w:r>
        <w:rPr>
          <w:rFonts w:ascii="宋体"/>
          <w:bCs/>
          <w:color w:val="000000"/>
          <w:sz w:val="28"/>
          <w:szCs w:val="28"/>
          <w:highlight w:val="none"/>
        </w:rPr>
      </w:r>
      <w:r/>
    </w:p>
    <w:p>
      <w:pPr>
        <w:pStyle w:val="1644"/>
        <w:spacing w:line="720" w:lineRule="auto"/>
        <w:rPr>
          <w:rFonts w:ascii="宋体"/>
          <w:bCs/>
          <w:color w:val="000000"/>
          <w:sz w:val="30"/>
          <w:highlight w:val="none"/>
        </w:rPr>
      </w:pPr>
      <w:r>
        <w:rPr>
          <w:rFonts w:ascii="宋体"/>
          <w:bCs/>
          <w:color w:val="000000"/>
          <w:sz w:val="30"/>
          <w:highlight w:val="none"/>
        </w:rPr>
      </w:r>
      <w:r/>
    </w:p>
    <w:p>
      <w:pPr>
        <w:pStyle w:val="1644"/>
        <w:spacing w:line="480" w:lineRule="auto"/>
        <w:rPr>
          <w:rFonts w:ascii="宋体"/>
          <w:bCs/>
          <w:color w:val="000000"/>
          <w:sz w:val="30"/>
          <w:highlight w:val="none"/>
        </w:rPr>
      </w:pPr>
      <w:r>
        <w:rPr>
          <w:rFonts w:ascii="宋体"/>
          <w:bCs/>
          <w:color w:val="000000"/>
          <w:sz w:val="30"/>
          <w:highlight w:val="none"/>
        </w:rPr>
      </w:r>
      <w:r/>
    </w:p>
    <w:p>
      <w:pPr>
        <w:pStyle w:val="1644"/>
        <w:rPr>
          <w:rFonts w:ascii="宋体"/>
          <w:bCs/>
          <w:color w:val="000000"/>
          <w:sz w:val="28"/>
          <w:highlight w:val="none"/>
        </w:rPr>
      </w:pPr>
      <w:r>
        <w:rPr>
          <w:rFonts w:ascii="宋体"/>
          <w:bCs/>
          <w:color w:val="000000"/>
          <w:sz w:val="28"/>
          <w:highlight w:val="none"/>
        </w:rPr>
      </w:r>
      <w:r/>
    </w:p>
    <w:p>
      <w:pPr>
        <w:pStyle w:val="1644"/>
        <w:rPr>
          <w:rFonts w:ascii="宋体"/>
          <w:bCs/>
          <w:color w:val="000000"/>
          <w:sz w:val="32"/>
          <w:highlight w:val="none"/>
        </w:rPr>
      </w:pPr>
      <w:r>
        <w:rPr>
          <w:rFonts w:ascii="宋体"/>
          <w:bCs/>
          <w:color w:val="000000"/>
          <w:sz w:val="32"/>
          <w:highlight w:val="none"/>
        </w:rPr>
      </w:r>
      <w:r/>
    </w:p>
    <w:p>
      <w:pPr>
        <w:pStyle w:val="1644"/>
        <w:rPr>
          <w:rFonts w:ascii="宋体"/>
          <w:bCs/>
          <w:color w:val="000000"/>
          <w:sz w:val="32"/>
          <w:highlight w:val="none"/>
        </w:rPr>
      </w:pPr>
      <w:r>
        <w:rPr>
          <w:rFonts w:ascii="宋体"/>
          <w:bCs/>
          <w:color w:val="000000"/>
          <w:sz w:val="32"/>
          <w:highlight w:val="none"/>
        </w:rPr>
      </w:r>
      <w:r/>
    </w:p>
    <w:p>
      <w:pPr>
        <w:pStyle w:val="1644"/>
        <w:jc w:val="center"/>
        <w:spacing w:line="360" w:lineRule="auto"/>
        <w:rPr>
          <w:rFonts w:hint="eastAsia" w:ascii="宋体" w:hAnsi="宋体" w:cs="宋体"/>
          <w:b/>
          <w:color w:val="000000"/>
          <w:sz w:val="30"/>
          <w:szCs w:val="30"/>
          <w:highlight w:val="none"/>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Pr>
          <w:rFonts w:hint="eastAsia" w:ascii="宋体" w:hAnsi="宋体" w:cs="宋体"/>
          <w:b/>
          <w:color w:val="000000"/>
          <w:sz w:val="30"/>
          <w:szCs w:val="30"/>
          <w:highlight w:val="none"/>
        </w:rPr>
      </w:r>
      <w:r/>
    </w:p>
    <w:p>
      <w:pPr>
        <w:pStyle w:val="1644"/>
        <w:jc w:val="center"/>
        <w:spacing w:line="360" w:lineRule="auto"/>
        <w:rPr>
          <w:rFonts w:hint="eastAsia" w:ascii="Times New Roman" w:hAnsi="宋体" w:eastAsia="宋体" w:cs="宋体"/>
          <w:b/>
          <w:bCs/>
          <w:sz w:val="32"/>
          <w:szCs w:val="32"/>
          <w:highlight w:val="none"/>
        </w:rPr>
        <w:outlineLvl w:val="0"/>
      </w:pPr>
      <w:r/>
      <w:bookmarkStart w:id="16" w:name="_Toc622"/>
      <w:r/>
      <w:bookmarkStart w:id="1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rPr>
        <w:t xml:space="preserve">无锡市锡山区人民政府厚桥街道办事处的委托，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芙蓉塘河(联福路桥)污水处理设施租赁服务项目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cs="宋体"/>
          <w:b/>
          <w:bCs w:val="0"/>
          <w:color w:val="000000"/>
          <w:sz w:val="24"/>
          <w:szCs w:val="24"/>
          <w:highlight w:val="none"/>
        </w:rPr>
        <w:outlineLvl w:val="1"/>
      </w:pPr>
      <w:r/>
      <w:bookmarkStart w:id="18" w:name="_Toc24863"/>
      <w:r/>
      <w:bookmarkStart w:id="19" w:name="_Toc23923"/>
      <w:r>
        <w:rPr>
          <w:rFonts w:hint="eastAsia" w:ascii="宋体" w:hAnsi="宋体" w:cs="宋体"/>
          <w:b/>
          <w:bCs w:val="0"/>
          <w:color w:val="000000"/>
          <w:sz w:val="24"/>
          <w:szCs w:val="24"/>
          <w:highlight w:val="none"/>
        </w:rPr>
        <w:t xml:space="preserve">（一）招标项目信息</w:t>
      </w:r>
      <w:r>
        <w:rPr>
          <w:rFonts w:hint="eastAsia" w:ascii="宋体" w:hAnsi="宋体" w:cs="宋体"/>
          <w:b/>
          <w:bCs w:val="0"/>
          <w:color w:val="000000"/>
          <w:sz w:val="24"/>
          <w:szCs w:val="24"/>
          <w:highlight w:val="none"/>
        </w:rPr>
      </w:r>
      <w:r/>
    </w:p>
    <w:p>
      <w:pPr>
        <w:pStyle w:val="164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芙蓉塘河(联福路桥)污水处理设施租赁服务项目</w:t>
      </w:r>
      <w:r>
        <w:rPr>
          <w:rFonts w:hint="eastAsia" w:ascii="宋体" w:hAnsi="宋体" w:eastAsia="宋体" w:cs="宋体"/>
          <w:bCs/>
          <w:color w:val="000000"/>
          <w:sz w:val="24"/>
          <w:szCs w:val="24"/>
          <w:highlight w:val="none"/>
          <w:lang w:eastAsia="zh-CN"/>
        </w:rPr>
      </w:r>
      <w:r/>
    </w:p>
    <w:p>
      <w:pPr>
        <w:pStyle w:val="164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JSZC-320205-THGC-G2024-0091</w:t>
      </w:r>
      <w:r>
        <w:rPr>
          <w:rFonts w:hint="eastAsia" w:ascii="宋体" w:hAnsi="宋体" w:eastAsia="宋体" w:cs="宋体"/>
          <w:bCs/>
          <w:color w:val="000000"/>
          <w:sz w:val="24"/>
          <w:szCs w:val="24"/>
          <w:highlight w:val="none"/>
          <w:lang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289.767</w:t>
      </w:r>
      <w:r>
        <w:rPr>
          <w:rFonts w:hint="eastAsia" w:ascii="宋体" w:hAnsi="宋体" w:cs="宋体"/>
          <w:bCs/>
          <w:color w:val="000000"/>
          <w:sz w:val="24"/>
          <w:szCs w:val="24"/>
          <w:highlight w:val="none"/>
        </w:rPr>
        <w:t xml:space="preserve">万元，最高限价：</w:t>
      </w:r>
      <w:r>
        <w:rPr>
          <w:rFonts w:hint="eastAsia" w:ascii="宋体" w:hAnsi="宋体" w:cs="宋体"/>
          <w:bCs/>
          <w:color w:val="000000"/>
          <w:sz w:val="24"/>
          <w:szCs w:val="24"/>
          <w:highlight w:val="none"/>
          <w:lang w:val="en-US" w:eastAsia="zh-CN"/>
        </w:rPr>
        <w:t xml:space="preserve">289.767</w:t>
      </w:r>
      <w:r>
        <w:rPr>
          <w:rFonts w:hint="eastAsia" w:ascii="宋体" w:hAnsi="宋体" w:cs="宋体"/>
          <w:bCs/>
          <w:color w:val="000000"/>
          <w:sz w:val="24"/>
          <w:szCs w:val="24"/>
          <w:highlight w:val="none"/>
        </w:rPr>
        <w:t xml:space="preserve">万</w:t>
      </w:r>
      <w:r>
        <w:rPr>
          <w:rFonts w:hint="eastAsia" w:ascii="宋体" w:hAnsi="宋体" w:cs="宋体"/>
          <w:bCs/>
          <w:color w:val="000000"/>
          <w:sz w:val="24"/>
          <w:szCs w:val="24"/>
          <w:highlight w:val="none"/>
        </w:rPr>
        <w:t xml:space="preserve">元；投标报价不得超过最高限价，否则作无效响应文件处理。</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供货期：设施设备在合同签订生效后</w:t>
      </w:r>
      <w:r>
        <w:rPr>
          <w:rFonts w:hint="eastAsia" w:ascii="宋体" w:hAnsi="宋体" w:cs="宋体"/>
          <w:bCs/>
          <w:color w:val="000000"/>
          <w:sz w:val="24"/>
          <w:szCs w:val="24"/>
          <w:highlight w:val="none"/>
          <w:lang w:val="en-US" w:eastAsia="zh-CN"/>
        </w:rPr>
        <w:t xml:space="preserve">30</w:t>
      </w:r>
      <w:r>
        <w:rPr>
          <w:rFonts w:hint="eastAsia" w:ascii="宋体" w:hAnsi="宋体" w:cs="宋体"/>
          <w:bCs/>
          <w:color w:val="000000"/>
          <w:sz w:val="24"/>
          <w:szCs w:val="24"/>
          <w:highlight w:val="none"/>
        </w:rPr>
        <w:t xml:space="preserve">个日历天内完成供货、安装及调试等工作并验收通过、交付使用</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服务期：三年（服务期自设备安装到位之日起计算）</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本项目标的所属行业：其他未列明行业。根据《关于印发中小企业划型标准规定的通知》工信部联企业〔2011〕300号规定，其他未列明行业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9、本项目是否专门面向</w:t>
      </w:r>
      <w:r>
        <w:rPr>
          <w:rFonts w:hint="eastAsia" w:eastAsia="宋体" w:cs="宋体"/>
          <w:b w:val="0"/>
          <w:bCs/>
          <w:color w:val="000000"/>
          <w:sz w:val="24"/>
          <w:szCs w:val="24"/>
          <w:highlight w:val="none"/>
          <w:lang w:val="en-US" w:eastAsia="zh-CN"/>
        </w:rPr>
        <w:t xml:space="preserve">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3、落实政府采购政策需满足的资格要求：供应商为小型企业、微型企业（监狱企业、残疾人福利性单位视同小微企业）；</w:t>
      </w:r>
      <w:r>
        <w:rPr>
          <w:rFonts w:hint="eastAsia" w:ascii="宋体" w:hAnsi="宋体" w:cs="宋体"/>
          <w:bCs/>
          <w:color w:val="000000"/>
          <w:sz w:val="24"/>
          <w:szCs w:val="24"/>
          <w:highlight w:val="none"/>
        </w:rPr>
      </w:r>
      <w:r/>
    </w:p>
    <w:p>
      <w:pPr>
        <w:pStyle w:val="1644"/>
        <w:ind w:firstLine="480"/>
        <w:spacing w:line="360" w:lineRule="auto"/>
        <w:rPr>
          <w:rFonts w:hint="eastAsia" w:ascii="Times New Roman" w:hAnsi="Times New Roman" w:eastAsia="宋体" w:cs="Times New Roman"/>
          <w:bCs/>
          <w:sz w:val="24"/>
          <w:szCs w:val="24"/>
          <w:highlight w:val="none"/>
        </w:rPr>
      </w:pPr>
      <w:r>
        <w:rPr>
          <w:rFonts w:hint="eastAsia" w:ascii="宋体" w:hAnsi="宋体" w:cs="宋体"/>
          <w:bCs/>
          <w:color w:val="000000"/>
          <w:sz w:val="24"/>
          <w:szCs w:val="24"/>
          <w:highlight w:val="none"/>
        </w:rPr>
        <w:t xml:space="preserve">4、本项目的特定资格要求：</w:t>
      </w:r>
      <w:r>
        <w:rPr>
          <w:rFonts w:hint="eastAsia" w:ascii="Times New Roman" w:hAnsi="Times New Roman" w:eastAsia="宋体" w:cs="Times New Roman"/>
          <w:bCs/>
          <w:sz w:val="24"/>
          <w:szCs w:val="24"/>
          <w:highlight w:val="none"/>
          <w:lang w:val="en-US" w:eastAsia="zh-CN"/>
        </w:rPr>
        <w:t xml:space="preserve">/</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（2）办理并领取CA和电子签章（办理地址：无锡市观山路市民中心12号楼2楼公共资源交易大厅9号10号窗口）。</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供应商可在财政部门指定媒体发布的公告附件中查看公开招标文件，如确定参加本次采购活</w:t>
      </w:r>
      <w:r>
        <w:rPr>
          <w:rFonts w:hint="eastAsia" w:ascii="宋体" w:hAnsi="宋体" w:cs="宋体"/>
          <w:bCs/>
          <w:color w:val="000000"/>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采购人、江苏通汇工程管理咨询有限公司将以电话咨询、邮箱（1915688621@qq.com）等方式开展线上不见面答疑服务。截止至2024年</w:t>
      </w: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color w:val="000000"/>
          <w:sz w:val="24"/>
          <w:szCs w:val="24"/>
          <w:highlight w:val="none"/>
          <w:lang w:eastAsia="zh-CN"/>
        </w:rPr>
        <w:t xml:space="preserve">JSZC-320205-THGC-G2024-0091</w:t>
      </w:r>
      <w:r>
        <w:rPr>
          <w:rFonts w:hint="eastAsia" w:ascii="宋体" w:hAnsi="宋体" w:cs="宋体"/>
          <w:bCs/>
          <w:color w:val="000000"/>
          <w:sz w:val="24"/>
          <w:szCs w:val="24"/>
          <w:highlight w:val="none"/>
        </w:rPr>
        <w:t xml:space="preserve">项目需澄清问题”，并于答疑截止时间前邮箱（1915688621@qq.com）给项目联系人。若未在法定时间内提出澄清，由此造成的损失及风险由供应商自行承担。</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（六）现场踏勘</w:t>
      </w:r>
      <w:r>
        <w:rPr>
          <w:rFonts w:hint="eastAsia" w:ascii="宋体" w:hAnsi="宋体" w:eastAsia="宋体" w:cs="宋体"/>
          <w:b/>
          <w:bCs w:val="0"/>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（七）投标及开标、定标时间、地点</w:t>
      </w:r>
      <w:r>
        <w:rPr>
          <w:rFonts w:hint="eastAsia" w:ascii="宋体" w:hAnsi="宋体" w:eastAsia="宋体" w:cs="宋体"/>
          <w:b/>
          <w:bCs w:val="0"/>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投标截止时间（网上投标截止时间苏采云投标客户端投标）：2024年</w:t>
      </w: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19</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:30，投标截止时间后的投标文件恕不接受。</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w:t>
      </w:r>
      <w:r>
        <w:rPr>
          <w:rFonts w:hint="eastAsia" w:ascii="宋体" w:hAnsi="宋体" w:cs="宋体"/>
          <w:bCs/>
          <w:color w:val="000000"/>
          <w:sz w:val="24"/>
          <w:szCs w:val="24"/>
          <w:highlight w:val="none"/>
        </w:rPr>
        <w:t xml:space="preserve">2024年</w:t>
      </w: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19</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定标时间：评标结束</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定标地点：无锡市锡山区东亭迎宾南路21号二楼</w:t>
      </w:r>
      <w:r>
        <w:rPr>
          <w:rFonts w:hint="eastAsia" w:ascii="宋体" w:hAnsi="宋体" w:cs="宋体"/>
          <w:bCs/>
          <w:color w:val="000000"/>
          <w:sz w:val="24"/>
          <w:szCs w:val="24"/>
          <w:highlight w:val="none"/>
        </w:rPr>
      </w:r>
      <w:r/>
    </w:p>
    <w:p>
      <w:pPr>
        <w:pStyle w:val="1644"/>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（八）投标文件份数：</w:t>
      </w:r>
      <w:r>
        <w:rPr>
          <w:rFonts w:hint="eastAsia" w:ascii="宋体" w:hAnsi="宋体" w:eastAsia="宋体" w:cs="宋体"/>
          <w:b w:val="0"/>
          <w:bCs/>
          <w:color w:val="000000"/>
          <w:sz w:val="24"/>
          <w:szCs w:val="24"/>
          <w:highlight w:val="none"/>
          <w:lang w:val="en-US" w:eastAsia="zh-CN"/>
        </w:rPr>
        <w:t xml:space="preserve">请按规定上传电子响应文件，不接收纸质投标文件</w:t>
      </w:r>
      <w:r>
        <w:rPr>
          <w:rFonts w:hint="eastAsia" w:ascii="宋体" w:hAnsi="宋体" w:eastAsia="宋体" w:cs="宋体"/>
          <w:b w:val="0"/>
          <w:bCs/>
          <w:color w:val="000000"/>
          <w:sz w:val="24"/>
          <w:szCs w:val="24"/>
          <w:highlight w:val="none"/>
          <w:lang w:val="en-US" w:eastAsia="zh-CN"/>
        </w:rPr>
      </w:r>
      <w:r/>
    </w:p>
    <w:p>
      <w:pPr>
        <w:pStyle w:val="1644"/>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（九）投标有效期：</w:t>
      </w:r>
      <w:r>
        <w:rPr>
          <w:rFonts w:hint="eastAsia" w:ascii="宋体" w:hAnsi="宋体" w:eastAsia="宋体" w:cs="宋体"/>
          <w:b w:val="0"/>
          <w:bCs/>
          <w:color w:val="000000"/>
          <w:sz w:val="24"/>
          <w:szCs w:val="24"/>
          <w:highlight w:val="none"/>
          <w:lang w:val="en-US" w:eastAsia="zh-CN"/>
        </w:rPr>
        <w:t xml:space="preserve">开标之日起90天</w:t>
      </w:r>
      <w:r>
        <w:rPr>
          <w:rFonts w:hint="eastAsia" w:ascii="宋体" w:hAnsi="宋体" w:eastAsia="宋体" w:cs="宋体"/>
          <w:b w:val="0"/>
          <w:bCs/>
          <w:color w:val="000000"/>
          <w:sz w:val="24"/>
          <w:szCs w:val="24"/>
          <w:highlight w:val="none"/>
          <w:lang w:val="en-US" w:eastAsia="zh-CN"/>
        </w:rPr>
      </w:r>
      <w:r/>
    </w:p>
    <w:p>
      <w:pPr>
        <w:pStyle w:val="164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（十）采购方法</w:t>
      </w:r>
      <w:r>
        <w:rPr>
          <w:rFonts w:hint="eastAsia" w:ascii="宋体" w:hAnsi="宋体" w:eastAsia="宋体" w:cs="宋体"/>
          <w:b/>
          <w:bCs w:val="0"/>
          <w:color w:val="000000"/>
          <w:sz w:val="24"/>
          <w:szCs w:val="24"/>
          <w:highlight w:val="none"/>
          <w:lang w:val="en-US" w:eastAsia="zh-CN"/>
        </w:rPr>
      </w:r>
      <w:r/>
    </w:p>
    <w:p>
      <w:pPr>
        <w:pStyle w:val="1644"/>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lang w:val="en-US" w:eastAsia="zh-CN"/>
        </w:rPr>
      </w:r>
      <w:r/>
    </w:p>
    <w:p>
      <w:pPr>
        <w:pStyle w:val="164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（十一）其它</w:t>
      </w:r>
      <w:r>
        <w:rPr>
          <w:rFonts w:hint="eastAsia" w:ascii="宋体" w:hAnsi="宋体" w:eastAsia="宋体" w:cs="宋体"/>
          <w:b/>
          <w:bCs w:val="0"/>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644"/>
        <w:ind w:firstLine="48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茹威</w:t>
      </w:r>
      <w:r>
        <w:rPr>
          <w:rFonts w:ascii="宋体" w:hAnsi="宋体" w:eastAsia="宋体" w:cs="宋体"/>
          <w:bCs/>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采购机构：江苏通汇工程管理咨询有限公司</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地址：无锡市锡山区万马广场59-102</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联系人：刘燕</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话：0510-88226300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邮</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编：214000</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eastAsia="宋体" w:cs="宋体"/>
          <w:bCs/>
          <w:color w:val="000000"/>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1644"/>
        <w:jc w:val="center"/>
        <w:spacing w:line="360" w:lineRule="auto"/>
        <w:rPr>
          <w:rFonts w:hint="eastAsia" w:ascii="Times New Roman" w:hAnsi="宋体" w:eastAsia="宋体" w:cs="宋体"/>
          <w:b/>
          <w:bCs/>
          <w:sz w:val="32"/>
          <w:szCs w:val="32"/>
          <w:highlight w:val="none"/>
        </w:rPr>
        <w:outlineLvl w:val="0"/>
      </w:pPr>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71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644"/>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中小企业声明函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644"/>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644"/>
        <w:ind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7．投标供应商情况表</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主要人员配置表</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．提供第三章项目需求和有关要求需提供的相关证明材料（如有，格式自拟并自行添加）</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2.供应商应对CA数字证书妥善保管，如被他人盗用投标，后果自负。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164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eastAsia="宋体" w:cs="宋体"/>
          <w:b/>
          <w:bCs w:val="0"/>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1.电子投标文件未按规定期限投标的；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18.投标文件含有供应商不能接受的附加条件的；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24.暗标未按招标文件要求编制的；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25.法律法规和招标文件规定的其他无效情形。</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694"/>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556" w:type="dxa"/>
            <w:vAlign w:val="center"/>
            <w:textDirection w:val="lrTb"/>
            <w:noWrap w:val="false"/>
          </w:tcPr>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562"/>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981"/>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94"/>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29"/>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765"/>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423"/>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498"/>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667"/>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641"/>
        </w:trPr>
        <w:tc>
          <w:tcPr>
            <w:tcW w:w="923" w:type="dxa"/>
            <w:vAlign w:val="center"/>
            <w:textDirection w:val="lrTb"/>
            <w:noWrap w:val="false"/>
          </w:tcPr>
          <w:p>
            <w:pPr>
              <w:pStyle w:val="164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小微企业划分标准(《工信部联企业[2011]300号》)规定，提供《中小企业声明函》，残疾人福利企业提供《残疾人福利性单位声明函》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672"/>
        </w:trPr>
        <w:tc>
          <w:tcPr>
            <w:tcW w:w="923" w:type="dxa"/>
            <w:vAlign w:val="center"/>
            <w:textDirection w:val="lrTb"/>
            <w:noWrap w:val="false"/>
          </w:tcPr>
          <w:p>
            <w:pPr>
              <w:pStyle w:val="164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lang w:eastAsia="zh-CN"/>
              </w:rPr>
            </w:pPr>
            <w:r>
              <w:rPr>
                <w:rFonts w:hint="eastAsia" w:ascii="宋体" w:hAnsi="宋体" w:eastAsia="宋体" w:cs="宋体"/>
                <w:bCs/>
                <w:color w:val="000000"/>
                <w:sz w:val="24"/>
                <w:szCs w:val="24"/>
                <w:highlight w:val="none"/>
                <w:vertAlign w:val="baseline"/>
                <w:lang w:val="en-US" w:eastAsia="zh-CN"/>
              </w:rPr>
              <w:t xml:space="preserve">/</w:t>
            </w:r>
            <w:r>
              <w:rPr>
                <w:rFonts w:hint="eastAsia" w:ascii="宋体" w:hAnsi="宋体" w:eastAsia="宋体" w:cs="宋体"/>
                <w:bCs/>
                <w:color w:val="000000"/>
                <w:sz w:val="24"/>
                <w:szCs w:val="24"/>
                <w:highlight w:val="none"/>
                <w:vertAlign w:val="baseline"/>
                <w:lang w:eastAsia="zh-CN"/>
              </w:rPr>
            </w:r>
            <w:r/>
          </w:p>
        </w:tc>
      </w:tr>
      <w:tr>
        <w:trPr>
          <w:trHeight w:val="3038"/>
        </w:trPr>
        <w:tc>
          <w:tcPr>
            <w:tcW w:w="923" w:type="dxa"/>
            <w:vAlign w:val="center"/>
            <w:textDirection w:val="lrTb"/>
            <w:noWrap w:val="false"/>
          </w:tcPr>
          <w:p>
            <w:pPr>
              <w:pStyle w:val="164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676"/>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654"/>
        </w:trPr>
        <w:tc>
          <w:tcPr>
            <w:tcW w:w="923" w:type="dxa"/>
            <w:vAlign w:val="center"/>
            <w:textDirection w:val="lrTb"/>
            <w:noWrap w:val="false"/>
          </w:tcPr>
          <w:p>
            <w:pPr>
              <w:pStyle w:val="164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645"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64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eastAsia="宋体" w:cs="宋体"/>
                <w:bCs/>
                <w:color w:val="000000"/>
                <w:sz w:val="24"/>
                <w:szCs w:val="24"/>
                <w:highlight w:val="none"/>
                <w:vertAlign w:val="baseline"/>
              </w:rPr>
            </w:r>
            <w:r/>
          </w:p>
        </w:tc>
      </w:tr>
    </w:tbl>
    <w:p>
      <w:pPr>
        <w:pStyle w:val="164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64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pStyle w:val="1644"/>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70" w:type="dxa"/>
            <w:vAlign w:val="center"/>
            <w:textDirection w:val="lrTb"/>
            <w:noWrap w:val="false"/>
          </w:tcPr>
          <w:p>
            <w:pPr>
              <w:pStyle w:val="1644"/>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59" w:type="dxa"/>
            <w:vAlign w:val="center"/>
            <w:textDirection w:val="lrTb"/>
            <w:noWrap w:val="false"/>
          </w:tcPr>
          <w:p>
            <w:pPr>
              <w:pStyle w:val="1644"/>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59" w:type="dxa"/>
            <w:vAlign w:val="center"/>
            <w:textDirection w:val="lrTb"/>
            <w:noWrap w:val="false"/>
          </w:tcPr>
          <w:p>
            <w:pPr>
              <w:pStyle w:val="1644"/>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644"/>
              <w:jc w:val="lef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本表无需上传，评审时以苏采云系统自带的开标一览表为准</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2670" w:type="dxa"/>
            <w:vAlign w:val="center"/>
            <w:textDirection w:val="lrTb"/>
            <w:noWrap w:val="false"/>
          </w:tcPr>
          <w:p>
            <w:pPr>
              <w:pStyle w:val="1644"/>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cs="宋体"/>
                <w:bCs/>
                <w:sz w:val="24"/>
                <w:szCs w:val="24"/>
                <w:highlight w:val="none"/>
              </w:rPr>
            </w:r>
            <w:r/>
          </w:p>
        </w:tc>
        <w:tc>
          <w:tcPr>
            <w:tcW w:w="5459" w:type="dxa"/>
            <w:vAlign w:val="center"/>
            <w:textDirection w:val="lrTb"/>
            <w:noWrap w:val="false"/>
          </w:tcPr>
          <w:p>
            <w:pPr>
              <w:pStyle w:val="1644"/>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sz w:val="24"/>
                <w:szCs w:val="24"/>
                <w:highlight w:val="none"/>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644"/>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644"/>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644"/>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644"/>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64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rPr>
            </w:r>
            <w:r/>
          </w:p>
        </w:tc>
        <w:tc>
          <w:tcPr>
            <w:tcW w:w="5459" w:type="dxa"/>
            <w:vAlign w:val="center"/>
            <w:textDirection w:val="lrTb"/>
            <w:noWrap w:val="false"/>
          </w:tcPr>
          <w:p>
            <w:pPr>
              <w:pStyle w:val="1644"/>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sz w:val="24"/>
                <w:szCs w:val="24"/>
                <w:highlight w:val="none"/>
                <w:lang w:val="en-US" w:eastAsia="zh-CN"/>
              </w:rPr>
            </w:r>
            <w:r/>
          </w:p>
        </w:tc>
      </w:tr>
      <w:tr>
        <w:trPr>
          <w:trHeight w:val="646"/>
        </w:trPr>
        <w:tc>
          <w:tcPr>
            <w:tcW w:w="789" w:type="dxa"/>
            <w:vAlign w:val="center"/>
            <w:textDirection w:val="lrTb"/>
            <w:noWrap w:val="false"/>
          </w:tcPr>
          <w:p>
            <w:pPr>
              <w:pStyle w:val="1644"/>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rPr>
                <w:rFonts w:hint="eastAsia" w:ascii="宋体" w:hAnsi="宋体" w:eastAsia="宋体"/>
                <w:sz w:val="24"/>
                <w:szCs w:val="24"/>
                <w:highlight w:val="none"/>
                <w:lang w:val="en-US" w:eastAsia="zh-CN" w:bidi="ar-SA"/>
              </w:rPr>
            </w:r>
            <w:r/>
          </w:p>
        </w:tc>
        <w:tc>
          <w:tcPr>
            <w:tcW w:w="2670" w:type="dxa"/>
            <w:vAlign w:val="center"/>
            <w:textDirection w:val="lrTb"/>
            <w:noWrap w:val="false"/>
          </w:tcPr>
          <w:p>
            <w:pPr>
              <w:pStyle w:val="1644"/>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644"/>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64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w:t>
      </w:r>
      <w:r>
        <w:rPr>
          <w:rFonts w:hint="eastAsia" w:ascii="宋体" w:hAnsi="宋体" w:eastAsia="宋体" w:cs="宋体"/>
          <w:bCs/>
          <w:color w:val="000000"/>
          <w:sz w:val="24"/>
          <w:szCs w:val="24"/>
          <w:highlight w:val="none"/>
        </w:rPr>
        <w:t xml:space="preserve">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财政部门指定的政府采购信息发布媒体上发布中标结果公告。江苏通汇工程管理咨询有限公司和评标委员会对未中标原因不作解释。</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w:t>
      </w:r>
      <w:r>
        <w:rPr>
          <w:rFonts w:hint="eastAsia" w:ascii="宋体" w:hAnsi="宋体" w:eastAsia="宋体" w:cs="宋体"/>
          <w:bCs/>
          <w:color w:val="000000"/>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(十五)质疑处理：</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提出质疑，上述应知其权益受到损害之日，是指：</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、采购人将只对供应商第一次质疑作出答复。</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提出，由</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负责答复。</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不接受未填写快递运单的快件）。</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联系人、联系方式、通信地址见招标文件第一章。</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5.1内容不符合《政府采购质疑和投诉办法》第十二条规定的质疑。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5.2超出政府采购法定期限的质疑。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5.3以传真、电子邮件等方式递交的非原件形式的质疑。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(十六)服务（包含与服务相关的货物）的追加：</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宋体"/>
          <w:bCs/>
          <w:color w:val="000000"/>
          <w:sz w:val="24"/>
          <w:szCs w:val="24"/>
          <w:highlight w:val="none"/>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本项目代理费由采购人支付。采购代理服务费采用差额定率累进计费方式，收费标准为：100万元以下费率为1.5%，100万元-500万元以内费率为0.8%，按以上规定的80%计取，以中标价作为计算基数。</w:t>
      </w:r>
      <w:r>
        <w:rPr>
          <w:rFonts w:hint="eastAsia" w:ascii="宋体" w:hAnsi="宋体" w:eastAsia="宋体" w:cs="宋体"/>
          <w:color w:val="000000"/>
          <w:sz w:val="24"/>
          <w:szCs w:val="24"/>
          <w:highlight w:val="none"/>
          <w:lang w:eastAsia="zh-CN"/>
        </w:rPr>
      </w:r>
      <w:r/>
    </w:p>
    <w:p>
      <w:pPr>
        <w:pStyle w:val="164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64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644"/>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66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644"/>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erReference w:type="default" r:id="rId2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644"/>
        <w:jc w:val="center"/>
        <w:spacing w:line="360" w:lineRule="auto"/>
        <w:rPr>
          <w:rFonts w:hint="eastAsia" w:ascii="Times New Roman" w:hAnsi="宋体" w:eastAsia="宋体" w:cs="宋体"/>
          <w:b/>
          <w:bCs/>
          <w:sz w:val="32"/>
          <w:szCs w:val="32"/>
          <w:highlight w:val="none"/>
          <w:lang w:val="en-US" w:eastAsia="zh-CN"/>
        </w:rPr>
        <w:outlineLvl w:val="0"/>
      </w:pPr>
      <w:r/>
      <w:bookmarkEnd w:id="21"/>
      <w:r/>
      <w:bookmarkEnd w:id="26"/>
      <w:r/>
      <w:bookmarkStart w:id="27" w:name="_Toc19762"/>
      <w:r/>
      <w:bookmarkStart w:id="28" w:name="_Toc26"/>
      <w:r>
        <w:rPr>
          <w:rFonts w:hint="eastAsia" w:ascii="Times New Roman" w:hAnsi="宋体" w:eastAsia="宋体" w:cs="宋体"/>
          <w:b/>
          <w:bCs/>
          <w:sz w:val="32"/>
          <w:szCs w:val="32"/>
          <w:highlight w:val="none"/>
          <w:lang w:val="en-US" w:eastAsia="zh-CN"/>
        </w:rPr>
        <w:t xml:space="preserve">三、项目技术要求和有关说明</w:t>
      </w:r>
      <w:bookmarkEnd w:id="27"/>
      <w:r>
        <w:rPr>
          <w:rFonts w:hint="eastAsia" w:ascii="Times New Roman" w:hAnsi="宋体" w:eastAsia="宋体" w:cs="宋体"/>
          <w:b/>
          <w:bCs/>
          <w:sz w:val="32"/>
          <w:szCs w:val="32"/>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一、总体要求：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1、项目名称：芙蓉塘河(联福路桥)污水处理设施租赁服务项目</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2、供货期：设施设备在合同签订生效后30个日历天内完成供货、安装及调试等工作并验收通过、交付使用</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3、服务期：三年（服务期自设备安装到位之日起计算）</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项目概况：由于地表污染物会随雨水进入管网时携带混入雨水中，同时污水管网老旧后会有部分污水的渗漏进雨水管网，因此需要先将雨水收集处理达到Ⅲ类水标准后再排入河道，才能保护河道环境不受污染与破坏。故厚桥街道拟针对芙蓉塘河（联福路桥）区域实行管网截流污水处理设备租赁服务采购</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5、服务目标：保证设备每天正常地运转，设备出水能满足采购人相关指标的要求（必须达到排水标准的Ⅲ类水）</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6、服务标准：满足采购人要求，符合国家相关规定</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7、服务地点：</w:t>
      </w:r>
      <w:r>
        <w:rPr>
          <w:rFonts w:hint="eastAsia" w:ascii="宋体" w:hAnsi="宋体"/>
          <w:sz w:val="24"/>
          <w:szCs w:val="24"/>
          <w:highlight w:val="none"/>
        </w:rPr>
        <w:t xml:space="preserve">厚桥街道联福桥东南侧雨水排口</w:t>
      </w:r>
      <w:r>
        <w:rPr>
          <w:rFonts w:hint="eastAsia" w:ascii="宋体" w:hAnsi="宋体"/>
          <w:sz w:val="24"/>
          <w:szCs w:val="24"/>
          <w:highlight w:val="none"/>
        </w:rPr>
      </w:r>
      <w:r/>
    </w:p>
    <w:p>
      <w:pPr>
        <w:pStyle w:val="1644"/>
        <w:ind w:firstLine="480"/>
        <w:keepLines w:val="0"/>
        <w:keepNext w:val="0"/>
        <w:pageBreakBefore w:val="0"/>
        <w:spacing w:line="360" w:lineRule="auto"/>
        <w:widowControl w:val="off"/>
        <w:rPr>
          <w:rFonts w:hint="eastAsia" w:ascii="宋体" w:hAnsi="宋体" w:eastAsia="宋体"/>
          <w:sz w:val="24"/>
          <w:szCs w:val="24"/>
          <w:highlight w:val="none"/>
          <w:lang w:val="en-US" w:eastAsia="zh-CN"/>
        </w:rPr>
        <w:outlineLvl w:val="9"/>
      </w:pPr>
      <w:r>
        <w:rPr>
          <w:rFonts w:hint="eastAsia" w:ascii="宋体" w:hAnsi="宋体"/>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其他：本项目包含免费运营服务期2年，自服务期满三年后开始计算</w:t>
      </w:r>
      <w:r>
        <w:rPr>
          <w:rFonts w:hint="eastAsia" w:ascii="宋体" w:hAnsi="宋体" w:eastAsia="宋体"/>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二、相关标准规范：</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JB2880-1998《钢制焊接常压容器技术条件》</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GB/T8932-1998《水处理设备性能试验－过滤设备》</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JB/T2932-1999《中国机械行业标准－水处理设备技术条件》</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GB/T8923-1998《涂装前钢材表面锈蚀等级和除锈等级》</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ZBJ98003-87《水处理设备油漆、包装技术条件》</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GBJ14-87《室外排水设计规范》</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GB8978-98《污水综合排放标准》</w:t>
      </w:r>
      <w:r>
        <w:rPr>
          <w:rFonts w:hint="eastAsia" w:ascii="宋体" w:hAnsi="宋体" w:eastAsia="宋体" w:cs="宋体"/>
          <w:b w:val="0"/>
          <w:bCs w:val="0"/>
          <w:color w:val="000000"/>
          <w:sz w:val="24"/>
          <w:szCs w:val="24"/>
          <w:highlight w:val="none"/>
          <w:lang w:val="zh-CN"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GBJ69-84《给水排水工程结构设计规范》</w:t>
      </w:r>
      <w:r>
        <w:rPr>
          <w:rFonts w:hint="eastAsia" w:ascii="宋体" w:hAnsi="宋体" w:eastAsia="宋体" w:cs="宋体"/>
          <w:b w:val="0"/>
          <w:bCs w:val="0"/>
          <w:color w:val="000000"/>
          <w:sz w:val="24"/>
          <w:szCs w:val="24"/>
          <w:highlight w:val="none"/>
          <w:lang w:val="zh-CN"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三、主要设备参数</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1、需配备的设备清单</w:t>
      </w:r>
      <w:r>
        <w:rPr>
          <w:rFonts w:hint="eastAsia" w:ascii="宋体" w:hAnsi="宋体" w:eastAsia="宋体" w:cs="宋体"/>
          <w:b w:val="0"/>
          <w:bCs w:val="0"/>
          <w:color w:val="000000"/>
          <w:sz w:val="24"/>
          <w:szCs w:val="24"/>
          <w:highlight w:val="none"/>
          <w:lang w:val="en-US" w:eastAsia="zh-CN"/>
        </w:rPr>
      </w:r>
      <w:r/>
    </w:p>
    <w:tbl>
      <w:tblPr>
        <w:tblW w:w="86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455"/>
        <w:gridCol w:w="3222"/>
        <w:gridCol w:w="840"/>
        <w:gridCol w:w="1292"/>
      </w:tblGrid>
      <w:tr>
        <w:trPr>
          <w:trHeight w:val="369"/>
          <w:tblHeader/>
        </w:trPr>
        <w:tc>
          <w:tcPr>
            <w:shd w:val="clear" w:color="000000" w:fill="ffffff"/>
            <w:tcW w:w="817"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序号</w:t>
            </w:r>
            <w:r>
              <w:rPr>
                <w:rFonts w:ascii="宋体" w:hAnsi="宋体"/>
                <w:color w:val="000000"/>
                <w:sz w:val="24"/>
                <w:szCs w:val="24"/>
                <w:highlight w:val="none"/>
              </w:rPr>
            </w:r>
            <w:r/>
          </w:p>
        </w:tc>
        <w:tc>
          <w:tcPr>
            <w:shd w:val="clear" w:color="000000" w:fill="ffffff"/>
            <w:tcW w:w="2455"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设备（部套）名称</w:t>
            </w:r>
            <w:r>
              <w:rPr>
                <w:rFonts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规格型号</w:t>
            </w:r>
            <w:r>
              <w:rPr>
                <w:rFonts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单位</w:t>
            </w:r>
            <w:r>
              <w:rPr>
                <w:rFonts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数量</w:t>
            </w:r>
            <w:r>
              <w:rPr>
                <w:rFonts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收集池</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3000</w:t>
            </w:r>
            <w:r>
              <w:rPr>
                <w:rFonts w:ascii="宋体" w:hAnsi="宋体"/>
                <w:bCs/>
                <w:color w:val="000000"/>
                <w:sz w:val="24"/>
                <w:szCs w:val="24"/>
                <w:highlight w:val="none"/>
              </w:rPr>
              <w:t xml:space="preserve">×</w:t>
            </w:r>
            <w:r>
              <w:rPr>
                <w:rFonts w:ascii="宋体" w:hAnsi="宋体"/>
                <w:color w:val="000000"/>
                <w:sz w:val="24"/>
                <w:szCs w:val="24"/>
                <w:highlight w:val="none"/>
              </w:rPr>
              <w:t xml:space="preserve">3000</w:t>
            </w:r>
            <w:r>
              <w:rPr>
                <w:rFonts w:ascii="宋体" w:hAnsi="宋体"/>
                <w:bCs/>
                <w:color w:val="000000"/>
                <w:sz w:val="24"/>
                <w:szCs w:val="24"/>
                <w:highlight w:val="none"/>
              </w:rPr>
              <w:t xml:space="preserve">×</w:t>
            </w:r>
            <w:r>
              <w:rPr>
                <w:rFonts w:ascii="宋体" w:hAnsi="宋体"/>
                <w:color w:val="000000"/>
                <w:sz w:val="24"/>
                <w:szCs w:val="24"/>
                <w:highlight w:val="none"/>
              </w:rPr>
              <w:t xml:space="preserve">3000mm</w:t>
            </w:r>
            <w:r>
              <w:rPr>
                <w:rFonts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台</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2</w:t>
            </w:r>
            <w:r>
              <w:rPr>
                <w:rFonts w:ascii="宋体" w:hAnsi="宋体"/>
                <w:color w:val="000000"/>
                <w:sz w:val="24"/>
                <w:szCs w:val="24"/>
                <w:highlight w:val="none"/>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一体化净水装置</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20</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00</w:t>
            </w: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00</w:t>
            </w: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00</w:t>
            </w:r>
            <w:r>
              <w:rPr>
                <w:rFonts w:ascii="宋体" w:hAnsi="宋体"/>
                <w:color w:val="000000"/>
                <w:sz w:val="24"/>
                <w:szCs w:val="24"/>
                <w:highlight w:val="none"/>
              </w:rPr>
              <w:t xml:space="preserve">mm</w:t>
            </w: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台</w:t>
            </w:r>
            <w:r>
              <w:rPr>
                <w:rFonts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r>
            <w:r/>
          </w:p>
        </w:tc>
      </w:tr>
      <w:tr>
        <w:trPr>
          <w:trHeight w:val="369"/>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ascii="宋体" w:hAnsi="宋体" w:eastAsia="宋体" w:cs="Times New Roman"/>
                <w:color w:val="000000"/>
                <w:sz w:val="24"/>
                <w:szCs w:val="24"/>
                <w:highlight w:val="none"/>
                <w:lang w:val="en-US" w:eastAsia="zh-CN"/>
              </w:rPr>
              <w:t xml:space="preserve">ABFT深度处理池</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spacing w:line="240" w:lineRule="auto"/>
              <w:widowControl/>
              <w:rPr>
                <w:rFonts w:ascii="宋体" w:hAnsi="宋体"/>
                <w:color w:val="000000"/>
                <w:sz w:val="24"/>
                <w:szCs w:val="24"/>
                <w:highlight w:val="none"/>
              </w:rPr>
            </w:pPr>
            <w:r>
              <w:rPr>
                <w:rFonts w:ascii="宋体" w:hAnsi="宋体" w:eastAsia="宋体" w:cs="Times New Roman"/>
                <w:color w:val="000000"/>
                <w:sz w:val="24"/>
                <w:szCs w:val="24"/>
                <w:highlight w:val="none"/>
                <w:lang w:val="en-US" w:eastAsia="zh-CN"/>
              </w:rPr>
              <w:t xml:space="preserve">7000×1500×2750mm</w:t>
            </w:r>
            <w:r>
              <w:rPr>
                <w:rFonts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台</w:t>
            </w:r>
            <w:r>
              <w:rPr>
                <w:rFonts w:hint="eastAsia" w:ascii="宋体" w:hAnsi="宋体" w:eastAsia="宋体"/>
                <w:color w:val="000000"/>
                <w:sz w:val="24"/>
                <w:szCs w:val="24"/>
                <w:highlight w:val="none"/>
                <w:lang w:eastAsia="zh-CN"/>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曝气装置</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曝气头</w:t>
            </w:r>
            <w:r>
              <w:rPr>
                <w:rFonts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ascii="宋体" w:hAnsi="宋体"/>
                <w:color w:val="000000"/>
                <w:sz w:val="24"/>
                <w:szCs w:val="24"/>
                <w:highlight w:val="none"/>
              </w:rPr>
              <w:t xml:space="preserve">m</w:t>
            </w:r>
            <w:r>
              <w:rPr>
                <w:rFonts w:ascii="宋体" w:hAnsi="宋体"/>
                <w:color w:val="000000"/>
                <w:sz w:val="24"/>
                <w:szCs w:val="24"/>
                <w:highlight w:val="none"/>
                <w:vertAlign w:val="superscript"/>
              </w:rPr>
              <w:t xml:space="preserve">2</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60</w:t>
            </w:r>
            <w:r>
              <w:rPr>
                <w:rFonts w:ascii="宋体" w:hAnsi="宋体" w:eastAsia="宋体"/>
                <w:color w:val="000000"/>
                <w:sz w:val="24"/>
                <w:szCs w:val="24"/>
                <w:highlight w:val="none"/>
                <w:lang w:val="en-US" w:eastAsia="zh-CN"/>
              </w:rPr>
            </w:r>
            <w:r/>
          </w:p>
        </w:tc>
      </w:tr>
      <w:tr>
        <w:trPr>
          <w:trHeight w:val="369"/>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填料及支架</w:t>
            </w:r>
            <w:r>
              <w:rPr>
                <w:rFonts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组合填料</w:t>
            </w: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m</w:t>
            </w:r>
            <w:r>
              <w:rPr>
                <w:rFonts w:ascii="宋体" w:hAnsi="宋体"/>
                <w:color w:val="000000"/>
                <w:sz w:val="24"/>
                <w:szCs w:val="24"/>
                <w:highlight w:val="none"/>
                <w:vertAlign w:val="superscript"/>
              </w:rPr>
              <w:t xml:space="preserve">3</w:t>
            </w:r>
            <w:r>
              <w:rPr>
                <w:rFonts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52</w:t>
            </w:r>
            <w:r>
              <w:rPr>
                <w:rFonts w:ascii="宋体" w:hAnsi="宋体" w:eastAsia="宋体"/>
                <w:color w:val="000000"/>
                <w:sz w:val="24"/>
                <w:szCs w:val="24"/>
                <w:highlight w:val="none"/>
                <w:lang w:val="en-US" w:eastAsia="zh-CN"/>
              </w:rPr>
            </w:r>
            <w:r/>
          </w:p>
        </w:tc>
      </w:tr>
      <w:tr>
        <w:trPr>
          <w:trHeight w:val="369"/>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回转风机</w:t>
            </w:r>
            <w:r>
              <w:rPr>
                <w:rFonts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风量</w:t>
            </w:r>
            <w:r>
              <w:rPr>
                <w:rFonts w:ascii="宋体" w:hAnsi="宋体"/>
                <w:color w:val="000000"/>
                <w:sz w:val="24"/>
                <w:szCs w:val="24"/>
                <w:highlight w:val="none"/>
              </w:rPr>
              <w:t xml:space="preserve">2.66</w:t>
            </w:r>
            <w:r>
              <w:rPr>
                <w:rFonts w:hint="eastAsia" w:ascii="宋体" w:hAnsi="宋体"/>
                <w:color w:val="000000"/>
                <w:sz w:val="24"/>
                <w:szCs w:val="24"/>
                <w:highlight w:val="none"/>
              </w:rPr>
              <w:t xml:space="preserve">m</w:t>
            </w:r>
            <w:r>
              <w:rPr>
                <w:rFonts w:ascii="宋体" w:hAnsi="宋体"/>
                <w:color w:val="000000"/>
                <w:sz w:val="24"/>
                <w:szCs w:val="24"/>
                <w:highlight w:val="none"/>
                <w:vertAlign w:val="superscript"/>
              </w:rPr>
              <w:t xml:space="preserve">3</w:t>
            </w:r>
            <w:r>
              <w:rPr>
                <w:rFonts w:ascii="宋体" w:hAnsi="宋体"/>
                <w:color w:val="000000"/>
                <w:sz w:val="24"/>
                <w:szCs w:val="24"/>
                <w:highlight w:val="none"/>
              </w:rPr>
              <w:t xml:space="preserve">/min</w:t>
            </w:r>
            <w:r>
              <w:rPr>
                <w:rFonts w:hint="eastAsia" w:ascii="宋体" w:hAnsi="宋体"/>
                <w:color w:val="000000"/>
                <w:sz w:val="24"/>
                <w:szCs w:val="24"/>
                <w:highlight w:val="none"/>
              </w:rPr>
              <w:t xml:space="preserve">，功率</w:t>
            </w:r>
            <w:r>
              <w:rPr>
                <w:rFonts w:hint="eastAsia" w:ascii="宋体" w:hAnsi="宋体"/>
                <w:color w:val="000000"/>
                <w:sz w:val="24"/>
                <w:szCs w:val="24"/>
                <w:highlight w:val="none"/>
                <w:lang w:val="en-US" w:eastAsia="zh-CN"/>
              </w:rPr>
              <w:t xml:space="preserve">7.5</w:t>
            </w:r>
            <w:r>
              <w:rPr>
                <w:rFonts w:hint="eastAsia" w:ascii="宋体" w:hAnsi="宋体"/>
                <w:color w:val="000000"/>
                <w:sz w:val="24"/>
                <w:szCs w:val="24"/>
                <w:highlight w:val="none"/>
              </w:rPr>
              <w:t xml:space="preserve">kw</w:t>
            </w: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台</w:t>
            </w:r>
            <w:r>
              <w:rPr>
                <w:rFonts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电控柜</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含电线电缆</w:t>
            </w: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套</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8</w:t>
            </w:r>
            <w:r>
              <w:rPr>
                <w:rFonts w:hint="eastAsia"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管道阀门</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进出水管道</w:t>
            </w: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运输吊装</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安装费</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11</w:t>
            </w:r>
            <w:r>
              <w:rPr>
                <w:rFonts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调试费</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r>
      <w:tr>
        <w:trPr>
          <w:trHeight w:val="369"/>
          <w:tblHeader/>
        </w:trPr>
        <w:tc>
          <w:tcPr>
            <w:shd w:val="clear" w:color="000000" w:fill="ffffff"/>
            <w:tcW w:w="817" w:type="dxa"/>
            <w:vAlign w:val="center"/>
            <w:textDirection w:val="lrTb"/>
            <w:noWrap w:val="false"/>
          </w:tcPr>
          <w:p>
            <w:pPr>
              <w:pStyle w:val="1644"/>
              <w:jc w:val="center"/>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12</w:t>
            </w:r>
            <w:r>
              <w:rPr>
                <w:rFonts w:ascii="宋体" w:hAnsi="宋体" w:eastAsia="宋体"/>
                <w:color w:val="000000"/>
                <w:sz w:val="24"/>
                <w:szCs w:val="24"/>
                <w:highlight w:val="none"/>
                <w:lang w:val="en-US" w:eastAsia="zh-CN"/>
              </w:rPr>
            </w:r>
            <w:r/>
          </w:p>
        </w:tc>
        <w:tc>
          <w:tcPr>
            <w:shd w:val="clear" w:color="000000" w:fill="ffffff"/>
            <w:tcW w:w="2455"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税金</w:t>
            </w:r>
            <w:r>
              <w:rPr>
                <w:rFonts w:hint="eastAsia" w:ascii="宋体" w:hAnsi="宋体"/>
                <w:color w:val="000000"/>
                <w:sz w:val="24"/>
                <w:szCs w:val="24"/>
                <w:highlight w:val="none"/>
              </w:rPr>
            </w:r>
            <w:r/>
          </w:p>
        </w:tc>
        <w:tc>
          <w:tcPr>
            <w:shd w:val="clear" w:color="000000" w:fill="ffffff"/>
            <w:tcW w:w="322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r>
            <w:r/>
          </w:p>
        </w:tc>
        <w:tc>
          <w:tcPr>
            <w:shd w:val="clear" w:color="000000" w:fill="ffffff"/>
            <w:tcW w:w="840"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项</w:t>
            </w:r>
            <w:r>
              <w:rPr>
                <w:rFonts w:hint="eastAsia" w:ascii="宋体" w:hAnsi="宋体"/>
                <w:color w:val="000000"/>
                <w:sz w:val="24"/>
                <w:szCs w:val="24"/>
                <w:highlight w:val="none"/>
              </w:rPr>
            </w:r>
            <w:r/>
          </w:p>
        </w:tc>
        <w:tc>
          <w:tcPr>
            <w:shd w:val="clear" w:color="000000" w:fill="ffffff"/>
            <w:tcW w:w="1292" w:type="dxa"/>
            <w:vAlign w:val="center"/>
            <w:textDirection w:val="lrTb"/>
            <w:noWrap w:val="false"/>
          </w:tcPr>
          <w:p>
            <w:pPr>
              <w:pStyle w:val="1644"/>
              <w:jc w:val="center"/>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2、收集池</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主要用于收集从雨水井管道排出的雨水与倾到入管道内的各类其他废水，在收集稳定水质后由提升泵送至一体化设备内统一处理，能达到更好更稳定的处理效果。</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收集池顶部封顶（留检修口），防止周边树叶等固体垃圾物飘入池内堵塞提升泵，靠河道一侧配溢流管道一根，以防止大雨天气时雨水不能及时处理后池内满出。</w:t>
      </w:r>
      <w:r>
        <w:rPr>
          <w:rFonts w:hint="eastAsia" w:ascii="宋体" w:hAnsi="宋体" w:eastAsia="宋体" w:cs="宋体"/>
          <w:b w:val="0"/>
          <w:bCs w:val="0"/>
          <w:color w:val="000000"/>
          <w:sz w:val="24"/>
          <w:szCs w:val="24"/>
          <w:highlight w:val="none"/>
          <w:lang w:val="en-US" w:eastAsia="zh-CN"/>
        </w:rPr>
      </w:r>
      <w:r/>
    </w:p>
    <w:tbl>
      <w:tblPr>
        <w:tblW w:w="7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80"/>
        <w:gridCol w:w="5079"/>
      </w:tblGrid>
      <w:tr>
        <w:trPr>
          <w:trHeight w:val="283"/>
        </w:trPr>
        <w:tc>
          <w:tcPr>
            <w:tcW w:w="2780"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bookmarkStart w:id="29" w:name="_Hlk75256510"/>
            <w:r>
              <w:rPr>
                <w:rFonts w:hint="eastAsia" w:ascii="宋体" w:hAnsi="宋体" w:eastAsia="宋体" w:cs="宋体"/>
                <w:b/>
                <w:sz w:val="24"/>
                <w:szCs w:val="24"/>
                <w:highlight w:val="none"/>
              </w:rPr>
              <w:t xml:space="preserve">项  目</w:t>
            </w:r>
            <w:r>
              <w:rPr>
                <w:rFonts w:hint="eastAsia" w:ascii="宋体" w:hAnsi="宋体" w:eastAsia="宋体" w:cs="宋体"/>
                <w:b/>
                <w:sz w:val="24"/>
                <w:szCs w:val="24"/>
                <w:highlight w:val="none"/>
              </w:rPr>
            </w:r>
            <w:r/>
          </w:p>
        </w:tc>
        <w:tc>
          <w:tcPr>
            <w:tcW w:w="5079"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  数</w:t>
            </w:r>
            <w:r>
              <w:rPr>
                <w:rFonts w:hint="eastAsia" w:ascii="宋体" w:hAnsi="宋体" w:eastAsia="宋体" w:cs="宋体"/>
                <w:b/>
                <w:sz w:val="24"/>
                <w:szCs w:val="24"/>
                <w:highlight w:val="none"/>
              </w:rPr>
            </w:r>
            <w:r/>
          </w:p>
        </w:tc>
      </w:tr>
      <w:tr>
        <w:trPr>
          <w:trHeight w:val="283"/>
        </w:trPr>
        <w:tc>
          <w:tcPr>
            <w:tcW w:w="278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外形尺寸</w:t>
            </w:r>
            <w:r>
              <w:rPr>
                <w:rFonts w:hint="eastAsia" w:ascii="宋体" w:hAnsi="宋体" w:eastAsia="宋体" w:cs="宋体"/>
                <w:sz w:val="24"/>
                <w:szCs w:val="24"/>
                <w:highlight w:val="none"/>
              </w:rPr>
            </w:r>
            <w:r/>
          </w:p>
        </w:tc>
        <w:tc>
          <w:tcPr>
            <w:tcW w:w="5079"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3000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3000 mm</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rPr>
              <w:t xml:space="preserve">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mm，Q235</w:t>
            </w:r>
            <w:r>
              <w:rPr>
                <w:rFonts w:hint="eastAsia" w:ascii="宋体" w:hAnsi="宋体" w:eastAsia="宋体" w:cs="宋体"/>
                <w:bCs/>
                <w:sz w:val="24"/>
                <w:szCs w:val="24"/>
                <w:highlight w:val="none"/>
              </w:rPr>
            </w:r>
            <w:r/>
          </w:p>
        </w:tc>
      </w:tr>
      <w:tr>
        <w:trPr>
          <w:trHeight w:val="283"/>
        </w:trPr>
        <w:tc>
          <w:tcPr>
            <w:tcW w:w="278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有效容积</w:t>
            </w:r>
            <w:r>
              <w:rPr>
                <w:rFonts w:hint="eastAsia" w:ascii="宋体" w:hAnsi="宋体" w:eastAsia="宋体" w:cs="宋体"/>
                <w:sz w:val="24"/>
                <w:szCs w:val="24"/>
                <w:highlight w:val="none"/>
              </w:rPr>
            </w:r>
            <w:r/>
          </w:p>
        </w:tc>
        <w:tc>
          <w:tcPr>
            <w:tcW w:w="5079"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 m</w:t>
            </w:r>
            <w:r>
              <w:rPr>
                <w:rFonts w:hint="eastAsia" w:ascii="宋体" w:hAnsi="宋体" w:eastAsia="宋体" w:cs="宋体"/>
                <w:bCs/>
                <w:sz w:val="24"/>
                <w:szCs w:val="24"/>
                <w:highlight w:val="none"/>
                <w:vertAlign w:val="superscript"/>
              </w:rPr>
              <w:t xml:space="preserve">3</w:t>
            </w:r>
            <w:r>
              <w:rPr>
                <w:rFonts w:hint="eastAsia" w:ascii="宋体" w:hAnsi="宋体" w:eastAsia="宋体" w:cs="宋体"/>
                <w:bCs/>
                <w:sz w:val="24"/>
                <w:szCs w:val="24"/>
                <w:highlight w:val="none"/>
              </w:rPr>
            </w:r>
            <w:r/>
          </w:p>
        </w:tc>
      </w:tr>
      <w:tr>
        <w:trPr>
          <w:trHeight w:val="283"/>
        </w:trPr>
        <w:tc>
          <w:tcPr>
            <w:tcW w:w="278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停留时间</w:t>
            </w:r>
            <w:r>
              <w:rPr>
                <w:rFonts w:hint="eastAsia" w:ascii="宋体" w:hAnsi="宋体" w:eastAsia="宋体" w:cs="宋体"/>
                <w:sz w:val="24"/>
                <w:szCs w:val="24"/>
                <w:highlight w:val="none"/>
              </w:rPr>
            </w:r>
            <w:r/>
          </w:p>
        </w:tc>
        <w:tc>
          <w:tcPr>
            <w:tcW w:w="5079"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h</w:t>
            </w:r>
            <w:r>
              <w:rPr>
                <w:rFonts w:hint="eastAsia" w:ascii="宋体" w:hAnsi="宋体" w:eastAsia="宋体" w:cs="宋体"/>
                <w:bCs/>
                <w:sz w:val="24"/>
                <w:szCs w:val="24"/>
                <w:highlight w:val="none"/>
              </w:rPr>
            </w:r>
            <w:r/>
          </w:p>
        </w:tc>
      </w:tr>
      <w:tr>
        <w:trPr>
          <w:trHeight w:val="283"/>
        </w:trPr>
        <w:tc>
          <w:tcPr>
            <w:tcW w:w="278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rPr>
                <w:rFonts w:hint="eastAsia" w:ascii="宋体" w:hAnsi="宋体" w:eastAsia="宋体" w:cs="宋体"/>
                <w:sz w:val="24"/>
                <w:szCs w:val="24"/>
                <w:highlight w:val="none"/>
              </w:rPr>
            </w:r>
            <w:r/>
          </w:p>
        </w:tc>
        <w:tc>
          <w:tcPr>
            <w:tcW w:w="507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1只</w:t>
            </w:r>
            <w:r>
              <w:rPr>
                <w:rFonts w:hint="eastAsia" w:ascii="宋体" w:hAnsi="宋体" w:eastAsia="宋体" w:cs="宋体"/>
                <w:sz w:val="24"/>
                <w:szCs w:val="24"/>
                <w:highlight w:val="none"/>
              </w:rPr>
            </w:r>
            <w:r/>
          </w:p>
        </w:tc>
      </w:tr>
      <w:tr>
        <w:trPr>
          <w:trHeight w:val="283"/>
        </w:trPr>
        <w:tc>
          <w:tcPr>
            <w:tcW w:w="278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  构</w:t>
            </w:r>
            <w:r>
              <w:rPr>
                <w:rFonts w:hint="eastAsia" w:ascii="宋体" w:hAnsi="宋体" w:eastAsia="宋体" w:cs="宋体"/>
                <w:sz w:val="24"/>
                <w:szCs w:val="24"/>
                <w:highlight w:val="none"/>
              </w:rPr>
            </w:r>
            <w:r/>
          </w:p>
        </w:tc>
        <w:tc>
          <w:tcPr>
            <w:tcW w:w="507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碳钢防腐</w:t>
            </w:r>
            <w:r>
              <w:rPr>
                <w:rFonts w:hint="eastAsia" w:ascii="宋体" w:hAnsi="宋体" w:eastAsia="宋体" w:cs="宋体"/>
                <w:sz w:val="24"/>
                <w:szCs w:val="24"/>
                <w:highlight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bookmarkEnd w:id="29"/>
      <w:r>
        <w:rPr>
          <w:rFonts w:hint="eastAsia" w:ascii="宋体" w:hAnsi="宋体" w:eastAsia="宋体" w:cs="宋体"/>
          <w:b w:val="0"/>
          <w:bCs w:val="0"/>
          <w:color w:val="000000"/>
          <w:sz w:val="24"/>
          <w:szCs w:val="24"/>
          <w:highlight w:val="none"/>
          <w:lang w:val="en-US" w:eastAsia="zh-CN"/>
        </w:rPr>
        <w:t xml:space="preserve">提升泵（带切割潜水泵）：</w:t>
      </w:r>
      <w:r>
        <w:rPr>
          <w:rFonts w:hint="eastAsia" w:ascii="宋体" w:hAnsi="宋体" w:eastAsia="宋体" w:cs="宋体"/>
          <w:b w:val="0"/>
          <w:bCs w:val="0"/>
          <w:color w:val="000000"/>
          <w:sz w:val="24"/>
          <w:szCs w:val="24"/>
          <w:highlight w:val="none"/>
          <w:lang w:val="en-US" w:eastAsia="zh-CN"/>
        </w:rPr>
      </w:r>
      <w:r/>
    </w:p>
    <w:tbl>
      <w:tblPr>
        <w:tblW w:w="77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4"/>
        <w:gridCol w:w="4965"/>
      </w:tblGrid>
      <w:tr>
        <w:trPr>
          <w:trHeight w:val="283"/>
        </w:trPr>
        <w:tc>
          <w:tcPr>
            <w:tcW w:w="2774"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  目</w:t>
            </w:r>
            <w:r>
              <w:rPr>
                <w:rFonts w:hint="eastAsia" w:ascii="宋体" w:hAnsi="宋体" w:eastAsia="宋体" w:cs="宋体"/>
                <w:b/>
                <w:sz w:val="24"/>
                <w:szCs w:val="24"/>
                <w:highlight w:val="none"/>
              </w:rPr>
            </w:r>
            <w:r/>
          </w:p>
        </w:tc>
        <w:tc>
          <w:tcPr>
            <w:tcW w:w="4965"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  数</w:t>
            </w:r>
            <w:r>
              <w:rPr>
                <w:rFonts w:hint="eastAsia" w:ascii="宋体" w:hAnsi="宋体" w:eastAsia="宋体" w:cs="宋体"/>
                <w:b/>
                <w:sz w:val="24"/>
                <w:szCs w:val="24"/>
                <w:highlight w:val="none"/>
              </w:rPr>
            </w:r>
            <w:r/>
          </w:p>
        </w:tc>
      </w:tr>
      <w:tr>
        <w:trPr>
          <w:trHeight w:val="283"/>
        </w:trPr>
        <w:tc>
          <w:tcPr>
            <w:tcW w:w="2774"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  量</w:t>
            </w:r>
            <w:r>
              <w:rPr>
                <w:rFonts w:hint="eastAsia" w:ascii="宋体" w:hAnsi="宋体" w:eastAsia="宋体" w:cs="宋体"/>
                <w:sz w:val="24"/>
                <w:szCs w:val="24"/>
                <w:highlight w:val="none"/>
              </w:rPr>
            </w:r>
            <w:r/>
          </w:p>
        </w:tc>
        <w:tc>
          <w:tcPr>
            <w:tcW w:w="4965"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 m</w:t>
            </w:r>
            <w:r>
              <w:rPr>
                <w:rFonts w:hint="eastAsia" w:ascii="宋体" w:hAnsi="宋体" w:eastAsia="宋体" w:cs="宋体"/>
                <w:bCs/>
                <w:sz w:val="24"/>
                <w:szCs w:val="24"/>
                <w:highlight w:val="none"/>
                <w:vertAlign w:val="superscript"/>
              </w:rPr>
              <w:t xml:space="preserve">3</w:t>
            </w:r>
            <w:r>
              <w:rPr>
                <w:rFonts w:hint="eastAsia" w:ascii="宋体" w:hAnsi="宋体" w:eastAsia="宋体" w:cs="宋体"/>
                <w:bCs/>
                <w:sz w:val="24"/>
                <w:szCs w:val="24"/>
                <w:highlight w:val="none"/>
              </w:rPr>
              <w:t xml:space="preserve">/h</w:t>
            </w:r>
            <w:r>
              <w:rPr>
                <w:rFonts w:hint="eastAsia" w:ascii="宋体" w:hAnsi="宋体" w:eastAsia="宋体" w:cs="宋体"/>
                <w:bCs/>
                <w:sz w:val="24"/>
                <w:szCs w:val="24"/>
                <w:highlight w:val="none"/>
              </w:rPr>
            </w:r>
            <w:r/>
          </w:p>
        </w:tc>
      </w:tr>
      <w:tr>
        <w:trPr>
          <w:trHeight w:val="283"/>
        </w:trPr>
        <w:tc>
          <w:tcPr>
            <w:tcW w:w="2774"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扬  程</w:t>
            </w:r>
            <w:r>
              <w:rPr>
                <w:rFonts w:hint="eastAsia" w:ascii="宋体" w:hAnsi="宋体" w:eastAsia="宋体" w:cs="宋体"/>
                <w:sz w:val="24"/>
                <w:szCs w:val="24"/>
                <w:highlight w:val="none"/>
              </w:rPr>
            </w:r>
            <w:r/>
          </w:p>
        </w:tc>
        <w:tc>
          <w:tcPr>
            <w:tcW w:w="4965"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 m</w:t>
            </w:r>
            <w:r>
              <w:rPr>
                <w:rFonts w:hint="eastAsia" w:ascii="宋体" w:hAnsi="宋体" w:eastAsia="宋体" w:cs="宋体"/>
                <w:bCs/>
                <w:sz w:val="24"/>
                <w:szCs w:val="24"/>
                <w:highlight w:val="none"/>
              </w:rPr>
            </w:r>
            <w:r/>
          </w:p>
        </w:tc>
      </w:tr>
      <w:tr>
        <w:trPr>
          <w:trHeight w:val="283"/>
        </w:trPr>
        <w:tc>
          <w:tcPr>
            <w:tcW w:w="2774"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额定功率</w:t>
            </w:r>
            <w:r>
              <w:rPr>
                <w:rFonts w:hint="eastAsia" w:ascii="宋体" w:hAnsi="宋体" w:eastAsia="宋体" w:cs="宋体"/>
                <w:sz w:val="24"/>
                <w:szCs w:val="24"/>
                <w:highlight w:val="none"/>
              </w:rPr>
            </w:r>
            <w:r/>
          </w:p>
        </w:tc>
        <w:tc>
          <w:tcPr>
            <w:tcW w:w="4965"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 </w:t>
            </w:r>
            <w:r>
              <w:rPr>
                <w:rFonts w:hint="eastAsia" w:ascii="宋体" w:hAnsi="宋体" w:eastAsia="宋体" w:cs="宋体"/>
                <w:bCs/>
                <w:sz w:val="24"/>
                <w:szCs w:val="24"/>
                <w:highlight w:val="none"/>
                <w:lang w:eastAsia="zh-CN"/>
              </w:rPr>
              <w:t xml:space="preserve">kW</w:t>
            </w:r>
            <w:r>
              <w:rPr>
                <w:rFonts w:hint="eastAsia" w:ascii="宋体" w:hAnsi="宋体" w:eastAsia="宋体" w:cs="宋体"/>
                <w:bCs/>
                <w:sz w:val="24"/>
                <w:szCs w:val="24"/>
                <w:highlight w:val="none"/>
              </w:rPr>
            </w:r>
            <w:r/>
          </w:p>
        </w:tc>
      </w:tr>
      <w:tr>
        <w:trPr>
          <w:trHeight w:val="283"/>
        </w:trPr>
        <w:tc>
          <w:tcPr>
            <w:tcW w:w="2774"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rPr>
                <w:rFonts w:hint="eastAsia" w:ascii="宋体" w:hAnsi="宋体" w:eastAsia="宋体" w:cs="宋体"/>
                <w:sz w:val="24"/>
                <w:szCs w:val="24"/>
                <w:highlight w:val="none"/>
              </w:rPr>
            </w:r>
            <w:r/>
          </w:p>
        </w:tc>
        <w:tc>
          <w:tcPr>
            <w:tcW w:w="4965"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2台，1用1备</w:t>
            </w:r>
            <w:r>
              <w:rPr>
                <w:rFonts w:hint="eastAsia" w:ascii="宋体" w:hAnsi="宋体" w:eastAsia="宋体" w:cs="宋体"/>
                <w:sz w:val="24"/>
                <w:szCs w:val="24"/>
                <w:highlight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配套液位控制器根据收集池内液位自动开关</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3、一体化净水装置</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收集池提升至一体化净水装置内，装置内分成隔油与生物曝气两段式处理。首先，废水经过隔油与沉淀部分，去除水中浮油与悬浮物，使水体澄清无杂质；一体化净水装置参数如下：</w:t>
      </w:r>
      <w:r>
        <w:rPr>
          <w:rFonts w:hint="eastAsia" w:ascii="宋体" w:hAnsi="宋体" w:eastAsia="宋体" w:cs="宋体"/>
          <w:b w:val="0"/>
          <w:bCs w:val="0"/>
          <w:color w:val="000000"/>
          <w:sz w:val="24"/>
          <w:szCs w:val="24"/>
          <w:highlight w:val="none"/>
          <w:lang w:val="en-US" w:eastAsia="zh-CN"/>
        </w:rPr>
      </w:r>
      <w:r/>
    </w:p>
    <w:tbl>
      <w:tblPr>
        <w:tblW w:w="8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11"/>
        <w:gridCol w:w="4828"/>
      </w:tblGrid>
      <w:tr>
        <w:trPr>
          <w:trHeight w:val="283"/>
        </w:trPr>
        <w:tc>
          <w:tcPr>
            <w:tcW w:w="3211"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  目</w:t>
            </w:r>
            <w:r>
              <w:rPr>
                <w:rFonts w:hint="eastAsia" w:ascii="宋体" w:hAnsi="宋体" w:eastAsia="宋体" w:cs="宋体"/>
                <w:b/>
                <w:sz w:val="24"/>
                <w:szCs w:val="24"/>
                <w:highlight w:val="none"/>
              </w:rPr>
            </w:r>
            <w:r/>
          </w:p>
        </w:tc>
        <w:tc>
          <w:tcPr>
            <w:tcW w:w="4828"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  数</w:t>
            </w:r>
            <w:r>
              <w:rPr>
                <w:rFonts w:hint="eastAsia" w:ascii="宋体" w:hAnsi="宋体" w:eastAsia="宋体" w:cs="宋体"/>
                <w:b/>
                <w:sz w:val="24"/>
                <w:szCs w:val="24"/>
                <w:highlight w:val="none"/>
              </w:rPr>
            </w:r>
            <w:r/>
          </w:p>
        </w:tc>
      </w:tr>
      <w:tr>
        <w:trPr>
          <w:trHeight w:val="283"/>
        </w:trPr>
        <w:tc>
          <w:tcPr>
            <w:tcW w:w="321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一体化装置外形尺寸</w:t>
            </w:r>
            <w:r>
              <w:rPr>
                <w:rFonts w:hint="eastAsia" w:ascii="宋体" w:hAnsi="宋体" w:eastAsia="宋体" w:cs="宋体"/>
                <w:sz w:val="24"/>
                <w:szCs w:val="24"/>
                <w:highlight w:val="none"/>
              </w:rPr>
            </w:r>
            <w:r/>
          </w:p>
        </w:tc>
        <w:tc>
          <w:tcPr>
            <w:tcW w:w="4828"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000×3000×3200 mm  δ=8mm，Q235</w:t>
            </w:r>
            <w:r>
              <w:rPr>
                <w:rFonts w:hint="eastAsia" w:ascii="宋体" w:hAnsi="宋体" w:eastAsia="宋体" w:cs="宋体"/>
                <w:bCs/>
                <w:sz w:val="24"/>
                <w:szCs w:val="24"/>
                <w:highlight w:val="none"/>
              </w:rPr>
            </w:r>
            <w:r/>
          </w:p>
        </w:tc>
      </w:tr>
      <w:tr>
        <w:trPr>
          <w:trHeight w:val="283"/>
        </w:trPr>
        <w:tc>
          <w:tcPr>
            <w:tcW w:w="321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rPr>
                <w:rFonts w:hint="eastAsia" w:ascii="宋体" w:hAnsi="宋体" w:eastAsia="宋体" w:cs="宋体"/>
                <w:sz w:val="24"/>
                <w:szCs w:val="24"/>
                <w:highlight w:val="none"/>
              </w:rPr>
            </w:r>
            <w:r/>
          </w:p>
        </w:tc>
        <w:tc>
          <w:tcPr>
            <w:tcW w:w="4828"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1台</w:t>
            </w:r>
            <w:r>
              <w:rPr>
                <w:rFonts w:hint="eastAsia" w:ascii="宋体" w:hAnsi="宋体" w:eastAsia="宋体" w:cs="宋体"/>
                <w:sz w:val="24"/>
                <w:szCs w:val="24"/>
                <w:highlight w:val="none"/>
              </w:rPr>
            </w:r>
            <w:r/>
          </w:p>
        </w:tc>
      </w:tr>
      <w:tr>
        <w:trPr>
          <w:trHeight w:val="283"/>
        </w:trPr>
        <w:tc>
          <w:tcPr>
            <w:tcW w:w="3211"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  构</w:t>
            </w:r>
            <w:r>
              <w:rPr>
                <w:rFonts w:hint="eastAsia" w:ascii="宋体" w:hAnsi="宋体" w:eastAsia="宋体" w:cs="宋体"/>
                <w:sz w:val="24"/>
                <w:szCs w:val="24"/>
                <w:highlight w:val="none"/>
              </w:rPr>
            </w:r>
            <w:r/>
          </w:p>
        </w:tc>
        <w:tc>
          <w:tcPr>
            <w:tcW w:w="4828"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碳钢防腐</w:t>
            </w:r>
            <w:r>
              <w:rPr>
                <w:rFonts w:hint="eastAsia" w:ascii="宋体" w:hAnsi="宋体" w:eastAsia="宋体" w:cs="宋体"/>
                <w:sz w:val="24"/>
                <w:szCs w:val="24"/>
                <w:highlight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兼氧池（包含在一体化装置内）参数为：</w:t>
      </w:r>
      <w:r>
        <w:rPr>
          <w:rFonts w:hint="eastAsia" w:ascii="宋体" w:hAnsi="宋体" w:eastAsia="宋体" w:cs="宋体"/>
          <w:b w:val="0"/>
          <w:bCs w:val="0"/>
          <w:color w:val="000000"/>
          <w:sz w:val="24"/>
          <w:szCs w:val="24"/>
          <w:highlight w:val="none"/>
          <w:lang w:val="en-US" w:eastAsia="zh-CN"/>
        </w:rPr>
      </w:r>
      <w:r/>
    </w:p>
    <w:tbl>
      <w:tblPr>
        <w:tblW w:w="8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10"/>
        <w:gridCol w:w="4829"/>
      </w:tblGrid>
      <w:tr>
        <w:trPr>
          <w:trHeight w:val="283"/>
        </w:trPr>
        <w:tc>
          <w:tcPr>
            <w:tcW w:w="3210"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  目</w:t>
            </w:r>
            <w:r>
              <w:rPr>
                <w:rFonts w:hint="eastAsia" w:ascii="宋体" w:hAnsi="宋体" w:eastAsia="宋体" w:cs="宋体"/>
                <w:b/>
                <w:sz w:val="24"/>
                <w:szCs w:val="24"/>
                <w:highlight w:val="none"/>
              </w:rPr>
            </w:r>
            <w:r/>
          </w:p>
        </w:tc>
        <w:tc>
          <w:tcPr>
            <w:tcW w:w="4829"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  数</w:t>
            </w:r>
            <w:r>
              <w:rPr>
                <w:rFonts w:hint="eastAsia" w:ascii="宋体" w:hAnsi="宋体" w:eastAsia="宋体" w:cs="宋体"/>
                <w:b/>
                <w:sz w:val="24"/>
                <w:szCs w:val="24"/>
                <w:highlight w:val="none"/>
              </w:rPr>
            </w:r>
            <w:r/>
          </w:p>
        </w:tc>
      </w:tr>
      <w:tr>
        <w:trPr>
          <w:trHeight w:val="283"/>
        </w:trPr>
        <w:tc>
          <w:tcPr>
            <w:tcW w:w="321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外形尺寸</w:t>
            </w:r>
            <w:r>
              <w:rPr>
                <w:rFonts w:hint="eastAsia" w:ascii="宋体" w:hAnsi="宋体" w:eastAsia="宋体" w:cs="宋体"/>
                <w:sz w:val="24"/>
                <w:szCs w:val="24"/>
                <w:highlight w:val="none"/>
              </w:rPr>
            </w:r>
            <w:r/>
          </w:p>
        </w:tc>
        <w:tc>
          <w:tcPr>
            <w:tcW w:w="4829"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3000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 mm</w:t>
            </w:r>
            <w:r>
              <w:rPr>
                <w:rFonts w:hint="eastAsia" w:ascii="宋体" w:hAnsi="宋体" w:eastAsia="宋体" w:cs="宋体"/>
                <w:bCs/>
                <w:sz w:val="24"/>
                <w:szCs w:val="24"/>
                <w:highlight w:val="none"/>
              </w:rPr>
            </w:r>
            <w:r/>
          </w:p>
        </w:tc>
      </w:tr>
      <w:tr>
        <w:trPr>
          <w:trHeight w:val="283"/>
        </w:trPr>
        <w:tc>
          <w:tcPr>
            <w:tcW w:w="321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有效容积</w:t>
            </w:r>
            <w:r>
              <w:rPr>
                <w:rFonts w:hint="eastAsia" w:ascii="宋体" w:hAnsi="宋体" w:eastAsia="宋体" w:cs="宋体"/>
                <w:sz w:val="24"/>
                <w:szCs w:val="24"/>
                <w:highlight w:val="none"/>
              </w:rPr>
            </w:r>
            <w:r/>
          </w:p>
        </w:tc>
        <w:tc>
          <w:tcPr>
            <w:tcW w:w="4829"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90 </w:t>
            </w:r>
            <w:r>
              <w:rPr>
                <w:rFonts w:hint="eastAsia" w:ascii="宋体" w:hAnsi="宋体" w:eastAsia="宋体" w:cs="宋体"/>
                <w:bCs/>
                <w:sz w:val="24"/>
                <w:szCs w:val="24"/>
                <w:highlight w:val="none"/>
              </w:rPr>
              <w:t xml:space="preserve">m</w:t>
            </w:r>
            <w:r>
              <w:rPr>
                <w:rFonts w:hint="eastAsia" w:ascii="宋体" w:hAnsi="宋体" w:eastAsia="宋体" w:cs="宋体"/>
                <w:bCs/>
                <w:sz w:val="24"/>
                <w:szCs w:val="24"/>
                <w:highlight w:val="none"/>
                <w:vertAlign w:val="superscript"/>
              </w:rPr>
              <w:t xml:space="preserve">3</w:t>
            </w:r>
            <w:r>
              <w:rPr>
                <w:rFonts w:hint="eastAsia" w:ascii="宋体" w:hAnsi="宋体" w:eastAsia="宋体" w:cs="宋体"/>
                <w:bCs/>
                <w:sz w:val="24"/>
                <w:szCs w:val="24"/>
                <w:highlight w:val="none"/>
              </w:rPr>
            </w:r>
            <w:r/>
          </w:p>
        </w:tc>
      </w:tr>
      <w:tr>
        <w:trPr>
          <w:trHeight w:val="283"/>
        </w:trPr>
        <w:tc>
          <w:tcPr>
            <w:tcW w:w="321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停留时间</w:t>
            </w:r>
            <w:r>
              <w:rPr>
                <w:rFonts w:hint="eastAsia" w:ascii="宋体" w:hAnsi="宋体" w:eastAsia="宋体" w:cs="宋体"/>
                <w:sz w:val="24"/>
                <w:szCs w:val="24"/>
                <w:highlight w:val="none"/>
              </w:rPr>
            </w:r>
            <w:r/>
          </w:p>
        </w:tc>
        <w:tc>
          <w:tcPr>
            <w:tcW w:w="482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 h</w:t>
            </w:r>
            <w:r>
              <w:rPr>
                <w:rFonts w:hint="eastAsia" w:ascii="宋体" w:hAnsi="宋体" w:eastAsia="宋体" w:cs="宋体"/>
                <w:sz w:val="24"/>
                <w:szCs w:val="24"/>
                <w:highlight w:val="none"/>
              </w:rPr>
            </w:r>
            <w:r/>
          </w:p>
        </w:tc>
      </w:tr>
      <w:tr>
        <w:trPr>
          <w:trHeight w:val="283"/>
        </w:trPr>
        <w:tc>
          <w:tcPr>
            <w:tcW w:w="321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rPr>
                <w:rFonts w:hint="eastAsia" w:ascii="宋体" w:hAnsi="宋体" w:eastAsia="宋体" w:cs="宋体"/>
                <w:sz w:val="24"/>
                <w:szCs w:val="24"/>
                <w:highlight w:val="none"/>
              </w:rPr>
            </w:r>
            <w:r/>
          </w:p>
        </w:tc>
        <w:tc>
          <w:tcPr>
            <w:tcW w:w="482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r>
      <w:tr>
        <w:trPr>
          <w:trHeight w:val="283"/>
        </w:trPr>
        <w:tc>
          <w:tcPr>
            <w:tcW w:w="3210"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  构</w:t>
            </w:r>
            <w:r>
              <w:rPr>
                <w:rFonts w:hint="eastAsia" w:ascii="宋体" w:hAnsi="宋体" w:eastAsia="宋体" w:cs="宋体"/>
                <w:sz w:val="24"/>
                <w:szCs w:val="24"/>
                <w:highlight w:val="none"/>
              </w:rPr>
            </w:r>
            <w:r/>
          </w:p>
        </w:tc>
        <w:tc>
          <w:tcPr>
            <w:tcW w:w="4829"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碳钢防腐</w:t>
            </w:r>
            <w:r>
              <w:rPr>
                <w:rFonts w:hint="eastAsia" w:ascii="宋体" w:hAnsi="宋体" w:eastAsia="宋体" w:cs="宋体"/>
                <w:sz w:val="24"/>
                <w:szCs w:val="24"/>
                <w:highlight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生物曝气段，通过生长在填料上的好氧菌群的作用，充分降废水中的COD、氨氮、总磷及高锰酸钾盐去除，同时曝气过程能大大增加废水中的溶解氧含量。生物曝气部分（包含在一体化装置内）参数为：</w:t>
      </w:r>
      <w:r>
        <w:rPr>
          <w:rFonts w:hint="eastAsia" w:ascii="宋体" w:hAnsi="宋体" w:eastAsia="宋体" w:cs="宋体"/>
          <w:b w:val="0"/>
          <w:bCs w:val="0"/>
          <w:color w:val="000000"/>
          <w:sz w:val="24"/>
          <w:szCs w:val="24"/>
          <w:highlight w:val="none"/>
          <w:lang w:val="en-US" w:eastAsia="zh-CN"/>
        </w:rPr>
      </w:r>
      <w:r/>
    </w:p>
    <w:tbl>
      <w:tblPr>
        <w:tblW w:w="79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5"/>
        <w:gridCol w:w="4804"/>
      </w:tblGrid>
      <w:tr>
        <w:trPr>
          <w:trHeight w:val="283"/>
        </w:trPr>
        <w:tc>
          <w:tcPr>
            <w:tcW w:w="3195"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  目</w:t>
            </w:r>
            <w:r>
              <w:rPr>
                <w:rFonts w:hint="eastAsia" w:ascii="宋体" w:hAnsi="宋体" w:eastAsia="宋体" w:cs="宋体"/>
                <w:b/>
                <w:sz w:val="24"/>
                <w:szCs w:val="24"/>
                <w:highlight w:val="none"/>
              </w:rPr>
            </w:r>
            <w:r/>
          </w:p>
        </w:tc>
        <w:tc>
          <w:tcPr>
            <w:tcW w:w="4804"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  数</w:t>
            </w:r>
            <w:r>
              <w:rPr>
                <w:rFonts w:hint="eastAsia" w:ascii="宋体" w:hAnsi="宋体" w:eastAsia="宋体" w:cs="宋体"/>
                <w:b/>
                <w:sz w:val="24"/>
                <w:szCs w:val="24"/>
                <w:highlight w:val="none"/>
              </w:rPr>
            </w:r>
            <w:r/>
          </w:p>
        </w:tc>
      </w:tr>
      <w:tr>
        <w:trPr>
          <w:trHeight w:val="283"/>
        </w:trPr>
        <w:tc>
          <w:tcPr>
            <w:tcW w:w="3195"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外形尺寸</w:t>
            </w:r>
            <w:r>
              <w:rPr>
                <w:rFonts w:hint="eastAsia" w:ascii="宋体" w:hAnsi="宋体" w:eastAsia="宋体" w:cs="宋体"/>
                <w:sz w:val="24"/>
                <w:szCs w:val="24"/>
                <w:highlight w:val="none"/>
              </w:rPr>
            </w:r>
            <w:r/>
          </w:p>
        </w:tc>
        <w:tc>
          <w:tcPr>
            <w:tcW w:w="4804"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80</w:t>
            </w:r>
            <w:r>
              <w:rPr>
                <w:rFonts w:hint="eastAsia" w:ascii="宋体" w:hAnsi="宋体" w:eastAsia="宋体" w:cs="宋体"/>
                <w:sz w:val="24"/>
                <w:szCs w:val="24"/>
                <w:highlight w:val="none"/>
              </w:rPr>
              <w:t xml:space="preserve">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3000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 mm</w:t>
            </w:r>
            <w:r>
              <w:rPr>
                <w:rFonts w:hint="eastAsia" w:ascii="宋体" w:hAnsi="宋体" w:eastAsia="宋体" w:cs="宋体"/>
                <w:bCs/>
                <w:sz w:val="24"/>
                <w:szCs w:val="24"/>
                <w:highlight w:val="none"/>
              </w:rPr>
            </w:r>
            <w:r/>
          </w:p>
        </w:tc>
      </w:tr>
      <w:tr>
        <w:trPr>
          <w:trHeight w:val="283"/>
        </w:trPr>
        <w:tc>
          <w:tcPr>
            <w:tcW w:w="3195"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有效容积</w:t>
            </w:r>
            <w:r>
              <w:rPr>
                <w:rFonts w:hint="eastAsia" w:ascii="宋体" w:hAnsi="宋体" w:eastAsia="宋体" w:cs="宋体"/>
                <w:sz w:val="24"/>
                <w:szCs w:val="24"/>
                <w:highlight w:val="none"/>
              </w:rPr>
            </w:r>
            <w:r/>
          </w:p>
        </w:tc>
        <w:tc>
          <w:tcPr>
            <w:tcW w:w="4804"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75</w:t>
            </w:r>
            <w:r>
              <w:rPr>
                <w:rFonts w:hint="eastAsia" w:ascii="宋体" w:hAnsi="宋体" w:eastAsia="宋体" w:cs="宋体"/>
                <w:bCs/>
                <w:sz w:val="24"/>
                <w:szCs w:val="24"/>
                <w:highlight w:val="none"/>
              </w:rPr>
              <w:t xml:space="preserve"> m</w:t>
            </w:r>
            <w:r>
              <w:rPr>
                <w:rFonts w:hint="eastAsia" w:ascii="宋体" w:hAnsi="宋体" w:eastAsia="宋体" w:cs="宋体"/>
                <w:bCs/>
                <w:sz w:val="24"/>
                <w:szCs w:val="24"/>
                <w:highlight w:val="none"/>
                <w:vertAlign w:val="superscript"/>
              </w:rPr>
              <w:t xml:space="preserve">3</w:t>
            </w:r>
            <w:r>
              <w:rPr>
                <w:rFonts w:hint="eastAsia" w:ascii="宋体" w:hAnsi="宋体" w:eastAsia="宋体" w:cs="宋体"/>
                <w:bCs/>
                <w:sz w:val="24"/>
                <w:szCs w:val="24"/>
                <w:highlight w:val="none"/>
              </w:rPr>
            </w:r>
            <w:r/>
          </w:p>
        </w:tc>
      </w:tr>
      <w:tr>
        <w:trPr>
          <w:trHeight w:val="283"/>
        </w:trPr>
        <w:tc>
          <w:tcPr>
            <w:tcW w:w="3195"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停留时间</w:t>
            </w:r>
            <w:r>
              <w:rPr>
                <w:rFonts w:hint="eastAsia" w:ascii="宋体" w:hAnsi="宋体" w:eastAsia="宋体" w:cs="宋体"/>
                <w:sz w:val="24"/>
                <w:szCs w:val="24"/>
                <w:highlight w:val="none"/>
              </w:rPr>
            </w:r>
            <w:r/>
          </w:p>
        </w:tc>
        <w:tc>
          <w:tcPr>
            <w:tcW w:w="4804"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 h</w:t>
            </w:r>
            <w:r>
              <w:rPr>
                <w:rFonts w:hint="eastAsia" w:ascii="宋体" w:hAnsi="宋体" w:eastAsia="宋体" w:cs="宋体"/>
                <w:bCs/>
                <w:sz w:val="24"/>
                <w:szCs w:val="24"/>
                <w:highlight w:val="none"/>
              </w:rPr>
            </w:r>
            <w:r/>
          </w:p>
        </w:tc>
      </w:tr>
      <w:tr>
        <w:trPr>
          <w:trHeight w:val="283"/>
        </w:trPr>
        <w:tc>
          <w:tcPr>
            <w:tcW w:w="3195"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rPr>
                <w:rFonts w:hint="eastAsia" w:ascii="宋体" w:hAnsi="宋体" w:eastAsia="宋体" w:cs="宋体"/>
                <w:sz w:val="24"/>
                <w:szCs w:val="24"/>
                <w:highlight w:val="none"/>
              </w:rPr>
            </w:r>
            <w:r/>
          </w:p>
        </w:tc>
        <w:tc>
          <w:tcPr>
            <w:tcW w:w="4804"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r>
      <w:tr>
        <w:trPr>
          <w:trHeight w:val="283"/>
        </w:trPr>
        <w:tc>
          <w:tcPr>
            <w:tcW w:w="3195"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  构</w:t>
            </w:r>
            <w:r>
              <w:rPr>
                <w:rFonts w:hint="eastAsia" w:ascii="宋体" w:hAnsi="宋体" w:eastAsia="宋体" w:cs="宋体"/>
                <w:sz w:val="24"/>
                <w:szCs w:val="24"/>
                <w:highlight w:val="none"/>
              </w:rPr>
            </w:r>
            <w:r/>
          </w:p>
        </w:tc>
        <w:tc>
          <w:tcPr>
            <w:tcW w:w="4804"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碳钢防腐</w:t>
            </w:r>
            <w:r>
              <w:rPr>
                <w:rFonts w:hint="eastAsia" w:ascii="宋体" w:hAnsi="宋体" w:eastAsia="宋体" w:cs="宋体"/>
                <w:sz w:val="24"/>
                <w:szCs w:val="24"/>
                <w:highlight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生物曝气部分内配套曝气装置和生物填料，同时配有风机一台，其主要技术参数为：</w:t>
      </w:r>
      <w:r>
        <w:rPr>
          <w:rFonts w:hint="eastAsia" w:ascii="宋体" w:hAnsi="宋体" w:eastAsia="宋体" w:cs="宋体"/>
          <w:b w:val="0"/>
          <w:bCs w:val="0"/>
          <w:color w:val="000000"/>
          <w:sz w:val="24"/>
          <w:szCs w:val="24"/>
          <w:highlight w:val="none"/>
          <w:lang w:val="en-US" w:eastAsia="zh-CN"/>
        </w:rPr>
      </w:r>
      <w:r/>
    </w:p>
    <w:tbl>
      <w:tblPr>
        <w:tblW w:w="80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03"/>
        <w:gridCol w:w="4816"/>
      </w:tblGrid>
      <w:tr>
        <w:trPr>
          <w:trHeight w:val="283"/>
        </w:trPr>
        <w:tc>
          <w:tcPr>
            <w:tcW w:w="3203"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  目</w:t>
            </w:r>
            <w:r>
              <w:rPr>
                <w:rFonts w:hint="eastAsia" w:ascii="宋体" w:hAnsi="宋体" w:eastAsia="宋体" w:cs="宋体"/>
                <w:b/>
                <w:sz w:val="24"/>
                <w:szCs w:val="24"/>
                <w:highlight w:val="none"/>
              </w:rPr>
            </w:r>
            <w:r/>
          </w:p>
        </w:tc>
        <w:tc>
          <w:tcPr>
            <w:tcW w:w="4816" w:type="dxa"/>
            <w:vAlign w:val="center"/>
            <w:textDirection w:val="lrTb"/>
            <w:noWrap w:val="false"/>
          </w:tcPr>
          <w:p>
            <w:pPr>
              <w:pStyle w:val="1663"/>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  数</w:t>
            </w:r>
            <w:r>
              <w:rPr>
                <w:rFonts w:hint="eastAsia" w:ascii="宋体" w:hAnsi="宋体" w:eastAsia="宋体" w:cs="宋体"/>
                <w:b/>
                <w:sz w:val="24"/>
                <w:szCs w:val="24"/>
                <w:highlight w:val="none"/>
              </w:rPr>
            </w:r>
            <w:r/>
          </w:p>
        </w:tc>
      </w:tr>
      <w:tr>
        <w:trPr>
          <w:trHeight w:val="283"/>
        </w:trPr>
        <w:tc>
          <w:tcPr>
            <w:tcW w:w="3203"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 量</w:t>
            </w:r>
            <w:r>
              <w:rPr>
                <w:rFonts w:hint="eastAsia" w:ascii="宋体" w:hAnsi="宋体" w:eastAsia="宋体" w:cs="宋体"/>
                <w:sz w:val="24"/>
                <w:szCs w:val="24"/>
                <w:highlight w:val="none"/>
              </w:rPr>
            </w:r>
            <w:r/>
          </w:p>
        </w:tc>
        <w:tc>
          <w:tcPr>
            <w:tcW w:w="4816"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.66 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/min</w:t>
            </w:r>
            <w:r>
              <w:rPr>
                <w:rFonts w:hint="eastAsia" w:ascii="宋体" w:hAnsi="宋体" w:eastAsia="宋体" w:cs="宋体"/>
                <w:bCs/>
                <w:sz w:val="24"/>
                <w:szCs w:val="24"/>
                <w:highlight w:val="none"/>
              </w:rPr>
            </w:r>
            <w:r/>
          </w:p>
        </w:tc>
      </w:tr>
      <w:tr>
        <w:trPr>
          <w:trHeight w:val="283"/>
        </w:trPr>
        <w:tc>
          <w:tcPr>
            <w:tcW w:w="3203"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 压</w:t>
            </w:r>
            <w:r>
              <w:rPr>
                <w:rFonts w:hint="eastAsia" w:ascii="宋体" w:hAnsi="宋体" w:eastAsia="宋体" w:cs="宋体"/>
                <w:sz w:val="24"/>
                <w:szCs w:val="24"/>
                <w:highlight w:val="none"/>
              </w:rPr>
            </w:r>
            <w:r/>
          </w:p>
        </w:tc>
        <w:tc>
          <w:tcPr>
            <w:tcW w:w="4816"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0.3 kgf/cm</w:t>
            </w:r>
            <w:r>
              <w:rPr>
                <w:rFonts w:hint="eastAsia" w:ascii="宋体" w:hAnsi="宋体" w:eastAsia="宋体" w:cs="宋体"/>
                <w:bCs/>
                <w:sz w:val="24"/>
                <w:szCs w:val="24"/>
                <w:highlight w:val="none"/>
                <w:vertAlign w:val="superscript"/>
              </w:rPr>
              <w:t xml:space="preserve">2</w:t>
            </w:r>
            <w:r>
              <w:rPr>
                <w:rFonts w:hint="eastAsia" w:ascii="宋体" w:hAnsi="宋体" w:eastAsia="宋体" w:cs="宋体"/>
                <w:sz w:val="24"/>
                <w:szCs w:val="24"/>
                <w:highlight w:val="none"/>
              </w:rPr>
            </w:r>
            <w:r/>
          </w:p>
        </w:tc>
      </w:tr>
      <w:tr>
        <w:trPr>
          <w:trHeight w:val="283"/>
        </w:trPr>
        <w:tc>
          <w:tcPr>
            <w:tcW w:w="3203"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电机功率</w:t>
            </w:r>
            <w:r>
              <w:rPr>
                <w:rFonts w:hint="eastAsia" w:ascii="宋体" w:hAnsi="宋体" w:eastAsia="宋体" w:cs="宋体"/>
                <w:sz w:val="24"/>
                <w:szCs w:val="24"/>
                <w:highlight w:val="none"/>
              </w:rPr>
            </w:r>
            <w:r/>
          </w:p>
        </w:tc>
        <w:tc>
          <w:tcPr>
            <w:tcW w:w="4816"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7.5</w:t>
            </w:r>
            <w:r>
              <w:rPr>
                <w:rFonts w:hint="eastAsia" w:ascii="宋体" w:hAnsi="宋体" w:eastAsia="宋体" w:cs="宋体"/>
                <w:bCs/>
                <w:sz w:val="24"/>
                <w:szCs w:val="24"/>
                <w:highlight w:val="none"/>
              </w:rPr>
              <w:t xml:space="preserve"> kw</w:t>
            </w:r>
            <w:r>
              <w:rPr>
                <w:rFonts w:hint="eastAsia" w:ascii="宋体" w:hAnsi="宋体" w:eastAsia="宋体" w:cs="宋体"/>
                <w:bCs/>
                <w:sz w:val="24"/>
                <w:szCs w:val="24"/>
                <w:highlight w:val="none"/>
              </w:rPr>
            </w:r>
            <w:r/>
          </w:p>
        </w:tc>
      </w:tr>
      <w:tr>
        <w:trPr>
          <w:trHeight w:val="283"/>
        </w:trPr>
        <w:tc>
          <w:tcPr>
            <w:tcW w:w="3203" w:type="dxa"/>
            <w:vAlign w:val="center"/>
            <w:textDirection w:val="lrTb"/>
            <w:noWrap w:val="false"/>
          </w:tcPr>
          <w:p>
            <w:pPr>
              <w:pStyle w:val="166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rPr>
                <w:rFonts w:hint="eastAsia" w:ascii="宋体" w:hAnsi="宋体" w:eastAsia="宋体" w:cs="宋体"/>
                <w:sz w:val="24"/>
                <w:szCs w:val="24"/>
                <w:highlight w:val="none"/>
              </w:rPr>
            </w:r>
            <w:r/>
          </w:p>
        </w:tc>
        <w:tc>
          <w:tcPr>
            <w:tcW w:w="4816" w:type="dxa"/>
            <w:vAlign w:val="center"/>
            <w:textDirection w:val="lrTb"/>
            <w:noWrap w:val="false"/>
          </w:tcPr>
          <w:p>
            <w:pPr>
              <w:pStyle w:val="1663"/>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台</w:t>
            </w:r>
            <w:r>
              <w:rPr>
                <w:rFonts w:hint="eastAsia" w:ascii="宋体" w:hAnsi="宋体" w:eastAsia="宋体" w:cs="宋体"/>
                <w:bCs/>
                <w:sz w:val="24"/>
                <w:szCs w:val="24"/>
                <w:highlight w:val="none"/>
              </w:rPr>
            </w:r>
            <w:r/>
          </w:p>
        </w:tc>
      </w:tr>
    </w:tbl>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二沉池部分内配套气提回流装置1套，其主要技术参数为：</w:t>
      </w:r>
      <w:r>
        <w:rPr>
          <w:rFonts w:hint="eastAsia" w:ascii="宋体" w:hAnsi="宋体" w:eastAsia="宋体" w:cs="宋体"/>
          <w:b w:val="0"/>
          <w:bCs w:val="0"/>
          <w:color w:val="000000"/>
          <w:sz w:val="24"/>
          <w:szCs w:val="24"/>
          <w:highlight w:val="none"/>
          <w:lang w:val="en-US" w:eastAsia="zh-CN"/>
        </w:rPr>
      </w:r>
      <w:r/>
    </w:p>
    <w:tbl>
      <w:tblPr>
        <w:tblW w:w="7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86"/>
        <w:gridCol w:w="4793"/>
      </w:tblGrid>
      <w:tr>
        <w:trPr>
          <w:trHeight w:val="283"/>
        </w:trPr>
        <w:tc>
          <w:tcPr>
            <w:tcW w:w="3186"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  目</w:t>
            </w:r>
            <w:r>
              <w:rPr>
                <w:rFonts w:hint="eastAsia" w:ascii="宋体" w:hAnsi="宋体" w:eastAsia="宋体" w:cs="宋体"/>
                <w:b/>
                <w:sz w:val="24"/>
                <w:szCs w:val="24"/>
                <w:highlight w:val="none"/>
              </w:rPr>
            </w:r>
            <w:r/>
          </w:p>
        </w:tc>
        <w:tc>
          <w:tcPr>
            <w:tcW w:w="4793" w:type="dxa"/>
            <w:vAlign w:val="center"/>
            <w:textDirection w:val="lrTb"/>
            <w:noWrap w:val="false"/>
          </w:tcPr>
          <w:p>
            <w:pPr>
              <w:pStyle w:val="1644"/>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参  数</w:t>
            </w:r>
            <w:r>
              <w:rPr>
                <w:rFonts w:hint="eastAsia" w:ascii="宋体" w:hAnsi="宋体" w:eastAsia="宋体" w:cs="宋体"/>
                <w:b/>
                <w:sz w:val="24"/>
                <w:szCs w:val="24"/>
                <w:highlight w:val="none"/>
              </w:rPr>
            </w:r>
            <w:r/>
          </w:p>
        </w:tc>
      </w:tr>
      <w:tr>
        <w:trPr>
          <w:trHeight w:val="283"/>
        </w:trPr>
        <w:tc>
          <w:tcPr>
            <w:tcW w:w="3186"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外形尺寸</w:t>
            </w:r>
            <w:r>
              <w:rPr>
                <w:rFonts w:hint="eastAsia" w:ascii="宋体" w:hAnsi="宋体" w:eastAsia="宋体" w:cs="宋体"/>
                <w:sz w:val="24"/>
                <w:szCs w:val="24"/>
                <w:highlight w:val="none"/>
              </w:rPr>
            </w:r>
            <w:r/>
          </w:p>
        </w:tc>
        <w:tc>
          <w:tcPr>
            <w:tcW w:w="4793"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3000</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3000 mm</w:t>
            </w:r>
            <w:r>
              <w:rPr>
                <w:rFonts w:hint="eastAsia" w:ascii="宋体" w:hAnsi="宋体" w:eastAsia="宋体" w:cs="宋体"/>
                <w:bCs/>
                <w:sz w:val="24"/>
                <w:szCs w:val="24"/>
                <w:highlight w:val="none"/>
              </w:rPr>
            </w:r>
            <w:r/>
          </w:p>
        </w:tc>
      </w:tr>
      <w:tr>
        <w:trPr>
          <w:trHeight w:val="283"/>
        </w:trPr>
        <w:tc>
          <w:tcPr>
            <w:tcW w:w="3186"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表面负荷</w:t>
            </w:r>
            <w:r>
              <w:rPr>
                <w:rFonts w:hint="eastAsia" w:ascii="宋体" w:hAnsi="宋体" w:eastAsia="宋体" w:cs="宋体"/>
                <w:sz w:val="24"/>
                <w:szCs w:val="24"/>
                <w:highlight w:val="none"/>
              </w:rPr>
            </w:r>
            <w:r/>
          </w:p>
        </w:tc>
        <w:tc>
          <w:tcPr>
            <w:tcW w:w="4793" w:type="dxa"/>
            <w:vAlign w:val="center"/>
            <w:textDirection w:val="lrTb"/>
            <w:noWrap w:val="false"/>
          </w:tcPr>
          <w:p>
            <w:pPr>
              <w:pStyle w:val="1644"/>
              <w:jc w:val="center"/>
              <w:keepLines w:val="0"/>
              <w:keepNext w:val="0"/>
              <w:pageBreakBefore w:val="0"/>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 m</w:t>
            </w:r>
            <w:r>
              <w:rPr>
                <w:rFonts w:hint="eastAsia" w:ascii="宋体" w:hAnsi="宋体" w:eastAsia="宋体" w:cs="宋体"/>
                <w:bCs/>
                <w:sz w:val="24"/>
                <w:szCs w:val="24"/>
                <w:highlight w:val="none"/>
                <w:vertAlign w:val="superscript"/>
              </w:rPr>
              <w:t xml:space="preserve">3</w:t>
            </w:r>
            <w:r>
              <w:rPr>
                <w:rFonts w:hint="eastAsia" w:ascii="宋体" w:hAnsi="宋体" w:eastAsia="宋体" w:cs="宋体"/>
                <w:bCs/>
                <w:sz w:val="24"/>
                <w:szCs w:val="24"/>
                <w:highlight w:val="none"/>
              </w:rPr>
              <w:t xml:space="preserve">/(m</w:t>
            </w:r>
            <w:r>
              <w:rPr>
                <w:rFonts w:hint="eastAsia" w:ascii="宋体" w:hAnsi="宋体" w:eastAsia="宋体" w:cs="宋体"/>
                <w:bCs/>
                <w:sz w:val="24"/>
                <w:szCs w:val="24"/>
                <w:highlight w:val="none"/>
                <w:vertAlign w:val="superscript"/>
              </w:rPr>
              <w:t xml:space="preserve">2</w:t>
            </w:r>
            <w:r>
              <w:rPr>
                <w:rFonts w:hint="eastAsia" w:ascii="宋体" w:hAnsi="宋体" w:eastAsia="宋体" w:cs="宋体"/>
                <w:bCs/>
                <w:sz w:val="24"/>
                <w:szCs w:val="24"/>
                <w:highlight w:val="none"/>
              </w:rPr>
              <w:t xml:space="preserve">*h)</w:t>
            </w:r>
            <w:r>
              <w:rPr>
                <w:rFonts w:hint="eastAsia" w:ascii="宋体" w:hAnsi="宋体" w:eastAsia="宋体" w:cs="宋体"/>
                <w:bCs/>
                <w:sz w:val="24"/>
                <w:szCs w:val="24"/>
                <w:highlight w:val="none"/>
              </w:rPr>
            </w:r>
            <w:r/>
          </w:p>
        </w:tc>
      </w:tr>
      <w:tr>
        <w:trPr>
          <w:trHeight w:val="283"/>
        </w:trPr>
        <w:tc>
          <w:tcPr>
            <w:tcW w:w="3186"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  量</w:t>
            </w:r>
            <w:r>
              <w:rPr>
                <w:rFonts w:hint="eastAsia" w:ascii="宋体" w:hAnsi="宋体" w:eastAsia="宋体" w:cs="宋体"/>
                <w:sz w:val="24"/>
                <w:szCs w:val="24"/>
                <w:highlight w:val="none"/>
              </w:rPr>
            </w:r>
            <w:r/>
          </w:p>
        </w:tc>
        <w:tc>
          <w:tcPr>
            <w:tcW w:w="4793"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r>
      <w:tr>
        <w:trPr>
          <w:trHeight w:val="283"/>
        </w:trPr>
        <w:tc>
          <w:tcPr>
            <w:tcW w:w="3186"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  构</w:t>
            </w:r>
            <w:r>
              <w:rPr>
                <w:rFonts w:hint="eastAsia" w:ascii="宋体" w:hAnsi="宋体" w:eastAsia="宋体" w:cs="宋体"/>
                <w:sz w:val="24"/>
                <w:szCs w:val="24"/>
                <w:highlight w:val="none"/>
              </w:rPr>
            </w:r>
            <w:r/>
          </w:p>
        </w:tc>
        <w:tc>
          <w:tcPr>
            <w:tcW w:w="4793" w:type="dxa"/>
            <w:vAlign w:val="center"/>
            <w:textDirection w:val="lrTb"/>
            <w:noWrap w:val="false"/>
          </w:tcPr>
          <w:p>
            <w:pPr>
              <w:pStyle w:val="1644"/>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碳钢防腐</w:t>
            </w:r>
            <w:r>
              <w:rPr>
                <w:rFonts w:hint="eastAsia" w:ascii="宋体" w:hAnsi="宋体" w:eastAsia="宋体" w:cs="宋体"/>
                <w:sz w:val="24"/>
                <w:szCs w:val="24"/>
                <w:highlight w:val="none"/>
              </w:rPr>
            </w:r>
            <w:r/>
          </w:p>
        </w:tc>
      </w:tr>
    </w:tbl>
    <w:p>
      <w:pPr>
        <w:pStyle w:val="1644"/>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r>
        <w:rPr>
          <w:rFonts w:hint="eastAsia" w:ascii="宋体" w:hAnsi="宋体" w:eastAsia="宋体" w:cs="宋体"/>
          <w:b/>
          <w:bCs/>
          <w:color w:val="000000"/>
          <w:sz w:val="24"/>
          <w:szCs w:val="24"/>
          <w:highlight w:val="none"/>
          <w:lang w:val="en-US" w:eastAsia="zh-CN"/>
        </w:rPr>
        <w:t xml:space="preserve">四、技术要求</w:t>
      </w:r>
      <w:r>
        <w:rPr>
          <w:rFonts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（一）工艺</w:t>
      </w:r>
      <w:r>
        <w:rPr>
          <w:rFonts w:hint="eastAsia" w:ascii="宋体" w:hAnsi="宋体" w:eastAsia="宋体" w:cs="宋体"/>
          <w:b/>
          <w:bCs/>
          <w:color w:val="000000"/>
          <w:sz w:val="24"/>
          <w:szCs w:val="24"/>
          <w:highlight w:val="none"/>
          <w:lang w:val="en-US" w:eastAsia="zh-CN"/>
        </w:rPr>
      </w:r>
      <w:r/>
    </w:p>
    <w:p>
      <w:pPr>
        <w:pStyle w:val="1644"/>
        <w:numPr>
          <w:ilvl w:val="0"/>
          <w:numId w:val="0"/>
        </w:numPr>
        <w:jc w:val="left"/>
        <w:spacing w:line="240" w:lineRule="atLeast"/>
        <w:rPr>
          <w:rFonts w:hint="eastAsia" w:hAnsi="宋体"/>
          <w:sz w:val="32"/>
          <w:szCs w:val="32"/>
          <w:highlight w:val="none"/>
          <w:lang w:val="zh-CN"/>
        </w:rPr>
      </w:pPr>
      <w:r>
        <w:rPr>
          <w:rFonts w:hAnsi="宋体"/>
          <w:highlight w:val="none"/>
          <w:lang w:val="zh-CN"/>
        </w:rPr>
        <w:fldChar w:fldCharType="begin"/>
      </w:r>
      <w:r>
        <w:rPr>
          <w:rFonts w:hAnsi="宋体"/>
          <w:highlight w:val="none"/>
          <w:lang w:val="zh-CN"/>
        </w:rPr>
        <w:instrText xml:space="preserve"> SHAPE  \* MERGEFORMAT </w:instrText>
      </w:r>
      <w:r>
        <w:rPr>
          <w:rFonts w:hAnsi="宋体"/>
          <w:highlight w:val="none"/>
          <w:lang w:val="zh-CN"/>
        </w:rPr>
        <w:fldChar w:fldCharType="separate"/>
      </w:r>
      <w:r>
        <w:rPr>
          <w:rFonts w:hAnsi="宋体"/>
          <w:highlight w:val="none"/>
          <w:lang w:val="zh-CN"/>
        </w:rPr>
      </w:r>
      <w:r>
        <w:rPr>
          <w:rFonts w:hAnsi="宋体"/>
          <w:highlight w:val="none"/>
          <w:lang w:val="zh-CN"/>
        </w:rPr>
        <w:fldChar w:fldCharType="end"/>
      </w:r>
      <w:r>
        <w:rPr>
          <w:rFonts w:hint="eastAsia" w:hAnsi="宋体"/>
          <w:sz w:val="32"/>
          <w:szCs w:val="32"/>
          <w:highlight w:val="none"/>
          <w:lang w:val="zh-CN"/>
        </w:rPr>
      </w:r>
      <w:r/>
    </w:p>
    <w:p>
      <w:r>
        <w:rPr>
          <w:rFonts w:hAnsi="宋体"/>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5775960" cy="3413760"/>
                <wp:effectExtent l="0" t="0" r="0" b="0"/>
                <wp:wrapTopAndBottom/>
                <wp:docPr id="22" name=""/>
                <wp:cNvGraphicFramePr/>
                <a:graphic xmlns:a="http://schemas.openxmlformats.org/drawingml/2006/main">
                  <a:graphicData uri="http://schemas.microsoft.com/office/word/2010/wordprocessingGroup">
                    <wpg:wgp>
                      <wpg:cNvGrpSpPr/>
                      <wpg:grpSpPr bwMode="auto">
                        <a:xfrm rot="0" flipH="0" flipV="0">
                          <a:off x="0" y="0"/>
                          <a:ext cx="5775959" cy="3413759"/>
                          <a:chOff x="0" y="0"/>
                          <a:chExt cx="5775959" cy="3413759"/>
                        </a:xfrm>
                      </wpg:grpSpPr>
                      <wps:wsp>
                        <wps:cNvPr id="0" name=""/>
                        <wps:cNvSpPr/>
                        <wps:spPr bwMode="auto">
                          <a:xfrm>
                            <a:off x="0" y="0"/>
                            <a:ext cx="5775959" cy="3413759"/>
                          </a:xfrm>
                          <a:prstGeom prst="rect">
                            <a:avLst/>
                          </a:prstGeom>
                          <a:noFill/>
                          <a:ln>
                            <a:noFill/>
                          </a:ln>
                        </wps:spPr>
                        <wps:txbx>
                          <w:txbxContent>
                            <w:p>
                              <w:pPr>
                                <w:jc w:val="center"/>
                              </w:pPr>
                              <w:r/>
                              <w:r/>
                              <w:r/>
                            </w:p>
                          </w:txbxContent>
                        </wps:txbx>
                        <wps:bodyPr anchor="ctr"/>
                      </wps:wsp>
                      <wps:wsp>
                        <wps:cNvPr id="1" name=""/>
                        <wps:cNvSpPr txBox="1"/>
                        <wps:spPr bwMode="auto">
                          <a:xfrm>
                            <a:off x="2281554" y="899159"/>
                            <a:ext cx="1066799" cy="304799"/>
                          </a:xfrm>
                          <a:prstGeom prst="rect">
                            <a:avLst/>
                          </a:prstGeom>
                          <a:solidFill>
                            <a:srgbClr val="FFFFFF"/>
                          </a:solidFill>
                          <a:ln>
                            <a:solidFill>
                              <a:srgbClr val="000000"/>
                            </a:solidFill>
                          </a:ln>
                        </wps:spPr>
                        <wps:txbx>
                          <w:txbxContent>
                            <w:p>
                              <w:pPr>
                                <w:pStyle w:val="1644"/>
                                <w:jc w:val="both"/>
                                <w:spacing w:line="0" w:lineRule="atLeast"/>
                              </w:pPr>
                              <w:r>
                                <w:rPr>
                                  <w:rFonts w:hint="eastAsia"/>
                                </w:rPr>
                                <w:t xml:space="preserve">收集池</w:t>
                              </w:r>
                              <w:r/>
                              <w:r/>
                            </w:p>
                            <w:p>
                              <w:pPr>
                                <w:pStyle w:val="1644"/>
                              </w:pPr>
                              <w:r/>
                              <w:r/>
                              <w:r/>
                            </w:p>
                          </w:txbxContent>
                        </wps:txbx>
                        <wps:bodyPr wrap="square" upright="1"/>
                      </wps:wsp>
                      <wps:wsp>
                        <wps:cNvPr id="2" name=""/>
                        <wps:cNvSpPr txBox="1"/>
                        <wps:spPr bwMode="auto">
                          <a:xfrm>
                            <a:off x="2272028" y="267339"/>
                            <a:ext cx="1066799" cy="304799"/>
                          </a:xfrm>
                          <a:prstGeom prst="rect">
                            <a:avLst/>
                          </a:prstGeom>
                          <a:solidFill>
                            <a:srgbClr val="FFFFFF"/>
                          </a:solidFill>
                          <a:ln>
                            <a:noFill/>
                          </a:ln>
                        </wps:spPr>
                        <wps:txbx>
                          <w:txbxContent>
                            <w:p>
                              <w:pPr>
                                <w:pStyle w:val="1644"/>
                                <w:jc w:val="center"/>
                                <w:spacing w:line="0" w:lineRule="atLeast"/>
                              </w:pPr>
                              <w:r>
                                <w:rPr>
                                  <w:rFonts w:hint="eastAsia"/>
                                  <w:sz w:val="24"/>
                                  <w:szCs w:val="24"/>
                                </w:rPr>
                                <w:t xml:space="preserve">雨水管网</w:t>
                              </w:r>
                              <w:r>
                                <w:rPr>
                                  <w:sz w:val="24"/>
                                  <w:szCs w:val="24"/>
                                </w:rPr>
                              </w:r>
                              <w:r/>
                            </w:p>
                            <w:p>
                              <w:pPr>
                                <w:pStyle w:val="1644"/>
                                <w:rPr>
                                  <w:sz w:val="24"/>
                                  <w:szCs w:val="24"/>
                                </w:rPr>
                              </w:pPr>
                              <w:r/>
                              <w:r/>
                              <w:r/>
                            </w:p>
                          </w:txbxContent>
                        </wps:txbx>
                        <wps:bodyPr wrap="square" upright="1"/>
                      </wps:wsp>
                      <wps:wsp>
                        <wps:cNvPr id="3" name=""/>
                        <wps:cNvSpPr txBox="1"/>
                        <wps:spPr bwMode="auto">
                          <a:xfrm>
                            <a:off x="2292984" y="2250439"/>
                            <a:ext cx="1066799" cy="304799"/>
                          </a:xfrm>
                          <a:prstGeom prst="rect">
                            <a:avLst/>
                          </a:prstGeom>
                          <a:solidFill>
                            <a:srgbClr val="FFFFFF"/>
                          </a:solidFill>
                          <a:ln>
                            <a:solidFill>
                              <a:srgbClr val="000000"/>
                            </a:solidFill>
                          </a:ln>
                        </wps:spPr>
                        <wps:txbx>
                          <w:txbxContent>
                            <w:p>
                              <w:pPr>
                                <w:pStyle w:val="1644"/>
                                <w:jc w:val="both"/>
                                <w:spacing w:line="0" w:lineRule="atLeast"/>
                              </w:pPr>
                              <w:r>
                                <w:rPr>
                                  <w:rFonts w:hint="eastAsia"/>
                                </w:rPr>
                                <w:t xml:space="preserve">好氧反应</w:t>
                              </w:r>
                              <w:r/>
                              <w:r/>
                            </w:p>
                            <w:p>
                              <w:pPr>
                                <w:pStyle w:val="1644"/>
                              </w:pPr>
                              <w:r/>
                              <w:r/>
                              <w:r/>
                            </w:p>
                          </w:txbxContent>
                        </wps:txbx>
                        <wps:bodyPr wrap="square" upright="1"/>
                      </wps:wsp>
                      <wps:wsp>
                        <wps:cNvPr id="4" name=""/>
                        <wps:cNvSpPr txBox="1"/>
                        <wps:spPr bwMode="auto">
                          <a:xfrm>
                            <a:off x="2281554" y="1593214"/>
                            <a:ext cx="1066799" cy="304799"/>
                          </a:xfrm>
                          <a:prstGeom prst="rect">
                            <a:avLst/>
                          </a:prstGeom>
                          <a:solidFill>
                            <a:srgbClr val="FFFFFF"/>
                          </a:solidFill>
                          <a:ln>
                            <a:solidFill>
                              <a:srgbClr val="000000"/>
                            </a:solidFill>
                          </a:ln>
                        </wps:spPr>
                        <wps:txbx>
                          <w:txbxContent>
                            <w:p>
                              <w:pPr>
                                <w:pStyle w:val="1644"/>
                                <w:jc w:val="both"/>
                                <w:spacing w:line="0" w:lineRule="atLeast"/>
                              </w:pPr>
                              <w:r>
                                <w:rPr>
                                  <w:rFonts w:hint="eastAsia"/>
                                </w:rPr>
                                <w:t xml:space="preserve">缺氧反应</w:t>
                              </w:r>
                              <w:r/>
                              <w:r/>
                            </w:p>
                            <w:p>
                              <w:pPr>
                                <w:pStyle w:val="1644"/>
                              </w:pPr>
                              <w:r/>
                              <w:r/>
                              <w:r/>
                            </w:p>
                          </w:txbxContent>
                        </wps:txbx>
                        <wps:bodyPr wrap="square" upright="1"/>
                      </wps:wsp>
                      <wps:wsp>
                        <wps:cNvPr id="5" name=""/>
                        <wps:cNvSpPr/>
                        <wps:spPr bwMode="auto">
                          <a:xfrm flipH="1">
                            <a:off x="2805793" y="533399"/>
                            <a:ext cx="0" cy="360000"/>
                          </a:xfrm>
                          <a:prstGeom prst="line">
                            <a:avLst/>
                          </a:prstGeom>
                          <a:noFill/>
                          <a:ln>
                            <a:solidFill>
                              <a:srgbClr val="000000"/>
                            </a:solidFill>
                            <a:tailEnd type="triangle"/>
                          </a:ln>
                        </wps:spPr>
                        <wps:bodyPr rot="0">
                          <a:prstTxWarp prst="textNoShape">
                            <a:avLst/>
                          </a:prstTxWarp>
                          <a:noAutofit/>
                        </wps:bodyPr>
                      </wps:wsp>
                      <wps:wsp>
                        <wps:cNvPr id="6" name=""/>
                        <wps:cNvSpPr/>
                        <wps:spPr bwMode="auto">
                          <a:xfrm flipH="1" flipV="1">
                            <a:off x="3348353" y="3043477"/>
                            <a:ext cx="280669" cy="26098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wps:wsp>
                        <wps:cNvPr id="7" name=""/>
                        <wps:cNvSpPr txBox="1"/>
                        <wps:spPr bwMode="auto">
                          <a:xfrm>
                            <a:off x="2234565" y="2984499"/>
                            <a:ext cx="1329054" cy="304799"/>
                          </a:xfrm>
                          <a:prstGeom prst="rect">
                            <a:avLst/>
                          </a:prstGeom>
                          <a:solidFill>
                            <a:srgbClr val="FFFFFF"/>
                          </a:solidFill>
                          <a:ln>
                            <a:solidFill>
                              <a:srgbClr val="000000"/>
                            </a:solidFill>
                          </a:ln>
                        </wps:spPr>
                        <wps:txbx>
                          <w:txbxContent>
                            <w:p>
                              <w:pPr>
                                <w:pStyle w:val="1644"/>
                                <w:jc w:val="both"/>
                                <w:spacing w:line="0" w:lineRule="atLeast"/>
                              </w:pPr>
                              <w:r>
                                <w:rPr>
                                  <w:rFonts w:hint="eastAsia"/>
                                  <w:lang w:val="en-US" w:eastAsia="zh-CN"/>
                                </w:rPr>
                                <w:t xml:space="preserve">ABFT</w:t>
                              </w:r>
                              <w:r>
                                <w:rPr>
                                  <w:rFonts w:hint="eastAsia"/>
                                </w:rPr>
                                <w:t xml:space="preserve">深度处理</w:t>
                              </w:r>
                              <w:r/>
                              <w:r/>
                            </w:p>
                            <w:p>
                              <w:pPr>
                                <w:pStyle w:val="1644"/>
                              </w:pPr>
                              <w:r/>
                              <w:r/>
                              <w:r/>
                            </w:p>
                          </w:txbxContent>
                        </wps:txbx>
                        <wps:bodyPr wrap="square" upright="1"/>
                      </wps:wsp>
                      <wps:wsp>
                        <wps:cNvPr id="8" name=""/>
                        <wps:cNvSpPr/>
                        <wps:spPr bwMode="auto">
                          <a:xfrm>
                            <a:off x="2823844" y="2579369"/>
                            <a:ext cx="634" cy="381634"/>
                          </a:xfrm>
                          <a:prstGeom prst="line">
                            <a:avLst/>
                          </a:prstGeom>
                          <a:noFill/>
                          <a:ln>
                            <a:solidFill>
                              <a:srgbClr val="000000"/>
                            </a:solidFill>
                            <a:tailEnd type="triangle"/>
                          </a:ln>
                        </wps:spPr>
                        <wps:bodyPr rot="0">
                          <a:prstTxWarp prst="textNoShape">
                            <a:avLst/>
                          </a:prstTxWarp>
                          <a:noAutofit/>
                        </wps:bodyPr>
                      </wps:wsp>
                      <wps:wsp>
                        <wps:cNvPr id="9" name=""/>
                        <wps:cNvSpPr/>
                        <wps:spPr bwMode="auto">
                          <a:xfrm>
                            <a:off x="1644013" y="1749424"/>
                            <a:ext cx="600075" cy="634"/>
                          </a:xfrm>
                          <a:prstGeom prst="line">
                            <a:avLst/>
                          </a:prstGeom>
                          <a:noFill/>
                          <a:ln>
                            <a:solidFill>
                              <a:srgbClr val="000000"/>
                            </a:solidFill>
                            <a:prstDash val="dashDot"/>
                            <a:tailEnd type="triangle"/>
                          </a:ln>
                        </wps:spPr>
                        <wps:bodyPr rot="0">
                          <a:prstTxWarp prst="textNoShape">
                            <a:avLst/>
                          </a:prstTxWarp>
                          <a:noAutofit/>
                        </wps:bodyPr>
                      </wps:wsp>
                      <wps:wsp>
                        <wps:cNvPr id="10" name=""/>
                        <wps:cNvSpPr txBox="1"/>
                        <wps:spPr bwMode="auto">
                          <a:xfrm>
                            <a:off x="614679" y="1595119"/>
                            <a:ext cx="1066799" cy="304799"/>
                          </a:xfrm>
                          <a:prstGeom prst="rect">
                            <a:avLst/>
                          </a:prstGeom>
                          <a:noFill/>
                          <a:ln>
                            <a:noFill/>
                          </a:ln>
                        </wps:spPr>
                        <wps:txbx>
                          <w:txbxContent>
                            <w:p>
                              <w:pPr>
                                <w:pStyle w:val="1644"/>
                                <w:jc w:val="both"/>
                                <w:spacing w:line="0" w:lineRule="atLeast"/>
                              </w:pPr>
                              <w:r>
                                <w:rPr>
                                  <w:rFonts w:hint="eastAsia"/>
                                </w:rPr>
                                <w:t xml:space="preserve">回流泵</w:t>
                              </w:r>
                              <w:r/>
                              <w:r/>
                            </w:p>
                            <w:p>
                              <w:pPr>
                                <w:pStyle w:val="1644"/>
                              </w:pPr>
                              <w:r/>
                              <w:r/>
                              <w:r/>
                            </w:p>
                          </w:txbxContent>
                        </wps:txbx>
                        <wps:bodyPr wrap="square" upright="1"/>
                      </wps:wsp>
                      <wps:wsp>
                        <wps:cNvPr id="11" name=""/>
                        <wps:cNvSpPr txBox="1"/>
                        <wps:spPr bwMode="auto">
                          <a:xfrm>
                            <a:off x="3936364" y="904874"/>
                            <a:ext cx="1066799" cy="304799"/>
                          </a:xfrm>
                          <a:prstGeom prst="rect">
                            <a:avLst/>
                          </a:prstGeom>
                          <a:solidFill>
                            <a:srgbClr val="FFFFFF"/>
                          </a:solidFill>
                          <a:ln>
                            <a:solidFill>
                              <a:srgbClr val="000000"/>
                            </a:solidFill>
                          </a:ln>
                        </wps:spPr>
                        <wps:txbx>
                          <w:txbxContent>
                            <w:p>
                              <w:pPr>
                                <w:pStyle w:val="1644"/>
                                <w:jc w:val="both"/>
                                <w:spacing w:line="0" w:lineRule="atLeast"/>
                              </w:pPr>
                              <w:r>
                                <w:rPr>
                                  <w:rFonts w:hint="eastAsia"/>
                                </w:rPr>
                                <w:t xml:space="preserve">河道</w:t>
                              </w:r>
                              <w:r/>
                              <w:r/>
                            </w:p>
                            <w:p>
                              <w:pPr>
                                <w:pStyle w:val="1644"/>
                              </w:pPr>
                              <w:r/>
                              <w:r/>
                              <w:r/>
                            </w:p>
                          </w:txbxContent>
                        </wps:txbx>
                        <wps:bodyPr wrap="square" upright="1"/>
                      </wps:wsp>
                      <wps:wsp>
                        <wps:cNvPr id="12" name=""/>
                        <wps:cNvSpPr/>
                        <wps:spPr bwMode="auto">
                          <a:xfrm rot="10799990" flipH="1">
                            <a:off x="3379470" y="1051560"/>
                            <a:ext cx="533399" cy="634"/>
                          </a:xfrm>
                          <a:prstGeom prst="line">
                            <a:avLst/>
                          </a:prstGeom>
                          <a:noFill/>
                          <a:ln>
                            <a:solidFill>
                              <a:srgbClr val="000000"/>
                            </a:solidFill>
                            <a:tailEnd type="triangle"/>
                          </a:ln>
                        </wps:spPr>
                        <wps:bodyPr rot="0">
                          <a:prstTxWarp prst="textNoShape">
                            <a:avLst/>
                          </a:prstTxWarp>
                          <a:noAutofit/>
                        </wps:bodyPr>
                      </wps:wsp>
                      <wps:wsp>
                        <wps:cNvPr id="13" name=""/>
                        <wps:cNvSpPr txBox="1"/>
                        <wps:spPr bwMode="auto">
                          <a:xfrm>
                            <a:off x="3107637" y="692466"/>
                            <a:ext cx="1066799" cy="304799"/>
                          </a:xfrm>
                          <a:prstGeom prst="rect">
                            <a:avLst/>
                          </a:prstGeom>
                          <a:noFill/>
                          <a:ln>
                            <a:noFill/>
                          </a:ln>
                        </wps:spPr>
                        <wps:txbx>
                          <w:txbxContent>
                            <w:p>
                              <w:pPr>
                                <w:pStyle w:val="1644"/>
                                <w:jc w:val="center"/>
                                <w:spacing w:line="0" w:lineRule="atLeast"/>
                              </w:pPr>
                              <w:r>
                                <w:rPr>
                                  <w:rFonts w:hint="eastAsia"/>
                                </w:rPr>
                                <w:t xml:space="preserve">溢流</w:t>
                              </w:r>
                              <w:r/>
                              <w:r/>
                            </w:p>
                            <w:p>
                              <w:pPr>
                                <w:pStyle w:val="1644"/>
                              </w:pPr>
                              <w:r/>
                              <w:r/>
                              <w:r/>
                            </w:p>
                          </w:txbxContent>
                        </wps:txbx>
                        <wps:bodyPr wrap="square" upright="1"/>
                      </wps:wsp>
                      <wps:wsp>
                        <wps:cNvPr id="14" name=""/>
                        <wps:cNvSpPr/>
                        <wps:spPr bwMode="auto">
                          <a:xfrm flipH="1">
                            <a:off x="2814319" y="1203959"/>
                            <a:ext cx="0" cy="358774"/>
                          </a:xfrm>
                          <a:prstGeom prst="line">
                            <a:avLst/>
                          </a:prstGeom>
                          <a:noFill/>
                          <a:ln>
                            <a:solidFill>
                              <a:srgbClr val="000000"/>
                            </a:solidFill>
                            <a:tailEnd type="triangle"/>
                          </a:ln>
                        </wps:spPr>
                        <wps:bodyPr rot="0">
                          <a:prstTxWarp prst="textNoShape">
                            <a:avLst/>
                          </a:prstTxWarp>
                          <a:noAutofit/>
                        </wps:bodyPr>
                      </wps:wsp>
                      <wps:wsp>
                        <wps:cNvPr id="15" name=""/>
                        <wps:cNvSpPr/>
                        <wps:spPr bwMode="auto">
                          <a:xfrm flipH="1">
                            <a:off x="2809874" y="1894839"/>
                            <a:ext cx="0" cy="358774"/>
                          </a:xfrm>
                          <a:prstGeom prst="line">
                            <a:avLst/>
                          </a:prstGeom>
                          <a:noFill/>
                          <a:ln>
                            <a:solidFill>
                              <a:srgbClr val="000000"/>
                            </a:solidFill>
                            <a:tailEnd type="triangle"/>
                          </a:ln>
                        </wps:spPr>
                        <wps:bodyPr rot="0">
                          <a:prstTxWarp prst="textNoShape">
                            <a:avLst/>
                          </a:prstTxWarp>
                          <a:noAutofit/>
                        </wps:bodyPr>
                      </wps:wsp>
                      <wps:wsp>
                        <wps:cNvPr id="16" name=""/>
                        <wps:cNvSpPr/>
                        <wps:spPr bwMode="auto">
                          <a:xfrm>
                            <a:off x="1685925" y="2427604"/>
                            <a:ext cx="599439" cy="634"/>
                          </a:xfrm>
                          <a:prstGeom prst="line">
                            <a:avLst/>
                          </a:prstGeom>
                          <a:noFill/>
                          <a:ln>
                            <a:solidFill>
                              <a:srgbClr val="000000"/>
                            </a:solidFill>
                            <a:prstDash val="dashDot"/>
                            <a:tailEnd type="triangle"/>
                          </a:ln>
                        </wps:spPr>
                        <wps:bodyPr rot="0">
                          <a:prstTxWarp prst="textNoShape">
                            <a:avLst/>
                          </a:prstTxWarp>
                          <a:noAutofit/>
                        </wps:bodyPr>
                      </wps:wsp>
                      <wps:wsp>
                        <wps:cNvPr id="17" name=""/>
                        <wps:cNvSpPr txBox="1"/>
                        <wps:spPr bwMode="auto">
                          <a:xfrm>
                            <a:off x="581024" y="2286634"/>
                            <a:ext cx="1066164" cy="304164"/>
                          </a:xfrm>
                          <a:prstGeom prst="rect">
                            <a:avLst/>
                          </a:prstGeom>
                          <a:noFill/>
                          <a:ln>
                            <a:noFill/>
                          </a:ln>
                        </wps:spPr>
                        <wps:txbx>
                          <w:txbxContent>
                            <w:p>
                              <w:pPr>
                                <w:pStyle w:val="1644"/>
                                <w:jc w:val="both"/>
                              </w:pPr>
                              <w:r>
                                <w:rPr>
                                  <w:szCs w:val="21"/>
                                </w:rPr>
                                <w:t xml:space="preserve">风机</w:t>
                              </w:r>
                              <w:r>
                                <w:rPr>
                                  <w:szCs w:val="21"/>
                                </w:rPr>
                              </w:r>
                              <w:r/>
                            </w:p>
                            <w:p>
                              <w:pPr>
                                <w:pStyle w:val="1644"/>
                              </w:pPr>
                              <w:r/>
                              <w:r/>
                              <w:r/>
                            </w:p>
                          </w:txbxContent>
                        </wps:txbx>
                        <wps:bodyPr wrap="square" upright="1"/>
                      </wps:wsp>
                      <wps:wsp>
                        <wps:cNvPr id="18" name=""/>
                        <wps:cNvSpPr/>
                        <wps:spPr bwMode="auto">
                          <a:xfrm>
                            <a:off x="1701163" y="3117214"/>
                            <a:ext cx="599439" cy="634"/>
                          </a:xfrm>
                          <a:prstGeom prst="line">
                            <a:avLst/>
                          </a:prstGeom>
                          <a:noFill/>
                          <a:ln>
                            <a:solidFill>
                              <a:srgbClr val="000000"/>
                            </a:solidFill>
                            <a:prstDash val="dashDot"/>
                            <a:tailEnd type="triangle"/>
                          </a:ln>
                        </wps:spPr>
                        <wps:bodyPr rot="0">
                          <a:prstTxWarp prst="textNoShape">
                            <a:avLst/>
                          </a:prstTxWarp>
                          <a:noAutofit/>
                        </wps:bodyPr>
                      </wps:wsp>
                      <wps:wsp>
                        <wps:cNvPr id="19" name=""/>
                        <wps:cNvSpPr txBox="1"/>
                        <wps:spPr bwMode="auto">
                          <a:xfrm>
                            <a:off x="604519" y="2959734"/>
                            <a:ext cx="1066164" cy="304164"/>
                          </a:xfrm>
                          <a:prstGeom prst="rect">
                            <a:avLst/>
                          </a:prstGeom>
                          <a:noFill/>
                          <a:ln>
                            <a:noFill/>
                            <a:bevel/>
                          </a:ln>
                        </wps:spPr>
                        <wps:txbx>
                          <w:txbxContent>
                            <w:p>
                              <w:pPr>
                                <w:pStyle w:val="1644"/>
                                <w:jc w:val="both"/>
                              </w:pPr>
                              <w:r>
                                <w:rPr>
                                  <w:rFonts w:hint="eastAsia"/>
                                  <w:szCs w:val="21"/>
                                </w:rPr>
                                <w:t xml:space="preserve">风机</w:t>
                              </w:r>
                              <w:r>
                                <w:rPr>
                                  <w:szCs w:val="21"/>
                                </w:rPr>
                              </w:r>
                              <w:r/>
                            </w:p>
                            <w:p>
                              <w:pPr>
                                <w:pStyle w:val="1644"/>
                              </w:pPr>
                              <w:r/>
                              <w:r/>
                              <w:r/>
                            </w:p>
                          </w:txbxContent>
                        </wps:txbx>
                        <wps:bodyPr wrap="square" upright="1"/>
                      </wps:wsp>
                    </wpg:wgp>
                  </a:graphicData>
                </a:graphic>
              </wp:anchor>
            </w:drawing>
          </mc:Choice>
          <mc:Fallback>
            <w:pict>
              <v:group id="group 21" o:spid="_x0000_s0000" style="position:absolute;z-index:524288;o:allowoverlap:true;o:allowincell:true;mso-position-horizontal-relative:text;margin-left:0.0pt;mso-position-horizontal:absolute;mso-position-vertical-relative:text;margin-top:0.0pt;mso-position-vertical:absolute;width:454.8pt;height:268.8pt;mso-wrap-distance-left:9.0pt;mso-wrap-distance-top:0.0pt;mso-wrap-distance-right:9.0pt;mso-wrap-distance-bottom:0.0pt;rotation:0;" coordorigin="0,0" coordsize="57759,34137">
                <v:shape id="shape 22" o:spid="_x0000_s22" o:spt="1" type="#_x0000_t1" style="position:absolute;left:0;top:0;width:57759;height:34137;v-text-anchor:middle;visibility:visible;" filled="f" stroked="f">
                  <w10:wrap type="topAndBottom"/>
                  <v:textbox inset="0,0,0,0">
                    <w:txbxContent>
                      <w:p>
                        <w:pPr>
                          <w:jc w:val="center"/>
                        </w:pPr>
                        <w:r/>
                        <w:r/>
                        <w:r/>
                      </w:p>
                    </w:txbxContent>
                  </v:textbox>
                </v:shape>
                <v:shape id="shape 23" o:spid="_x0000_s23" o:spt="202" type="#_x0000_t202" style="position:absolute;left:22815;top:8991;width:10667;height:3047;visibility:visible;" fillcolor="#FFFFFF" strokecolor="#000000">
                  <v:textbox inset="0,0,0,0">
                    <w:txbxContent>
                      <w:p>
                        <w:pPr>
                          <w:pStyle w:val="1644"/>
                          <w:jc w:val="both"/>
                          <w:spacing w:line="0" w:lineRule="atLeast"/>
                        </w:pPr>
                        <w:r>
                          <w:rPr>
                            <w:rFonts w:hint="eastAsia"/>
                          </w:rPr>
                          <w:t xml:space="preserve">收集池</w:t>
                        </w:r>
                        <w:r/>
                        <w:r/>
                      </w:p>
                      <w:p>
                        <w:pPr>
                          <w:pStyle w:val="1644"/>
                        </w:pPr>
                        <w:r/>
                        <w:r/>
                        <w:r/>
                      </w:p>
                    </w:txbxContent>
                  </v:textbox>
                </v:shape>
                <v:shape id="shape 24" o:spid="_x0000_s24" o:spt="202" type="#_x0000_t202" style="position:absolute;left:22720;top:2673;width:10667;height:3047;visibility:visible;" fillcolor="#FFFFFF" stroked="f">
                  <v:textbox inset="0,0,0,0">
                    <w:txbxContent>
                      <w:p>
                        <w:pPr>
                          <w:pStyle w:val="1644"/>
                          <w:jc w:val="center"/>
                          <w:spacing w:line="0" w:lineRule="atLeast"/>
                        </w:pPr>
                        <w:r>
                          <w:rPr>
                            <w:rFonts w:hint="eastAsia"/>
                            <w:sz w:val="24"/>
                            <w:szCs w:val="24"/>
                          </w:rPr>
                          <w:t xml:space="preserve">雨水管网</w:t>
                        </w:r>
                        <w:r>
                          <w:rPr>
                            <w:sz w:val="24"/>
                            <w:szCs w:val="24"/>
                          </w:rPr>
                        </w:r>
                        <w:r/>
                      </w:p>
                      <w:p>
                        <w:pPr>
                          <w:pStyle w:val="1644"/>
                          <w:rPr>
                            <w:sz w:val="24"/>
                            <w:szCs w:val="24"/>
                          </w:rPr>
                        </w:pPr>
                        <w:r/>
                        <w:r/>
                        <w:r/>
                      </w:p>
                    </w:txbxContent>
                  </v:textbox>
                </v:shape>
                <v:shape id="shape 25" o:spid="_x0000_s25" o:spt="202" type="#_x0000_t202" style="position:absolute;left:22929;top:22504;width:10667;height:3047;visibility:visible;" fillcolor="#FFFFFF" strokecolor="#000000">
                  <v:textbox inset="0,0,0,0">
                    <w:txbxContent>
                      <w:p>
                        <w:pPr>
                          <w:pStyle w:val="1644"/>
                          <w:jc w:val="both"/>
                          <w:spacing w:line="0" w:lineRule="atLeast"/>
                        </w:pPr>
                        <w:r>
                          <w:rPr>
                            <w:rFonts w:hint="eastAsia"/>
                          </w:rPr>
                          <w:t xml:space="preserve">好氧反应</w:t>
                        </w:r>
                        <w:r/>
                        <w:r/>
                      </w:p>
                      <w:p>
                        <w:pPr>
                          <w:pStyle w:val="1644"/>
                        </w:pPr>
                        <w:r/>
                        <w:r/>
                        <w:r/>
                      </w:p>
                    </w:txbxContent>
                  </v:textbox>
                </v:shape>
                <v:shape id="shape 26" o:spid="_x0000_s26" o:spt="202" type="#_x0000_t202" style="position:absolute;left:22815;top:15932;width:10667;height:3047;visibility:visible;" fillcolor="#FFFFFF" strokecolor="#000000">
                  <v:textbox inset="0,0,0,0">
                    <w:txbxContent>
                      <w:p>
                        <w:pPr>
                          <w:pStyle w:val="1644"/>
                          <w:jc w:val="both"/>
                          <w:spacing w:line="0" w:lineRule="atLeast"/>
                        </w:pPr>
                        <w:r>
                          <w:rPr>
                            <w:rFonts w:hint="eastAsia"/>
                          </w:rPr>
                          <w:t xml:space="preserve">缺氧反应</w:t>
                        </w:r>
                        <w:r/>
                        <w:r/>
                      </w:p>
                      <w:p>
                        <w:pPr>
                          <w:pStyle w:val="1644"/>
                        </w:pPr>
                        <w:r/>
                        <w:r/>
                        <w:r/>
                      </w:p>
                    </w:txbxContent>
                  </v:textbox>
                </v:shape>
                <v:line id="shape 27" o:spid="_x0000_s27" style="position:absolute;left:0;text-align:left;z-index:524288;flip:x;visibility:visible;" from="22815.5pt,15932.1pt" to="33483.5pt,18980.1pt" filled="f" strokecolor="#000000"/>
                <v:shape id="shape 28" o:spid="_x0000_s28" style="position:absolute;left:33483;top:30434;width:2806;height:2609;flip:xy;visibility:visible;" path="m0,0l0,100000l100000,100000l100000,0xee" coordsize="100000,100000" filled="f" stroked="f">
                  <v:path textboxrect="0,0,100000,100000"/>
                </v:shape>
                <v:shape id="shape 29" o:spid="_x0000_s29" o:spt="202" type="#_x0000_t202" style="position:absolute;left:22345;top:29844;width:13290;height:3047;visibility:visible;" fillcolor="#FFFFFF" strokecolor="#000000">
                  <v:textbox inset="0,0,0,0">
                    <w:txbxContent>
                      <w:p>
                        <w:pPr>
                          <w:pStyle w:val="1644"/>
                          <w:jc w:val="both"/>
                          <w:spacing w:line="0" w:lineRule="atLeast"/>
                        </w:pPr>
                        <w:r>
                          <w:rPr>
                            <w:rFonts w:hint="eastAsia"/>
                            <w:lang w:val="en-US" w:eastAsia="zh-CN"/>
                          </w:rPr>
                          <w:t xml:space="preserve">ABFT</w:t>
                        </w:r>
                        <w:r>
                          <w:rPr>
                            <w:rFonts w:hint="eastAsia"/>
                          </w:rPr>
                          <w:t xml:space="preserve">深度处理</w:t>
                        </w:r>
                        <w:r/>
                        <w:r/>
                      </w:p>
                      <w:p>
                        <w:pPr>
                          <w:pStyle w:val="1644"/>
                        </w:pPr>
                        <w:r/>
                        <w:r/>
                        <w:r/>
                      </w:p>
                    </w:txbxContent>
                  </v:textbox>
                </v:shape>
                <v:line id="shape 30" o:spid="_x0000_s30" style="position:absolute;left:0;text-align:left;z-index:524288;visibility:visible;" from="22345.7pt,29845.0pt" to="35636.2pt,32893.0pt" filled="f" strokecolor="#000000"/>
                <v:line id="shape 31" o:spid="_x0000_s31" style="position:absolute;left:0;text-align:left;z-index:524288;visibility:visible;" from="22345.7pt,29845.0pt" to="35636.2pt,32893.0pt" filled="f" strokecolor="#000000">
                  <v:stroke dashstyle="dashdot"/>
                </v:line>
                <v:shape id="shape 32" o:spid="_x0000_s32" o:spt="202" type="#_x0000_t202" style="position:absolute;left:6146;top:15951;width:10667;height:3047;visibility:visible;" filled="f" stroked="f">
                  <v:textbox inset="0,0,0,0">
                    <w:txbxContent>
                      <w:p>
                        <w:pPr>
                          <w:pStyle w:val="1644"/>
                          <w:jc w:val="both"/>
                          <w:spacing w:line="0" w:lineRule="atLeast"/>
                        </w:pPr>
                        <w:r>
                          <w:rPr>
                            <w:rFonts w:hint="eastAsia"/>
                          </w:rPr>
                          <w:t xml:space="preserve">回流泵</w:t>
                        </w:r>
                        <w:r/>
                        <w:r/>
                      </w:p>
                      <w:p>
                        <w:pPr>
                          <w:pStyle w:val="1644"/>
                        </w:pPr>
                        <w:r/>
                        <w:r/>
                        <w:r/>
                      </w:p>
                    </w:txbxContent>
                  </v:textbox>
                </v:shape>
                <v:shape id="shape 33" o:spid="_x0000_s33" o:spt="202" type="#_x0000_t202" style="position:absolute;left:39363;top:9048;width:10667;height:3047;visibility:visible;" fillcolor="#FFFFFF" strokecolor="#000000">
                  <v:textbox inset="0,0,0,0">
                    <w:txbxContent>
                      <w:p>
                        <w:pPr>
                          <w:pStyle w:val="1644"/>
                          <w:jc w:val="both"/>
                          <w:spacing w:line="0" w:lineRule="atLeast"/>
                        </w:pPr>
                        <w:r>
                          <w:rPr>
                            <w:rFonts w:hint="eastAsia"/>
                          </w:rPr>
                          <w:t xml:space="preserve">河道</w:t>
                        </w:r>
                        <w:r/>
                        <w:r/>
                      </w:p>
                      <w:p>
                        <w:pPr>
                          <w:pStyle w:val="1644"/>
                        </w:pPr>
                        <w:r/>
                        <w:r/>
                        <w:r/>
                      </w:p>
                    </w:txbxContent>
                  </v:textbox>
                </v:shape>
                <v:line id="shape 34" o:spid="_x0000_s34" style="position:absolute;left:0;text-align:left;z-index:524288;rotation:179;flip:x;visibility:visible;" from="39363.6pt,9048.7pt" to="50031.6pt,12096.7pt" filled="f" strokecolor="#000000"/>
                <v:shape id="shape 35" o:spid="_x0000_s35" o:spt="202" type="#_x0000_t202" style="position:absolute;left:31076;top:6924;width:10667;height:3047;visibility:visible;" filled="f" stroked="f">
                  <v:textbox inset="0,0,0,0">
                    <w:txbxContent>
                      <w:p>
                        <w:pPr>
                          <w:pStyle w:val="1644"/>
                          <w:jc w:val="center"/>
                          <w:spacing w:line="0" w:lineRule="atLeast"/>
                        </w:pPr>
                        <w:r>
                          <w:rPr>
                            <w:rFonts w:hint="eastAsia"/>
                          </w:rPr>
                          <w:t xml:space="preserve">溢流</w:t>
                        </w:r>
                        <w:r/>
                        <w:r/>
                      </w:p>
                      <w:p>
                        <w:pPr>
                          <w:pStyle w:val="1644"/>
                        </w:pPr>
                        <w:r/>
                        <w:r/>
                        <w:r/>
                      </w:p>
                    </w:txbxContent>
                  </v:textbox>
                </v:shape>
                <v:line id="shape 36" o:spid="_x0000_s36" style="position:absolute;left:0;text-align:left;z-index:524288;flip:x;visibility:visible;" from="31076.4pt,6924.7pt" to="41744.4pt,9972.6pt" filled="f" strokecolor="#000000"/>
                <v:line id="shape 37" o:spid="_x0000_s37" style="position:absolute;left:0;text-align:left;z-index:524288;flip:x;visibility:visible;" from="31076.4pt,6924.7pt" to="41744.4pt,9972.6pt" filled="f" strokecolor="#000000"/>
                <v:line id="shape 38" o:spid="_x0000_s38" style="position:absolute;left:0;text-align:left;z-index:524288;visibility:visible;" from="31076.4pt,6924.7pt" to="41744.4pt,9972.6pt" filled="f" strokecolor="#000000">
                  <v:stroke dashstyle="dashdot"/>
                </v:line>
                <v:shape id="shape 39" o:spid="_x0000_s39" o:spt="202" type="#_x0000_t202" style="position:absolute;left:5810;top:22866;width:10661;height:3041;visibility:visible;" filled="f" stroked="f">
                  <v:textbox inset="0,0,0,0">
                    <w:txbxContent>
                      <w:p>
                        <w:pPr>
                          <w:pStyle w:val="1644"/>
                          <w:jc w:val="both"/>
                        </w:pPr>
                        <w:r>
                          <w:rPr>
                            <w:szCs w:val="21"/>
                          </w:rPr>
                          <w:t xml:space="preserve">风机</w:t>
                        </w:r>
                        <w:r>
                          <w:rPr>
                            <w:szCs w:val="21"/>
                          </w:rPr>
                        </w:r>
                        <w:r/>
                      </w:p>
                      <w:p>
                        <w:pPr>
                          <w:pStyle w:val="1644"/>
                        </w:pPr>
                        <w:r/>
                        <w:r/>
                        <w:r/>
                      </w:p>
                    </w:txbxContent>
                  </v:textbox>
                </v:shape>
                <v:line id="shape 40" o:spid="_x0000_s40" style="position:absolute;left:0;text-align:left;z-index:524288;visibility:visible;" from="5810.2pt,22866.3pt" to="16471.9pt,25908.0pt" filled="f" strokecolor="#000000">
                  <v:stroke dashstyle="dashdot"/>
                </v:line>
                <v:shape id="shape 41" o:spid="_x0000_s41" o:spt="202" type="#_x0000_t202" style="position:absolute;left:6045;top:29597;width:10661;height:3041;visibility:visible;" filled="f" stroked="f">
                  <v:textbox inset="0,0,0,0">
                    <w:txbxContent>
                      <w:p>
                        <w:pPr>
                          <w:pStyle w:val="1644"/>
                          <w:jc w:val="both"/>
                        </w:pPr>
                        <w:r>
                          <w:rPr>
                            <w:rFonts w:hint="eastAsia"/>
                            <w:szCs w:val="21"/>
                          </w:rPr>
                          <w:t xml:space="preserve">风机</w:t>
                        </w:r>
                        <w:r>
                          <w:rPr>
                            <w:szCs w:val="21"/>
                          </w:rPr>
                        </w:r>
                        <w:r/>
                      </w:p>
                      <w:p>
                        <w:pPr>
                          <w:pStyle w:val="1644"/>
                        </w:pPr>
                        <w:r/>
                        <w:r/>
                        <w:r/>
                      </w:p>
                    </w:txbxContent>
                  </v:textbox>
                </v:shape>
              </v:group>
            </w:pict>
          </mc:Fallback>
        </mc:AlternateContent>
      </w:r>
      <w:r/>
      <w:r/>
      <w:r>
        <w:rPr>
          <w:rFonts w:hint="eastAsia" w:hAnsi="宋体"/>
          <w:sz w:val="32"/>
          <w:szCs w:val="32"/>
          <w:highlight w:val="none"/>
          <w:lang w:val="zh-CN"/>
        </w:rPr>
      </w:r>
      <w:r>
        <w:rPr>
          <w:rFonts w:hint="eastAsia" w:hAnsi="宋体"/>
          <w:sz w:val="32"/>
          <w:szCs w:val="32"/>
          <w:highlight w:val="none"/>
          <w:lang w:val="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（二）技术指标</w:t>
      </w:r>
      <w:r>
        <w:rPr>
          <w:rFonts w:hint="eastAsia"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芙蓉河桥雨水管网治理技术指标要求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根据现场勘察，设计水量600m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/d，估算出排口的平均排水量为25m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/h，现场采集水样后检测结果如下，经过一体化净水装置处理后废水需达到《地表水环境质量标准(GB3838-2002）》Ⅲ类水水质。</w:t>
      </w:r>
      <w:r>
        <w:rPr>
          <w:rFonts w:hint="eastAsia" w:ascii="宋体" w:hAnsi="宋体" w:eastAsia="宋体" w:cs="宋体"/>
          <w:b w:val="0"/>
          <w:bCs w:val="0"/>
          <w:color w:val="000000"/>
          <w:sz w:val="24"/>
          <w:szCs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8"/>
        <w:gridCol w:w="1088"/>
        <w:gridCol w:w="700"/>
        <w:gridCol w:w="998"/>
        <w:gridCol w:w="1029"/>
        <w:gridCol w:w="1365"/>
        <w:gridCol w:w="1228"/>
      </w:tblGrid>
      <w:tr>
        <w:trPr/>
        <w:tc>
          <w:tcPr>
            <w:tcW w:w="18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污染物名称</w:t>
            </w:r>
            <w:r>
              <w:rPr>
                <w:rFonts w:hint="eastAsia" w:ascii="宋体" w:hAnsi="宋体" w:eastAsia="宋体" w:cs="宋体"/>
                <w:sz w:val="24"/>
                <w:szCs w:val="24"/>
                <w:highlight w:val="none"/>
              </w:rPr>
            </w:r>
            <w:r/>
          </w:p>
        </w:tc>
        <w:tc>
          <w:tcPr>
            <w:tcW w:w="10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COD</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700"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w:t>
            </w:r>
            <w:r>
              <w:rPr>
                <w:rFonts w:hint="eastAsia" w:ascii="宋体" w:hAnsi="宋体" w:eastAsia="宋体" w:cs="宋体"/>
                <w:sz w:val="24"/>
                <w:szCs w:val="24"/>
                <w:highlight w:val="none"/>
              </w:rPr>
            </w:r>
            <w:r/>
          </w:p>
        </w:tc>
        <w:tc>
          <w:tcPr>
            <w:tcW w:w="99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NH</w:t>
            </w:r>
            <w:r>
              <w:rPr>
                <w:rFonts w:hint="eastAsia" w:ascii="宋体" w:hAnsi="宋体" w:eastAsia="宋体" w:cs="宋体"/>
                <w:sz w:val="24"/>
                <w:szCs w:val="24"/>
                <w:highlight w:val="none"/>
                <w:vertAlign w:val="subscript"/>
              </w:rPr>
              <w:t xml:space="preserve">3</w:t>
            </w:r>
            <w:r>
              <w:rPr>
                <w:rFonts w:hint="eastAsia" w:ascii="宋体" w:hAnsi="宋体" w:eastAsia="宋体" w:cs="宋体"/>
                <w:sz w:val="24"/>
                <w:szCs w:val="24"/>
                <w:highlight w:val="none"/>
              </w:rPr>
              <w:t xml:space="preserve">-N</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1029"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TP</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1365"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COD</w:t>
            </w:r>
            <w:r>
              <w:rPr>
                <w:rFonts w:hint="eastAsia" w:ascii="宋体" w:hAnsi="宋体" w:eastAsia="宋体" w:cs="宋体"/>
                <w:sz w:val="24"/>
                <w:szCs w:val="24"/>
                <w:highlight w:val="none"/>
                <w:vertAlign w:val="subscript"/>
              </w:rPr>
              <w:t xml:space="preserve">Mn</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c>
          <w:tcPr>
            <w:tcW w:w="1228" w:type="dxa"/>
            <w:vAlign w:val="top"/>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DO</w:t>
            </w:r>
            <w:r>
              <w:rPr>
                <w:rFonts w:hint="eastAsia" w:ascii="宋体" w:hAnsi="宋体" w:eastAsia="宋体" w:cs="宋体"/>
                <w:sz w:val="24"/>
                <w:szCs w:val="24"/>
                <w:highlight w:val="none"/>
              </w:rPr>
            </w:r>
            <w:r/>
          </w:p>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(mg/L)</w:t>
            </w:r>
            <w:r>
              <w:rPr>
                <w:rFonts w:hint="eastAsia" w:ascii="宋体" w:hAnsi="宋体" w:eastAsia="宋体" w:cs="宋体"/>
                <w:sz w:val="24"/>
                <w:szCs w:val="24"/>
                <w:highlight w:val="none"/>
              </w:rPr>
            </w:r>
            <w:r/>
          </w:p>
        </w:tc>
      </w:tr>
      <w:tr>
        <w:trPr/>
        <w:tc>
          <w:tcPr>
            <w:tcW w:w="18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原水</w:t>
            </w:r>
            <w:r>
              <w:rPr>
                <w:rFonts w:hint="eastAsia" w:ascii="宋体" w:hAnsi="宋体" w:eastAsia="宋体" w:cs="宋体"/>
                <w:sz w:val="24"/>
                <w:szCs w:val="24"/>
                <w:highlight w:val="none"/>
              </w:rPr>
            </w:r>
            <w:r/>
          </w:p>
        </w:tc>
        <w:tc>
          <w:tcPr>
            <w:tcW w:w="10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60-100</w:t>
            </w:r>
            <w:r>
              <w:rPr>
                <w:rFonts w:hint="eastAsia" w:ascii="宋体" w:hAnsi="宋体" w:eastAsia="宋体" w:cs="宋体"/>
                <w:sz w:val="24"/>
                <w:szCs w:val="24"/>
                <w:highlight w:val="none"/>
              </w:rPr>
            </w:r>
            <w:r/>
          </w:p>
        </w:tc>
        <w:tc>
          <w:tcPr>
            <w:tcW w:w="700"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6-9</w:t>
            </w:r>
            <w:r>
              <w:rPr>
                <w:rFonts w:hint="eastAsia" w:ascii="宋体" w:hAnsi="宋体" w:eastAsia="宋体" w:cs="宋体"/>
                <w:sz w:val="24"/>
                <w:szCs w:val="24"/>
                <w:highlight w:val="none"/>
              </w:rPr>
            </w:r>
            <w:r/>
          </w:p>
        </w:tc>
        <w:tc>
          <w:tcPr>
            <w:tcW w:w="99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rPr>
            </w:r>
            <w:r/>
          </w:p>
        </w:tc>
        <w:tc>
          <w:tcPr>
            <w:tcW w:w="1029"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w:t>
            </w:r>
            <w:r>
              <w:rPr>
                <w:rFonts w:hint="eastAsia" w:ascii="宋体" w:hAnsi="宋体" w:eastAsia="宋体" w:cs="宋体"/>
                <w:sz w:val="24"/>
                <w:szCs w:val="24"/>
                <w:highlight w:val="none"/>
              </w:rPr>
            </w:r>
            <w:r/>
          </w:p>
        </w:tc>
        <w:tc>
          <w:tcPr>
            <w:tcW w:w="1365"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122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18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设备排口</w:t>
            </w:r>
            <w:r>
              <w:rPr>
                <w:rFonts w:hint="eastAsia" w:ascii="宋体" w:hAnsi="宋体" w:eastAsia="宋体" w:cs="宋体"/>
                <w:sz w:val="24"/>
                <w:szCs w:val="24"/>
                <w:highlight w:val="none"/>
              </w:rPr>
            </w:r>
            <w:r/>
          </w:p>
        </w:tc>
        <w:tc>
          <w:tcPr>
            <w:tcW w:w="108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W w:w="700"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6-9</w:t>
            </w:r>
            <w:r>
              <w:rPr>
                <w:rFonts w:hint="eastAsia" w:ascii="宋体" w:hAnsi="宋体" w:eastAsia="宋体" w:cs="宋体"/>
                <w:sz w:val="24"/>
                <w:szCs w:val="24"/>
                <w:highlight w:val="none"/>
              </w:rPr>
            </w:r>
            <w:r/>
          </w:p>
        </w:tc>
        <w:tc>
          <w:tcPr>
            <w:tcW w:w="99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1029"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≤0.2</w:t>
            </w:r>
            <w:r>
              <w:rPr>
                <w:rFonts w:hint="eastAsia" w:ascii="宋体" w:hAnsi="宋体" w:eastAsia="宋体" w:cs="宋体"/>
                <w:sz w:val="24"/>
                <w:szCs w:val="24"/>
                <w:highlight w:val="none"/>
              </w:rPr>
            </w:r>
            <w:r/>
          </w:p>
        </w:tc>
        <w:tc>
          <w:tcPr>
            <w:tcW w:w="1365"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228" w:type="dxa"/>
            <w:vAlign w:val="center"/>
            <w:textDirection w:val="lrTb"/>
            <w:noWrap w:val="false"/>
          </w:tcPr>
          <w:p>
            <w:pPr>
              <w:pStyle w:val="164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r>
    </w:tbl>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（三）设备参数表</w:t>
      </w:r>
      <w:r>
        <w:rPr>
          <w:rFonts w:hint="eastAsia"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联福桥东南侧雨水排口水体治理设备参数要求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雨水处理一体机有预处理区（收集池），生物反应区（缺氧反应1、好氧反应，生物二沉池），ABFT深度处理区（格栅池、调节池、流化床、二沉池），设备操作区（水泵组、风机组、电控组），四个部分组成。</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收集井</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材质：Q235A</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厚度：δ=8mm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尺寸：3000×3000×3000mm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防腐：内外防锈防腐底漆一层、环氧聚氨酯防腐两层。</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一体化雨水生物处理装置： Q=25m3/h  P=16.6kW </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材质：Q235A</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厚度：δ=8mm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尺寸：21000×3000×3200mm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防腐：内外防锈防腐底漆一层、环氧聚氨酯防腐两层。</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技术参数：处理水量       20m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/h</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          进水泵功率     2.2kW</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          硝化液回流     12m</w:t>
      </w:r>
      <w:r>
        <w:rPr>
          <w:rFonts w:hint="eastAsia" w:ascii="宋体" w:hAnsi="宋体" w:eastAsia="宋体" w:cs="宋体"/>
          <w:b w:val="0"/>
          <w:bCs w:val="0"/>
          <w:color w:val="000000"/>
          <w:sz w:val="24"/>
          <w:szCs w:val="24"/>
          <w:highlight w:val="none"/>
          <w:vertAlign w:val="superscript"/>
          <w:lang w:val="en-US" w:eastAsia="zh-CN"/>
        </w:rPr>
        <w:t xml:space="preserve">3</w:t>
      </w:r>
      <w:r>
        <w:rPr>
          <w:rFonts w:hint="eastAsia" w:ascii="宋体" w:hAnsi="宋体" w:eastAsia="宋体" w:cs="宋体"/>
          <w:b w:val="0"/>
          <w:bCs w:val="0"/>
          <w:color w:val="000000"/>
          <w:sz w:val="24"/>
          <w:szCs w:val="24"/>
          <w:highlight w:val="none"/>
          <w:lang w:val="en-US" w:eastAsia="zh-CN"/>
        </w:rPr>
        <w:t xml:space="preserve">/h</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          缺氧推流器     0.85KW</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          好氧池风机     7.5kW</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ABFT深度处理池</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材质：Q235A</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厚度：δ=8mm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尺寸：7000×1500×2750mm</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防腐：内外防锈防腐底漆一层、环氧聚氨酯防腐两层。</w:t>
      </w:r>
      <w:r>
        <w:rPr>
          <w:rFonts w:hint="eastAsia" w:ascii="宋体" w:hAnsi="宋体" w:eastAsia="宋体" w:cs="宋体"/>
          <w:b w:val="0"/>
          <w:bCs w:val="0"/>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（四）工艺要求</w:t>
      </w:r>
      <w:r>
        <w:rPr>
          <w:rFonts w:hint="eastAsia" w:ascii="宋体" w:hAnsi="宋体" w:eastAsia="宋体" w:cs="宋体"/>
          <w:b/>
          <w:bCs/>
          <w:color w:val="000000"/>
          <w:sz w:val="24"/>
          <w:szCs w:val="24"/>
          <w:highlight w:val="none"/>
          <w:lang w:val="en-US" w:eastAsia="zh-CN"/>
        </w:rPr>
      </w:r>
      <w:r/>
    </w:p>
    <w:p>
      <w:pPr>
        <w:pStyle w:val="164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联福桥东南侧雨水排口水体治理工艺要求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1、收集池：主要作用是将雨水管网内的雨水截流收集起来，由泵提升至一体化处理设备内进行处理反应，当雨水量过大时，由溢流口直接对河道排放。配套液位控制器，用于稳定提升处理收集好的管网内雨水。</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2、缺氧反应：在池体内安装弹性填料，依附在填料上生成的兼性菌与雨水内的污染物发生反硝化反应，能去除废水COD的同时去除总氮。配套推流器，能使水中污染物更充分的与填料上的菌群充分接触反应。</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好氧反应：在风机的作用下，生长在组合填料上的好氧菌群对水中污染物进行硝化反应，去除水中的COD、氨氮等污染物，各种地表残留物也能充分彻底的去除。配套风机用于对废水充氧帮助菌群生长同时使水体与菌群充分接触反应。</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ABFT深度处理：将海绵填料作为生物载体，系统内分成了集泥区、缓冲配水区、生物载体区和清水区，在深度处理系统内，依附在生物载体上的微生物本身就形成了无数个硝化与反硝化反应的过程。能提高对污染物COD与氨氮的去除效果。同样配套风机，用于载体上的微生物生长需要。</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5、操作间：用于放置风机与电控柜。</w:t>
      </w: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五、项目内容</w:t>
      </w:r>
      <w:r>
        <w:rPr>
          <w:rFonts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包括但不限于：</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1、向租赁方提供供货需求一览表所列全部整机设备，提供设备租赁服务。</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2、提供服务期间所需的各种药剂。</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3、提供服务期间的维修所需备品、备件。</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4、能达到技术参数所要求的工艺完整的设备。</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服务方负责合同成套工艺设备的安装，设备的调试安装和设备之间管道的连接工作。设备安装完成后，负责合同期内雨污水处理系统设备的正常运行并满足设计的各参数要求和设计的排放标准，实时配合当地相关部门验收。</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6、服务方必须严格遵守安全生产法律、法规、标准、安全生产规章制度和操作规程，熟练掌握事故防范措施和事故应急处理预案。</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7、设备租赁模式费用清单：</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投标报价包含人工、材料、管理费、利润、规费、税金，以及一定的风险费用；安装设备池体、净水、加药、曝气等装置及设备防腐、配线、配管、阀门、五金等费用；运行期间人工、维护及污泥处置、药剂、检测等服务费用；设施设备均采用地埋形式（含基础）。各投标人应认真踏勘现场，并预计可能发生的费用，凡未列的一旦发生，将视为由投标人自理。</w:t>
      </w:r>
      <w:r>
        <w:rPr>
          <w:rFonts w:hint="eastAsia" w:ascii="宋体" w:hAnsi="宋体" w:eastAsia="宋体" w:cs="宋体"/>
          <w:b w:val="0"/>
          <w:bCs w:val="0"/>
          <w:color w:val="000000"/>
          <w:sz w:val="24"/>
          <w:szCs w:val="24"/>
          <w:highlight w:val="none"/>
          <w:lang w:val="en-US" w:eastAsia="zh-CN"/>
        </w:rPr>
      </w:r>
      <w:r/>
    </w:p>
    <w:tbl>
      <w:tblPr>
        <w:tblW w:w="707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9"/>
        <w:gridCol w:w="2401"/>
        <w:gridCol w:w="3969"/>
      </w:tblGrid>
      <w:tr>
        <w:trPr>
          <w:trHeight w:val="565"/>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费用内容</w:t>
            </w:r>
            <w:r>
              <w:rPr>
                <w:rFonts w:hint="eastAsia" w:ascii="宋体" w:hAnsi="宋体" w:eastAsia="宋体" w:cs="宋体"/>
                <w:b/>
                <w:bCs/>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设备使用费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租赁形式</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人工费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包括现场定期巡视</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生物菌剂</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好氧菌</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药剂费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净水剂、营养剂</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第三方水质检测费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每月检测一次</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设备维修维护费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按设备投资估算</w:t>
            </w:r>
            <w:r>
              <w:rPr>
                <w:rFonts w:hint="eastAsia" w:ascii="宋体" w:hAnsi="宋体" w:eastAsia="宋体" w:cs="宋体"/>
                <w:sz w:val="24"/>
                <w:szCs w:val="24"/>
                <w:highlight w:val="none"/>
              </w:rPr>
            </w:r>
            <w:r/>
          </w:p>
        </w:tc>
      </w:tr>
      <w:tr>
        <w:trPr>
          <w:trHeight w:val="369"/>
        </w:trPr>
        <w:tc>
          <w:tcPr>
            <w:tcMar>
              <w:left w:w="15" w:type="dxa"/>
              <w:top w:w="15" w:type="dxa"/>
              <w:right w:w="15" w:type="dxa"/>
              <w:bottom w:w="0" w:type="dxa"/>
            </w:tcMar>
            <w:tcW w:w="70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污泥处置费</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keepLines w:val="0"/>
              <w:keepNext w:val="0"/>
              <w:pageBreakBefore w:val="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浮油及沉淀污泥</w:t>
            </w:r>
            <w:r>
              <w:rPr>
                <w:rFonts w:hint="eastAsia" w:ascii="宋体" w:hAnsi="宋体" w:eastAsia="宋体" w:cs="宋体"/>
                <w:sz w:val="24"/>
                <w:szCs w:val="24"/>
                <w:highlight w:val="none"/>
              </w:rPr>
            </w:r>
            <w:r/>
          </w:p>
        </w:tc>
      </w:tr>
    </w:tbl>
    <w:p>
      <w:pPr>
        <w:pStyle w:val="1644"/>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五、最低人员配置要求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采购人</w:t>
      </w:r>
      <w:r>
        <w:rPr>
          <w:rFonts w:ascii="宋体" w:hAnsi="宋体" w:eastAsia="宋体" w:cs="宋体"/>
          <w:b w:val="0"/>
          <w:bCs w:val="0"/>
          <w:color w:val="000000"/>
          <w:sz w:val="24"/>
          <w:szCs w:val="24"/>
          <w:highlight w:val="none"/>
          <w:lang w:val="en-US" w:eastAsia="zh-CN"/>
        </w:rPr>
        <w:t xml:space="preserve">所租赁的设备到场调试完成并通过验收后，服务人员进场，投标人承诺配置专业人员不少于6人，</w:t>
      </w:r>
      <w:r>
        <w:rPr>
          <w:rFonts w:ascii="宋体" w:hAnsi="宋体" w:eastAsia="宋体" w:cs="宋体"/>
          <w:b/>
          <w:bCs/>
          <w:color w:val="000000"/>
          <w:sz w:val="24"/>
          <w:szCs w:val="24"/>
          <w:highlight w:val="none"/>
          <w:lang w:val="en-US" w:eastAsia="zh-CN"/>
        </w:rPr>
        <w:t xml:space="preserve">投标时提供承诺书</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格式自拟</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并加盖公章原件扫描件上传至投标文件中，否则视为未响应招标文件，作废标处理。</w:t>
      </w:r>
      <w:r>
        <w:rPr>
          <w:rFonts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六、付款方式：</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1、合同签订后，供应商提交预付款担保（银行保函，一年期），采购人收到银行保函后支付合同价10%预付款，</w:t>
      </w:r>
      <w:r>
        <w:rPr>
          <w:rFonts w:hint="eastAsia" w:ascii="宋体" w:hAnsi="宋体" w:eastAsia="宋体" w:cs="宋体"/>
          <w:b w:val="0"/>
          <w:bCs w:val="0"/>
          <w:color w:val="000000"/>
          <w:sz w:val="24"/>
          <w:szCs w:val="24"/>
          <w:highlight w:val="none"/>
          <w:lang w:val="en-US" w:eastAsia="zh-CN"/>
        </w:rPr>
        <w:t xml:space="preserve">第一年度按季度支付至合同价款的60%（</w:t>
      </w:r>
      <w:r>
        <w:rPr>
          <w:rFonts w:hint="eastAsia" w:ascii="宋体" w:hAnsi="宋体" w:eastAsia="宋体" w:cs="宋体"/>
          <w:b w:val="0"/>
          <w:bCs w:val="0"/>
          <w:color w:val="000000"/>
          <w:sz w:val="24"/>
          <w:szCs w:val="24"/>
          <w:highlight w:val="none"/>
          <w:lang w:val="en-US" w:eastAsia="zh-CN"/>
        </w:rPr>
        <w:t xml:space="preserve">设备到场调试完成并检测处理后水质达到地表水Ⅲ类要求后开始付款，预付款在第一次付款时扣回</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，第二年度按季度支付至合同价</w:t>
      </w:r>
      <w:r>
        <w:rPr>
          <w:rFonts w:hint="eastAsia" w:ascii="宋体" w:hAnsi="宋体" w:eastAsia="宋体" w:cs="宋体"/>
          <w:b w:val="0"/>
          <w:bCs w:val="0"/>
          <w:color w:val="000000"/>
          <w:sz w:val="24"/>
          <w:szCs w:val="24"/>
          <w:highlight w:val="none"/>
          <w:lang w:val="en-US" w:eastAsia="zh-CN"/>
        </w:rPr>
        <w:t xml:space="preserve">款</w:t>
      </w:r>
      <w:r>
        <w:rPr>
          <w:rFonts w:hint="eastAsia" w:ascii="宋体" w:hAnsi="宋体" w:eastAsia="宋体" w:cs="宋体"/>
          <w:b w:val="0"/>
          <w:bCs w:val="0"/>
          <w:color w:val="000000"/>
          <w:sz w:val="24"/>
          <w:szCs w:val="24"/>
          <w:highlight w:val="none"/>
          <w:lang w:val="en-US" w:eastAsia="zh-CN"/>
        </w:rPr>
        <w:t xml:space="preserve">的80%，第三年度</w:t>
      </w:r>
      <w:r>
        <w:rPr>
          <w:rFonts w:hint="eastAsia" w:ascii="宋体" w:hAnsi="宋体" w:eastAsia="宋体" w:cs="宋体"/>
          <w:b w:val="0"/>
          <w:bCs w:val="0"/>
          <w:color w:val="000000"/>
          <w:sz w:val="24"/>
          <w:szCs w:val="24"/>
          <w:highlight w:val="none"/>
          <w:lang w:val="en-US" w:eastAsia="zh-CN"/>
        </w:rPr>
        <w:t xml:space="preserve">按季度</w:t>
      </w:r>
      <w:r>
        <w:rPr>
          <w:rFonts w:hint="eastAsia" w:ascii="宋体" w:hAnsi="宋体" w:eastAsia="宋体" w:cs="宋体"/>
          <w:b w:val="0"/>
          <w:bCs w:val="0"/>
          <w:color w:val="000000"/>
          <w:sz w:val="24"/>
          <w:szCs w:val="24"/>
          <w:highlight w:val="none"/>
          <w:lang w:val="en-US" w:eastAsia="zh-CN"/>
        </w:rPr>
        <w:t xml:space="preserve">支付至合同价款的90%，剩余10%费用在免费提供服务期间按年度付清。</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2、费用支付前供应商向采购人提供对应金额的技术服务发票。</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若供应商出现连续三个月一体化雨水处理设备出水水质没达到约定标准，采购人可以扣除本项目20%服务费作为违约金。若供应商出现连续六个月一体化雨水处理设备出水水质没达到约定标准，采购人可以解除本合同，供应商并按照合同总金额承担违约金。</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雨污水处理设备出水水质一般由采购人不定期采样及送有资质的检测单位进行水质检测，也可以采用快速检测进行出水水质检测。供应商也有权对雨污水处理设备出水水质通过有资质的第三方检测单位进行水质检测。</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5、采购人在收到供应商相应金额的发票后应及时安排付款，若因供应商未及时开具发票而导致采购人迟延付款的，采购人不承担违约责任。</w:t>
      </w:r>
      <w:r>
        <w:rPr>
          <w:rFonts w:hint="eastAsia" w:ascii="宋体" w:hAnsi="宋体" w:eastAsia="宋体" w:cs="宋体"/>
          <w:b w:val="0"/>
          <w:bCs w:val="0"/>
          <w:color w:val="000000"/>
          <w:sz w:val="24"/>
          <w:szCs w:val="24"/>
          <w:highlight w:val="none"/>
          <w:lang w:val="en-US" w:eastAsia="zh-CN"/>
        </w:rPr>
      </w:r>
      <w:r/>
    </w:p>
    <w:p>
      <w:pPr>
        <w:pStyle w:val="1644"/>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七、其他要求</w:t>
      </w:r>
      <w:r>
        <w:rPr>
          <w:rFonts w:hint="eastAsia" w:ascii="宋体" w:hAnsi="宋体" w:eastAsia="宋体" w:cs="宋体"/>
          <w:b/>
          <w:bCs/>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1、必须落实安全生产措施，按照相应国家法规及业主方要求，配备相关安全警示标志及采取相应措施</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2、必须认真负责，并注意安全操作，如发生任何意外，负责事故处理及一切费用，概与采购人无关</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3、派出的巡检服务人员应具备相关的专业知识及技术水平，有为采购人提供切实可行的解决方案的能力</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4、履约保证金：本项目收取履约保证金，具体详见合同条款。</w:t>
      </w: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644"/>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644"/>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64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663"/>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644"/>
        <w:jc w:val="center"/>
        <w:spacing w:line="360" w:lineRule="auto"/>
        <w:rPr>
          <w:rFonts w:hint="eastAsia" w:ascii="Times New Roman" w:hAnsi="宋体" w:eastAsia="宋体" w:cs="宋体"/>
          <w:b/>
          <w:bCs/>
          <w:sz w:val="32"/>
          <w:szCs w:val="32"/>
          <w:highlight w:val="none"/>
          <w:lang w:val="en-US" w:eastAsia="zh-CN"/>
        </w:rPr>
        <w:outlineLvl w:val="0"/>
      </w:pPr>
      <w:r/>
      <w:bookmarkEnd w:id="28"/>
      <w:r/>
      <w:bookmarkStart w:id="30" w:name="_Toc12214"/>
      <w:r/>
      <w:bookmarkStart w:id="31" w:name="_Toc21985"/>
      <w:r/>
      <w:bookmarkStart w:id="32" w:name="_Toc5730"/>
      <w:r/>
      <w:bookmarkStart w:id="33" w:name="_Toc17918"/>
      <w:r/>
      <w:bookmarkStart w:id="34" w:name="_Toc4709"/>
      <w:r>
        <w:rPr>
          <w:rFonts w:hint="eastAsia" w:ascii="Times New Roman" w:hAnsi="宋体" w:eastAsia="宋体" w:cs="宋体"/>
          <w:b/>
          <w:bCs/>
          <w:sz w:val="32"/>
          <w:szCs w:val="32"/>
          <w:highlight w:val="none"/>
          <w:lang w:val="en-US" w:eastAsia="zh-CN"/>
        </w:rPr>
        <w:t xml:space="preserve">四、合同书（格式文本）</w:t>
      </w:r>
      <w:bookmarkEnd w:id="30"/>
      <w:r/>
      <w:bookmarkEnd w:id="31"/>
      <w:r>
        <w:rPr>
          <w:rFonts w:hint="eastAsia" w:ascii="Times New Roman" w:hAnsi="宋体" w:eastAsia="宋体" w:cs="宋体"/>
          <w:b/>
          <w:bCs/>
          <w:sz w:val="32"/>
          <w:szCs w:val="32"/>
          <w:highlight w:val="none"/>
          <w:lang w:val="en-US" w:eastAsia="zh-CN"/>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color w:val="000000"/>
          <w:sz w:val="24"/>
          <w:highlight w:val="none"/>
        </w:rPr>
        <w:t xml:space="preserve">需方</w:t>
      </w:r>
      <w:r>
        <w:rPr>
          <w:rFonts w:hint="eastAsia" w:ascii="宋体" w:hAnsi="宋体" w:eastAsia="宋体" w:cs="Times New Roman"/>
          <w:b w:val="0"/>
          <w:bCs/>
          <w:color w:val="000000"/>
          <w:sz w:val="24"/>
          <w:szCs w:val="24"/>
          <w:highlight w:val="none"/>
          <w:u w:val="none"/>
        </w:rPr>
        <w:t xml:space="preserve">（采购人）：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eastAsia="宋体" w:cs="Times New Roman"/>
          <w:b w:val="0"/>
          <w:bCs/>
          <w:color w:val="000000"/>
          <w:sz w:val="24"/>
          <w:szCs w:val="24"/>
          <w:highlight w:val="none"/>
          <w:u w:val="none"/>
        </w:rPr>
        <w:t xml:space="preserve">（中标方）：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十一、合同不可分割部分：</w:t>
      </w:r>
      <w:r>
        <w:rPr>
          <w:rFonts w:hint="eastAsia" w:hAnsi="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w:t>
      </w: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Times New Roman" w:hAnsi="宋体" w:eastAsia="宋体" w:cs="宋体"/>
          <w:bCs/>
          <w:sz w:val="24"/>
          <w:highlight w:val="none"/>
        </w:rPr>
        <w:t xml:space="preserve">在投标、评标过程中所作其它有关承诺、声明、书面澄清等均为合同不可分割的部分，与主合同具有同等法律效力。</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十二、合同备案：</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w:t>
      </w:r>
      <w:r>
        <w:rPr>
          <w:rFonts w:hint="eastAsia" w:ascii="Times New Roman" w:hAnsi="宋体" w:eastAsia="宋体" w:cs="宋体"/>
          <w:bCs/>
          <w:sz w:val="24"/>
          <w:highlight w:val="none"/>
          <w:lang w:val="en-US" w:eastAsia="zh-CN"/>
        </w:rPr>
        <w:t xml:space="preserve">供需</w:t>
      </w:r>
      <w:r>
        <w:rPr>
          <w:rFonts w:hint="eastAsia" w:ascii="Times New Roman" w:hAnsi="宋体" w:eastAsia="宋体" w:cs="宋体"/>
          <w:bCs/>
          <w:sz w:val="24"/>
          <w:highlight w:val="none"/>
        </w:rPr>
        <w:t xml:space="preserve">双方各执贰份，采购代理机构壹份。</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十三、合同生效：</w:t>
      </w:r>
      <w:r>
        <w:rPr>
          <w:rFonts w:hint="eastAsia" w:ascii="Times New Roman" w:hAnsi="宋体" w:eastAsia="宋体" w:cs="宋体"/>
          <w:bCs/>
          <w:sz w:val="24"/>
          <w:highlight w:val="none"/>
        </w:rPr>
      </w:r>
      <w:r/>
    </w:p>
    <w:p>
      <w:pPr>
        <w:pStyle w:val="164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Times New Roman" w:hAnsi="宋体" w:eastAsia="宋体" w:cs="宋体"/>
          <w:bCs/>
          <w:sz w:val="24"/>
          <w:highlight w:val="none"/>
          <w:lang w:val="en-US" w:eastAsia="zh-CN"/>
        </w:rPr>
        <w:t xml:space="preserve">供需</w:t>
      </w:r>
      <w:r>
        <w:rPr>
          <w:rFonts w:hint="eastAsia" w:ascii="Times New Roman" w:hAnsi="宋体" w:eastAsia="宋体" w:cs="宋体"/>
          <w:bCs/>
          <w:sz w:val="24"/>
          <w:highlight w:val="none"/>
        </w:rPr>
        <w:t xml:space="preserve">双方</w:t>
      </w:r>
      <w:r>
        <w:rPr>
          <w:rFonts w:hint="eastAsia" w:ascii="宋体" w:hAnsi="宋体" w:eastAsia="宋体" w:cs="Times New Roman"/>
          <w:b w:val="0"/>
          <w:bCs/>
          <w:color w:val="000000"/>
          <w:sz w:val="24"/>
          <w:szCs w:val="24"/>
          <w:highlight w:val="none"/>
          <w:u w:val="none"/>
        </w:rPr>
        <w:t xml:space="preserve">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需方</w:t>
      </w:r>
      <w:r>
        <w:rPr>
          <w:rFonts w:hint="eastAsia" w:ascii="宋体" w:hAnsi="宋体"/>
          <w:bCs/>
          <w:color w:val="000000"/>
          <w:sz w:val="24"/>
          <w:highlight w:val="none"/>
        </w:rPr>
        <w:t xml:space="preserve">（采购人）：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rPr>
        <w:t xml:space="preserve">（中标方）：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644"/>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64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rPr>
        <w:t xml:space="preserve">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rPr>
        <w:t xml:space="preserve">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sz w:val="24"/>
          <w:highlight w:val="none"/>
          <w:lang w:eastAsia="zh-CN"/>
        </w:rPr>
        <w:t xml:space="preserve">供</w:t>
      </w:r>
      <w:r>
        <w:rPr>
          <w:rFonts w:hint="eastAsia" w:ascii="宋体" w:hAnsi="宋体"/>
          <w:bCs/>
          <w:sz w:val="24"/>
          <w:highlight w:val="none"/>
        </w:rPr>
        <w:t xml:space="preserve">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644"/>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见证方：江苏通汇工程管理咨询有限公司（盖章）</w:t>
      </w:r>
      <w:r>
        <w:rPr>
          <w:rFonts w:hint="eastAsia" w:ascii="宋体" w:hAnsi="宋体"/>
          <w:bCs/>
          <w:color w:val="000000"/>
          <w:sz w:val="24"/>
          <w:highlight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Times New Roman" w:hAnsi="宋体" w:eastAsia="宋体" w:cs="宋体"/>
          <w:bCs/>
          <w:sz w:val="24"/>
          <w:highlight w:val="none"/>
          <w:lang w:val="en-US" w:eastAsia="zh-CN"/>
        </w:rPr>
        <w:t xml:space="preserve">供需</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644"/>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需方（采购人）：</w:t>
      </w:r>
      <w:r>
        <w:rPr>
          <w:rFonts w:hint="eastAsia" w:ascii="宋体" w:hAnsi="宋体" w:eastAsia="宋体" w:cs="Times New Roman"/>
          <w:b w:val="0"/>
          <w:bCs/>
          <w:color w:val="000000"/>
          <w:sz w:val="24"/>
          <w:szCs w:val="24"/>
          <w:highlight w:val="none"/>
          <w:u w:val="single"/>
        </w:rPr>
        <w:t xml:space="preserve">无锡市锡山区人民政府厚桥街道办事处</w:t>
      </w:r>
      <w:r>
        <w:rPr>
          <w:rFonts w:hint="eastAsia" w:ascii="宋体" w:hAnsi="宋体" w:eastAsia="宋体" w:cs="Times New Roman"/>
          <w:b w:val="0"/>
          <w:bCs/>
          <w:color w:val="000000"/>
          <w:sz w:val="24"/>
          <w:szCs w:val="24"/>
          <w:highlight w:val="none"/>
          <w:u w:val="none"/>
        </w:rPr>
      </w:r>
      <w:r/>
    </w:p>
    <w:p>
      <w:pPr>
        <w:pStyle w:val="164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sz w:val="24"/>
          <w:highlight w:val="none"/>
          <w:lang w:eastAsia="zh-CN"/>
        </w:rPr>
        <w:t xml:space="preserve">供方</w:t>
      </w:r>
      <w:r>
        <w:rPr>
          <w:rFonts w:hint="eastAsia" w:ascii="宋体" w:hAnsi="宋体" w:eastAsia="宋体" w:cs="Times New Roman"/>
          <w:b w:val="0"/>
          <w:bCs/>
          <w:color w:val="000000"/>
          <w:sz w:val="24"/>
          <w:szCs w:val="24"/>
          <w:highlight w:val="none"/>
          <w:u w:val="none"/>
        </w:rPr>
        <w:t xml:space="preserve">（中标方）：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中华人民共和国民法典》等法律法规的规定，</w:t>
      </w:r>
      <w:r>
        <w:rPr>
          <w:rFonts w:hint="eastAsia" w:ascii="宋体" w:hAnsi="宋体" w:eastAsia="宋体" w:cs="宋体"/>
          <w:sz w:val="24"/>
          <w:szCs w:val="24"/>
          <w:highlight w:val="none"/>
          <w:lang w:val="en-US" w:eastAsia="zh-CN"/>
        </w:rPr>
        <w:t xml:space="preserve">供需</w:t>
      </w:r>
      <w:r>
        <w:rPr>
          <w:rFonts w:hint="eastAsia" w:ascii="宋体" w:hAnsi="宋体" w:eastAsia="宋体" w:cs="宋体"/>
          <w:sz w:val="24"/>
          <w:szCs w:val="24"/>
          <w:highlight w:val="none"/>
        </w:rPr>
        <w:t xml:space="preserve">双方按照公开招标采购结果签订本合同。</w:t>
      </w:r>
      <w:r>
        <w:rPr>
          <w:rFonts w:hint="eastAsia" w:ascii="宋体" w:hAnsi="宋体" w:eastAsia="宋体" w:cs="宋体"/>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项目基本情况</w:t>
      </w:r>
      <w:r>
        <w:rPr>
          <w:rFonts w:hint="eastAsia" w:ascii="宋体" w:hAnsi="宋体" w:eastAsia="宋体" w:cs="宋体"/>
          <w:b/>
          <w:bCs/>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1、项目名称（项目编号）：</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2、服务内容：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3、服务范围：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4、供货期：</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4、服务期限：</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合同总价款</w:t>
      </w:r>
      <w:r>
        <w:rPr>
          <w:rFonts w:hint="eastAsia" w:ascii="宋体" w:hAnsi="宋体" w:eastAsia="宋体" w:cs="宋体"/>
          <w:b/>
          <w:bCs/>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本合同人民币总价款为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服务内容/货物与质量标准</w:t>
      </w:r>
      <w:r>
        <w:rPr>
          <w:rFonts w:hint="eastAsia" w:ascii="宋体" w:hAnsi="宋体" w:eastAsia="宋体" w:cs="宋体"/>
          <w:b/>
          <w:bCs/>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采购标的需实现的功能或者目标：由于地表污染物会随雨水进入管网时携带混入雨水中，同时污水管网老旧后会有部分污水的渗漏进雨水管网，因此需要先将雨水收集处理达到Ⅲ类水标准后再排入河道，才能保护河道环境不受污染与破坏。故厚桥街道拟针对芙蓉塘河（联福路桥）区域实行管网截流污水处理设备租赁服务采购，服务期三年。</w:t>
      </w:r>
      <w:r>
        <w:rPr>
          <w:rFonts w:hint="eastAsia" w:ascii="宋体" w:hAnsi="宋体" w:eastAsia="宋体" w:cs="宋体"/>
          <w:b w:val="0"/>
          <w:bCs w:val="0"/>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2、目标：保证设备每天正常的运转，设备出水能满足采购人相关指标的要求（必须达到地表水排水标准的Ⅲ类水）。</w:t>
      </w:r>
      <w:r>
        <w:rPr>
          <w:rFonts w:hint="eastAsia" w:ascii="宋体" w:hAnsi="宋体" w:eastAsia="宋体" w:cs="宋体"/>
          <w:b w:val="0"/>
          <w:bCs w:val="0"/>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3、租赁服务期满后污水处理设备产权归</w:t>
      </w:r>
      <w:r>
        <w:rPr>
          <w:rFonts w:hint="eastAsia" w:ascii="宋体" w:hAnsi="宋体" w:eastAsia="宋体" w:cs="宋体"/>
          <w:b w:val="0"/>
          <w:bCs w:val="0"/>
          <w:sz w:val="24"/>
          <w:szCs w:val="24"/>
          <w:highlight w:val="none"/>
          <w:lang w:val="en-US" w:eastAsia="zh-CN"/>
        </w:rPr>
        <w:t xml:space="preserve">需方（采购人）</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w:t>
      </w:r>
      <w:r>
        <w:rPr>
          <w:rFonts w:hint="eastAsia" w:ascii="宋体" w:hAnsi="宋体"/>
          <w:sz w:val="24"/>
          <w:highlight w:val="none"/>
          <w:lang w:eastAsia="zh-CN"/>
        </w:rPr>
        <w:t xml:space="preserve">供方</w:t>
      </w:r>
      <w:r>
        <w:rPr>
          <w:rFonts w:hint="eastAsia" w:ascii="宋体" w:hAnsi="宋体" w:eastAsia="宋体" w:cs="宋体"/>
          <w:b w:val="0"/>
          <w:bCs w:val="0"/>
          <w:sz w:val="24"/>
          <w:szCs w:val="24"/>
          <w:highlight w:val="none"/>
        </w:rPr>
        <w:t xml:space="preserve">在租赁服务期满后免费提供2年服务（服务内容和要求和租赁期内相同）。</w:t>
      </w:r>
      <w:r>
        <w:rPr>
          <w:rFonts w:hint="eastAsia" w:ascii="宋体" w:hAnsi="宋体" w:eastAsia="宋体" w:cs="宋体"/>
          <w:b w:val="0"/>
          <w:bCs w:val="0"/>
          <w:sz w:val="24"/>
          <w:szCs w:val="24"/>
          <w:highlight w:val="none"/>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第四条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付款</w:t>
      </w:r>
      <w:r>
        <w:rPr>
          <w:rFonts w:hint="eastAsia" w:ascii="宋体" w:hAnsi="宋体" w:eastAsia="宋体" w:cs="宋体"/>
          <w:b/>
          <w:bCs/>
          <w:sz w:val="24"/>
          <w:szCs w:val="24"/>
          <w:highlight w:val="none"/>
          <w:lang w:val="en-US" w:eastAsia="zh-CN"/>
        </w:rPr>
        <w:t xml:space="preserve">方式</w:t>
      </w:r>
      <w:r>
        <w:rPr>
          <w:rFonts w:hint="eastAsia" w:ascii="宋体" w:hAnsi="宋体" w:eastAsia="宋体" w:cs="宋体"/>
          <w:b/>
          <w:bCs/>
          <w:sz w:val="24"/>
          <w:szCs w:val="24"/>
          <w:highlight w:val="none"/>
          <w:lang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合同签订后，供应商提交预付款担保（银行保函，一年期），采购人收到银行保函后支付合同价10%预付款，第一年度按季度支付至合同价款的60%（设备到场调试完成并检测处理后水质达到地表水Ⅲ类要求后开始付款，预付款在第一次付款时扣回），第二年度按季度支付至合同价款的80%，第三年度按季度支付至合同价款的90%，剩余10%费用在免费提供服务期间按年度付清。</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2、费用支付前供应商向采购人提供对应金额的技术服务发票。</w:t>
      </w:r>
      <w:r>
        <w:rPr>
          <w:rFonts w:hint="eastAsia" w:ascii="宋体" w:hAnsi="宋体" w:eastAsia="宋体" w:cs="宋体"/>
          <w:b w:val="0"/>
          <w:bCs w:val="0"/>
          <w:color w:val="000000"/>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若供应商出现连续三个月一体化雨水处理设备出水水质没达到约定标准，采购人可以扣除本项目20%服务费作为违约金。若供应商出现连续六个月一体化雨水处理设备出水水质没达到约定标准，采购人可以解除本合同，供应商并按照合同总金额承担违约金。</w:t>
      </w:r>
      <w:r>
        <w:rPr>
          <w:rFonts w:hint="eastAsia" w:ascii="宋体" w:hAnsi="宋体" w:eastAsia="宋体" w:cs="宋体"/>
          <w:b w:val="0"/>
          <w:bCs w:val="0"/>
          <w:color w:val="000000"/>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雨污水处理设备出水水质一般由需方不定期采样及送有资质的检测单位进行水质检测，也可以采用快速检测进行出水水质检测。供方也有权对雨污水处理设备出水水质通过有资质的第三方检测单位进行水质检测。</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需方在收到供方相应金额的发票后应及时安排付款，若因供方未及时开具发票而导致需方迟延付款的，需方不承担违约责任。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第五条 知识产权</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供方应保证所提供的服务或其任何一部分均不会侵犯任何第三方的专利权、商标权或著作权。</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第六条 无产权瑕疵条款</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供方保证所提供的服务的所有权完全属于供方且无任何抵押、查封等产权瑕疵。如有产权瑕疵的，视为供方违约。供方应负担由此而产生的一切损失。</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第七条 需方的权利和义务</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1、需方有权对合同规定范围内供方的服务行为进行监督和检查，拥有监管权。有权定期核对供方提供服务所配备的人员数量。对需方认为不合理的部分有权下达整改通知书，并要求供方限期整改。</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2、需方有权依据双方签订的考评办法对供方提供的服务进行定期考评。当考评结果未达到标准时，有权依据考评办法约定的数额扣除履约保证金。</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3、负责检查监督供方管理工作的实施及制度的执行情况。</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4、根据本合同规定，按时向供方支付应付服务费用。</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5、国家法律、法规所规定由需方承担的其它责任。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第八条 供方的权利和义务</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1、对本合同规定的委托服务范围内的项目享有管理权及服务义务。</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2、根据本合同的规定向需方收取相关服务费用，并有权在本项目管理范围内管理及合理使用。</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3、及时向需方通告本项目服务范围内有关服务的重大事项，及时配合处理投诉。</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4、接受项目行业管理部门及政府有关部门的指导，接受需方的监督。</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5、国家法律、法规所规定由供方承担的其它责任。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第九条 违约责任</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1、供需双方必须遵守本合同并执行合同中的各项规定，保证本合同的正常履行。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如因供方工作人员在履行职务过程中的的疏忽、失职、过错等故意或者过失原因给需方造成损失或侵害，包括但不限于需方本身的财产损失、由此而导致的需方对任何第三方的法律责任等，供方对此均应承担全部的赔偿责任。</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第十条 不可抗力事件处理</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1、在合同有效期内，任何一方因不可抗力事件导致不能履行合同，则合同履行期可延长，其延长期与不可抗力影响期相同。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2、不可抗力事件发生后，应立即通知对方，并寄送有关权威机构出具的证明。</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3、不可抗力事件延续XX天以上，双方应通过友好协商，确定是否继续履行合同。</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第十一条 解决合同纠纷的方式</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1、合同履行期间,若双方发生争议，可协商或由有关部门调解解决，协商或调解不成的，由当事人向采购人项目所在地人民法院提起诉讼。</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第十二条 合同的变更及终止</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1、有下列情形之一的，本合同自行终止。</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（1）因不可抗力因素及政策原因，造成合同无法履行的。</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（2）经双方协商一致，自愿解除的。</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2、有下列情形之一的，需方有权单方终止合同。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（1）未经需方书面同意，供方擅自分包或者转包他人的。</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（2）供方不履行义务，需方有权终止承包合同。</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（1）需方内部工作安排、计划调整等自身原因；</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（2）中央、省、市、区级政策变动，以及规划、计划调整等外部原因；</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（3）其他需方原因。</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本合同对合同变更、中止或终止合同有其他特殊约定的，按该特殊约定执行。</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第十二条 合同生效及其它</w:t>
      </w:r>
      <w:r>
        <w:rPr>
          <w:rFonts w:hint="eastAsia" w:ascii="宋体" w:hAnsi="宋体" w:eastAsia="宋体" w:cs="宋体"/>
          <w:b/>
          <w:bCs/>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1、合同经供需双方代表签字并盖章，且在江苏通汇工程管理咨询有限公司见证后即生效。</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合同签订后供需双方即直接产生权利与义务的关系，合同执行过程中出现的问题应按照合同约定、法律法规的规定办理。在合同履行过程中，双方如有争议，由供需双方协商处理，若协商不成，可选择以下方式处理：</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（1）向无锡仲裁委员会申请仲裁。</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（2）向需方所在地法院提起诉讼。</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4、合同中未有约定的按照有关的法律法规以及国家行业标准或技术文件规定予以解决。</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5、供需双方确认：对本合同条款及后果均已知悉，一致确认不存在欺诈、胁迫、乘人之危、重大误解、显失公平等任何可能导致合同无效或被撤销的情形。</w:t>
      </w: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合同文件组成及优先顺序为①本合同②本合同相关补充协议③本合同所有附件④招标文件⑤响应文件及其附件（含评标期间的澄清文件和补充资料）⑥中标通知书。上述文件具有同等法律效力。在执行本合同的过程中，所有经双方签署确认的文件（包括会议纪要、补充协议、往来信函）即成为本合同的有效组成部分。</w:t>
      </w:r>
      <w:r>
        <w:rPr>
          <w:rFonts w:hint="eastAsia" w:ascii="宋体" w:hAnsi="宋体" w:eastAsia="宋体" w:cs="宋体"/>
          <w:sz w:val="24"/>
          <w:szCs w:val="24"/>
          <w:highlight w:val="none"/>
          <w:lang w:val="en-US" w:eastAsia="zh-CN"/>
        </w:rPr>
      </w:r>
      <w:r/>
    </w:p>
    <w:p>
      <w:pPr>
        <w:pStyle w:val="1644"/>
        <w:ind w:left="0" w:firstLine="482"/>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第十三条 履约保证金</w:t>
      </w:r>
      <w:r>
        <w:rPr>
          <w:rFonts w:hint="eastAsia" w:ascii="宋体" w:hAnsi="宋体" w:eastAsia="宋体" w:cs="宋体"/>
          <w:b/>
          <w:bCs/>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收取履约保证金形式：</w:t>
      </w:r>
      <w:r>
        <w:rPr>
          <w:rFonts w:hint="eastAsia" w:ascii="宋体" w:hAnsi="宋体" w:eastAsia="宋体" w:cs="宋体"/>
          <w:b w:val="0"/>
          <w:bCs w:val="0"/>
          <w:color w:val="000000"/>
          <w:sz w:val="24"/>
          <w:szCs w:val="24"/>
          <w:highlight w:val="none"/>
          <w:u w:val="single"/>
          <w:lang w:val="en-US" w:eastAsia="zh-CN"/>
        </w:rPr>
        <w:t xml:space="preserve">以保函等非现金形式缴纳或提交（三年期）</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收取履约保证金金额：</w:t>
      </w:r>
      <w:r>
        <w:rPr>
          <w:rFonts w:hint="eastAsia" w:ascii="宋体" w:hAnsi="宋体" w:eastAsia="宋体" w:cs="宋体"/>
          <w:b w:val="0"/>
          <w:bCs w:val="0"/>
          <w:color w:val="000000"/>
          <w:sz w:val="24"/>
          <w:szCs w:val="24"/>
          <w:highlight w:val="none"/>
          <w:u w:val="single"/>
          <w:lang w:val="en-US" w:eastAsia="zh-CN"/>
        </w:rPr>
        <w:t xml:space="preserve">合同价款的10%</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履约担保期限：</w:t>
      </w:r>
      <w:r>
        <w:rPr>
          <w:rFonts w:hint="eastAsia" w:ascii="宋体" w:hAnsi="宋体" w:eastAsia="宋体" w:cs="宋体"/>
          <w:b w:val="0"/>
          <w:bCs w:val="0"/>
          <w:color w:val="000000"/>
          <w:sz w:val="24"/>
          <w:szCs w:val="24"/>
          <w:highlight w:val="none"/>
          <w:u w:val="single"/>
          <w:lang w:val="en-US" w:eastAsia="zh-CN"/>
        </w:rPr>
        <w:t xml:space="preserve">履约保证金将在服务完毕并考核合格后无息退回</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履约保证金的缴纳时间：</w:t>
      </w:r>
      <w:r>
        <w:rPr>
          <w:rFonts w:hint="eastAsia" w:ascii="宋体" w:hAnsi="宋体" w:eastAsia="宋体" w:cs="宋体"/>
          <w:b w:val="0"/>
          <w:bCs w:val="0"/>
          <w:color w:val="000000"/>
          <w:sz w:val="24"/>
          <w:szCs w:val="24"/>
          <w:highlight w:val="none"/>
          <w:u w:val="single"/>
          <w:lang w:val="en-US" w:eastAsia="zh-CN"/>
        </w:rPr>
        <w:t xml:space="preserve">供方在签订合同后5个工作日内，向需方提交履约保证金</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退付办法：</w:t>
      </w:r>
      <w:r>
        <w:rPr>
          <w:rFonts w:hint="eastAsia" w:ascii="宋体" w:hAnsi="宋体" w:eastAsia="宋体" w:cs="宋体"/>
          <w:b w:val="0"/>
          <w:bCs w:val="0"/>
          <w:color w:val="000000"/>
          <w:sz w:val="24"/>
          <w:szCs w:val="24"/>
          <w:highlight w:val="none"/>
          <w:u w:val="single"/>
          <w:lang w:val="en-US" w:eastAsia="zh-CN"/>
        </w:rPr>
        <w:t xml:space="preserve">与供方提交履约保证金的方式相同</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履约保证金不予退还的情形：</w:t>
      </w:r>
      <w:r>
        <w:rPr>
          <w:rFonts w:hint="eastAsia" w:ascii="宋体" w:hAnsi="宋体" w:eastAsia="宋体" w:cs="宋体"/>
          <w:b w:val="0"/>
          <w:bCs w:val="0"/>
          <w:color w:val="000000"/>
          <w:sz w:val="24"/>
          <w:szCs w:val="24"/>
          <w:highlight w:val="none"/>
          <w:u w:val="single"/>
          <w:lang w:val="en-US" w:eastAsia="zh-CN"/>
        </w:rPr>
        <w:t xml:space="preserve">①由于中标方的原因不能履约的，②在履行合同期间发生重大安全事故，给采购人造成不良影响和严重经济损失的</w:t>
      </w:r>
      <w:r>
        <w:rPr>
          <w:rFonts w:hint="eastAsia" w:ascii="宋体" w:hAnsi="宋体" w:eastAsia="宋体" w:cs="宋体"/>
          <w:b w:val="0"/>
          <w:bCs w:val="0"/>
          <w:color w:val="000000"/>
          <w:sz w:val="24"/>
          <w:szCs w:val="24"/>
          <w:highlight w:val="none"/>
          <w:lang w:val="en-US" w:eastAsia="zh-CN"/>
        </w:rPr>
      </w:r>
      <w:r/>
    </w:p>
    <w:p>
      <w:pPr>
        <w:pStyle w:val="164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逾期退还履约保证金的违约责任：</w:t>
      </w:r>
      <w:r>
        <w:rPr>
          <w:rFonts w:hint="eastAsia" w:ascii="宋体" w:hAnsi="宋体" w:eastAsia="宋体" w:cs="宋体"/>
          <w:b w:val="0"/>
          <w:bCs w:val="0"/>
          <w:color w:val="000000"/>
          <w:sz w:val="24"/>
          <w:szCs w:val="24"/>
          <w:highlight w:val="none"/>
          <w:u w:val="single"/>
          <w:lang w:val="en-US" w:eastAsia="zh-CN"/>
        </w:rPr>
        <w:t xml:space="preserve">承担履约保证金金额千分之二/天的违约</w:t>
      </w:r>
      <w:r>
        <w:rPr>
          <w:rFonts w:ascii="宋体" w:hAnsi="宋体" w:eastAsia="宋体" w:cs="宋体"/>
          <w:b w:val="0"/>
          <w:bCs w:val="0"/>
          <w:color w:val="000000"/>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644"/>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644"/>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sz w:val="24"/>
          <w:szCs w:val="24"/>
          <w:highlight w:val="none"/>
          <w:lang w:val="en-US" w:eastAsia="zh-CN"/>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eastAsia="宋体" w:cs="宋体"/>
          <w:sz w:val="24"/>
          <w:szCs w:val="24"/>
          <w:highlight w:val="none"/>
          <w:lang w:val="en-US" w:eastAsia="zh-CN"/>
        </w:rPr>
      </w:r>
      <w:r/>
    </w:p>
    <w:p>
      <w:pPr>
        <w:pStyle w:val="1644"/>
        <w:jc w:val="center"/>
        <w:spacing w:line="360" w:lineRule="auto"/>
        <w:rPr>
          <w:rFonts w:hint="eastAsia" w:ascii="Times New Roman" w:hAnsi="宋体" w:eastAsia="宋体" w:cs="宋体"/>
          <w:b/>
          <w:bCs/>
          <w:color w:val="000000"/>
          <w:sz w:val="32"/>
          <w:szCs w:val="32"/>
          <w:highlight w:val="none"/>
          <w:lang w:val="en-US" w:eastAsia="zh-CN"/>
        </w:rPr>
        <w:outlineLvl w:val="0"/>
      </w:pPr>
      <w:r/>
      <w:bookmarkEnd w:id="32"/>
      <w:r/>
      <w:bookmarkEnd w:id="33"/>
      <w:r/>
      <w:bookmarkEnd w:id="34"/>
      <w:r>
        <w:rPr>
          <w:rFonts w:hint="eastAsia" w:ascii="Times New Roman" w:hAnsi="宋体" w:eastAsia="宋体" w:cs="宋体"/>
          <w:b/>
          <w:bCs/>
          <w:color w:val="000000"/>
          <w:sz w:val="32"/>
          <w:szCs w:val="32"/>
          <w:highlight w:val="none"/>
          <w:lang w:val="en-US" w:eastAsia="zh-CN"/>
        </w:rPr>
        <w:t xml:space="preserve">五、附件</w:t>
      </w:r>
      <w:r>
        <w:rPr>
          <w:rFonts w:hint="eastAsia" w:ascii="Times New Roman" w:hAnsi="宋体" w:eastAsia="宋体" w:cs="宋体"/>
          <w:b/>
          <w:bCs/>
          <w:color w:val="000000"/>
          <w:sz w:val="32"/>
          <w:szCs w:val="32"/>
          <w:highlight w:val="none"/>
          <w:lang w:val="en-US" w:eastAsia="zh-CN"/>
        </w:rPr>
      </w:r>
      <w:r/>
    </w:p>
    <w:p>
      <w:pPr>
        <w:pStyle w:val="1644"/>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644"/>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19</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61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691"/>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644"/>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691"/>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投标供应商综合情况（</w:t>
      </w:r>
      <w:r>
        <w:rPr>
          <w:rFonts w:hint="eastAsia" w:ascii="宋体" w:hAnsi="宋体" w:cs="宋体"/>
          <w:b/>
          <w:bCs/>
          <w:color w:val="000000"/>
          <w:sz w:val="24"/>
          <w:szCs w:val="24"/>
          <w:highlight w:val="none"/>
          <w:lang w:val="en-US" w:eastAsia="zh-CN"/>
        </w:rPr>
        <w:t xml:space="preserve">19</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zh-CN" w:eastAsia="zh-CN"/>
        </w:rPr>
        <w:t xml:space="preserve">（1）企业业绩（</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zh-CN" w:eastAsia="zh-CN"/>
        </w:rPr>
        <w:t xml:space="preserve">分）</w:t>
      </w:r>
      <w:r>
        <w:rPr>
          <w:rFonts w:hint="eastAsia" w:ascii="宋体" w:hAnsi="宋体" w:eastAsia="宋体" w:cs="宋体"/>
          <w:b/>
          <w:bCs w:val="0"/>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zh-CN" w:eastAsia="zh-CN"/>
        </w:rPr>
        <w:outlineLvl w:val="9"/>
      </w:pPr>
      <w:r>
        <w:rPr>
          <w:rFonts w:hint="eastAsia" w:ascii="宋体" w:hAnsi="宋体" w:eastAsia="宋体" w:cs="宋体"/>
          <w:b w:val="0"/>
          <w:bCs/>
          <w:color w:val="000000"/>
          <w:sz w:val="24"/>
          <w:szCs w:val="24"/>
          <w:highlight w:val="none"/>
          <w:lang w:val="zh-CN" w:eastAsia="zh-CN"/>
        </w:rPr>
        <w:t xml:space="preserve">供应商自2019年1月1日以来承接过（以合同签订时间为准，无签订时间的以合同开始履行日期为准）与本项</w:t>
      </w:r>
      <w:r>
        <w:rPr>
          <w:rFonts w:hint="eastAsia" w:ascii="宋体" w:hAnsi="宋体" w:eastAsia="宋体" w:cs="宋体"/>
          <w:b w:val="0"/>
          <w:bCs/>
          <w:color w:val="000000"/>
          <w:sz w:val="24"/>
          <w:szCs w:val="24"/>
          <w:highlight w:val="none"/>
          <w:lang w:val="en-US" w:eastAsia="zh-CN"/>
        </w:rPr>
        <w:t xml:space="preserve">目</w:t>
      </w:r>
      <w:r>
        <w:rPr>
          <w:rFonts w:hint="eastAsia" w:ascii="宋体" w:hAnsi="宋体" w:eastAsia="宋体" w:cs="宋体"/>
          <w:b w:val="0"/>
          <w:bCs/>
          <w:color w:val="000000"/>
          <w:sz w:val="24"/>
          <w:szCs w:val="24"/>
          <w:highlight w:val="none"/>
          <w:lang w:val="zh-CN" w:eastAsia="zh-CN"/>
        </w:rPr>
        <w:t xml:space="preserve">类似的业绩的，每有1项得2分，本项最高得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zh-CN" w:eastAsia="zh-CN"/>
        </w:rPr>
        <w:t xml:space="preserve">分。</w:t>
      </w:r>
      <w:r>
        <w:rPr>
          <w:rFonts w:hint="eastAsia" w:ascii="宋体" w:hAnsi="宋体" w:eastAsia="宋体" w:cs="宋体"/>
          <w:b w:val="0"/>
          <w:bCs/>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lang w:val="zh-CN" w:eastAsia="zh-CN"/>
        </w:rPr>
        <w:t xml:space="preserve">多个合同中</w:t>
      </w:r>
      <w:r>
        <w:rPr>
          <w:rFonts w:hint="eastAsia" w:ascii="宋体" w:hAnsi="宋体" w:eastAsia="宋体" w:cs="宋体"/>
          <w:b/>
          <w:bCs w:val="0"/>
          <w:color w:val="000000"/>
          <w:sz w:val="24"/>
          <w:szCs w:val="24"/>
          <w:highlight w:val="none"/>
          <w:lang w:val="en-US" w:eastAsia="zh-CN"/>
        </w:rPr>
        <w:t xml:space="preserve">甲</w:t>
      </w:r>
      <w:r>
        <w:rPr>
          <w:rFonts w:hint="eastAsia" w:ascii="宋体" w:hAnsi="宋体" w:eastAsia="宋体" w:cs="宋体"/>
          <w:b/>
          <w:bCs w:val="0"/>
          <w:color w:val="000000"/>
          <w:sz w:val="24"/>
          <w:szCs w:val="24"/>
          <w:highlight w:val="none"/>
          <w:lang w:val="zh-CN" w:eastAsia="zh-CN"/>
        </w:rPr>
        <w:t xml:space="preserve">方名称为同一单位的只计为一项业绩。须提供合同原件扫描件上传至投标文件并电子签章，不提供不得分。</w:t>
      </w:r>
      <w:r>
        <w:rPr>
          <w:rFonts w:hint="eastAsia" w:ascii="宋体" w:hAnsi="宋体" w:eastAsia="宋体" w:cs="宋体"/>
          <w:b w:val="0"/>
          <w:bCs/>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zh-CN" w:eastAsia="zh-CN"/>
        </w:rPr>
        <w:t xml:space="preserve">（2）专业人才实力（</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eastAsia="zh-CN"/>
        </w:rPr>
        <w:t xml:space="preserve">分）</w:t>
      </w:r>
      <w:r>
        <w:rPr>
          <w:rFonts w:hint="eastAsia" w:ascii="宋体" w:hAnsi="宋体" w:eastAsia="宋体" w:cs="宋体"/>
          <w:b/>
          <w:bCs w:val="0"/>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zh-CN" w:eastAsia="zh-CN"/>
        </w:rPr>
        <w:outlineLvl w:val="9"/>
      </w:pPr>
      <w:r>
        <w:rPr>
          <w:rFonts w:hint="eastAsia" w:ascii="宋体" w:hAnsi="宋体" w:eastAsia="宋体" w:cs="宋体"/>
          <w:b w:val="0"/>
          <w:bCs/>
          <w:color w:val="000000"/>
          <w:sz w:val="24"/>
          <w:szCs w:val="24"/>
          <w:highlight w:val="none"/>
          <w:lang w:val="zh-CN" w:eastAsia="zh-CN"/>
        </w:rPr>
        <w:t xml:space="preserve">供应商配置人员中具有特种作业操作证书的，有1个得2分，本项最高得</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eastAsia="zh-CN"/>
        </w:rPr>
        <w:t xml:space="preserve">分。</w:t>
      </w:r>
      <w:r>
        <w:rPr>
          <w:rFonts w:hint="eastAsia" w:ascii="宋体" w:hAnsi="宋体" w:eastAsia="宋体" w:cs="宋体"/>
          <w:b w:val="0"/>
          <w:bCs/>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lang w:val="zh-CN" w:eastAsia="zh-CN"/>
        </w:rPr>
        <w:t xml:space="preserve">须提供证书原件扫描件及县（区）级及以上社保部门出具的供应商为其缴纳近三个月（不含</w:t>
      </w:r>
      <w:r>
        <w:rPr>
          <w:rFonts w:hint="eastAsia" w:ascii="宋体" w:hAnsi="宋体" w:eastAsia="宋体" w:cs="宋体"/>
          <w:b/>
          <w:bCs w:val="0"/>
          <w:color w:val="000000"/>
          <w:sz w:val="24"/>
          <w:szCs w:val="24"/>
          <w:highlight w:val="none"/>
          <w:lang w:val="en-US" w:eastAsia="zh-CN"/>
        </w:rPr>
        <w:t xml:space="preserve">开标</w:t>
      </w:r>
      <w:r>
        <w:rPr>
          <w:rFonts w:hint="eastAsia" w:ascii="宋体" w:hAnsi="宋体" w:eastAsia="宋体" w:cs="宋体"/>
          <w:b/>
          <w:bCs w:val="0"/>
          <w:color w:val="000000"/>
          <w:sz w:val="24"/>
          <w:szCs w:val="24"/>
          <w:highlight w:val="none"/>
          <w:lang w:val="zh-CN" w:eastAsia="zh-CN"/>
        </w:rPr>
        <w:t xml:space="preserve">当月）社保证明材料扫描件上传至投标文件中并电子签章，不提供或提供不全不得分。</w:t>
      </w:r>
      <w:r>
        <w:rPr>
          <w:rFonts w:hint="eastAsia" w:ascii="宋体" w:hAnsi="宋体" w:eastAsia="宋体" w:cs="宋体"/>
          <w:b/>
          <w:bCs w:val="0"/>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供货期响应时间（3分）</w:t>
      </w:r>
      <w:r>
        <w:rPr>
          <w:rFonts w:ascii="宋体" w:hAnsi="宋体" w:eastAsia="宋体" w:cs="宋体"/>
          <w:b/>
          <w:bCs w:val="0"/>
          <w:color w:val="000000"/>
          <w:sz w:val="24"/>
          <w:szCs w:val="24"/>
          <w:highlight w:val="none"/>
          <w:lang w:val="en-US" w:eastAsia="zh-CN"/>
        </w:rPr>
      </w:r>
      <w:r/>
    </w:p>
    <w:p>
      <w:pPr>
        <w:pStyle w:val="1644"/>
        <w:ind w:left="0" w:firstLine="480"/>
        <w:jc w:val="left"/>
        <w:keepLines w:val="0"/>
        <w:keepNext w:val="0"/>
        <w:pageBreakBefore w:val="0"/>
        <w:spacing w:line="360" w:lineRule="auto"/>
        <w:tabs>
          <w:tab w:val="left" w:pos="945" w:leader="none"/>
          <w:tab w:val="left" w:pos="1155" w:leader="none"/>
        </w:tabs>
        <w:rPr>
          <w:rFonts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供货期≤15个日历天的，得3分；15个日历天＜供货期≤20个日历天的，得2分；20个日历天＜供货期≤25个日历天的，得1分，25个日历天＜供货期＜30个日历天的，得0.5分，</w:t>
      </w:r>
      <w:r>
        <w:rPr>
          <w:rFonts w:hint="eastAsia" w:ascii="宋体" w:hAnsi="宋体" w:eastAsia="宋体" w:cs="宋体"/>
          <w:b w:val="0"/>
          <w:bCs/>
          <w:color w:val="000000"/>
          <w:sz w:val="24"/>
          <w:szCs w:val="24"/>
          <w:highlight w:val="none"/>
          <w:lang w:val="zh-CN" w:eastAsia="zh-CN"/>
        </w:rPr>
        <w:t xml:space="preserve">本项最高得</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分。</w:t>
      </w:r>
      <w:r>
        <w:rPr>
          <w:rFonts w:ascii="宋体" w:hAnsi="宋体" w:eastAsia="宋体" w:cs="宋体"/>
          <w:b w:val="0"/>
          <w:bCs/>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注：提供承诺书（格式自拟）</w:t>
      </w:r>
      <w:r>
        <w:rPr>
          <w:rFonts w:hint="eastAsia" w:ascii="宋体" w:hAnsi="宋体" w:cs="宋体"/>
          <w:b/>
          <w:color w:val="000000"/>
          <w:sz w:val="24"/>
          <w:highlight w:val="none"/>
          <w:lang w:val="en-US" w:eastAsia="zh-CN"/>
        </w:rPr>
        <w:t xml:space="preserve">原件</w:t>
      </w:r>
      <w:r>
        <w:rPr>
          <w:rFonts w:hint="eastAsia" w:ascii="宋体" w:hAnsi="宋体" w:eastAsia="宋体" w:cs="宋体"/>
          <w:b/>
          <w:bCs w:val="0"/>
          <w:color w:val="000000"/>
          <w:sz w:val="24"/>
          <w:szCs w:val="24"/>
          <w:highlight w:val="none"/>
          <w:lang w:val="zh-CN" w:eastAsia="zh-CN"/>
        </w:rPr>
        <w:t xml:space="preserve">扫描件上传至投标文件中并电子签章，不提供或提供不全不得分</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r>
      <w:r/>
    </w:p>
    <w:p>
      <w:pPr>
        <w:pStyle w:val="1644"/>
        <w:ind w:left="0" w:firstLine="480"/>
        <w:jc w:val="left"/>
        <w:keepLines w:val="0"/>
        <w:keepNext w:val="0"/>
        <w:pageBreakBefore w:val="0"/>
        <w:spacing w:line="360" w:lineRule="auto"/>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技术指标响应情况（6分）</w:t>
      </w:r>
      <w:r>
        <w:rPr>
          <w:rFonts w:ascii="宋体" w:hAnsi="宋体" w:eastAsia="宋体" w:cs="宋体"/>
          <w:b/>
          <w:bCs w:val="0"/>
          <w:color w:val="000000"/>
          <w:sz w:val="24"/>
          <w:szCs w:val="24"/>
          <w:highlight w:val="none"/>
          <w:lang w:val="en-US" w:eastAsia="zh-CN"/>
        </w:rPr>
      </w:r>
      <w:r/>
    </w:p>
    <w:p>
      <w:pPr>
        <w:pStyle w:val="164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val="0"/>
          <w:bCs/>
          <w:color w:val="000000"/>
          <w:sz w:val="24"/>
          <w:szCs w:val="24"/>
          <w:highlight w:val="none"/>
          <w:lang w:val="zh-CN" w:eastAsia="zh-CN"/>
        </w:rPr>
        <w:outlineLvl w:val="9"/>
      </w:pPr>
      <w:r>
        <w:rPr>
          <w:rFonts w:hint="eastAsia" w:ascii="宋体" w:hAnsi="宋体" w:eastAsia="宋体" w:cs="宋体"/>
          <w:bCs/>
          <w:color w:val="000000"/>
          <w:sz w:val="24"/>
          <w:szCs w:val="24"/>
          <w:highlight w:val="none"/>
        </w:rPr>
        <w:t xml:space="preserve">在</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需求的基础上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经过一体化净水装置处理后废水</w:t>
      </w:r>
      <w:r>
        <w:rPr>
          <w:rFonts w:hint="eastAsia" w:ascii="宋体" w:hAnsi="宋体" w:eastAsia="宋体" w:cs="宋体"/>
          <w:b/>
          <w:bCs/>
          <w:color w:val="000000"/>
          <w:sz w:val="24"/>
          <w:szCs w:val="24"/>
          <w:highlight w:val="none"/>
          <w:lang w:val="en-US" w:eastAsia="zh-CN"/>
        </w:rPr>
        <w:t xml:space="preserve">优于</w:t>
      </w:r>
      <w:r>
        <w:rPr>
          <w:rFonts w:hint="eastAsia" w:ascii="宋体" w:hAnsi="宋体" w:eastAsia="宋体" w:cs="宋体"/>
          <w:b w:val="0"/>
          <w:bCs w:val="0"/>
          <w:color w:val="000000"/>
          <w:sz w:val="24"/>
          <w:szCs w:val="24"/>
          <w:highlight w:val="none"/>
          <w:lang w:val="en-US" w:eastAsia="zh-CN"/>
        </w:rPr>
        <w:t xml:space="preserve">《地表水环境质量标准(GB3838-2002）》Ⅲ类水水质，每提供1份报告得2分，</w:t>
      </w:r>
      <w:r>
        <w:rPr>
          <w:rFonts w:hint="eastAsia" w:ascii="宋体" w:hAnsi="宋体" w:eastAsia="宋体" w:cs="宋体"/>
          <w:b w:val="0"/>
          <w:bCs/>
          <w:color w:val="000000"/>
          <w:sz w:val="24"/>
          <w:szCs w:val="24"/>
          <w:highlight w:val="none"/>
          <w:lang w:val="zh-CN" w:eastAsia="zh-CN"/>
        </w:rPr>
        <w:t xml:space="preserve">本项最高得</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zh-CN" w:eastAsia="zh-CN"/>
        </w:rPr>
      </w:r>
      <w:r/>
    </w:p>
    <w:p>
      <w:pPr>
        <w:pStyle w:val="1644"/>
        <w:ind w:left="0" w:firstLine="480"/>
        <w:jc w:val="left"/>
        <w:keepLines w:val="0"/>
        <w:keepNext w:val="0"/>
        <w:pageBreakBefore w:val="0"/>
        <w:spacing w:line="360" w:lineRule="auto"/>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注：提供类似项目的优化后检测报告</w:t>
      </w:r>
      <w:r>
        <w:rPr>
          <w:rFonts w:hint="eastAsia" w:ascii="宋体" w:hAnsi="宋体" w:eastAsia="宋体" w:cs="宋体"/>
          <w:b/>
          <w:bCs w:val="0"/>
          <w:color w:val="000000"/>
          <w:sz w:val="24"/>
          <w:szCs w:val="24"/>
          <w:highlight w:val="none"/>
          <w:lang w:val="zh-CN" w:eastAsia="zh-CN"/>
        </w:rPr>
        <w:t xml:space="preserve">扫描件上传至投标文件中并电子签章，不提供或提供不全不得分</w:t>
      </w:r>
      <w:r>
        <w:rPr>
          <w:rFonts w:hint="eastAsia" w:ascii="宋体" w:hAnsi="宋体" w:cs="宋体"/>
          <w:b/>
          <w:bCs w:val="0"/>
          <w:color w:val="000000"/>
          <w:sz w:val="24"/>
          <w:highlight w:val="none"/>
        </w:rPr>
        <w:t xml:space="preserve">。</w:t>
      </w:r>
      <w:r>
        <w:rPr>
          <w:rFonts w:ascii="宋体" w:hAnsi="宋体" w:eastAsia="宋体" w:cs="宋体"/>
          <w:b/>
          <w:bCs w:val="0"/>
          <w:color w:val="000000"/>
          <w:sz w:val="24"/>
          <w:szCs w:val="24"/>
          <w:highlight w:val="none"/>
          <w:lang w:val="en-US" w:eastAsia="zh-CN"/>
        </w:rPr>
      </w:r>
      <w:r/>
    </w:p>
    <w:p>
      <w:pPr>
        <w:pStyle w:val="1691"/>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61</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（1）实施方案（</w:t>
      </w:r>
      <w:r>
        <w:rPr>
          <w:rFonts w:hint="eastAsia" w:ascii="宋体" w:hAnsi="宋体" w:eastAsia="宋体" w:cs="宋体"/>
          <w:b/>
          <w:bCs w:val="0"/>
          <w:color w:val="000000"/>
          <w:sz w:val="24"/>
          <w:szCs w:val="24"/>
          <w:highlight w:val="none"/>
          <w:lang w:val="en-US" w:eastAsia="zh-CN"/>
        </w:rPr>
        <w:t xml:space="preserve">39</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在需求的基础上针对下列各部分进行评价，要求体现科学合理性、条理性、可行性、完善性、针对性进行阐述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①总体概述：服务组织总体设想、方案针对性及施工段划分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②提供技术工艺流程描述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③提供产品技术参数与性能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④施工周期响应实施方案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⑤施工服务方案、控制及工程项目实施的重点、难点和解决方案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⑥拟投入的主要施工机械设备表及保证措施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⑦劳动力计划表及保证措施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⑧施工总平面布置及临时设施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⑨服务期间进度控制措施和施工进度表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⑩服务期间质量和各阶段质量保证措施及成品保护措施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⑪服务期间安全及保证措施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⑫文明工地与环境保护措施及雨季施工措施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⑬项目资料管理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39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（2）租赁机械设备的状况（</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投标人针对租赁机械设备的状况，提供相关照片及状况说明进行阐述。</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（3）机械设备现场维修、保养措施（8分）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①机械设备在施工现场维修措施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②机械设备在施工现场保养措施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（4）服务方案及承诺（1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①服务承诺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②服务资源配置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③服务应急处置预案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④服务期间响应时间与养护时间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⑤注意事项及处置方案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Cs/>
          <w:color w:val="000000"/>
          <w:sz w:val="24"/>
          <w:szCs w:val="24"/>
          <w:highlight w:val="none"/>
          <w:lang w:val="zh-CN" w:eastAsia="zh-CN"/>
        </w:rPr>
      </w:r>
      <w:r/>
    </w:p>
    <w:p>
      <w:pPr>
        <w:pStyle w:val="164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2"/>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644"/>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644"/>
        <w:rPr>
          <w:rFonts w:ascii="黑体" w:eastAsia="黑体"/>
          <w:bCs/>
          <w:color w:val="000000"/>
          <w:sz w:val="32"/>
          <w:highlight w:val="none"/>
        </w:rPr>
        <w:outlineLvl w:val="9"/>
      </w:pPr>
      <w:r>
        <w:rPr>
          <w:rFonts w:ascii="黑体" w:eastAsia="黑体"/>
          <w:bCs/>
          <w:color w:val="000000"/>
          <w:sz w:val="32"/>
          <w:highlight w:val="none"/>
        </w:rPr>
      </w:r>
      <w:r/>
    </w:p>
    <w:p>
      <w:pPr>
        <w:pStyle w:val="1644"/>
        <w:rPr>
          <w:rFonts w:ascii="黑体" w:eastAsia="黑体"/>
          <w:bCs/>
          <w:color w:val="000000"/>
          <w:sz w:val="32"/>
          <w:highlight w:val="none"/>
        </w:rPr>
        <w:outlineLvl w:val="9"/>
      </w:pPr>
      <w:r>
        <w:rPr>
          <w:rFonts w:ascii="黑体" w:eastAsia="黑体"/>
          <w:bCs/>
          <w:color w:val="000000"/>
          <w:sz w:val="3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644"/>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644"/>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64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676"/>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644"/>
        <w:rPr>
          <w:rFonts w:hint="eastAsia" w:ascii="宋体" w:hAnsi="宋体" w:cs="宋体"/>
          <w:color w:val="000000"/>
          <w:highlight w:val="none"/>
        </w:rPr>
        <w:outlineLvl w:val="9"/>
      </w:pPr>
      <w:r>
        <w:rPr>
          <w:rFonts w:hint="eastAsia" w:ascii="宋体" w:hAnsi="宋体" w:cs="宋体"/>
          <w:color w:val="000000"/>
          <w:highlight w:val="none"/>
        </w:rPr>
      </w:r>
      <w:r/>
    </w:p>
    <w:p>
      <w:pPr>
        <w:pStyle w:val="1644"/>
        <w:spacing w:line="360" w:lineRule="auto"/>
        <w:rPr>
          <w:rFonts w:hint="eastAsia" w:ascii="宋体" w:hAnsi="宋体" w:eastAsia="宋体" w:cs="宋体"/>
          <w:bCs/>
          <w:color w:val="000000"/>
          <w:sz w:val="30"/>
          <w:szCs w:val="30"/>
          <w:highlight w:val="none"/>
          <w:lang w:eastAsia="zh-CN"/>
        </w:rPr>
        <w:outlineLvl w:val="9"/>
      </w:pPr>
      <w:r/>
      <w:bookmarkStart w:id="35" w:name="_Toc3725"/>
      <w:r/>
      <w:bookmarkStart w:id="36" w:name="_Toc31708"/>
      <w:r>
        <w:rPr>
          <w:rFonts w:hint="eastAsia" w:ascii="宋体" w:hAnsi="宋体" w:cs="宋体"/>
          <w:bCs/>
          <w:color w:val="000000"/>
          <w:sz w:val="30"/>
          <w:szCs w:val="30"/>
          <w:highlight w:val="none"/>
        </w:rPr>
        <w:t xml:space="preserve">采购项目编号：</w:t>
      </w:r>
      <w:bookmarkEnd w:id="35"/>
      <w:r/>
      <w:bookmarkEnd w:id="36"/>
      <w:r>
        <w:rPr>
          <w:rFonts w:hint="eastAsia" w:ascii="宋体" w:hAnsi="宋体" w:cs="宋体"/>
          <w:color w:val="000000"/>
          <w:sz w:val="30"/>
          <w:szCs w:val="30"/>
          <w:highlight w:val="none"/>
          <w:lang w:eastAsia="zh-CN"/>
        </w:rPr>
        <w:t xml:space="preserve">JSZC-320205-THGC-G2024-0091</w:t>
      </w:r>
      <w:r>
        <w:rPr>
          <w:rFonts w:hint="eastAsia" w:ascii="宋体" w:hAnsi="宋体" w:eastAsia="宋体" w:cs="宋体"/>
          <w:bCs/>
          <w:color w:val="000000"/>
          <w:sz w:val="30"/>
          <w:szCs w:val="30"/>
          <w:highlight w:val="none"/>
          <w:lang w:eastAsia="zh-CN"/>
        </w:rPr>
      </w:r>
      <w:r/>
    </w:p>
    <w:p>
      <w:pPr>
        <w:pStyle w:val="1644"/>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芙蓉塘河(联福路桥)污水处理设施租赁服务项目</w:t>
      </w:r>
      <w:r>
        <w:rPr>
          <w:rFonts w:hint="eastAsia" w:ascii="宋体" w:hAnsi="宋体" w:eastAsia="宋体" w:cs="Times New Roman"/>
          <w:b w:val="0"/>
          <w:bCs/>
          <w:color w:val="000000"/>
          <w:sz w:val="30"/>
          <w:szCs w:val="30"/>
          <w:highlight w:val="none"/>
          <w:lang w:eastAsia="zh-CN"/>
        </w:rPr>
      </w:r>
      <w:r/>
    </w:p>
    <w:p>
      <w:pPr>
        <w:pStyle w:val="1644"/>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644"/>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644"/>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7" w:name="一．报价函（格式）"/>
      <w:r/>
      <w:bookmarkEnd w:id="37"/>
      <w:r>
        <w:rPr>
          <w:rFonts w:hint="eastAsia" w:ascii="宋体" w:hAnsi="宋体" w:cs="宋体"/>
          <w:bCs/>
          <w:color w:val="000000"/>
          <w:sz w:val="28"/>
          <w:szCs w:val="28"/>
          <w:highlight w:val="none"/>
        </w:rPr>
      </w:r>
      <w:r/>
    </w:p>
    <w:p>
      <w:pPr>
        <w:pStyle w:val="1644"/>
        <w:jc w:val="center"/>
        <w:rPr>
          <w:rFonts w:hint="eastAsia" w:ascii="宋体" w:hAnsi="宋体" w:cs="宋体"/>
          <w:bCs/>
          <w:color w:val="000000"/>
          <w:sz w:val="28"/>
          <w:szCs w:val="28"/>
          <w:highlight w:val="none"/>
        </w:rPr>
        <w:sectPr>
          <w:headerReference w:type="default" r:id="rId13"/>
          <w:footerReference w:type="default" r:id="rId25"/>
          <w:footerReference w:type="first" r:id="rId26"/>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644"/>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644"/>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644"/>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644"/>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644"/>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698"/>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698"/>
          <w:rFonts w:hint="eastAsia"/>
          <w:bCs/>
          <w:color w:val="000000"/>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64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644"/>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64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jc w:val="center"/>
        <w:rPr>
          <w:rFonts w:hint="eastAsia" w:ascii="宋体" w:hAnsi="宋体" w:cs="宋体"/>
          <w:bCs/>
          <w:color w:val="000000"/>
          <w:sz w:val="24"/>
          <w:szCs w:val="24"/>
          <w:highlight w:val="none"/>
        </w:rPr>
        <w:outlineLvl w:val="9"/>
      </w:pPr>
      <w:r/>
      <w:bookmarkStart w:id="38" w:name="报价方关于资格的声明函（格式）"/>
      <w:r/>
      <w:bookmarkEnd w:id="38"/>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644"/>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644"/>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644"/>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67"/>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644"/>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644"/>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39" w:name="_Toc2444"/>
      <w:r/>
      <w:bookmarkStart w:id="40" w:name="_Toc32348"/>
      <w:r>
        <w:rPr>
          <w:rFonts w:hint="eastAsia" w:ascii="宋体" w:hAnsi="宋体" w:cs="宋体"/>
          <w:bCs/>
          <w:color w:val="000000"/>
          <w:sz w:val="24"/>
          <w:szCs w:val="24"/>
          <w:highlight w:val="none"/>
        </w:rPr>
      </w:r>
      <w:r/>
    </w:p>
    <w:p>
      <w:pPr>
        <w:pStyle w:val="1644"/>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39"/>
      <w:r/>
      <w:bookmarkEnd w:id="40"/>
      <w:r>
        <w:rPr>
          <w:rFonts w:hint="eastAsia" w:ascii="宋体" w:hAnsi="宋体" w:cs="宋体"/>
          <w:bCs/>
          <w:color w:val="000000"/>
          <w:sz w:val="24"/>
          <w:szCs w:val="24"/>
          <w:highlight w:val="none"/>
        </w:rPr>
      </w:r>
      <w:r/>
    </w:p>
    <w:p>
      <w:pPr>
        <w:pStyle w:val="1644"/>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644"/>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644"/>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644"/>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644"/>
        <w:ind w:firstLine="240"/>
        <w:rPr>
          <w:rFonts w:hint="eastAsia" w:ascii="宋体" w:hAnsi="宋体" w:cs="宋体"/>
          <w:bCs/>
          <w:sz w:val="24"/>
          <w:szCs w:val="24"/>
          <w:highlight w:val="none"/>
        </w:rPr>
      </w:pP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SHAPE  \* MERGEFORMAT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251075" cy="1287780"/>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2251075" cy="1287780"/>
                        </a:xfrm>
                        <a:prstGeom prst="rect">
                          <a:avLst/>
                        </a:prstGeom>
                        <a:solidFill>
                          <a:srgbClr val="FFFFFF"/>
                        </a:solidFill>
                        <a:ln>
                          <a:solidFill>
                            <a:srgbClr val="000000"/>
                          </a:solidFill>
                        </a:ln>
                      </wps:spPr>
                      <wps:txbx>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644"/>
                            </w:pPr>
                            <w:r/>
                            <w:r/>
                          </w:p>
                        </w:txbxContent>
                      </wps:txbx>
                      <wps:bodyPr wrap="square" upright="1"/>
                    </wps:wsp>
                  </a:graphicData>
                </a:graphic>
              </wp:anchor>
            </w:drawing>
          </mc:Choice>
          <mc:Fallback>
            <w:pict>
              <v:shape id="shape 42" o:spid="_x0000_s42" o:spt="202" type="#_x0000_t202" style="position:absolute;z-index:251658241;o:allowoverlap:true;o:allowincell:true;mso-position-horizontal-relative:text;margin-left:0.0pt;mso-position-horizontal:absolute;mso-position-vertical-relative:text;margin-top:0.0pt;mso-position-vertical:absolute;width:177.2pt;height:101.4pt;mso-wrap-distance-left:9.0pt;mso-wrap-distance-top:0.0pt;mso-wrap-distance-right:9.0pt;mso-wrap-distance-bottom:0.0pt;visibility:visible;" fillcolor="#FFFFFF" strokecolor="#000000">
                <v:textbox inset="0,0,0,0">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644"/>
                      </w:pPr>
                      <w:r/>
                      <w:r/>
                    </w:p>
                  </w:txbxContent>
                </v:textbox>
              </v:shape>
            </w:pict>
          </mc:Fallback>
        </mc:AlternateConten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    </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SHAPE  \* MERGEFORMAT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249805" cy="128905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ln>
                      </wps:spPr>
                      <wps:txbx>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644"/>
                            </w:pPr>
                            <w:r/>
                            <w:r/>
                          </w:p>
                        </w:txbxContent>
                      </wps:txbx>
                      <wps:bodyPr wrap="square" upright="1"/>
                    </wps:wsp>
                  </a:graphicData>
                </a:graphic>
              </wp:anchor>
            </w:drawing>
          </mc:Choice>
          <mc:Fallback>
            <w:pict>
              <v:shape id="shape 43" o:spid="_x0000_s43" o:spt="202" type="#_x0000_t202" style="position:absolute;z-index:251658242;o:allowoverlap:true;o:allowincell:true;mso-position-horizontal-relative:text;margin-left:0.0pt;mso-position-horizontal:absolute;mso-position-vertical-relative:text;margin-top:0.0pt;mso-position-vertical:absolute;width:177.1pt;height:101.5pt;mso-wrap-distance-left:9.0pt;mso-wrap-distance-top:0.0pt;mso-wrap-distance-right:9.0pt;mso-wrap-distance-bottom:0.0pt;visibility:visible;" fillcolor="#FFFFFF" strokecolor="#000000">
                <v:textbox inset="0,0,0,0">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644"/>
                      </w:pPr>
                      <w:r/>
                      <w:r/>
                    </w:p>
                  </w:txbxContent>
                </v:textbox>
              </v:shape>
            </w:pict>
          </mc:Fallback>
        </mc:AlternateContent>
      </w:r>
      <w:r>
        <w:rPr>
          <w:rFonts w:hint="eastAsia" w:ascii="宋体" w:hAnsi="宋体" w:cs="宋体"/>
          <w:bCs/>
          <w:sz w:val="24"/>
          <w:szCs w:val="24"/>
          <w:highlight w:val="none"/>
        </w:rPr>
        <w:fldChar w:fldCharType="end"/>
      </w:r>
      <w:r>
        <w:rPr>
          <w:rFonts w:hint="eastAsia" w:ascii="宋体" w:hAnsi="宋体" w:cs="宋体"/>
          <w:bCs/>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644"/>
        <w:ind w:firstLine="240"/>
        <w:rPr>
          <w:rFonts w:hint="eastAsia" w:ascii="宋体" w:hAnsi="宋体" w:cs="宋体"/>
          <w:bCs/>
          <w:sz w:val="24"/>
          <w:szCs w:val="24"/>
          <w:highlight w:val="none"/>
        </w:rPr>
      </w:pP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SHAPE  \* MERGEFORMAT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249805" cy="1289050"/>
                <wp:effectExtent l="0" t="0" r="0" b="0"/>
                <wp:wrapNone/>
                <wp:docPr id="25" name=""/>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ln>
                      </wps:spPr>
                      <wps:txbx>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644"/>
                            </w:pPr>
                            <w:r/>
                            <w:r/>
                          </w:p>
                        </w:txbxContent>
                      </wps:txbx>
                      <wps:bodyPr wrap="square" upright="1"/>
                    </wps:wsp>
                  </a:graphicData>
                </a:graphic>
              </wp:anchor>
            </w:drawing>
          </mc:Choice>
          <mc:Fallback>
            <w:pict>
              <v:shape id="shape 44" o:spid="_x0000_s44" o:spt="202" type="#_x0000_t202" style="position:absolute;z-index:251658243;o:allowoverlap:true;o:allowincell:true;mso-position-horizontal-relative:text;margin-left:0.0pt;mso-position-horizontal:absolute;mso-position-vertical-relative:text;margin-top:0.0pt;mso-position-vertical:absolute;width:177.1pt;height:101.5pt;mso-wrap-distance-left:9.0pt;mso-wrap-distance-top:0.0pt;mso-wrap-distance-right:9.0pt;mso-wrap-distance-bottom:0.0pt;visibility:visible;" fillcolor="#FFFFFF" strokecolor="#000000">
                <v:textbox inset="0,0,0,0">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644"/>
                      </w:pPr>
                      <w:r/>
                      <w:r/>
                    </w:p>
                  </w:txbxContent>
                </v:textbox>
              </v:shape>
            </w:pict>
          </mc:Fallback>
        </mc:AlternateConten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    </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SHAPE  \* MERGEFORMAT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2249805" cy="1289050"/>
                <wp:effectExtent l="0" t="0" r="0" b="0"/>
                <wp:wrapNone/>
                <wp:docPr id="26" name=""/>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ln>
                      </wps:spPr>
                      <wps:txbx>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644"/>
                            </w:pPr>
                            <w:r/>
                            <w:r/>
                          </w:p>
                        </w:txbxContent>
                      </wps:txbx>
                      <wps:bodyPr wrap="square" upright="1"/>
                    </wps:wsp>
                  </a:graphicData>
                </a:graphic>
              </wp:anchor>
            </w:drawing>
          </mc:Choice>
          <mc:Fallback>
            <w:pict>
              <v:shape id="shape 45" o:spid="_x0000_s45" o:spt="202" type="#_x0000_t202" style="position:absolute;z-index:251658244;o:allowoverlap:true;o:allowincell:true;mso-position-horizontal-relative:text;margin-left:0.0pt;mso-position-horizontal:absolute;mso-position-vertical-relative:text;margin-top:0.0pt;mso-position-vertical:absolute;width:177.1pt;height:101.5pt;mso-wrap-distance-left:9.0pt;mso-wrap-distance-top:0.0pt;mso-wrap-distance-right:9.0pt;mso-wrap-distance-bottom:0.0pt;visibility:visible;" fillcolor="#FFFFFF" strokecolor="#000000">
                <v:textbox inset="0,0,0,0">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644"/>
                      </w:pPr>
                      <w:r/>
                      <w:r/>
                    </w:p>
                  </w:txbxContent>
                </v:textbox>
              </v:shape>
            </w:pict>
          </mc:Fallback>
        </mc:AlternateContent>
      </w:r>
      <w:r>
        <w:rPr>
          <w:rFonts w:hint="eastAsia" w:ascii="宋体" w:hAnsi="宋体" w:cs="宋体"/>
          <w:bCs/>
          <w:sz w:val="24"/>
          <w:szCs w:val="24"/>
          <w:highlight w:val="none"/>
        </w:rPr>
        <w:fldChar w:fldCharType="end"/>
      </w:r>
      <w:r>
        <w:rPr>
          <w:rFonts w:hint="eastAsia" w:ascii="宋体" w:hAnsi="宋体" w:cs="宋体"/>
          <w:bCs/>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644"/>
        <w:jc w:val="center"/>
        <w:spacing w:line="360" w:lineRule="auto"/>
        <w:rPr>
          <w:rFonts w:ascii="宋体" w:hAnsi="宋体"/>
          <w:b/>
          <w:sz w:val="28"/>
          <w:szCs w:val="28"/>
          <w:highlight w:val="none"/>
        </w:rPr>
      </w:pPr>
      <w:r>
        <w:rPr>
          <w:rFonts w:ascii="宋体" w:hAnsi="宋体"/>
          <w:b/>
          <w:sz w:val="28"/>
          <w:szCs w:val="28"/>
          <w:highlight w:val="none"/>
        </w:rPr>
      </w:r>
      <w:r/>
    </w:p>
    <w:p>
      <w:pPr>
        <w:pStyle w:val="1644"/>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644"/>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644"/>
        <w:ind w:firstLine="612"/>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ascii="宋体" w:hAnsi="宋体"/>
          <w:sz w:val="24"/>
          <w:szCs w:val="24"/>
          <w:highlight w:val="none"/>
        </w:rPr>
      </w:r>
      <w:r/>
    </w:p>
    <w:p>
      <w:pPr>
        <w:pStyle w:val="1644"/>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644"/>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644"/>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644"/>
        <w:ind w:firstLine="240"/>
        <w:rPr>
          <w:rFonts w:hint="eastAsia" w:ascii="宋体" w:hAnsi="宋体" w:cs="宋体"/>
          <w:bCs/>
          <w:sz w:val="24"/>
          <w:szCs w:val="24"/>
          <w:highlight w:val="none"/>
        </w:rPr>
      </w:pP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SHAPE  \* MERGEFORMAT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2251075" cy="1287780"/>
                <wp:effectExtent l="0" t="0" r="0" b="0"/>
                <wp:wrapNone/>
                <wp:docPr id="27" name=""/>
                <wp:cNvGraphicFramePr/>
                <a:graphic xmlns:a="http://schemas.openxmlformats.org/drawingml/2006/main">
                  <a:graphicData uri="http://schemas.microsoft.com/office/word/2010/wordprocessingShape">
                    <wps:wsp>
                      <wps:cNvPr id="0" name=""/>
                      <wps:cNvSpPr txBox="1"/>
                      <wps:spPr bwMode="auto">
                        <a:xfrm>
                          <a:off x="0" y="0"/>
                          <a:ext cx="2251075" cy="1287780"/>
                        </a:xfrm>
                        <a:prstGeom prst="rect">
                          <a:avLst/>
                        </a:prstGeom>
                        <a:solidFill>
                          <a:srgbClr val="FFFFFF"/>
                        </a:solidFill>
                        <a:ln>
                          <a:solidFill>
                            <a:srgbClr val="000000"/>
                          </a:solidFill>
                        </a:ln>
                      </wps:spPr>
                      <wps:txbx>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644"/>
                            </w:pPr>
                            <w:r/>
                            <w:r/>
                          </w:p>
                        </w:txbxContent>
                      </wps:txbx>
                      <wps:bodyPr wrap="square" upright="1"/>
                    </wps:wsp>
                  </a:graphicData>
                </a:graphic>
              </wp:anchor>
            </w:drawing>
          </mc:Choice>
          <mc:Fallback>
            <w:pict>
              <v:shape id="shape 46" o:spid="_x0000_s46" o:spt="202" type="#_x0000_t202" style="position:absolute;z-index:251658245;o:allowoverlap:true;o:allowincell:true;mso-position-horizontal-relative:text;margin-left:0.0pt;mso-position-horizontal:absolute;mso-position-vertical-relative:text;margin-top:0.0pt;mso-position-vertical:absolute;width:177.2pt;height:101.4pt;mso-wrap-distance-left:9.0pt;mso-wrap-distance-top:0.0pt;mso-wrap-distance-right:9.0pt;mso-wrap-distance-bottom:0.0pt;visibility:visible;" fillcolor="#FFFFFF" strokecolor="#000000">
                <v:textbox inset="0,0,0,0">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644"/>
                      </w:pPr>
                      <w:r/>
                      <w:r/>
                    </w:p>
                  </w:txbxContent>
                </v:textbox>
              </v:shape>
            </w:pict>
          </mc:Fallback>
        </mc:AlternateConten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    </w:t>
      </w:r>
      <w:r>
        <w:rPr>
          <w:rFonts w:hint="eastAsia" w:ascii="宋体" w:hAnsi="宋体" w:cs="宋体"/>
          <w:bCs/>
          <w:sz w:val="24"/>
          <w:szCs w:val="24"/>
          <w:highlight w:val="none"/>
        </w:rPr>
        <w:fldChar w:fldCharType="begin"/>
      </w:r>
      <w:r>
        <w:rPr>
          <w:rFonts w:hint="eastAsia" w:ascii="宋体" w:hAnsi="宋体" w:cs="宋体"/>
          <w:bCs/>
          <w:sz w:val="24"/>
          <w:szCs w:val="24"/>
          <w:highlight w:val="none"/>
        </w:rPr>
        <w:instrText xml:space="preserve"> SHAPE  \* MERGEFORMAT </w:instrText>
      </w:r>
      <w:r>
        <w:rPr>
          <w:rFonts w:hint="eastAsia" w:ascii="宋体" w:hAnsi="宋体" w:cs="宋体"/>
          <w:bCs/>
          <w:sz w:val="24"/>
          <w:szCs w:val="24"/>
          <w:highlight w:val="none"/>
        </w:rPr>
        <w:fldChar w:fldCharType="separate"/>
      </w:r>
      <w:r>
        <w:rPr>
          <w:rFonts w:hint="eastAsia" w:ascii="宋体" w:hAnsi="宋体" w:cs="宋体"/>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2249805" cy="1289050"/>
                <wp:effectExtent l="0" t="0" r="0" b="0"/>
                <wp:wrapNone/>
                <wp:docPr id="28" name=""/>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ln>
                      </wps:spPr>
                      <wps:txbx>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644"/>
                            </w:pPr>
                            <w:r/>
                            <w:r/>
                          </w:p>
                        </w:txbxContent>
                      </wps:txbx>
                      <wps:bodyPr wrap="square" upright="1"/>
                    </wps:wsp>
                  </a:graphicData>
                </a:graphic>
              </wp:anchor>
            </w:drawing>
          </mc:Choice>
          <mc:Fallback>
            <w:pict>
              <v:shape id="shape 47" o:spid="_x0000_s47" o:spt="202" type="#_x0000_t202" style="position:absolute;z-index:251658246;o:allowoverlap:true;o:allowincell:true;mso-position-horizontal-relative:text;margin-left:0.0pt;mso-position-horizontal:absolute;mso-position-vertical-relative:text;margin-top:0.0pt;mso-position-vertical:absolute;width:177.1pt;height:101.5pt;mso-wrap-distance-left:9.0pt;mso-wrap-distance-top:0.0pt;mso-wrap-distance-right:9.0pt;mso-wrap-distance-bottom:0.0pt;visibility:visible;" fillcolor="#FFFFFF" strokecolor="#000000">
                <v:textbox inset="0,0,0,0">
                  <w:txbxContent>
                    <w:p>
                      <w:pPr>
                        <w:pStyle w:val="164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644"/>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64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644"/>
                      </w:pPr>
                      <w:r/>
                      <w:r/>
                    </w:p>
                  </w:txbxContent>
                </v:textbox>
              </v:shape>
            </w:pict>
          </mc:Fallback>
        </mc:AlternateContent>
      </w:r>
      <w:r>
        <w:rPr>
          <w:rFonts w:hint="eastAsia" w:ascii="宋体" w:hAnsi="宋体" w:cs="宋体"/>
          <w:bCs/>
          <w:sz w:val="24"/>
          <w:szCs w:val="24"/>
          <w:highlight w:val="none"/>
        </w:rPr>
        <w:fldChar w:fldCharType="end"/>
      </w:r>
      <w:r>
        <w:rPr>
          <w:rFonts w:hint="eastAsia" w:ascii="宋体" w:hAnsi="宋体" w:cs="宋体"/>
          <w:bCs/>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bookmarkStart w:id="41" w:name="_Toc7396"/>
      <w:r/>
      <w:bookmarkStart w:id="42" w:name="_Toc1904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1"/>
      <w:r/>
      <w:bookmarkEnd w:id="42"/>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ind w:left="0" w:right="0" w:firstLine="0"/>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highlight w:val="none"/>
        </w:rPr>
      </w:pPr>
      <w:r>
        <w:rPr>
          <w:rFonts w:hint="eastAsia" w:ascii="宋体" w:hAnsi="宋体"/>
          <w:b/>
          <w:bCs/>
          <w:sz w:val="24"/>
          <w:highlight w:val="none"/>
        </w:rPr>
        <w:t xml:space="preserve">承诺书</w:t>
      </w:r>
      <w:r>
        <w:rPr>
          <w:rFonts w:hint="eastAsia" w:ascii="宋体" w:hAnsi="宋体"/>
          <w:b/>
          <w:bCs/>
          <w:sz w:val="24"/>
          <w:highlight w:val="none"/>
        </w:rPr>
      </w:r>
      <w:r/>
    </w:p>
    <w:p>
      <w:pPr>
        <w:pStyle w:val="1644"/>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164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1．本公司（单位）对本项目（       ）提供符合采购要求的产品和服务；</w:t>
      </w: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bCs/>
          <w:color w:val="000000"/>
          <w:sz w:val="24"/>
          <w:highlight w:val="none"/>
        </w:rPr>
      </w:r>
      <w:r/>
    </w:p>
    <w:p>
      <w:pPr>
        <w:pStyle w:val="164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rPr>
          <w:rFonts w:hint="eastAsia" w:ascii="宋体" w:hAnsi="宋体"/>
          <w:bCs/>
          <w:color w:val="000000"/>
          <w:sz w:val="24"/>
          <w:highlight w:val="none"/>
        </w:rPr>
      </w:r>
      <w:r/>
    </w:p>
    <w:p>
      <w:pPr>
        <w:pStyle w:val="164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644"/>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644"/>
        <w:ind w:firstLine="480"/>
        <w:spacing w:line="480" w:lineRule="auto"/>
        <w:rPr>
          <w:rFonts w:hint="eastAsia" w:ascii="宋体" w:hAnsi="宋体" w:eastAsia="宋体" w:cs="宋体"/>
          <w:color w:val="000000"/>
          <w:sz w:val="21"/>
          <w:szCs w:val="22"/>
          <w:highlight w:val="none"/>
        </w:rPr>
        <w:sectPr>
          <w:headerReference w:type="default" r:id="rId14"/>
          <w:headerReference w:type="first" r:id="rId15"/>
          <w:footerReference w:type="default" r:id="rId27"/>
          <w:footerReference w:type="first" r:id="rId28"/>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color w:val="000000"/>
          <w:sz w:val="21"/>
          <w:szCs w:val="22"/>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663"/>
        <w:rPr>
          <w:rFonts w:hint="eastAsia"/>
          <w:color w:val="000000"/>
          <w:highlight w:val="none"/>
        </w:rPr>
        <w:outlineLvl w:val="9"/>
      </w:pPr>
      <w:r>
        <w:rPr>
          <w:rFonts w:hint="eastAsia"/>
          <w:color w:val="000000"/>
          <w:highlight w:val="none"/>
        </w:rPr>
      </w:r>
      <w:r/>
    </w:p>
    <w:p>
      <w:pPr>
        <w:pStyle w:val="164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JSZC-320205-THGC-G2024-0091</w:t>
      </w:r>
      <w:r>
        <w:rPr>
          <w:rFonts w:hint="eastAsia" w:ascii="宋体" w:hAnsi="宋体" w:eastAsia="宋体" w:cs="宋体"/>
          <w:b w:val="0"/>
          <w:bCs/>
          <w:color w:val="000000"/>
          <w:sz w:val="24"/>
          <w:szCs w:val="24"/>
          <w:highlight w:val="none"/>
          <w:u w:val="none"/>
          <w:lang w:val="en-US" w:eastAsia="zh-CN"/>
        </w:rPr>
      </w:r>
      <w:r/>
    </w:p>
    <w:p>
      <w:pPr>
        <w:pStyle w:val="1644"/>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64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64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64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644"/>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644"/>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64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644"/>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6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64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6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644"/>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64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64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64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644"/>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644"/>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left="720" w:hanging="720"/>
        <w:spacing w:line="400" w:lineRule="exact"/>
        <w:rPr>
          <w:rFonts w:hint="eastAsia" w:ascii="宋体" w:hAnsi="宋体" w:cs="宋体"/>
          <w:bCs/>
          <w:color w:val="000000"/>
          <w:sz w:val="24"/>
          <w:szCs w:val="24"/>
          <w:highlight w:val="none"/>
        </w:rPr>
        <w:sectPr>
          <w:footerReference w:type="default" r:id="rId29"/>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644"/>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报价明细表</w:t>
      </w:r>
      <w:r>
        <w:rPr>
          <w:rFonts w:hint="eastAsia" w:ascii="宋体" w:hAnsi="宋体" w:eastAsia="宋体" w:cs="宋体"/>
          <w:bCs/>
          <w:color w:val="000000"/>
          <w:sz w:val="24"/>
          <w:szCs w:val="24"/>
          <w:highlight w:val="none"/>
        </w:rPr>
      </w:r>
      <w:r/>
    </w:p>
    <w:p>
      <w:pPr>
        <w:pStyle w:val="1644"/>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bookmarkStart w:id="43" w:name="_Toc17818"/>
      <w:r/>
      <w:bookmarkStart w:id="44" w:name="_Toc11575"/>
      <w:r>
        <w:rPr>
          <w:rFonts w:hint="eastAsia" w:ascii="宋体" w:hAnsi="宋体" w:eastAsia="宋体" w:cs="宋体"/>
          <w:bCs/>
          <w:color w:val="000000"/>
          <w:sz w:val="24"/>
          <w:szCs w:val="24"/>
          <w:highlight w:val="none"/>
        </w:rPr>
      </w:r>
      <w:r/>
    </w:p>
    <w:p>
      <w:pPr>
        <w:pStyle w:val="1644"/>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highlight w:val="none"/>
        </w:rPr>
        <w:t xml:space="preserve">项目名称：</w:t>
      </w:r>
      <w:r>
        <w:rPr>
          <w:rFonts w:hint="eastAsia" w:ascii="宋体" w:hAnsi="宋体"/>
          <w:bCs/>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p>
      <w:pPr>
        <w:pStyle w:val="1676"/>
        <w:tabs>
          <w:tab w:val="center" w:pos="4153" w:leader="none"/>
          <w:tab w:val="right" w:pos="8306" w:leader="none"/>
        </w:tabs>
        <w:rPr>
          <w:rFonts w:hint="eastAsia"/>
          <w:highlight w:val="none"/>
        </w:rPr>
      </w:pPr>
      <w:r>
        <w:rPr>
          <w:rFonts w:hint="eastAsia"/>
          <w:highlight w:val="none"/>
        </w:rPr>
      </w:r>
      <w:r/>
    </w:p>
    <w:tbl>
      <w:tblPr>
        <w:tblW w:w="893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9"/>
        <w:gridCol w:w="2401"/>
        <w:gridCol w:w="1852"/>
        <w:gridCol w:w="3969"/>
      </w:tblGrid>
      <w:tr>
        <w:trPr>
          <w:trHeight w:val="676"/>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费用内容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总费用</w:t>
            </w:r>
            <w:r>
              <w:rPr>
                <w:rFonts w:hint="eastAsia" w:ascii="宋体" w:hAnsi="宋体" w:eastAsia="宋体" w:cs="宋体"/>
                <w:sz w:val="24"/>
                <w:szCs w:val="24"/>
                <w:highlight w:val="none"/>
              </w:rPr>
            </w:r>
            <w:r/>
          </w:p>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676"/>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设备使用费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租赁形式</w:t>
            </w:r>
            <w:r>
              <w:rPr>
                <w:rFonts w:hint="eastAsia" w:ascii="宋体" w:hAnsi="宋体" w:eastAsia="宋体" w:cs="宋体"/>
                <w:sz w:val="24"/>
                <w:szCs w:val="24"/>
                <w:highlight w:val="none"/>
              </w:rPr>
            </w:r>
            <w:r/>
          </w:p>
        </w:tc>
      </w:tr>
      <w:tr>
        <w:trPr>
          <w:trHeight w:val="609"/>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人工费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包括现场定期巡视</w:t>
            </w:r>
            <w:r>
              <w:rPr>
                <w:rFonts w:hint="eastAsia" w:ascii="宋体" w:hAnsi="宋体" w:eastAsia="宋体" w:cs="宋体"/>
                <w:sz w:val="24"/>
                <w:szCs w:val="24"/>
                <w:highlight w:val="none"/>
              </w:rPr>
            </w:r>
            <w:r/>
          </w:p>
        </w:tc>
      </w:tr>
      <w:tr>
        <w:trPr>
          <w:trHeight w:val="609"/>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8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生物菌剂</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好氧菌</w:t>
            </w:r>
            <w:r>
              <w:rPr>
                <w:rFonts w:hint="eastAsia" w:ascii="宋体" w:hAnsi="宋体" w:eastAsia="宋体" w:cs="宋体"/>
                <w:sz w:val="24"/>
                <w:szCs w:val="24"/>
                <w:highlight w:val="none"/>
              </w:rPr>
            </w:r>
            <w:r/>
          </w:p>
        </w:tc>
      </w:tr>
      <w:tr>
        <w:trPr>
          <w:trHeight w:val="68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药剂费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净水剂、营养剂</w:t>
            </w:r>
            <w:r>
              <w:rPr>
                <w:rFonts w:hint="eastAsia" w:ascii="宋体" w:hAnsi="宋体" w:eastAsia="宋体" w:cs="宋体"/>
                <w:sz w:val="24"/>
                <w:szCs w:val="24"/>
                <w:highlight w:val="none"/>
              </w:rPr>
            </w:r>
            <w:r/>
          </w:p>
        </w:tc>
      </w:tr>
      <w:tr>
        <w:trPr>
          <w:trHeight w:val="676"/>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第三方水质检测费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每月检测一次</w:t>
            </w:r>
            <w:r>
              <w:rPr>
                <w:rFonts w:hint="eastAsia" w:ascii="宋体" w:hAnsi="宋体" w:eastAsia="宋体" w:cs="宋体"/>
                <w:sz w:val="24"/>
                <w:szCs w:val="24"/>
                <w:highlight w:val="none"/>
              </w:rPr>
            </w:r>
            <w:r/>
          </w:p>
        </w:tc>
      </w:tr>
      <w:tr>
        <w:trPr>
          <w:trHeight w:val="56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设备维修维护费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按设备投资估算</w:t>
            </w:r>
            <w:r>
              <w:rPr>
                <w:rFonts w:hint="eastAsia" w:ascii="宋体" w:hAnsi="宋体" w:eastAsia="宋体" w:cs="宋体"/>
                <w:sz w:val="24"/>
                <w:szCs w:val="24"/>
                <w:highlight w:val="none"/>
              </w:rPr>
            </w:r>
            <w:r/>
          </w:p>
        </w:tc>
      </w:tr>
      <w:tr>
        <w:trPr>
          <w:trHeight w:val="564"/>
        </w:trPr>
        <w:tc>
          <w:tcPr>
            <w:tcMar>
              <w:left w:w="15" w:type="dxa"/>
              <w:top w:w="15" w:type="dxa"/>
              <w:right w:w="15" w:type="dxa"/>
              <w:bottom w:w="0" w:type="dxa"/>
            </w:tcMar>
            <w:tcW w:w="70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5" w:type="dxa"/>
              <w:top w:w="15" w:type="dxa"/>
              <w:right w:w="15" w:type="dxa"/>
              <w:bottom w:w="0" w:type="dxa"/>
            </w:tcMar>
            <w:tcW w:w="2401"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污泥处置费</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浮油及沉淀污泥</w:t>
            </w:r>
            <w:r>
              <w:rPr>
                <w:rFonts w:hint="eastAsia" w:ascii="宋体" w:hAnsi="宋体" w:eastAsia="宋体" w:cs="宋体"/>
                <w:sz w:val="24"/>
                <w:szCs w:val="24"/>
                <w:highlight w:val="none"/>
              </w:rPr>
            </w:r>
            <w:r/>
          </w:p>
        </w:tc>
      </w:tr>
      <w:tr>
        <w:trPr>
          <w:trHeight w:val="566"/>
        </w:trPr>
        <w:tc>
          <w:tcPr>
            <w:gridSpan w:val="2"/>
            <w:tcMar>
              <w:left w:w="15" w:type="dxa"/>
              <w:top w:w="15" w:type="dxa"/>
              <w:right w:w="15" w:type="dxa"/>
              <w:bottom w:w="0" w:type="dxa"/>
            </w:tcMar>
            <w:tcW w:w="3110"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 计</w:t>
            </w:r>
            <w:r>
              <w:rPr>
                <w:rFonts w:hint="eastAsia" w:ascii="宋体" w:hAnsi="宋体" w:eastAsia="宋体" w:cs="宋体"/>
                <w:sz w:val="24"/>
                <w:szCs w:val="24"/>
                <w:highlight w:val="none"/>
              </w:rPr>
            </w:r>
            <w:r/>
          </w:p>
        </w:tc>
        <w:tc>
          <w:tcPr>
            <w:tcMar>
              <w:left w:w="15" w:type="dxa"/>
              <w:top w:w="15" w:type="dxa"/>
              <w:right w:w="15" w:type="dxa"/>
              <w:bottom w:w="0" w:type="dxa"/>
            </w:tcMar>
            <w:tcW w:w="1852"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3969" w:type="dxa"/>
            <w:vAlign w:val="center"/>
            <w:textDirection w:val="lrTb"/>
            <w:noWrap w:val="false"/>
          </w:tcPr>
          <w:p>
            <w:pPr>
              <w:pStyle w:val="1644"/>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676"/>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644"/>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644"/>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644"/>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644"/>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r>
      <w:r/>
    </w:p>
    <w:p>
      <w:pPr>
        <w:pStyle w:val="1644"/>
        <w:spacing w:line="480" w:lineRule="auto"/>
        <w:rPr>
          <w:rFonts w:hint="eastAsia"/>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rPr>
          <w:rFonts w:hint="eastAsia"/>
          <w:highlight w:val="none"/>
        </w:rPr>
      </w:r>
      <w:r/>
    </w:p>
    <w:p>
      <w:pPr>
        <w:pStyle w:val="1644"/>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3"/>
      <w:r/>
      <w:bookmarkEnd w:id="44"/>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644"/>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64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644"/>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644"/>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663"/>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644"/>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663"/>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691"/>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691"/>
        <w:ind w:firstLine="241"/>
        <w:rPr>
          <w:rFonts w:hint="eastAsia" w:ascii="宋体" w:hAnsi="宋体" w:cs="宋体"/>
          <w:b/>
          <w:color w:val="000000"/>
          <w:sz w:val="24"/>
          <w:highlight w:val="none"/>
        </w:rPr>
        <w:sectPr>
          <w:footerReference w:type="default" r:id="rId30"/>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bookmarkStart w:id="45" w:name="_Toc28479"/>
      <w:r/>
      <w:bookmarkStart w:id="46"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20"/>
        <w:jc w:val="center"/>
        <w:rPr>
          <w:rFonts w:hint="eastAsia" w:ascii="宋体" w:hAnsi="宋体" w:cs="宋体"/>
          <w:bCs/>
          <w:color w:val="000000"/>
          <w:sz w:val="24"/>
          <w:szCs w:val="24"/>
          <w:highlight w:val="none"/>
        </w:rPr>
        <w:outlineLvl w:val="9"/>
      </w:pPr>
      <w:r/>
      <w:bookmarkStart w:id="47" w:name="_Toc27971"/>
      <w:r/>
      <w:bookmarkStart w:id="48" w:name="_Toc25155"/>
      <w:r>
        <w:rPr>
          <w:rFonts w:hint="eastAsia" w:ascii="宋体" w:hAnsi="宋体" w:cs="宋体"/>
          <w:bCs/>
          <w:color w:val="000000"/>
          <w:sz w:val="24"/>
          <w:szCs w:val="24"/>
          <w:highlight w:val="none"/>
        </w:rPr>
        <w:t xml:space="preserve">投标偏离表</w:t>
      </w:r>
      <w:bookmarkEnd w:id="47"/>
      <w:r/>
      <w:bookmarkEnd w:id="48"/>
      <w:r>
        <w:rPr>
          <w:rFonts w:hint="eastAsia" w:ascii="宋体" w:hAnsi="宋体" w:cs="宋体"/>
          <w:bCs/>
          <w:color w:val="000000"/>
          <w:sz w:val="24"/>
          <w:szCs w:val="24"/>
          <w:highlight w:val="none"/>
        </w:rPr>
      </w:r>
      <w:r/>
    </w:p>
    <w:p>
      <w:pPr>
        <w:pStyle w:val="1644"/>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供应商名称（盖章）                       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64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644"/>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rPr>
          <w:rFonts w:hint="eastAsia" w:ascii="宋体" w:hAnsi="宋体" w:cs="宋体"/>
          <w:bCs/>
          <w:color w:val="000000"/>
          <w:sz w:val="24"/>
          <w:szCs w:val="24"/>
          <w:highlight w:val="none"/>
        </w:rPr>
        <w:outlineLvl w:val="9"/>
      </w:pPr>
      <w:r/>
      <w:bookmarkStart w:id="49" w:name="_Toc8176"/>
      <w:r/>
      <w:bookmarkStart w:id="50" w:name="_Toc2067"/>
      <w:r>
        <w:rPr>
          <w:rFonts w:hint="eastAsia" w:ascii="宋体" w:hAnsi="宋体" w:cs="宋体"/>
          <w:bCs/>
          <w:color w:val="000000"/>
          <w:sz w:val="24"/>
          <w:szCs w:val="24"/>
          <w:highlight w:val="none"/>
        </w:rPr>
        <w:t xml:space="preserve">注：（1）本表不得删除，可自行延长；</w:t>
      </w:r>
      <w:bookmarkEnd w:id="49"/>
      <w:r/>
      <w:bookmarkEnd w:id="50"/>
      <w:r>
        <w:rPr>
          <w:rFonts w:hint="eastAsia" w:ascii="宋体" w:hAnsi="宋体" w:cs="宋体"/>
          <w:bCs/>
          <w:color w:val="000000"/>
          <w:sz w:val="24"/>
          <w:szCs w:val="24"/>
          <w:highlight w:val="none"/>
        </w:rPr>
      </w:r>
      <w:r/>
    </w:p>
    <w:p>
      <w:pPr>
        <w:pStyle w:val="1644"/>
        <w:ind w:left="-214" w:firstLine="720"/>
        <w:rPr>
          <w:rFonts w:hint="eastAsia" w:ascii="宋体" w:hAnsi="宋体" w:cs="宋体"/>
          <w:bCs/>
          <w:color w:val="000000"/>
          <w:sz w:val="24"/>
          <w:szCs w:val="24"/>
          <w:highlight w:val="none"/>
        </w:rPr>
        <w:outlineLvl w:val="9"/>
      </w:pPr>
      <w:r/>
      <w:bookmarkStart w:id="51" w:name="_Toc511"/>
      <w:r/>
      <w:bookmarkStart w:id="52" w:name="_Toc22220"/>
      <w:r>
        <w:rPr>
          <w:rFonts w:hint="eastAsia" w:ascii="宋体" w:hAnsi="宋体" w:cs="宋体"/>
          <w:bCs/>
          <w:color w:val="000000"/>
          <w:sz w:val="24"/>
          <w:szCs w:val="24"/>
          <w:highlight w:val="none"/>
        </w:rPr>
        <w:t xml:space="preserve">（2）如无任何服务偏离，请于本表“偏离说明”中注明“无偏离”；</w:t>
      </w:r>
      <w:bookmarkEnd w:id="51"/>
      <w:r/>
      <w:bookmarkEnd w:id="52"/>
      <w:r>
        <w:rPr>
          <w:rFonts w:hint="eastAsia" w:ascii="宋体" w:hAnsi="宋体" w:cs="宋体"/>
          <w:bCs/>
          <w:color w:val="000000"/>
          <w:sz w:val="24"/>
          <w:szCs w:val="24"/>
          <w:highlight w:val="none"/>
        </w:rPr>
      </w:r>
      <w:r/>
    </w:p>
    <w:p>
      <w:pPr>
        <w:pStyle w:val="1644"/>
        <w:ind w:firstLine="480"/>
        <w:rPr>
          <w:rFonts w:hint="eastAsia" w:ascii="宋体" w:hAnsi="宋体" w:cs="宋体"/>
          <w:bCs/>
          <w:color w:val="000000"/>
          <w:sz w:val="24"/>
          <w:szCs w:val="24"/>
          <w:highlight w:val="none"/>
        </w:rPr>
        <w:outlineLvl w:val="9"/>
      </w:pPr>
      <w:r/>
      <w:bookmarkStart w:id="53" w:name="_Toc10188"/>
      <w:r/>
      <w:bookmarkStart w:id="54" w:name="_Toc9412"/>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3"/>
      <w:r/>
      <w:bookmarkEnd w:id="54"/>
      <w:r>
        <w:rPr>
          <w:rFonts w:hint="eastAsia" w:ascii="宋体" w:hAnsi="宋体" w:cs="宋体"/>
          <w:bCs/>
          <w:color w:val="000000"/>
          <w:sz w:val="24"/>
          <w:szCs w:val="24"/>
          <w:highlight w:val="none"/>
        </w:rPr>
      </w:r>
      <w:r/>
    </w:p>
    <w:p>
      <w:pPr>
        <w:pStyle w:val="172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2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eastAsia="宋体" w:cs="宋体"/>
          <w:b/>
          <w:color w:val="000000"/>
          <w:sz w:val="24"/>
          <w:szCs w:val="24"/>
          <w:highlight w:val="none"/>
          <w:lang w:eastAsia="zh-CN"/>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Cs/>
          <w:color w:val="000000"/>
          <w:sz w:val="24"/>
          <w:szCs w:val="24"/>
          <w:highlight w:val="none"/>
        </w:rPr>
      </w:r>
      <w:r/>
    </w:p>
    <w:p>
      <w:pPr>
        <w:pStyle w:val="1644"/>
        <w:spacing w:line="400" w:lineRule="exact"/>
        <w:rPr>
          <w:rFonts w:hint="eastAsia"/>
          <w:highlight w:val="none"/>
        </w:rPr>
        <w:outlineLvl w:val="9"/>
      </w:pPr>
      <w:r>
        <w:rPr>
          <w:rFonts w:hint="eastAsia" w:ascii="宋体" w:hAnsi="宋体"/>
          <w:bCs/>
          <w:sz w:val="24"/>
          <w:szCs w:val="24"/>
          <w:highlight w:val="none"/>
        </w:rPr>
        <w:t xml:space="preserve">供应商名称（盖章）                        政府采购编号：</w:t>
      </w:r>
      <w:r>
        <w:rPr>
          <w:rFonts w:hint="eastAsia"/>
          <w:highlight w:val="none"/>
        </w:rPr>
      </w:r>
      <w:r/>
    </w:p>
    <w:tbl>
      <w:tblPr>
        <w:tblW w:w="959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trHeight w:val="565"/>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68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64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64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682"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64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644"/>
        <w:jc w:val="lef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1732"/>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644"/>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644"/>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rPr>
          <w:rFonts w:hint="eastAsia" w:ascii="宋体" w:hAnsi="宋体" w:eastAsia="宋体" w:cs="宋体"/>
          <w:bCs/>
          <w:color w:val="000000"/>
          <w:sz w:val="24"/>
          <w:szCs w:val="24"/>
          <w:highlight w:val="none"/>
        </w:rPr>
      </w:r>
      <w:r/>
    </w:p>
    <w:p>
      <w:pPr>
        <w:pStyle w:val="1644"/>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政府采购编号：</w:t>
      </w:r>
      <w:r>
        <w:rPr>
          <w:rFonts w:ascii="宋体" w:hAnsi="宋体" w:eastAsia="宋体" w:cs="宋体"/>
          <w:bCs/>
          <w:color w:val="000000"/>
          <w:sz w:val="24"/>
          <w:szCs w:val="24"/>
          <w:highlight w:val="none"/>
          <w:lang w:val="en-US" w:eastAsia="zh-CN"/>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trHeight w:val="947"/>
        </w:trPr>
        <w:tc>
          <w:tcPr>
            <w:tcW w:w="662" w:type="dxa"/>
            <w:vAlign w:val="center"/>
            <w:textDirection w:val="lrTb"/>
            <w:noWrap w:val="false"/>
          </w:tcPr>
          <w:p>
            <w:pPr>
              <w:pStyle w:val="1644"/>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rPr>
                <w:rFonts w:hint="eastAsia" w:ascii="宋体" w:hAnsi="宋体" w:eastAsia="宋体" w:cs="宋体"/>
                <w:b/>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rPr>
                <w:rFonts w:hint="eastAsia" w:ascii="宋体" w:hAnsi="宋体" w:eastAsia="宋体" w:cs="宋体"/>
                <w:b/>
                <w:color w:val="000000"/>
                <w:sz w:val="21"/>
                <w:szCs w:val="22"/>
                <w:highlight w:val="none"/>
              </w:rPr>
            </w:r>
            <w:r/>
          </w:p>
        </w:tc>
        <w:tc>
          <w:tcPr>
            <w:tcW w:w="652" w:type="dxa"/>
            <w:vAlign w:val="center"/>
            <w:textDirection w:val="lrTb"/>
            <w:noWrap w:val="false"/>
          </w:tcPr>
          <w:p>
            <w:pPr>
              <w:pStyle w:val="1644"/>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rPr>
                <w:rFonts w:hint="eastAsia" w:ascii="宋体" w:hAnsi="宋体" w:eastAsia="宋体" w:cs="宋体"/>
                <w:b/>
                <w:color w:val="000000"/>
                <w:sz w:val="21"/>
                <w:szCs w:val="22"/>
                <w:highlight w:val="none"/>
              </w:rPr>
            </w:r>
            <w:r/>
          </w:p>
        </w:tc>
        <w:tc>
          <w:tcPr>
            <w:tcW w:w="634" w:type="dxa"/>
            <w:vAlign w:val="center"/>
            <w:textDirection w:val="lrTb"/>
            <w:noWrap w:val="false"/>
          </w:tcPr>
          <w:p>
            <w:pPr>
              <w:pStyle w:val="1644"/>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rPr>
                <w:rFonts w:hint="eastAsia" w:ascii="宋体" w:hAnsi="宋体" w:eastAsia="宋体" w:cs="宋体"/>
                <w:b/>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rPr>
                <w:rFonts w:hint="eastAsia" w:ascii="宋体" w:hAnsi="宋体" w:eastAsia="宋体" w:cs="宋体"/>
                <w:b/>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rPr>
                <w:rFonts w:hint="eastAsia" w:ascii="宋体" w:hAnsi="宋体" w:eastAsia="宋体" w:cs="宋体"/>
                <w:b/>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rPr>
                <w:rFonts w:hint="eastAsia" w:ascii="宋体" w:hAnsi="宋体" w:eastAsia="宋体" w:cs="宋体"/>
                <w:b/>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rPr>
                <w:rFonts w:hint="eastAsia" w:ascii="宋体" w:hAnsi="宋体" w:eastAsia="宋体" w:cs="宋体"/>
                <w:b/>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trHeight w:val="621"/>
        </w:trPr>
        <w:tc>
          <w:tcPr>
            <w:tcW w:w="66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64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pStyle w:val="164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rPr>
          <w:rFonts w:hint="eastAsia" w:ascii="宋体" w:hAnsi="宋体" w:eastAsia="宋体" w:cs="宋体"/>
          <w:bCs/>
          <w:color w:val="000000"/>
          <w:sz w:val="22"/>
          <w:szCs w:val="22"/>
          <w:highlight w:val="none"/>
          <w:lang w:eastAsia="zh-CN"/>
        </w:rPr>
      </w:r>
      <w:r/>
    </w:p>
    <w:p>
      <w:pPr>
        <w:pStyle w:val="1644"/>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rPr>
          <w:rFonts w:hint="eastAsia" w:ascii="宋体" w:hAnsi="宋体" w:eastAsia="宋体" w:cs="宋体"/>
          <w:bCs/>
          <w:color w:val="000000"/>
          <w:sz w:val="22"/>
          <w:szCs w:val="22"/>
          <w:highlight w:val="none"/>
        </w:rPr>
      </w:r>
      <w:r/>
    </w:p>
    <w:p>
      <w:pPr>
        <w:pStyle w:val="1644"/>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64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644"/>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64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644"/>
        <w:ind w:left="120"/>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Cs/>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644"/>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44"/>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644"/>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644"/>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676"/>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64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64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64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声明函必须提供，未提供视为无效投标文件。 </w:t>
      </w:r>
      <w:r>
        <w:rPr>
          <w:rFonts w:hint="eastAsia" w:ascii="宋体" w:hAnsi="宋体" w:cs="宋体"/>
          <w:color w:val="000000"/>
          <w:sz w:val="24"/>
          <w:highlight w:val="none"/>
        </w:rPr>
      </w:r>
      <w:r/>
    </w:p>
    <w:p>
      <w:pPr>
        <w:pStyle w:val="1644"/>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t xml:space="preserve">4.供应商提供的声明函与事实不符的，依照《政府采购法》第七十七条第一款的规定追究法律责任。</w:t>
      </w:r>
      <w:r>
        <w:rPr>
          <w:rFonts w:hint="eastAsia" w:ascii="宋体" w:hAnsi="宋体" w:cs="宋体"/>
          <w:color w:val="000000"/>
          <w:sz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bookmarkStart w:id="55" w:name="OLE_LINK14"/>
      <w:r/>
      <w:bookmarkStart w:id="56" w:name="OLE_LINK13"/>
      <w:r/>
      <w:bookmarkStart w:id="57"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644"/>
        <w:spacing w:line="588" w:lineRule="exact"/>
        <w:rPr>
          <w:rFonts w:hint="eastAsia" w:ascii="宋体" w:hAnsi="宋体" w:cs="宋体"/>
          <w:b/>
          <w:color w:val="000000"/>
          <w:spacing w:val="6"/>
          <w:sz w:val="24"/>
          <w:szCs w:val="24"/>
          <w:highlight w:val="none"/>
        </w:rPr>
        <w:outlineLvl w:val="9"/>
      </w:pPr>
      <w:r/>
      <w:bookmarkEnd w:id="55"/>
      <w:r/>
      <w:bookmarkEnd w:id="56"/>
      <w:r>
        <w:rPr>
          <w:rFonts w:hint="eastAsia" w:ascii="宋体" w:hAnsi="宋体" w:cs="宋体"/>
          <w:b/>
          <w:color w:val="000000"/>
          <w:spacing w:val="6"/>
          <w:sz w:val="24"/>
          <w:szCs w:val="24"/>
          <w:highlight w:val="none"/>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64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44"/>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644"/>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726"/>
        <w:ind w:firstLine="480"/>
        <w:rPr>
          <w:rFonts w:hint="eastAsia" w:ascii="宋体" w:hAnsi="宋体" w:cs="宋体"/>
          <w:color w:val="000000"/>
          <w:sz w:val="24"/>
          <w:szCs w:val="24"/>
          <w:highlight w:val="none"/>
        </w:rPr>
        <w:outlineLvl w:val="9"/>
      </w:pPr>
      <w:r/>
      <w:bookmarkEnd w:id="57"/>
      <w:r>
        <w:rPr>
          <w:rFonts w:hint="eastAsia" w:ascii="宋体" w:hAnsi="宋体" w:cs="宋体"/>
          <w:color w:val="000000"/>
          <w:sz w:val="24"/>
          <w:szCs w:val="24"/>
          <w:highlight w:val="none"/>
        </w:rPr>
      </w:r>
      <w:r/>
    </w:p>
    <w:p>
      <w:pPr>
        <w:pStyle w:val="172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26"/>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26"/>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64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6"/>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644"/>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644"/>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31"/>
      <w:footerReference w:type="even" r:id="rId32"/>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tabs>
        <w:tab w:val="center" w:pos="4153" w:leader="none"/>
        <w:tab w:val="right" w:pos="8306" w:leader="none"/>
      </w:tabs>
      <w:rPr>
        <w:rStyle w:val="1696"/>
      </w:rPr>
      <w:framePr w:wrap="around" w:vAnchor="text" w:hAnchor="margin" w:xAlign="center" w:y="1"/>
    </w:pPr>
    <w:r>
      <w:fldChar w:fldCharType="begin"/>
    </w:r>
    <w:r>
      <w:rPr>
        <w:rStyle w:val="1696"/>
      </w:rPr>
      <w:instrText xml:space="preserve">PAGE  </w:instrText>
    </w:r>
    <w:r>
      <w:fldChar w:fldCharType="separate"/>
    </w:r>
    <w:r>
      <w:rPr>
        <w:rStyle w:val="1696"/>
      </w:rPr>
      <w:t xml:space="preserve">1</w:t>
    </w:r>
    <w:r>
      <w:fldChar w:fldCharType="end"/>
    </w:r>
    <w:r>
      <w:rPr>
        <w:rStyle w:val="1696"/>
      </w:rPr>
    </w:r>
    <w:r/>
  </w:p>
  <w:p>
    <w:pPr>
      <w:pStyle w:val="1676"/>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wps:txbx>
                    <wps:bodyPr wrap="none" lIns="0" tIns="0" rIns="0" bIns="0" upright="1">
                      <a:spAutoFit/>
                    </wps:bodyPr>
                  </wps:wsp>
                </a:graphicData>
              </a:graphic>
            </wp:anchor>
          </w:drawing>
        </mc:Choice>
        <mc:Fallback>
          <w:pict>
            <v:shape id="shape 2" o:spid="_x0000_s2"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wps:txbx>
                    <wps:bodyPr wrap="none" lIns="0" tIns="0" rIns="0" bIns="0" upright="1">
                      <a:spAutoFit/>
                    </wps:bodyPr>
                  </wps:wsp>
                </a:graphicData>
              </a:graphic>
            </wp:anchor>
          </w:drawing>
        </mc:Choice>
        <mc:Fallback>
          <w:pict>
            <v:shape id="shape 3" o:spid="_x0000_s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64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wps:txbx>
                    <wps:bodyPr wrap="none" lIns="0" tIns="0" rIns="0" bIns="0" upright="1">
                      <a:spAutoFit/>
                    </wps:bodyPr>
                  </wps:wsp>
                </a:graphicData>
              </a:graphic>
            </wp:anchor>
          </w:drawing>
        </mc:Choice>
        <mc:Fallback>
          <w:pict>
            <v:shape id="shape 4" o:spid="_x0000_s4"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wps:txbx>
                    <wps:bodyPr wrap="none" lIns="0" tIns="0" rIns="0" bIns="0" upright="1">
                      <a:spAutoFit/>
                    </wps:bodyPr>
                  </wps:wsp>
                </a:graphicData>
              </a:graphic>
            </wp:anchor>
          </w:drawing>
        </mc:Choice>
        <mc:Fallback>
          <w:pict>
            <v:shape id="shape 5" o:spid="_x0000_s5"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6" o:spid="_x0000_s6"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7" o:spid="_x0000_s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64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wps:txbx>
                    <wps:bodyPr wrap="none" lIns="0" tIns="0" rIns="0" bIns="0" upright="1">
                      <a:spAutoFit/>
                    </wps:bodyPr>
                  </wps:wsp>
                </a:graphicData>
              </a:graphic>
            </wp:anchor>
          </w:drawing>
        </mc:Choice>
        <mc:Fallback>
          <w:pict>
            <v:shape id="shape 11" o:spid="_x0000_s11"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2" o:spid="_x0000_s1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4"/>
                          </w:pPr>
                          <w:r/>
                          <w:r/>
                        </w:p>
                        <w:p>
                          <w:pPr>
                            <w:pStyle w:val="1644"/>
                          </w:pPr>
                          <w:r/>
                          <w:r/>
                        </w:p>
                      </w:txbxContent>
                    </wps:txbx>
                    <wps:bodyPr wrap="none" lIns="0" tIns="0" rIns="0" bIns="0" upright="1">
                      <a:spAutoFit/>
                    </wps:bodyPr>
                  </wps:wsp>
                </a:graphicData>
              </a:graphic>
            </wp:anchor>
          </w:drawing>
        </mc:Choice>
        <mc:Fallback>
          <w:pict>
            <v:shape id="shape 15" o:spid="_x0000_s1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4"/>
                    </w:pPr>
                    <w:r/>
                    <w:r/>
                  </w:p>
                  <w:p>
                    <w:pPr>
                      <w:pStyle w:val="164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644"/>
                          </w:pPr>
                          <w:r/>
                          <w:r/>
                        </w:p>
                        <w:p>
                          <w:pPr>
                            <w:pStyle w:val="1644"/>
                          </w:pPr>
                          <w:r/>
                          <w:r/>
                        </w:p>
                      </w:txbxContent>
                    </wps:txbx>
                    <wps:bodyPr wrap="none" lIns="0" tIns="0" rIns="0" bIns="0" upright="1">
                      <a:spAutoFit/>
                    </wps:bodyPr>
                  </wps:wsp>
                </a:graphicData>
              </a:graphic>
            </wp:anchor>
          </w:drawing>
        </mc:Choice>
        <mc:Fallback>
          <w:pict>
            <v:shape id="shape 16" o:spid="_x0000_s1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644"/>
                    </w:pPr>
                    <w:r/>
                    <w:r/>
                  </w:p>
                  <w:p>
                    <w:pPr>
                      <w:pStyle w:val="164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644"/>
                          </w:pPr>
                          <w:r/>
                          <w:r/>
                        </w:p>
                        <w:p>
                          <w:pPr>
                            <w:pStyle w:val="1644"/>
                          </w:pPr>
                          <w:r/>
                          <w:r/>
                        </w:p>
                      </w:txbxContent>
                    </wps:txbx>
                    <wps:bodyPr wrap="none" lIns="0" tIns="0" rIns="0" bIns="0" upright="1">
                      <a:spAutoFit/>
                    </wps:bodyPr>
                  </wps:wsp>
                </a:graphicData>
              </a:graphic>
            </wp:anchor>
          </w:drawing>
        </mc:Choice>
        <mc:Fallback>
          <w:pict>
            <v:shape id="shape 17" o:spid="_x0000_s17"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3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644"/>
                    </w:pPr>
                    <w:r/>
                    <w:r/>
                  </w:p>
                  <w:p>
                    <w:pPr>
                      <w:pStyle w:val="164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wps:txbx>
                    <wps:bodyPr wrap="none" lIns="0" tIns="0" rIns="0" bIns="0" upright="1">
                      <a:spAutoFit/>
                    </wps:bodyPr>
                  </wps:wsp>
                </a:graphicData>
              </a:graphic>
            </wp:anchor>
          </w:drawing>
        </mc:Choice>
        <mc:Fallback>
          <w:pict>
            <v:shape id="shape 18" o:spid="_x0000_s18"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4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644"/>
                          </w:pPr>
                          <w:r/>
                          <w:r/>
                        </w:p>
                      </w:txbxContent>
                    </wps:txbx>
                    <wps:bodyPr wrap="none" lIns="0" tIns="0" rIns="0" bIns="0" upright="1">
                      <a:spAutoFit/>
                    </wps:bodyPr>
                  </wps:wsp>
                </a:graphicData>
              </a:graphic>
            </wp:anchor>
          </w:drawing>
        </mc:Choice>
        <mc:Fallback>
          <w:pict>
            <v:shape id="shape 19" o:spid="_x0000_s19"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644"/>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644"/>
                          </w:pPr>
                          <w:r/>
                          <w:r/>
                        </w:p>
                      </w:txbxContent>
                    </wps:txbx>
                    <wps:bodyPr wrap="none" lIns="0" tIns="0" rIns="0" bIns="0" upright="1">
                      <a:spAutoFit/>
                    </wps:bodyPr>
                  </wps:wsp>
                </a:graphicData>
              </a:graphic>
            </wp:anchor>
          </w:drawing>
        </mc:Choice>
        <mc:Fallback>
          <w:pict>
            <v:shape id="shape 20" o:spid="_x0000_s20"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644"/>
                    </w:pPr>
                    <w:r/>
                    <w:r/>
                  </w:p>
                </w:txbxContent>
              </v:textbox>
            </v:shape>
          </w:pict>
        </mc:Fallback>
      </mc:AlternateContent>
    </w:r>
    <w:r>
      <w:rPr>
        <w:rFonts w:hint="eastAsi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6"/>
      <w:spacing w:after="240"/>
      <w:tabs>
        <w:tab w:val="center" w:pos="4153" w:leader="none"/>
        <w:tab w:val="right" w:pos="8306" w:leader="none"/>
      </w:tabs>
      <w:rPr>
        <w:rStyle w:val="1696"/>
      </w:rPr>
      <w:framePr w:wrap="around" w:vAnchor="text" w:hAnchor="margin" w:xAlign="center" w:y="1"/>
    </w:pPr>
    <w:r>
      <w:fldChar w:fldCharType="begin"/>
    </w:r>
    <w:r>
      <w:rPr>
        <w:rStyle w:val="1696"/>
      </w:rPr>
      <w:instrText xml:space="preserve">PAGE  </w:instrText>
    </w:r>
    <w:r>
      <w:fldChar w:fldCharType="end"/>
    </w:r>
    <w:r>
      <w:rPr>
        <w:rStyle w:val="1696"/>
      </w:rPr>
    </w:r>
    <w:r/>
  </w:p>
  <w:p>
    <w:pPr>
      <w:pStyle w:val="1676"/>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9"/>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3"/>
      <w:jc w:val="both"/>
      <w:tabs>
        <w:tab w:val="center" w:pos="4153" w:leader="none"/>
        <w:tab w:val="right" w:pos="8306" w:leader="none"/>
      </w:tabs>
      <w:rPr>
        <w:rFonts w:hint="eastAsia" w:ascii="宋体" w:hAnsi="宋体" w:eastAsia="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eastAsia="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33"/>
      <w:jc w:val="both"/>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64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644"/>
        <w:ind w:left="840" w:hanging="420"/>
        <w:tabs>
          <w:tab w:val="num" w:pos="840" w:leader="none"/>
        </w:tabs>
      </w:pPr>
      <w:rPr>
        <w:rFonts w:cs="Times New Roman"/>
      </w:rPr>
    </w:lvl>
    <w:lvl w:ilvl="2">
      <w:start w:val="10"/>
      <w:numFmt w:val="decimal"/>
      <w:isLgl w:val="false"/>
      <w:suff w:val="tab"/>
      <w:lvlText w:val="%3."/>
      <w:lvlJc w:val="left"/>
      <w:pPr>
        <w:pStyle w:val="1644"/>
        <w:ind w:left="1200" w:hanging="360"/>
        <w:tabs>
          <w:tab w:val="num" w:pos="1200" w:leader="none"/>
        </w:tabs>
      </w:pPr>
      <w:rPr>
        <w:rFonts w:cs="Times New Roman"/>
      </w:rPr>
    </w:lvl>
    <w:lvl w:ilvl="3">
      <w:start w:val="1"/>
      <w:numFmt w:val="decimal"/>
      <w:isLgl w:val="false"/>
      <w:suff w:val="tab"/>
      <w:lvlText w:val="%4."/>
      <w:lvlJc w:val="left"/>
      <w:pPr>
        <w:pStyle w:val="1644"/>
        <w:ind w:left="1680" w:hanging="420"/>
        <w:tabs>
          <w:tab w:val="num" w:pos="1680" w:leader="none"/>
        </w:tabs>
      </w:pPr>
      <w:rPr>
        <w:rFonts w:cs="Times New Roman"/>
      </w:rPr>
    </w:lvl>
    <w:lvl w:ilvl="4">
      <w:start w:val="1"/>
      <w:numFmt w:val="lowerLetter"/>
      <w:isLgl w:val="false"/>
      <w:suff w:val="tab"/>
      <w:lvlText w:val="%5)"/>
      <w:lvlJc w:val="left"/>
      <w:pPr>
        <w:pStyle w:val="1644"/>
        <w:ind w:left="2100" w:hanging="420"/>
        <w:tabs>
          <w:tab w:val="num" w:pos="2100" w:leader="none"/>
        </w:tabs>
      </w:pPr>
      <w:rPr>
        <w:rFonts w:cs="Times New Roman"/>
      </w:rPr>
    </w:lvl>
    <w:lvl w:ilvl="5">
      <w:start w:val="1"/>
      <w:numFmt w:val="lowerRoman"/>
      <w:isLgl w:val="false"/>
      <w:suff w:val="tab"/>
      <w:lvlText w:val="%6."/>
      <w:lvlJc w:val="right"/>
      <w:pPr>
        <w:pStyle w:val="1644"/>
        <w:ind w:left="2520" w:hanging="420"/>
        <w:tabs>
          <w:tab w:val="num" w:pos="2520" w:leader="none"/>
        </w:tabs>
      </w:pPr>
      <w:rPr>
        <w:rFonts w:cs="Times New Roman"/>
      </w:rPr>
    </w:lvl>
    <w:lvl w:ilvl="6">
      <w:start w:val="1"/>
      <w:numFmt w:val="decimal"/>
      <w:isLgl w:val="false"/>
      <w:suff w:val="tab"/>
      <w:lvlText w:val="%7."/>
      <w:lvlJc w:val="left"/>
      <w:pPr>
        <w:pStyle w:val="1644"/>
        <w:ind w:left="2940" w:hanging="420"/>
        <w:tabs>
          <w:tab w:val="num" w:pos="2940" w:leader="none"/>
        </w:tabs>
      </w:pPr>
      <w:rPr>
        <w:rFonts w:cs="Times New Roman"/>
      </w:rPr>
    </w:lvl>
    <w:lvl w:ilvl="7">
      <w:start w:val="1"/>
      <w:numFmt w:val="lowerLetter"/>
      <w:isLgl w:val="false"/>
      <w:suff w:val="tab"/>
      <w:lvlText w:val="%8)"/>
      <w:lvlJc w:val="left"/>
      <w:pPr>
        <w:pStyle w:val="1644"/>
        <w:ind w:left="3360" w:hanging="420"/>
        <w:tabs>
          <w:tab w:val="num" w:pos="3360" w:leader="none"/>
        </w:tabs>
      </w:pPr>
      <w:rPr>
        <w:rFonts w:cs="Times New Roman"/>
      </w:rPr>
    </w:lvl>
    <w:lvl w:ilvl="8">
      <w:start w:val="1"/>
      <w:numFmt w:val="lowerRoman"/>
      <w:isLgl w:val="false"/>
      <w:suff w:val="tab"/>
      <w:lvlText w:val="%9."/>
      <w:lvlJc w:val="right"/>
      <w:pPr>
        <w:pStyle w:val="1644"/>
        <w:ind w:left="3780" w:hanging="420"/>
        <w:tabs>
          <w:tab w:val="num" w:pos="3780" w:leader="none"/>
        </w:tabs>
      </w:pPr>
      <w:rPr>
        <w:rFonts w:cs="Times New Roman"/>
      </w:rPr>
    </w:lvl>
  </w:abstractNum>
  <w:abstractNum w:abstractNumId="1">
    <w:multiLevelType w:val="hybridMultilevel"/>
    <w:lvl w:ilvl="0">
      <w:start w:val="1"/>
      <w:numFmt w:val="upperLetter"/>
      <w:pStyle w:val="1649"/>
      <w:isLgl w:val="false"/>
      <w:suff w:val="tab"/>
      <w:lvlText w:val="%1."/>
      <w:lvlJc w:val="left"/>
      <w:pPr>
        <w:pStyle w:val="1644"/>
        <w:ind w:left="360" w:hanging="360"/>
        <w:tabs>
          <w:tab w:val="num" w:pos="360" w:leader="none"/>
        </w:tabs>
      </w:pPr>
      <w:rPr>
        <w:rFonts w:cs="Times New Roman"/>
      </w:rPr>
    </w:lvl>
    <w:lvl w:ilvl="1">
      <w:start w:val="1"/>
      <w:numFmt w:val="lowerLetter"/>
      <w:isLgl w:val="false"/>
      <w:suff w:val="tab"/>
      <w:lvlText w:val="%2)"/>
      <w:lvlJc w:val="left"/>
      <w:pPr>
        <w:pStyle w:val="1644"/>
        <w:ind w:left="840" w:hanging="420"/>
        <w:tabs>
          <w:tab w:val="num" w:pos="840" w:leader="none"/>
        </w:tabs>
      </w:pPr>
      <w:rPr>
        <w:rFonts w:cs="Times New Roman"/>
      </w:rPr>
    </w:lvl>
    <w:lvl w:ilvl="2">
      <w:start w:val="1"/>
      <w:numFmt w:val="lowerRoman"/>
      <w:isLgl w:val="false"/>
      <w:suff w:val="tab"/>
      <w:lvlText w:val="%3."/>
      <w:lvlJc w:val="right"/>
      <w:pPr>
        <w:pStyle w:val="1644"/>
        <w:ind w:left="1260" w:hanging="420"/>
        <w:tabs>
          <w:tab w:val="num" w:pos="1260" w:leader="none"/>
        </w:tabs>
      </w:pPr>
      <w:rPr>
        <w:rFonts w:cs="Times New Roman"/>
      </w:rPr>
    </w:lvl>
    <w:lvl w:ilvl="3">
      <w:start w:val="1"/>
      <w:numFmt w:val="decimal"/>
      <w:isLgl w:val="false"/>
      <w:suff w:val="tab"/>
      <w:lvlText w:val="%4."/>
      <w:lvlJc w:val="left"/>
      <w:pPr>
        <w:pStyle w:val="1644"/>
        <w:ind w:left="1680" w:hanging="420"/>
        <w:tabs>
          <w:tab w:val="num" w:pos="1680" w:leader="none"/>
        </w:tabs>
      </w:pPr>
      <w:rPr>
        <w:rFonts w:cs="Times New Roman"/>
      </w:rPr>
    </w:lvl>
    <w:lvl w:ilvl="4">
      <w:start w:val="1"/>
      <w:numFmt w:val="lowerLetter"/>
      <w:isLgl w:val="false"/>
      <w:suff w:val="tab"/>
      <w:lvlText w:val="%5)"/>
      <w:lvlJc w:val="left"/>
      <w:pPr>
        <w:pStyle w:val="1644"/>
        <w:ind w:left="2100" w:hanging="420"/>
        <w:tabs>
          <w:tab w:val="num" w:pos="2100" w:leader="none"/>
        </w:tabs>
      </w:pPr>
      <w:rPr>
        <w:rFonts w:cs="Times New Roman"/>
      </w:rPr>
    </w:lvl>
    <w:lvl w:ilvl="5">
      <w:start w:val="1"/>
      <w:numFmt w:val="lowerRoman"/>
      <w:isLgl w:val="false"/>
      <w:suff w:val="tab"/>
      <w:lvlText w:val="%6."/>
      <w:lvlJc w:val="right"/>
      <w:pPr>
        <w:pStyle w:val="1644"/>
        <w:ind w:left="2520" w:hanging="420"/>
        <w:tabs>
          <w:tab w:val="num" w:pos="2520" w:leader="none"/>
        </w:tabs>
      </w:pPr>
      <w:rPr>
        <w:rFonts w:cs="Times New Roman"/>
      </w:rPr>
    </w:lvl>
    <w:lvl w:ilvl="6">
      <w:start w:val="1"/>
      <w:numFmt w:val="decimal"/>
      <w:isLgl w:val="false"/>
      <w:suff w:val="tab"/>
      <w:lvlText w:val="%7."/>
      <w:lvlJc w:val="left"/>
      <w:pPr>
        <w:pStyle w:val="1644"/>
        <w:ind w:left="2940" w:hanging="420"/>
        <w:tabs>
          <w:tab w:val="num" w:pos="2940" w:leader="none"/>
        </w:tabs>
      </w:pPr>
      <w:rPr>
        <w:rFonts w:cs="Times New Roman"/>
      </w:rPr>
    </w:lvl>
    <w:lvl w:ilvl="7">
      <w:start w:val="1"/>
      <w:numFmt w:val="lowerLetter"/>
      <w:isLgl w:val="false"/>
      <w:suff w:val="tab"/>
      <w:lvlText w:val="%8)"/>
      <w:lvlJc w:val="left"/>
      <w:pPr>
        <w:pStyle w:val="1644"/>
        <w:ind w:left="3360" w:hanging="420"/>
        <w:tabs>
          <w:tab w:val="num" w:pos="3360" w:leader="none"/>
        </w:tabs>
      </w:pPr>
      <w:rPr>
        <w:rFonts w:cs="Times New Roman"/>
      </w:rPr>
    </w:lvl>
    <w:lvl w:ilvl="8">
      <w:start w:val="1"/>
      <w:numFmt w:val="lowerRoman"/>
      <w:isLgl w:val="false"/>
      <w:suff w:val="tab"/>
      <w:lvlText w:val="%9."/>
      <w:lvlJc w:val="right"/>
      <w:pPr>
        <w:pStyle w:val="1644"/>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67">
    <w:name w:val="Heading 1"/>
    <w:basedOn w:val="1644"/>
    <w:next w:val="1644"/>
    <w:link w:val="1468"/>
    <w:uiPriority w:val="9"/>
    <w:qFormat/>
    <w:pPr>
      <w:keepLines/>
      <w:keepNext/>
      <w:spacing w:before="480" w:after="200"/>
      <w:outlineLvl w:val="0"/>
    </w:pPr>
    <w:rPr>
      <w:rFonts w:ascii="Arial" w:hAnsi="Arial" w:eastAsia="Arial" w:cs="Arial"/>
      <w:sz w:val="40"/>
      <w:szCs w:val="40"/>
    </w:rPr>
  </w:style>
  <w:style w:type="character" w:styleId="1468">
    <w:name w:val="Heading 1 Char"/>
    <w:link w:val="1467"/>
    <w:uiPriority w:val="9"/>
    <w:rPr>
      <w:rFonts w:ascii="Arial" w:hAnsi="Arial" w:eastAsia="Arial" w:cs="Arial"/>
      <w:sz w:val="40"/>
      <w:szCs w:val="40"/>
    </w:rPr>
  </w:style>
  <w:style w:type="paragraph" w:styleId="1469">
    <w:name w:val="Heading 2"/>
    <w:basedOn w:val="1644"/>
    <w:next w:val="1644"/>
    <w:link w:val="1470"/>
    <w:uiPriority w:val="9"/>
    <w:unhideWhenUsed/>
    <w:qFormat/>
    <w:pPr>
      <w:keepLines/>
      <w:keepNext/>
      <w:spacing w:before="360" w:after="200"/>
      <w:outlineLvl w:val="1"/>
    </w:pPr>
    <w:rPr>
      <w:rFonts w:ascii="Arial" w:hAnsi="Arial" w:eastAsia="Arial" w:cs="Arial"/>
      <w:sz w:val="34"/>
    </w:rPr>
  </w:style>
  <w:style w:type="character" w:styleId="1470">
    <w:name w:val="Heading 2 Char"/>
    <w:link w:val="1469"/>
    <w:uiPriority w:val="9"/>
    <w:rPr>
      <w:rFonts w:ascii="Arial" w:hAnsi="Arial" w:eastAsia="Arial" w:cs="Arial"/>
      <w:sz w:val="34"/>
    </w:rPr>
  </w:style>
  <w:style w:type="paragraph" w:styleId="1471">
    <w:name w:val="Heading 3"/>
    <w:basedOn w:val="1644"/>
    <w:next w:val="1644"/>
    <w:link w:val="1472"/>
    <w:uiPriority w:val="9"/>
    <w:unhideWhenUsed/>
    <w:qFormat/>
    <w:pPr>
      <w:keepLines/>
      <w:keepNext/>
      <w:spacing w:before="320" w:after="200"/>
      <w:outlineLvl w:val="2"/>
    </w:pPr>
    <w:rPr>
      <w:rFonts w:ascii="Arial" w:hAnsi="Arial" w:eastAsia="Arial" w:cs="Arial"/>
      <w:sz w:val="30"/>
      <w:szCs w:val="30"/>
    </w:rPr>
  </w:style>
  <w:style w:type="character" w:styleId="1472">
    <w:name w:val="Heading 3 Char"/>
    <w:link w:val="1471"/>
    <w:uiPriority w:val="9"/>
    <w:rPr>
      <w:rFonts w:ascii="Arial" w:hAnsi="Arial" w:eastAsia="Arial" w:cs="Arial"/>
      <w:sz w:val="30"/>
      <w:szCs w:val="30"/>
    </w:rPr>
  </w:style>
  <w:style w:type="paragraph" w:styleId="1473">
    <w:name w:val="Heading 4"/>
    <w:basedOn w:val="1644"/>
    <w:next w:val="1644"/>
    <w:link w:val="1474"/>
    <w:uiPriority w:val="9"/>
    <w:unhideWhenUsed/>
    <w:qFormat/>
    <w:pPr>
      <w:keepLines/>
      <w:keepNext/>
      <w:spacing w:before="320" w:after="200"/>
      <w:outlineLvl w:val="3"/>
    </w:pPr>
    <w:rPr>
      <w:rFonts w:ascii="Arial" w:hAnsi="Arial" w:eastAsia="Arial" w:cs="Arial"/>
      <w:b/>
      <w:bCs/>
      <w:sz w:val="26"/>
      <w:szCs w:val="26"/>
    </w:rPr>
  </w:style>
  <w:style w:type="character" w:styleId="1474">
    <w:name w:val="Heading 4 Char"/>
    <w:link w:val="1473"/>
    <w:uiPriority w:val="9"/>
    <w:rPr>
      <w:rFonts w:ascii="Arial" w:hAnsi="Arial" w:eastAsia="Arial" w:cs="Arial"/>
      <w:b/>
      <w:bCs/>
      <w:sz w:val="26"/>
      <w:szCs w:val="26"/>
    </w:rPr>
  </w:style>
  <w:style w:type="paragraph" w:styleId="1475">
    <w:name w:val="Heading 5"/>
    <w:basedOn w:val="1644"/>
    <w:next w:val="1644"/>
    <w:link w:val="1476"/>
    <w:uiPriority w:val="9"/>
    <w:unhideWhenUsed/>
    <w:qFormat/>
    <w:pPr>
      <w:keepLines/>
      <w:keepNext/>
      <w:spacing w:before="320" w:after="200"/>
      <w:outlineLvl w:val="4"/>
    </w:pPr>
    <w:rPr>
      <w:rFonts w:ascii="Arial" w:hAnsi="Arial" w:eastAsia="Arial" w:cs="Arial"/>
      <w:b/>
      <w:bCs/>
      <w:sz w:val="24"/>
      <w:szCs w:val="24"/>
    </w:rPr>
  </w:style>
  <w:style w:type="character" w:styleId="1476">
    <w:name w:val="Heading 5 Char"/>
    <w:link w:val="1475"/>
    <w:uiPriority w:val="9"/>
    <w:rPr>
      <w:rFonts w:ascii="Arial" w:hAnsi="Arial" w:eastAsia="Arial" w:cs="Arial"/>
      <w:b/>
      <w:bCs/>
      <w:sz w:val="24"/>
      <w:szCs w:val="24"/>
    </w:rPr>
  </w:style>
  <w:style w:type="paragraph" w:styleId="1477">
    <w:name w:val="Heading 6"/>
    <w:basedOn w:val="1644"/>
    <w:next w:val="1644"/>
    <w:link w:val="1478"/>
    <w:uiPriority w:val="9"/>
    <w:unhideWhenUsed/>
    <w:qFormat/>
    <w:pPr>
      <w:keepLines/>
      <w:keepNext/>
      <w:spacing w:before="320" w:after="200"/>
      <w:outlineLvl w:val="5"/>
    </w:pPr>
    <w:rPr>
      <w:rFonts w:ascii="Arial" w:hAnsi="Arial" w:eastAsia="Arial" w:cs="Arial"/>
      <w:b/>
      <w:bCs/>
      <w:sz w:val="22"/>
      <w:szCs w:val="22"/>
    </w:rPr>
  </w:style>
  <w:style w:type="character" w:styleId="1478">
    <w:name w:val="Heading 6 Char"/>
    <w:link w:val="1477"/>
    <w:uiPriority w:val="9"/>
    <w:rPr>
      <w:rFonts w:ascii="Arial" w:hAnsi="Arial" w:eastAsia="Arial" w:cs="Arial"/>
      <w:b/>
      <w:bCs/>
      <w:sz w:val="22"/>
      <w:szCs w:val="22"/>
    </w:rPr>
  </w:style>
  <w:style w:type="paragraph" w:styleId="1479">
    <w:name w:val="Heading 7"/>
    <w:basedOn w:val="1644"/>
    <w:next w:val="1644"/>
    <w:link w:val="1480"/>
    <w:uiPriority w:val="9"/>
    <w:unhideWhenUsed/>
    <w:qFormat/>
    <w:pPr>
      <w:keepLines/>
      <w:keepNext/>
      <w:spacing w:before="320" w:after="200"/>
      <w:outlineLvl w:val="6"/>
    </w:pPr>
    <w:rPr>
      <w:rFonts w:ascii="Arial" w:hAnsi="Arial" w:eastAsia="Arial" w:cs="Arial"/>
      <w:b/>
      <w:bCs/>
      <w:i/>
      <w:iCs/>
      <w:sz w:val="22"/>
      <w:szCs w:val="22"/>
    </w:rPr>
  </w:style>
  <w:style w:type="character" w:styleId="1480">
    <w:name w:val="Heading 7 Char"/>
    <w:link w:val="1479"/>
    <w:uiPriority w:val="9"/>
    <w:rPr>
      <w:rFonts w:ascii="Arial" w:hAnsi="Arial" w:eastAsia="Arial" w:cs="Arial"/>
      <w:b/>
      <w:bCs/>
      <w:i/>
      <w:iCs/>
      <w:sz w:val="22"/>
      <w:szCs w:val="22"/>
    </w:rPr>
  </w:style>
  <w:style w:type="paragraph" w:styleId="1481">
    <w:name w:val="Heading 8"/>
    <w:basedOn w:val="1644"/>
    <w:next w:val="1644"/>
    <w:link w:val="1482"/>
    <w:uiPriority w:val="9"/>
    <w:unhideWhenUsed/>
    <w:qFormat/>
    <w:pPr>
      <w:keepLines/>
      <w:keepNext/>
      <w:spacing w:before="320" w:after="200"/>
      <w:outlineLvl w:val="7"/>
    </w:pPr>
    <w:rPr>
      <w:rFonts w:ascii="Arial" w:hAnsi="Arial" w:eastAsia="Arial" w:cs="Arial"/>
      <w:i/>
      <w:iCs/>
      <w:sz w:val="22"/>
      <w:szCs w:val="22"/>
    </w:rPr>
  </w:style>
  <w:style w:type="character" w:styleId="1482">
    <w:name w:val="Heading 8 Char"/>
    <w:link w:val="1481"/>
    <w:uiPriority w:val="9"/>
    <w:rPr>
      <w:rFonts w:ascii="Arial" w:hAnsi="Arial" w:eastAsia="Arial" w:cs="Arial"/>
      <w:i/>
      <w:iCs/>
      <w:sz w:val="22"/>
      <w:szCs w:val="22"/>
    </w:rPr>
  </w:style>
  <w:style w:type="paragraph" w:styleId="1483">
    <w:name w:val="Heading 9"/>
    <w:basedOn w:val="1644"/>
    <w:next w:val="1644"/>
    <w:link w:val="1484"/>
    <w:uiPriority w:val="9"/>
    <w:unhideWhenUsed/>
    <w:qFormat/>
    <w:pPr>
      <w:keepLines/>
      <w:keepNext/>
      <w:spacing w:before="320" w:after="200"/>
      <w:outlineLvl w:val="8"/>
    </w:pPr>
    <w:rPr>
      <w:rFonts w:ascii="Arial" w:hAnsi="Arial" w:eastAsia="Arial" w:cs="Arial"/>
      <w:i/>
      <w:iCs/>
      <w:sz w:val="21"/>
      <w:szCs w:val="21"/>
    </w:rPr>
  </w:style>
  <w:style w:type="character" w:styleId="1484">
    <w:name w:val="Heading 9 Char"/>
    <w:link w:val="1483"/>
    <w:uiPriority w:val="9"/>
    <w:rPr>
      <w:rFonts w:ascii="Arial" w:hAnsi="Arial" w:eastAsia="Arial" w:cs="Arial"/>
      <w:i/>
      <w:iCs/>
      <w:sz w:val="21"/>
      <w:szCs w:val="21"/>
    </w:rPr>
  </w:style>
  <w:style w:type="paragraph" w:styleId="1485">
    <w:name w:val="No Spacing"/>
    <w:uiPriority w:val="1"/>
    <w:qFormat/>
    <w:pPr>
      <w:spacing w:before="0" w:after="0" w:line="240" w:lineRule="auto"/>
    </w:pPr>
  </w:style>
  <w:style w:type="paragraph" w:styleId="1486">
    <w:name w:val="Title"/>
    <w:basedOn w:val="1644"/>
    <w:next w:val="1644"/>
    <w:link w:val="1487"/>
    <w:uiPriority w:val="10"/>
    <w:qFormat/>
    <w:pPr>
      <w:contextualSpacing/>
      <w:spacing w:before="300" w:after="200"/>
    </w:pPr>
    <w:rPr>
      <w:sz w:val="48"/>
      <w:szCs w:val="48"/>
    </w:rPr>
  </w:style>
  <w:style w:type="character" w:styleId="1487">
    <w:name w:val="Title Char"/>
    <w:link w:val="1486"/>
    <w:uiPriority w:val="10"/>
    <w:rPr>
      <w:sz w:val="48"/>
      <w:szCs w:val="48"/>
    </w:rPr>
  </w:style>
  <w:style w:type="paragraph" w:styleId="1488">
    <w:name w:val="Subtitle"/>
    <w:basedOn w:val="1644"/>
    <w:next w:val="1644"/>
    <w:link w:val="1489"/>
    <w:uiPriority w:val="11"/>
    <w:qFormat/>
    <w:pPr>
      <w:spacing w:before="200" w:after="200"/>
    </w:pPr>
    <w:rPr>
      <w:sz w:val="24"/>
      <w:szCs w:val="24"/>
    </w:rPr>
  </w:style>
  <w:style w:type="character" w:styleId="1489">
    <w:name w:val="Subtitle Char"/>
    <w:link w:val="1488"/>
    <w:uiPriority w:val="11"/>
    <w:rPr>
      <w:sz w:val="24"/>
      <w:szCs w:val="24"/>
    </w:rPr>
  </w:style>
  <w:style w:type="paragraph" w:styleId="1490">
    <w:name w:val="Quote"/>
    <w:basedOn w:val="1644"/>
    <w:next w:val="1644"/>
    <w:link w:val="1491"/>
    <w:uiPriority w:val="29"/>
    <w:qFormat/>
    <w:pPr>
      <w:ind w:left="720" w:right="720"/>
    </w:pPr>
    <w:rPr>
      <w:i/>
    </w:rPr>
  </w:style>
  <w:style w:type="character" w:styleId="1491">
    <w:name w:val="Quote Char"/>
    <w:link w:val="1490"/>
    <w:uiPriority w:val="29"/>
    <w:rPr>
      <w:i/>
    </w:rPr>
  </w:style>
  <w:style w:type="paragraph" w:styleId="1492">
    <w:name w:val="Intense Quote"/>
    <w:basedOn w:val="1644"/>
    <w:next w:val="1644"/>
    <w:link w:val="14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93">
    <w:name w:val="Intense Quote Char"/>
    <w:link w:val="1492"/>
    <w:uiPriority w:val="30"/>
    <w:rPr>
      <w:i/>
    </w:rPr>
  </w:style>
  <w:style w:type="paragraph" w:styleId="1494">
    <w:name w:val="Header"/>
    <w:basedOn w:val="1644"/>
    <w:link w:val="1495"/>
    <w:uiPriority w:val="99"/>
    <w:unhideWhenUsed/>
    <w:pPr>
      <w:spacing w:after="0" w:line="240" w:lineRule="auto"/>
      <w:tabs>
        <w:tab w:val="center" w:pos="7143" w:leader="none"/>
        <w:tab w:val="right" w:pos="14287" w:leader="none"/>
      </w:tabs>
    </w:pPr>
  </w:style>
  <w:style w:type="character" w:styleId="1495">
    <w:name w:val="Header Char"/>
    <w:link w:val="1494"/>
    <w:uiPriority w:val="99"/>
  </w:style>
  <w:style w:type="paragraph" w:styleId="1496">
    <w:name w:val="Footer"/>
    <w:basedOn w:val="1644"/>
    <w:link w:val="1499"/>
    <w:uiPriority w:val="99"/>
    <w:unhideWhenUsed/>
    <w:pPr>
      <w:spacing w:after="0" w:line="240" w:lineRule="auto"/>
      <w:tabs>
        <w:tab w:val="center" w:pos="7143" w:leader="none"/>
        <w:tab w:val="right" w:pos="14287" w:leader="none"/>
      </w:tabs>
    </w:pPr>
  </w:style>
  <w:style w:type="character" w:styleId="1497">
    <w:name w:val="Footer Char"/>
    <w:link w:val="1496"/>
    <w:uiPriority w:val="99"/>
  </w:style>
  <w:style w:type="paragraph" w:styleId="1498">
    <w:name w:val="Caption"/>
    <w:basedOn w:val="1644"/>
    <w:next w:val="1644"/>
    <w:uiPriority w:val="35"/>
    <w:semiHidden/>
    <w:unhideWhenUsed/>
    <w:qFormat/>
    <w:pPr>
      <w:spacing w:line="276" w:lineRule="auto"/>
    </w:pPr>
    <w:rPr>
      <w:b/>
      <w:bCs/>
      <w:color w:val="4f81bd" w:themeColor="accent1"/>
      <w:sz w:val="18"/>
      <w:szCs w:val="18"/>
    </w:rPr>
  </w:style>
  <w:style w:type="character" w:styleId="1499">
    <w:name w:val="Caption Char"/>
    <w:basedOn w:val="1498"/>
    <w:link w:val="1496"/>
    <w:uiPriority w:val="99"/>
  </w:style>
  <w:style w:type="table" w:styleId="15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5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5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5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5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5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5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5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5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5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5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5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5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26">
    <w:name w:val="Hyperlink"/>
    <w:uiPriority w:val="99"/>
    <w:unhideWhenUsed/>
    <w:rPr>
      <w:color w:val="0000ff" w:themeColor="hyperlink"/>
      <w:u w:val="single"/>
    </w:rPr>
  </w:style>
  <w:style w:type="paragraph" w:styleId="1627">
    <w:name w:val="footnote text"/>
    <w:basedOn w:val="1644"/>
    <w:link w:val="1628"/>
    <w:uiPriority w:val="99"/>
    <w:semiHidden/>
    <w:unhideWhenUsed/>
    <w:pPr>
      <w:spacing w:after="40" w:line="240" w:lineRule="auto"/>
    </w:pPr>
    <w:rPr>
      <w:sz w:val="18"/>
    </w:rPr>
  </w:style>
  <w:style w:type="character" w:styleId="1628">
    <w:name w:val="Footnote Text Char"/>
    <w:link w:val="1627"/>
    <w:uiPriority w:val="99"/>
    <w:rPr>
      <w:sz w:val="18"/>
    </w:rPr>
  </w:style>
  <w:style w:type="character" w:styleId="1629">
    <w:name w:val="footnote reference"/>
    <w:uiPriority w:val="99"/>
    <w:unhideWhenUsed/>
    <w:rPr>
      <w:vertAlign w:val="superscript"/>
    </w:rPr>
  </w:style>
  <w:style w:type="paragraph" w:styleId="1630">
    <w:name w:val="endnote text"/>
    <w:basedOn w:val="1644"/>
    <w:link w:val="1631"/>
    <w:uiPriority w:val="99"/>
    <w:semiHidden/>
    <w:unhideWhenUsed/>
    <w:pPr>
      <w:spacing w:after="0" w:line="240" w:lineRule="auto"/>
    </w:pPr>
    <w:rPr>
      <w:sz w:val="20"/>
    </w:rPr>
  </w:style>
  <w:style w:type="character" w:styleId="1631">
    <w:name w:val="Endnote Text Char"/>
    <w:link w:val="1630"/>
    <w:uiPriority w:val="99"/>
    <w:rPr>
      <w:sz w:val="20"/>
    </w:rPr>
  </w:style>
  <w:style w:type="character" w:styleId="1632">
    <w:name w:val="endnote reference"/>
    <w:uiPriority w:val="99"/>
    <w:semiHidden/>
    <w:unhideWhenUsed/>
    <w:rPr>
      <w:vertAlign w:val="superscript"/>
    </w:rPr>
  </w:style>
  <w:style w:type="paragraph" w:styleId="1633">
    <w:name w:val="toc 1"/>
    <w:basedOn w:val="1644"/>
    <w:next w:val="1644"/>
    <w:uiPriority w:val="39"/>
    <w:unhideWhenUsed/>
    <w:pPr>
      <w:ind w:left="0" w:right="0" w:firstLine="0"/>
      <w:spacing w:after="57"/>
    </w:pPr>
  </w:style>
  <w:style w:type="paragraph" w:styleId="1634">
    <w:name w:val="toc 2"/>
    <w:basedOn w:val="1644"/>
    <w:next w:val="1644"/>
    <w:uiPriority w:val="39"/>
    <w:unhideWhenUsed/>
    <w:pPr>
      <w:ind w:left="283" w:right="0" w:firstLine="0"/>
      <w:spacing w:after="57"/>
    </w:pPr>
  </w:style>
  <w:style w:type="paragraph" w:styleId="1635">
    <w:name w:val="toc 3"/>
    <w:basedOn w:val="1644"/>
    <w:next w:val="1644"/>
    <w:uiPriority w:val="39"/>
    <w:unhideWhenUsed/>
    <w:pPr>
      <w:ind w:left="567" w:right="0" w:firstLine="0"/>
      <w:spacing w:after="57"/>
    </w:pPr>
  </w:style>
  <w:style w:type="paragraph" w:styleId="1636">
    <w:name w:val="toc 4"/>
    <w:basedOn w:val="1644"/>
    <w:next w:val="1644"/>
    <w:uiPriority w:val="39"/>
    <w:unhideWhenUsed/>
    <w:pPr>
      <w:ind w:left="850" w:right="0" w:firstLine="0"/>
      <w:spacing w:after="57"/>
    </w:pPr>
  </w:style>
  <w:style w:type="paragraph" w:styleId="1637">
    <w:name w:val="toc 5"/>
    <w:basedOn w:val="1644"/>
    <w:next w:val="1644"/>
    <w:uiPriority w:val="39"/>
    <w:unhideWhenUsed/>
    <w:pPr>
      <w:ind w:left="1134" w:right="0" w:firstLine="0"/>
      <w:spacing w:after="57"/>
    </w:pPr>
  </w:style>
  <w:style w:type="paragraph" w:styleId="1638">
    <w:name w:val="toc 6"/>
    <w:basedOn w:val="1644"/>
    <w:next w:val="1644"/>
    <w:uiPriority w:val="39"/>
    <w:unhideWhenUsed/>
    <w:pPr>
      <w:ind w:left="1417" w:right="0" w:firstLine="0"/>
      <w:spacing w:after="57"/>
    </w:pPr>
  </w:style>
  <w:style w:type="paragraph" w:styleId="1639">
    <w:name w:val="toc 7"/>
    <w:basedOn w:val="1644"/>
    <w:next w:val="1644"/>
    <w:uiPriority w:val="39"/>
    <w:unhideWhenUsed/>
    <w:pPr>
      <w:ind w:left="1701" w:right="0" w:firstLine="0"/>
      <w:spacing w:after="57"/>
    </w:pPr>
  </w:style>
  <w:style w:type="paragraph" w:styleId="1640">
    <w:name w:val="toc 8"/>
    <w:basedOn w:val="1644"/>
    <w:next w:val="1644"/>
    <w:uiPriority w:val="39"/>
    <w:unhideWhenUsed/>
    <w:pPr>
      <w:ind w:left="1984" w:right="0" w:firstLine="0"/>
      <w:spacing w:after="57"/>
    </w:pPr>
  </w:style>
  <w:style w:type="paragraph" w:styleId="1641">
    <w:name w:val="toc 9"/>
    <w:basedOn w:val="1644"/>
    <w:next w:val="1644"/>
    <w:uiPriority w:val="39"/>
    <w:unhideWhenUsed/>
    <w:pPr>
      <w:ind w:left="2268" w:right="0" w:firstLine="0"/>
      <w:spacing w:after="57"/>
    </w:pPr>
  </w:style>
  <w:style w:type="paragraph" w:styleId="1642">
    <w:name w:val="TOC Heading"/>
    <w:uiPriority w:val="39"/>
    <w:unhideWhenUsed/>
  </w:style>
  <w:style w:type="paragraph" w:styleId="1643">
    <w:name w:val="table of figures"/>
    <w:basedOn w:val="1644"/>
    <w:next w:val="1644"/>
    <w:uiPriority w:val="99"/>
    <w:unhideWhenUsed/>
    <w:pPr>
      <w:spacing w:after="0" w:afterAutospacing="0"/>
    </w:pPr>
  </w:style>
  <w:style w:type="paragraph" w:styleId="1644" w:default="1">
    <w:name w:val="Normal"/>
    <w:next w:val="1644"/>
    <w:link w:val="1644"/>
    <w:qFormat/>
    <w:pPr>
      <w:jc w:val="both"/>
      <w:widowControl w:val="off"/>
    </w:pPr>
    <w:rPr>
      <w:sz w:val="21"/>
      <w:lang w:val="en-US" w:eastAsia="zh-CN" w:bidi="ar-SA"/>
    </w:rPr>
  </w:style>
  <w:style w:type="paragraph" w:styleId="1645">
    <w:name w:val="标题 1"/>
    <w:basedOn w:val="1644"/>
    <w:next w:val="1644"/>
    <w:link w:val="1652"/>
    <w:qFormat/>
    <w:pPr>
      <w:jc w:val="center"/>
      <w:keepNext/>
      <w:outlineLvl w:val="0"/>
    </w:pPr>
    <w:rPr>
      <w:rFonts w:ascii="楷体_GB2312" w:hAnsi="楷体_GB2312" w:eastAsia="宋体"/>
      <w:b/>
      <w:sz w:val="28"/>
      <w:szCs w:val="32"/>
    </w:rPr>
  </w:style>
  <w:style w:type="paragraph" w:styleId="1646">
    <w:name w:val="标题 2"/>
    <w:basedOn w:val="1644"/>
    <w:next w:val="1644"/>
    <w:link w:val="1653"/>
    <w:qFormat/>
    <w:pPr>
      <w:jc w:val="center"/>
      <w:keepNext/>
      <w:outlineLvl w:val="1"/>
    </w:pPr>
    <w:rPr>
      <w:rFonts w:ascii="楷体_GB2312" w:eastAsia="楷体_GB2312"/>
      <w:b/>
      <w:bCs/>
      <w:sz w:val="18"/>
    </w:rPr>
  </w:style>
  <w:style w:type="paragraph" w:styleId="1647">
    <w:name w:val="标题 3"/>
    <w:basedOn w:val="1644"/>
    <w:next w:val="1644"/>
    <w:link w:val="1654"/>
    <w:qFormat/>
    <w:pPr>
      <w:jc w:val="center"/>
      <w:keepNext/>
      <w:outlineLvl w:val="2"/>
    </w:pPr>
    <w:rPr>
      <w:rFonts w:eastAsia="楷体_GB2312"/>
      <w:b/>
      <w:bCs/>
      <w:sz w:val="15"/>
    </w:rPr>
  </w:style>
  <w:style w:type="paragraph" w:styleId="1648">
    <w:name w:val="标题 4"/>
    <w:basedOn w:val="1644"/>
    <w:next w:val="1644"/>
    <w:link w:val="1655"/>
    <w:qFormat/>
    <w:pPr>
      <w:jc w:val="center"/>
      <w:keepNext/>
      <w:outlineLvl w:val="3"/>
    </w:pPr>
    <w:rPr>
      <w:rFonts w:eastAsia="楷体_GB2312"/>
      <w:b/>
      <w:bCs/>
      <w:sz w:val="13"/>
    </w:rPr>
  </w:style>
  <w:style w:type="paragraph" w:styleId="1649">
    <w:name w:val="标题 5"/>
    <w:basedOn w:val="1644"/>
    <w:next w:val="1644"/>
    <w:link w:val="1656"/>
    <w:qFormat/>
    <w:pPr>
      <w:numPr>
        <w:ilvl w:val="0"/>
        <w:numId w:val="1"/>
      </w:numPr>
      <w:keepNext/>
      <w:tabs>
        <w:tab w:val="left" w:pos="360" w:leader="none"/>
      </w:tabs>
      <w:outlineLvl w:val="4"/>
    </w:pPr>
    <w:rPr>
      <w:rFonts w:ascii="楷体_GB2312" w:eastAsia="楷体_GB2312"/>
      <w:bCs/>
      <w:sz w:val="28"/>
    </w:rPr>
  </w:style>
  <w:style w:type="character" w:styleId="1650">
    <w:name w:val="默认段落字体"/>
    <w:next w:val="1650"/>
    <w:link w:val="1644"/>
    <w:uiPriority w:val="1"/>
    <w:unhideWhenUsed/>
  </w:style>
  <w:style w:type="table" w:styleId="1651">
    <w:name w:val="普通表格"/>
    <w:next w:val="1651"/>
    <w:link w:val="1644"/>
    <w:uiPriority w:val="99"/>
    <w:unhideWhenUsed/>
    <w:qFormat/>
    <w:tblPr/>
  </w:style>
  <w:style w:type="character" w:styleId="1652">
    <w:name w:val="标题 1 字符"/>
    <w:next w:val="1652"/>
    <w:link w:val="1645"/>
    <w:qFormat/>
    <w:rPr>
      <w:rFonts w:ascii="楷体_GB2312" w:hAnsi="楷体_GB2312" w:eastAsia="宋体" w:cs="Times New Roman"/>
      <w:b/>
      <w:sz w:val="28"/>
      <w:szCs w:val="32"/>
    </w:rPr>
  </w:style>
  <w:style w:type="character" w:styleId="1653">
    <w:name w:val="标题 2 字符"/>
    <w:next w:val="1653"/>
    <w:link w:val="1646"/>
    <w:qFormat/>
    <w:rPr>
      <w:rFonts w:ascii="楷体_GB2312" w:hAnsi="Times New Roman" w:eastAsia="楷体_GB2312" w:cs="Times New Roman"/>
      <w:b/>
      <w:bCs/>
      <w:sz w:val="18"/>
      <w:szCs w:val="20"/>
    </w:rPr>
  </w:style>
  <w:style w:type="character" w:styleId="1654">
    <w:name w:val="标题 3 字符"/>
    <w:next w:val="1654"/>
    <w:link w:val="1647"/>
    <w:qFormat/>
    <w:rPr>
      <w:rFonts w:ascii="Times New Roman" w:hAnsi="Times New Roman" w:eastAsia="楷体_GB2312" w:cs="Times New Roman"/>
      <w:b/>
      <w:bCs/>
      <w:sz w:val="15"/>
      <w:szCs w:val="20"/>
    </w:rPr>
  </w:style>
  <w:style w:type="character" w:styleId="1655">
    <w:name w:val="标题 4 字符"/>
    <w:next w:val="1655"/>
    <w:link w:val="1648"/>
    <w:qFormat/>
    <w:rPr>
      <w:rFonts w:ascii="Times New Roman" w:hAnsi="Times New Roman" w:eastAsia="楷体_GB2312" w:cs="Times New Roman"/>
      <w:b/>
      <w:bCs/>
      <w:sz w:val="13"/>
      <w:szCs w:val="20"/>
    </w:rPr>
  </w:style>
  <w:style w:type="character" w:styleId="1656">
    <w:name w:val="标题 5 字符"/>
    <w:next w:val="1656"/>
    <w:link w:val="1649"/>
    <w:qFormat/>
    <w:rPr>
      <w:rFonts w:ascii="楷体_GB2312" w:hAnsi="Times New Roman" w:eastAsia="楷体_GB2312" w:cs="Times New Roman"/>
      <w:bCs/>
      <w:sz w:val="28"/>
      <w:szCs w:val="20"/>
    </w:rPr>
  </w:style>
  <w:style w:type="paragraph" w:styleId="1657">
    <w:name w:val="正文缩进"/>
    <w:basedOn w:val="1644"/>
    <w:next w:val="1657"/>
    <w:link w:val="1658"/>
    <w:unhideWhenUsed/>
    <w:qFormat/>
    <w:pPr>
      <w:ind w:firstLine="420"/>
    </w:pPr>
  </w:style>
  <w:style w:type="character" w:styleId="1658">
    <w:name w:val="正文缩进 字符"/>
    <w:next w:val="1658"/>
    <w:link w:val="1657"/>
    <w:semiHidden/>
    <w:qFormat/>
    <w:rPr>
      <w:rFonts w:ascii="Times New Roman" w:hAnsi="Times New Roman"/>
      <w:sz w:val="21"/>
    </w:rPr>
  </w:style>
  <w:style w:type="paragraph" w:styleId="1659">
    <w:name w:val="文档结构图"/>
    <w:basedOn w:val="1644"/>
    <w:next w:val="1659"/>
    <w:link w:val="1660"/>
    <w:semiHidden/>
    <w:qFormat/>
    <w:pPr>
      <w:shd w:val="clear" w:color="auto" w:fill="000080"/>
    </w:pPr>
    <w:rPr>
      <w:sz w:val="20"/>
    </w:rPr>
  </w:style>
  <w:style w:type="character" w:styleId="1660">
    <w:name w:val="文档结构图 字符"/>
    <w:next w:val="1660"/>
    <w:link w:val="1659"/>
    <w:semiHidden/>
    <w:qFormat/>
    <w:rPr>
      <w:rFonts w:ascii="Times New Roman" w:hAnsi="Times New Roman" w:eastAsia="宋体" w:cs="Times New Roman"/>
      <w:szCs w:val="20"/>
      <w:shd w:val="clear" w:color="auto" w:fill="000080"/>
    </w:rPr>
  </w:style>
  <w:style w:type="paragraph" w:styleId="1661">
    <w:name w:val="批注文字"/>
    <w:basedOn w:val="1644"/>
    <w:next w:val="1661"/>
    <w:link w:val="1662"/>
    <w:uiPriority w:val="99"/>
    <w:semiHidden/>
    <w:qFormat/>
    <w:pPr>
      <w:jc w:val="left"/>
    </w:pPr>
    <w:rPr>
      <w:sz w:val="20"/>
      <w:szCs w:val="24"/>
    </w:rPr>
  </w:style>
  <w:style w:type="character" w:styleId="1662">
    <w:name w:val="批注文字 字符"/>
    <w:next w:val="1662"/>
    <w:link w:val="1661"/>
    <w:uiPriority w:val="99"/>
    <w:semiHidden/>
    <w:qFormat/>
    <w:rPr>
      <w:rFonts w:ascii="Times New Roman" w:hAnsi="Times New Roman" w:eastAsia="宋体" w:cs="Times New Roman"/>
      <w:szCs w:val="24"/>
    </w:rPr>
  </w:style>
  <w:style w:type="paragraph" w:styleId="1663">
    <w:name w:val="正文文本"/>
    <w:basedOn w:val="1644"/>
    <w:next w:val="1663"/>
    <w:link w:val="1664"/>
    <w:uiPriority w:val="99"/>
    <w:qFormat/>
    <w:rPr>
      <w:rFonts w:ascii="华文中宋" w:eastAsia="华文中宋"/>
      <w:bCs/>
      <w:sz w:val="28"/>
    </w:rPr>
  </w:style>
  <w:style w:type="character" w:styleId="1664">
    <w:name w:val="正文文本 字符"/>
    <w:next w:val="1664"/>
    <w:link w:val="1663"/>
    <w:uiPriority w:val="99"/>
    <w:qFormat/>
    <w:rPr>
      <w:rFonts w:ascii="华文中宋" w:hAnsi="Times New Roman" w:eastAsia="华文中宋" w:cs="Times New Roman"/>
      <w:bCs/>
      <w:sz w:val="28"/>
      <w:szCs w:val="20"/>
    </w:rPr>
  </w:style>
  <w:style w:type="paragraph" w:styleId="1665">
    <w:name w:val="正文文本缩进"/>
    <w:basedOn w:val="1644"/>
    <w:next w:val="1644"/>
    <w:link w:val="1666"/>
    <w:qFormat/>
    <w:pPr>
      <w:ind w:firstLine="576"/>
    </w:pPr>
    <w:rPr>
      <w:b/>
      <w:sz w:val="30"/>
    </w:rPr>
  </w:style>
  <w:style w:type="character" w:styleId="1666">
    <w:name w:val="正文文本缩进 字符"/>
    <w:next w:val="1666"/>
    <w:link w:val="1665"/>
    <w:qFormat/>
    <w:rPr>
      <w:rFonts w:ascii="Times New Roman" w:hAnsi="Times New Roman" w:eastAsia="宋体" w:cs="Times New Roman"/>
      <w:b/>
      <w:sz w:val="30"/>
      <w:szCs w:val="20"/>
    </w:rPr>
  </w:style>
  <w:style w:type="paragraph" w:styleId="1667">
    <w:name w:val="索引 4"/>
    <w:basedOn w:val="1644"/>
    <w:next w:val="1644"/>
    <w:link w:val="1644"/>
    <w:uiPriority w:val="99"/>
    <w:qFormat/>
    <w:pPr>
      <w:ind w:left="600"/>
    </w:pPr>
    <w:rPr>
      <w:szCs w:val="24"/>
    </w:rPr>
  </w:style>
  <w:style w:type="paragraph" w:styleId="1668">
    <w:name w:val="纯文本"/>
    <w:basedOn w:val="1644"/>
    <w:next w:val="1668"/>
    <w:link w:val="1669"/>
    <w:qFormat/>
    <w:rPr>
      <w:rFonts w:ascii="宋体" w:hAnsi="Courier New"/>
    </w:rPr>
  </w:style>
  <w:style w:type="character" w:styleId="1669">
    <w:name w:val="纯文本 字符"/>
    <w:next w:val="1669"/>
    <w:link w:val="1668"/>
    <w:rPr>
      <w:rFonts w:ascii="宋体" w:hAnsi="Courier New"/>
      <w:sz w:val="21"/>
    </w:rPr>
  </w:style>
  <w:style w:type="paragraph" w:styleId="1670">
    <w:name w:val="日期"/>
    <w:basedOn w:val="1644"/>
    <w:next w:val="1644"/>
    <w:link w:val="1671"/>
    <w:qFormat/>
    <w:rPr>
      <w:rFonts w:eastAsia="黑体"/>
      <w:b/>
      <w:sz w:val="36"/>
    </w:rPr>
  </w:style>
  <w:style w:type="character" w:styleId="1671">
    <w:name w:val="日期 字符"/>
    <w:next w:val="1671"/>
    <w:link w:val="1670"/>
    <w:qFormat/>
    <w:rPr>
      <w:rFonts w:ascii="Times New Roman" w:hAnsi="Times New Roman" w:eastAsia="黑体" w:cs="Times New Roman"/>
      <w:b/>
      <w:sz w:val="36"/>
      <w:szCs w:val="20"/>
    </w:rPr>
  </w:style>
  <w:style w:type="paragraph" w:styleId="1672">
    <w:name w:val="正文文本缩进 2"/>
    <w:basedOn w:val="1644"/>
    <w:next w:val="1672"/>
    <w:link w:val="1673"/>
    <w:qFormat/>
    <w:pPr>
      <w:ind w:left="900"/>
    </w:pPr>
    <w:rPr>
      <w:rFonts w:ascii="楷体_GB2312" w:eastAsia="楷体_GB2312"/>
      <w:b/>
      <w:sz w:val="28"/>
    </w:rPr>
  </w:style>
  <w:style w:type="character" w:styleId="1673">
    <w:name w:val="正文文本缩进 2 字符"/>
    <w:next w:val="1673"/>
    <w:link w:val="1672"/>
    <w:qFormat/>
    <w:rPr>
      <w:rFonts w:ascii="楷体_GB2312" w:hAnsi="Times New Roman" w:eastAsia="楷体_GB2312" w:cs="Times New Roman"/>
      <w:b/>
      <w:sz w:val="28"/>
      <w:szCs w:val="20"/>
    </w:rPr>
  </w:style>
  <w:style w:type="paragraph" w:styleId="1674">
    <w:name w:val="批注框文本"/>
    <w:basedOn w:val="1644"/>
    <w:next w:val="1674"/>
    <w:link w:val="1675"/>
    <w:uiPriority w:val="99"/>
    <w:unhideWhenUsed/>
    <w:qFormat/>
    <w:rPr>
      <w:sz w:val="18"/>
      <w:szCs w:val="18"/>
    </w:rPr>
  </w:style>
  <w:style w:type="character" w:styleId="1675">
    <w:name w:val="批注框文本 字符"/>
    <w:next w:val="1675"/>
    <w:link w:val="1674"/>
    <w:uiPriority w:val="99"/>
    <w:semiHidden/>
    <w:qFormat/>
    <w:rPr>
      <w:rFonts w:ascii="Times New Roman" w:hAnsi="Times New Roman" w:eastAsia="宋体" w:cs="Times New Roman"/>
      <w:sz w:val="18"/>
      <w:szCs w:val="18"/>
    </w:rPr>
  </w:style>
  <w:style w:type="paragraph" w:styleId="1676">
    <w:name w:val="页脚"/>
    <w:basedOn w:val="1644"/>
    <w:next w:val="1676"/>
    <w:link w:val="1677"/>
    <w:unhideWhenUsed/>
    <w:qFormat/>
    <w:pPr>
      <w:jc w:val="left"/>
      <w:tabs>
        <w:tab w:val="center" w:pos="4153" w:leader="none"/>
        <w:tab w:val="right" w:pos="8306" w:leader="none"/>
      </w:tabs>
    </w:pPr>
    <w:rPr>
      <w:sz w:val="18"/>
      <w:szCs w:val="18"/>
    </w:rPr>
  </w:style>
  <w:style w:type="character" w:styleId="1677">
    <w:name w:val="页脚 字符"/>
    <w:next w:val="1677"/>
    <w:link w:val="1676"/>
    <w:qFormat/>
    <w:rPr>
      <w:sz w:val="18"/>
      <w:szCs w:val="18"/>
    </w:rPr>
  </w:style>
  <w:style w:type="paragraph" w:styleId="1678">
    <w:name w:val="寄信人地址"/>
    <w:basedOn w:val="1644"/>
    <w:next w:val="1678"/>
    <w:link w:val="1644"/>
    <w:qFormat/>
    <w:rPr>
      <w:rFonts w:ascii="Arial" w:hAnsi="Arial"/>
    </w:rPr>
  </w:style>
  <w:style w:type="paragraph" w:styleId="1679">
    <w:name w:val="页眉"/>
    <w:basedOn w:val="1644"/>
    <w:next w:val="1679"/>
    <w:link w:val="1680"/>
    <w:unhideWhenUsed/>
    <w:qFormat/>
    <w:pPr>
      <w:jc w:val="center"/>
      <w:tabs>
        <w:tab w:val="center" w:pos="4153" w:leader="none"/>
        <w:tab w:val="right" w:pos="8306" w:leader="none"/>
      </w:tabs>
      <w:pBdr>
        <w:bottom w:val="single" w:color="000000" w:sz="6" w:space="1"/>
      </w:pBdr>
    </w:pPr>
    <w:rPr>
      <w:sz w:val="18"/>
      <w:szCs w:val="18"/>
    </w:rPr>
  </w:style>
  <w:style w:type="character" w:styleId="1680">
    <w:name w:val="页眉 字符"/>
    <w:next w:val="1680"/>
    <w:link w:val="1679"/>
    <w:qFormat/>
    <w:rPr>
      <w:sz w:val="18"/>
      <w:szCs w:val="18"/>
    </w:rPr>
  </w:style>
  <w:style w:type="paragraph" w:styleId="1681">
    <w:name w:val="目录 1"/>
    <w:basedOn w:val="1644"/>
    <w:next w:val="1644"/>
    <w:link w:val="1644"/>
    <w:uiPriority w:val="39"/>
    <w:unhideWhenUsed/>
  </w:style>
  <w:style w:type="paragraph" w:styleId="1682">
    <w:name w:val="列表"/>
    <w:basedOn w:val="1644"/>
    <w:next w:val="1682"/>
    <w:link w:val="1644"/>
    <w:qFormat/>
    <w:pPr>
      <w:ind w:left="420" w:hanging="420"/>
      <w:spacing w:after="20" w:line="288" w:lineRule="auto"/>
      <w:tabs>
        <w:tab w:val="left" w:pos="420" w:leader="none"/>
      </w:tabs>
    </w:pPr>
    <w:rPr>
      <w:szCs w:val="20"/>
      <w:lang w:val="en-GB"/>
    </w:rPr>
  </w:style>
  <w:style w:type="paragraph" w:styleId="1683">
    <w:name w:val="正文文本缩进 3"/>
    <w:basedOn w:val="1644"/>
    <w:next w:val="1683"/>
    <w:link w:val="1684"/>
    <w:qFormat/>
    <w:pPr>
      <w:ind w:left="359" w:firstLine="359"/>
    </w:pPr>
    <w:rPr>
      <w:sz w:val="20"/>
    </w:rPr>
  </w:style>
  <w:style w:type="character" w:styleId="1684">
    <w:name w:val="正文文本缩进 3 字符"/>
    <w:next w:val="1684"/>
    <w:link w:val="1683"/>
    <w:qFormat/>
    <w:rPr>
      <w:rFonts w:ascii="Times New Roman" w:hAnsi="Times New Roman" w:eastAsia="宋体" w:cs="Times New Roman"/>
      <w:szCs w:val="20"/>
    </w:rPr>
  </w:style>
  <w:style w:type="paragraph" w:styleId="1685">
    <w:name w:val="目录 2"/>
    <w:basedOn w:val="1644"/>
    <w:next w:val="1644"/>
    <w:link w:val="1644"/>
    <w:uiPriority w:val="39"/>
    <w:qFormat/>
    <w:pPr>
      <w:ind w:left="210" w:firstLine="150"/>
      <w:jc w:val="left"/>
      <w:tabs>
        <w:tab w:val="right" w:pos="9170" w:leader="dot"/>
      </w:tabs>
    </w:pPr>
    <w:rPr>
      <w:smallCaps/>
      <w:sz w:val="20"/>
    </w:rPr>
  </w:style>
  <w:style w:type="paragraph" w:styleId="1686">
    <w:name w:val="正文文本 2"/>
    <w:basedOn w:val="1644"/>
    <w:next w:val="1686"/>
    <w:link w:val="1687"/>
    <w:qFormat/>
    <w:pPr>
      <w:spacing w:after="120" w:line="480" w:lineRule="auto"/>
    </w:pPr>
    <w:rPr>
      <w:sz w:val="20"/>
    </w:rPr>
  </w:style>
  <w:style w:type="character" w:styleId="1687">
    <w:name w:val="正文文本 2 字符"/>
    <w:next w:val="1687"/>
    <w:link w:val="1686"/>
    <w:qFormat/>
    <w:rPr>
      <w:rFonts w:ascii="Times New Roman" w:hAnsi="Times New Roman" w:eastAsia="宋体" w:cs="Times New Roman"/>
      <w:szCs w:val="20"/>
    </w:rPr>
  </w:style>
  <w:style w:type="paragraph" w:styleId="1688">
    <w:name w:val="普通(网站)"/>
    <w:basedOn w:val="1644"/>
    <w:next w:val="1688"/>
    <w:link w:val="1644"/>
    <w:uiPriority w:val="99"/>
    <w:qFormat/>
    <w:pPr>
      <w:jc w:val="left"/>
      <w:spacing w:before="100" w:beforeAutospacing="1" w:after="100" w:afterAutospacing="1"/>
      <w:widowControl/>
    </w:pPr>
    <w:rPr>
      <w:rFonts w:ascii="宋体" w:hAnsi="宋体" w:cs="宋体"/>
      <w:sz w:val="24"/>
      <w:szCs w:val="24"/>
    </w:rPr>
  </w:style>
  <w:style w:type="paragraph" w:styleId="1689">
    <w:name w:val="批注主题"/>
    <w:basedOn w:val="1661"/>
    <w:next w:val="1661"/>
    <w:link w:val="1690"/>
    <w:uiPriority w:val="99"/>
    <w:semiHidden/>
    <w:qFormat/>
    <w:rPr>
      <w:b/>
      <w:bCs/>
    </w:rPr>
  </w:style>
  <w:style w:type="character" w:styleId="1690">
    <w:name w:val="批注主题 字符"/>
    <w:next w:val="1690"/>
    <w:link w:val="1689"/>
    <w:uiPriority w:val="99"/>
    <w:semiHidden/>
    <w:qFormat/>
    <w:rPr>
      <w:rFonts w:ascii="Times New Roman" w:hAnsi="Times New Roman" w:eastAsia="宋体" w:cs="Times New Roman"/>
      <w:b/>
      <w:bCs/>
      <w:szCs w:val="24"/>
    </w:rPr>
  </w:style>
  <w:style w:type="paragraph" w:styleId="1691">
    <w:name w:val="正文首行缩进"/>
    <w:basedOn w:val="1663"/>
    <w:next w:val="1691"/>
    <w:link w:val="1692"/>
    <w:pPr>
      <w:ind w:firstLine="420"/>
      <w:spacing w:after="120"/>
    </w:pPr>
    <w:rPr>
      <w:rFonts w:ascii="Times New Roman" w:eastAsia="宋体"/>
      <w:sz w:val="21"/>
      <w:szCs w:val="24"/>
    </w:rPr>
  </w:style>
  <w:style w:type="character" w:styleId="1692">
    <w:name w:val="正文首行缩进 字符"/>
    <w:next w:val="1692"/>
    <w:link w:val="1691"/>
    <w:qFormat/>
    <w:rPr>
      <w:rFonts w:ascii="Times New Roman" w:eastAsia="宋体"/>
      <w:sz w:val="21"/>
      <w:szCs w:val="24"/>
    </w:rPr>
  </w:style>
  <w:style w:type="paragraph" w:styleId="1693">
    <w:name w:val="正文首行缩进 2"/>
    <w:basedOn w:val="1665"/>
    <w:next w:val="1644"/>
    <w:link w:val="164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694">
    <w:name w:val="网格型"/>
    <w:basedOn w:val="1651"/>
    <w:next w:val="1694"/>
    <w:link w:val="1644"/>
    <w:qFormat/>
    <w:pPr>
      <w:jc w:val="both"/>
      <w:widowControl w:val="off"/>
    </w:pPr>
    <w:tblPr/>
  </w:style>
  <w:style w:type="character" w:styleId="1695">
    <w:name w:val="要点"/>
    <w:next w:val="1695"/>
    <w:link w:val="1644"/>
    <w:uiPriority w:val="99"/>
    <w:qFormat/>
    <w:rPr>
      <w:rFonts w:cs="Times New Roman"/>
      <w:b/>
      <w:bCs/>
    </w:rPr>
  </w:style>
  <w:style w:type="character" w:styleId="1696">
    <w:name w:val="页码"/>
    <w:basedOn w:val="1650"/>
    <w:next w:val="1696"/>
    <w:link w:val="1644"/>
    <w:rPr>
      <w:rFonts w:cs="Times New Roman"/>
    </w:rPr>
  </w:style>
  <w:style w:type="character" w:styleId="1697">
    <w:name w:val="已访问的超链接"/>
    <w:next w:val="1697"/>
    <w:link w:val="1644"/>
    <w:uiPriority w:val="99"/>
    <w:qFormat/>
    <w:rPr>
      <w:rFonts w:cs="Times New Roman"/>
      <w:color w:val="000000"/>
      <w:u w:val="none"/>
    </w:rPr>
  </w:style>
  <w:style w:type="character" w:styleId="1698">
    <w:name w:val="HTML 打字机"/>
    <w:next w:val="1698"/>
    <w:link w:val="1644"/>
    <w:uiPriority w:val="99"/>
    <w:qFormat/>
    <w:rPr>
      <w:rFonts w:ascii="宋体" w:hAnsi="宋体" w:eastAsia="宋体" w:cs="宋体"/>
      <w:sz w:val="24"/>
      <w:szCs w:val="24"/>
    </w:rPr>
  </w:style>
  <w:style w:type="character" w:styleId="1699">
    <w:name w:val="超链接"/>
    <w:next w:val="1699"/>
    <w:link w:val="1644"/>
    <w:qFormat/>
    <w:rPr>
      <w:color w:val="000000"/>
      <w:u w:val="none"/>
    </w:rPr>
  </w:style>
  <w:style w:type="character" w:styleId="1700">
    <w:name w:val="NormalCharacter1"/>
    <w:next w:val="1700"/>
    <w:link w:val="1701"/>
    <w:uiPriority w:val="99"/>
    <w:qFormat/>
    <w:rPr>
      <w:sz w:val="20"/>
    </w:rPr>
  </w:style>
  <w:style w:type="paragraph" w:styleId="1701">
    <w:name w:val="UserStyle_4"/>
    <w:basedOn w:val="1644"/>
    <w:next w:val="1701"/>
    <w:link w:val="1700"/>
    <w:uiPriority w:val="99"/>
    <w:qFormat/>
    <w:pPr>
      <w:widowControl/>
    </w:pPr>
    <w:rPr>
      <w:sz w:val="20"/>
    </w:rPr>
  </w:style>
  <w:style w:type="character" w:styleId="1702">
    <w:name w:val="font31"/>
    <w:next w:val="1702"/>
    <w:link w:val="1644"/>
    <w:qFormat/>
    <w:rPr>
      <w:rFonts w:hint="eastAsia" w:ascii="仿宋" w:hAnsi="仿宋" w:eastAsia="仿宋" w:cs="仿宋"/>
      <w:color w:val="000000"/>
      <w:sz w:val="24"/>
      <w:szCs w:val="24"/>
      <w:u w:val="none"/>
    </w:rPr>
  </w:style>
  <w:style w:type="character" w:styleId="1703">
    <w:name w:val="正文文本缩进 Char1"/>
    <w:next w:val="1703"/>
    <w:link w:val="1644"/>
    <w:semiHidden/>
    <w:qFormat/>
    <w:rPr>
      <w:rFonts w:ascii="Times New Roman" w:hAnsi="Times New Roman" w:eastAsia="宋体" w:cs="Times New Roman"/>
      <w:szCs w:val="20"/>
    </w:rPr>
  </w:style>
  <w:style w:type="character" w:styleId="1704">
    <w:name w:val="font11"/>
    <w:next w:val="1704"/>
    <w:link w:val="1644"/>
    <w:rPr>
      <w:rFonts w:hint="eastAsia" w:ascii="宋体" w:hAnsi="宋体" w:eastAsia="宋体" w:cs="宋体"/>
      <w:color w:val="000000"/>
      <w:sz w:val="20"/>
      <w:szCs w:val="20"/>
      <w:u w:val="none"/>
    </w:rPr>
  </w:style>
  <w:style w:type="character" w:styleId="1705">
    <w:name w:val="正文首行缩进两字 Char"/>
    <w:next w:val="1705"/>
    <w:link w:val="1706"/>
    <w:qFormat/>
    <w:rPr>
      <w:sz w:val="24"/>
      <w:szCs w:val="24"/>
      <w:lang w:val="en-US" w:eastAsia="zh-CN" w:bidi="ar-SA"/>
    </w:rPr>
  </w:style>
  <w:style w:type="paragraph" w:styleId="1706">
    <w:name w:val="正文首行缩进两字"/>
    <w:next w:val="1706"/>
    <w:link w:val="1705"/>
    <w:qFormat/>
    <w:pPr>
      <w:ind w:left="240" w:right="240" w:firstLine="480"/>
      <w:spacing w:line="300" w:lineRule="auto"/>
    </w:pPr>
    <w:rPr>
      <w:sz w:val="24"/>
      <w:szCs w:val="24"/>
      <w:lang w:val="en-US" w:eastAsia="zh-CN" w:bidi="ar-SA"/>
    </w:rPr>
  </w:style>
  <w:style w:type="character" w:styleId="1707">
    <w:name w:val="日期 Char1"/>
    <w:next w:val="1707"/>
    <w:link w:val="1644"/>
    <w:semiHidden/>
    <w:qFormat/>
    <w:rPr>
      <w:rFonts w:ascii="Times New Roman" w:hAnsi="Times New Roman" w:eastAsia="宋体" w:cs="Times New Roman"/>
      <w:szCs w:val="20"/>
    </w:rPr>
  </w:style>
  <w:style w:type="character" w:styleId="1708">
    <w:name w:val="正文文本 2 Char1"/>
    <w:next w:val="1708"/>
    <w:link w:val="1644"/>
    <w:semiHidden/>
    <w:qFormat/>
    <w:rPr>
      <w:rFonts w:ascii="Times New Roman" w:hAnsi="Times New Roman" w:eastAsia="宋体" w:cs="Times New Roman"/>
      <w:szCs w:val="20"/>
    </w:rPr>
  </w:style>
  <w:style w:type="character" w:styleId="1709">
    <w:name w:val="文档结构图 Char1"/>
    <w:next w:val="1709"/>
    <w:link w:val="1644"/>
    <w:semiHidden/>
    <w:qFormat/>
    <w:rPr>
      <w:rFonts w:ascii="宋体" w:hAnsi="Times New Roman" w:eastAsia="宋体" w:cs="Times New Roman"/>
      <w:sz w:val="18"/>
      <w:szCs w:val="18"/>
    </w:rPr>
  </w:style>
  <w:style w:type="character" w:styleId="1710">
    <w:name w:val="正文文本缩进 2 Char1"/>
    <w:next w:val="1710"/>
    <w:link w:val="1644"/>
    <w:semiHidden/>
    <w:qFormat/>
    <w:rPr>
      <w:rFonts w:ascii="Times New Roman" w:hAnsi="Times New Roman" w:eastAsia="宋体" w:cs="Times New Roman"/>
      <w:szCs w:val="20"/>
    </w:rPr>
  </w:style>
  <w:style w:type="character" w:styleId="1711">
    <w:name w:val="正文文本缩进 3 Char1"/>
    <w:next w:val="1711"/>
    <w:link w:val="1644"/>
    <w:semiHidden/>
    <w:qFormat/>
    <w:rPr>
      <w:rFonts w:ascii="Times New Roman" w:hAnsi="Times New Roman" w:eastAsia="宋体" w:cs="Times New Roman"/>
      <w:sz w:val="16"/>
      <w:szCs w:val="16"/>
    </w:rPr>
  </w:style>
  <w:style w:type="character" w:styleId="1712">
    <w:name w:val="批注框文本 Char1"/>
    <w:next w:val="1712"/>
    <w:link w:val="1644"/>
    <w:uiPriority w:val="99"/>
    <w:semiHidden/>
    <w:rPr>
      <w:rFonts w:ascii="Times New Roman" w:hAnsi="Times New Roman" w:eastAsia="宋体" w:cs="Times New Roman"/>
      <w:sz w:val="18"/>
      <w:szCs w:val="18"/>
    </w:rPr>
  </w:style>
  <w:style w:type="character" w:styleId="1713">
    <w:name w:val="case31"/>
    <w:next w:val="1713"/>
    <w:link w:val="1644"/>
    <w:qFormat/>
    <w:rPr>
      <w:spacing w:val="390"/>
      <w:sz w:val="21"/>
      <w:szCs w:val="21"/>
    </w:rPr>
  </w:style>
  <w:style w:type="character" w:styleId="1714">
    <w:name w:val="font21"/>
    <w:next w:val="1714"/>
    <w:link w:val="1644"/>
    <w:qFormat/>
    <w:rPr>
      <w:rFonts w:hint="eastAsia" w:ascii="仿宋" w:hAnsi="仿宋" w:eastAsia="仿宋" w:cs="仿宋"/>
      <w:color w:val="000000"/>
      <w:sz w:val="24"/>
      <w:szCs w:val="24"/>
      <w:u w:val="none"/>
    </w:rPr>
  </w:style>
  <w:style w:type="paragraph" w:styleId="1715">
    <w:name w:val="_Style 1"/>
    <w:basedOn w:val="1644"/>
    <w:next w:val="1715"/>
    <w:link w:val="1644"/>
    <w:uiPriority w:val="99"/>
    <w:qFormat/>
    <w:pPr>
      <w:ind w:firstLine="420"/>
    </w:pPr>
    <w:rPr>
      <w:rFonts w:ascii="Calibri" w:hAnsi="Calibri" w:eastAsia="宋体" w:cs="Calibri"/>
      <w:sz w:val="34"/>
      <w:szCs w:val="34"/>
    </w:rPr>
  </w:style>
  <w:style w:type="paragraph" w:styleId="1716">
    <w:name w:val="TOC Heading1"/>
    <w:next w:val="1644"/>
    <w:link w:val="1644"/>
    <w:qFormat/>
    <w:rPr>
      <w:sz w:val="32"/>
      <w:lang w:val="en-US" w:eastAsia="zh-CN" w:bidi="ar-SA"/>
    </w:rPr>
  </w:style>
  <w:style w:type="paragraph" w:styleId="1717">
    <w:name w:val="p0 paragraphindent"/>
    <w:basedOn w:val="1644"/>
    <w:next w:val="1717"/>
    <w:link w:val="1644"/>
    <w:qFormat/>
    <w:pPr>
      <w:jc w:val="left"/>
      <w:spacing w:before="100" w:beforeAutospacing="1" w:after="100" w:afterAutospacing="1"/>
      <w:widowControl/>
    </w:pPr>
    <w:rPr>
      <w:rFonts w:ascii="宋体" w:hAnsi="宋体" w:cs="宋体"/>
      <w:sz w:val="24"/>
      <w:szCs w:val="24"/>
    </w:rPr>
  </w:style>
  <w:style w:type="paragraph" w:styleId="1718">
    <w:name w:val="二级无"/>
    <w:basedOn w:val="1644"/>
    <w:next w:val="1718"/>
    <w:link w:val="1644"/>
    <w:qFormat/>
    <w:pPr>
      <w:ind w:left="552" w:hanging="420"/>
      <w:jc w:val="left"/>
      <w:widowControl/>
      <w:tabs>
        <w:tab w:val="left" w:pos="552" w:leader="none"/>
      </w:tabs>
      <w:outlineLvl w:val="3"/>
    </w:pPr>
    <w:rPr>
      <w:rFonts w:ascii="宋体"/>
      <w:szCs w:val="21"/>
    </w:rPr>
  </w:style>
  <w:style w:type="paragraph" w:styleId="1719">
    <w:name w:val="List Paragraph"/>
    <w:basedOn w:val="1644"/>
    <w:next w:val="1719"/>
    <w:link w:val="1644"/>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720">
    <w:name w:val="正文文本1"/>
    <w:basedOn w:val="1644"/>
    <w:next w:val="1721"/>
    <w:link w:val="1644"/>
    <w:qFormat/>
    <w:rPr>
      <w:rFonts w:ascii="仿宋_GB2312" w:hAnsi="Times New Roman" w:eastAsia="仿宋_GB2312"/>
      <w:sz w:val="28"/>
      <w:szCs w:val="20"/>
    </w:rPr>
  </w:style>
  <w:style w:type="paragraph" w:styleId="1721">
    <w:name w:val="列表1"/>
    <w:basedOn w:val="1644"/>
    <w:next w:val="1721"/>
    <w:link w:val="1644"/>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722">
    <w:name w:val="标题 41"/>
    <w:basedOn w:val="1644"/>
    <w:next w:val="1644"/>
    <w:link w:val="1644"/>
    <w:qFormat/>
    <w:pPr>
      <w:jc w:val="center"/>
      <w:keepNext/>
      <w:outlineLvl w:val="3"/>
    </w:pPr>
    <w:rPr>
      <w:rFonts w:eastAsia="楷体_GB2312"/>
      <w:b/>
      <w:bCs/>
      <w:sz w:val="13"/>
    </w:rPr>
  </w:style>
  <w:style w:type="paragraph" w:styleId="1723">
    <w:name w:val="普通文字"/>
    <w:basedOn w:val="1644"/>
    <w:next w:val="1644"/>
    <w:link w:val="1644"/>
    <w:rPr>
      <w:rFonts w:ascii="宋体"/>
      <w:sz w:val="24"/>
    </w:rPr>
  </w:style>
  <w:style w:type="paragraph" w:styleId="1724">
    <w:name w:val="字母编号列项（一级）"/>
    <w:next w:val="1724"/>
    <w:link w:val="1644"/>
    <w:qFormat/>
    <w:pPr>
      <w:ind w:left="552" w:hanging="420"/>
      <w:jc w:val="both"/>
      <w:tabs>
        <w:tab w:val="left" w:pos="552" w:leader="none"/>
        <w:tab w:val="left" w:pos="840" w:leader="none"/>
      </w:tabs>
    </w:pPr>
    <w:rPr>
      <w:rFonts w:ascii="宋体"/>
      <w:sz w:val="21"/>
      <w:lang w:val="en-US" w:eastAsia="zh-CN" w:bidi="ar-SA"/>
    </w:rPr>
  </w:style>
  <w:style w:type="paragraph" w:styleId="1725">
    <w:name w:val="样式 小四 段前: 5 磅 段后: 5 磅 首行缩进:  2 字符"/>
    <w:basedOn w:val="1644"/>
    <w:next w:val="1725"/>
    <w:link w:val="1644"/>
    <w:qFormat/>
    <w:pPr>
      <w:jc w:val="center"/>
      <w:spacing w:line="360" w:lineRule="auto"/>
    </w:pPr>
    <w:rPr>
      <w:rFonts w:ascii="宋体" w:hAnsi="宋体"/>
      <w:bCs/>
      <w:color w:val="ff0000"/>
      <w:sz w:val="24"/>
      <w:szCs w:val="24"/>
    </w:rPr>
  </w:style>
  <w:style w:type="paragraph" w:styleId="1726">
    <w:name w:val="List Paragraph1"/>
    <w:basedOn w:val="1644"/>
    <w:next w:val="1726"/>
    <w:link w:val="1644"/>
    <w:qFormat/>
    <w:pPr>
      <w:ind w:firstLine="420"/>
    </w:pPr>
    <w:rPr>
      <w:szCs w:val="21"/>
    </w:rPr>
  </w:style>
  <w:style w:type="paragraph" w:styleId="1727">
    <w:name w:val="首行缩进"/>
    <w:basedOn w:val="1644"/>
    <w:next w:val="1727"/>
    <w:link w:val="1644"/>
    <w:qFormat/>
    <w:pPr>
      <w:ind w:firstLine="480"/>
    </w:pPr>
    <w:rPr>
      <w:szCs w:val="20"/>
      <w:lang w:val="zh-CN"/>
    </w:rPr>
  </w:style>
  <w:style w:type="paragraph" w:styleId="1728">
    <w:name w:val="列出段落"/>
    <w:basedOn w:val="1644"/>
    <w:next w:val="1728"/>
    <w:link w:val="1644"/>
    <w:uiPriority w:val="34"/>
    <w:qFormat/>
    <w:pPr>
      <w:ind w:firstLine="420"/>
    </w:pPr>
  </w:style>
  <w:style w:type="paragraph" w:styleId="1729">
    <w:name w:val="一级条标题"/>
    <w:next w:val="1644"/>
    <w:link w:val="1644"/>
    <w:qFormat/>
    <w:pPr>
      <w:ind w:left="552" w:hanging="420"/>
      <w:tabs>
        <w:tab w:val="left" w:pos="552" w:leader="none"/>
      </w:tabs>
      <w:outlineLvl w:val="2"/>
    </w:pPr>
    <w:rPr>
      <w:rFonts w:ascii="黑体" w:eastAsia="黑体"/>
      <w:sz w:val="21"/>
      <w:szCs w:val="21"/>
      <w:lang w:val="en-US" w:eastAsia="zh-CN" w:bidi="ar-SA"/>
    </w:rPr>
  </w:style>
  <w:style w:type="paragraph" w:styleId="1730">
    <w:name w:val="段"/>
    <w:next w:val="1644"/>
    <w:link w:val="1644"/>
    <w:qFormat/>
    <w:pPr>
      <w:ind w:firstLine="200"/>
      <w:jc w:val="both"/>
    </w:pPr>
    <w:rPr>
      <w:rFonts w:ascii="宋体" w:hAnsi="Times New Roman" w:eastAsia="宋体" w:cs="Times New Roman"/>
      <w:sz w:val="21"/>
      <w:lang w:val="en-US" w:eastAsia="zh-CN" w:bidi="ar-SA"/>
    </w:rPr>
  </w:style>
  <w:style w:type="paragraph" w:styleId="1731">
    <w:name w:val="正文缩进1"/>
    <w:basedOn w:val="1644"/>
    <w:next w:val="1644"/>
    <w:link w:val="1644"/>
    <w:qFormat/>
    <w:pPr>
      <w:ind w:firstLine="420"/>
    </w:pPr>
    <w:rPr>
      <w:rFonts w:ascii="Times New Roman" w:hAnsi="Times New Roman" w:eastAsia="宋体" w:cs="Times New Roman"/>
      <w:szCs w:val="20"/>
    </w:rPr>
  </w:style>
  <w:style w:type="paragraph" w:styleId="1732">
    <w:name w:val="正文首行缩进1"/>
    <w:basedOn w:val="1720"/>
    <w:next w:val="1732"/>
    <w:link w:val="1644"/>
    <w:uiPriority w:val="99"/>
    <w:unhideWhenUsed/>
    <w:qFormat/>
    <w:pPr>
      <w:ind w:firstLine="420"/>
      <w:spacing w:after="120"/>
    </w:pPr>
    <w:rPr>
      <w:rFonts w:ascii="等线" w:hAnsi="等线" w:eastAsia="等线" w:cs="Times New Roman"/>
      <w:bCs w:val="0"/>
      <w:sz w:val="21"/>
      <w:szCs w:val="22"/>
    </w:rPr>
  </w:style>
  <w:style w:type="paragraph" w:styleId="1733">
    <w:name w:val="页眉1"/>
    <w:basedOn w:val="1644"/>
    <w:next w:val="1733"/>
    <w:link w:val="16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734">
    <w:name w:val="页脚1"/>
    <w:basedOn w:val="1644"/>
    <w:next w:val="1716"/>
    <w:link w:val="1644"/>
    <w:uiPriority w:val="99"/>
    <w:unhideWhenUsed/>
    <w:qFormat/>
    <w:pPr>
      <w:jc w:val="left"/>
      <w:tabs>
        <w:tab w:val="center" w:pos="4153" w:leader="none"/>
        <w:tab w:val="right" w:pos="8306" w:leader="none"/>
      </w:tabs>
    </w:pPr>
    <w:rPr>
      <w:sz w:val="18"/>
      <w:szCs w:val="18"/>
    </w:rPr>
  </w:style>
  <w:style w:type="character" w:styleId="1735" w:default="1">
    <w:name w:val="Default Paragraph Font"/>
    <w:uiPriority w:val="1"/>
    <w:semiHidden/>
    <w:unhideWhenUsed/>
  </w:style>
  <w:style w:type="numbering" w:styleId="1736" w:default="1">
    <w:name w:val="No List"/>
    <w:uiPriority w:val="99"/>
    <w:semiHidden/>
    <w:unhideWhenUsed/>
  </w:style>
  <w:style w:type="table" w:styleId="17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footer" Target="footer1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4</cp:revision>
  <dcterms:created xsi:type="dcterms:W3CDTF">2023-03-28T06:55:00Z</dcterms:created>
  <dcterms:modified xsi:type="dcterms:W3CDTF">2024-10-25T05:01:41Z</dcterms:modified>
</cp:coreProperties>
</file>