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14"/>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734"/>
        <w:rPr>
          <w:color w:val="000000"/>
          <w:highlight w:val="none"/>
        </w:rPr>
        <w:outlineLvl w:val="9"/>
      </w:pPr>
      <w:r>
        <w:rPr>
          <w:color w:val="000000"/>
          <w:highlight w:val="none"/>
        </w:rPr>
      </w:r>
      <w:r/>
    </w:p>
    <w:p>
      <w:pPr>
        <w:pStyle w:val="1714"/>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734"/>
        <w:rPr>
          <w:color w:val="000000"/>
          <w:highlight w:val="none"/>
        </w:rPr>
        <w:outlineLvl w:val="9"/>
      </w:pPr>
      <w:r>
        <w:rPr>
          <w:color w:val="000000"/>
          <w:highlight w:val="none"/>
        </w:rPr>
      </w:r>
      <w:r/>
    </w:p>
    <w:p>
      <w:pPr>
        <w:pStyle w:val="1714"/>
        <w:jc w:val="center"/>
        <w:rPr>
          <w:b/>
          <w:color w:val="000000"/>
          <w:sz w:val="96"/>
          <w:szCs w:val="96"/>
          <w:highlight w:val="none"/>
        </w:rPr>
        <w:outlineLvl w:val="9"/>
      </w:pPr>
      <w:r>
        <w:rPr>
          <w:sz w:val="20"/>
          <w:szCs w:val="18"/>
        </w:rPr>
      </w:r>
      <w:bookmarkStart w:id="0" w:name="_Toc24222"/>
      <w:r>
        <w:rPr>
          <w:sz w:val="20"/>
          <w:szCs w:val="18"/>
        </w:rPr>
      </w:r>
      <w:bookmarkStart w:id="1" w:name="_Toc20707"/>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714"/>
        <w:rPr>
          <w:rFonts w:hint="eastAsia"/>
          <w:b/>
          <w:color w:val="000000"/>
          <w:sz w:val="28"/>
          <w:szCs w:val="28"/>
          <w:highlight w:val="none"/>
        </w:rPr>
        <w:outlineLvl w:val="9"/>
      </w:pPr>
      <w:r>
        <w:rPr>
          <w:rFonts w:hint="eastAsia"/>
          <w:b/>
          <w:color w:val="000000"/>
          <w:sz w:val="28"/>
          <w:szCs w:val="28"/>
          <w:highlight w:val="none"/>
        </w:rPr>
      </w:r>
      <w:r/>
    </w:p>
    <w:p>
      <w:pPr>
        <w:pStyle w:val="1747"/>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714"/>
        <w:rPr>
          <w:rFonts w:hint="eastAsia"/>
          <w:b/>
          <w:color w:val="000000"/>
          <w:sz w:val="28"/>
          <w:szCs w:val="28"/>
          <w:highlight w:val="none"/>
        </w:rPr>
        <w:outlineLvl w:val="9"/>
      </w:pPr>
      <w:r>
        <w:rPr>
          <w:rFonts w:hint="eastAsia"/>
          <w:b/>
          <w:color w:val="000000"/>
          <w:sz w:val="28"/>
          <w:szCs w:val="28"/>
          <w:highlight w:val="none"/>
        </w:rPr>
      </w:r>
      <w:r/>
    </w:p>
    <w:p>
      <w:pPr>
        <w:pStyle w:val="174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74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714"/>
        <w:jc w:val="center"/>
        <w:rPr>
          <w:b/>
          <w:color w:val="000000"/>
          <w:sz w:val="28"/>
          <w:szCs w:val="28"/>
          <w:highlight w:val="none"/>
        </w:rPr>
        <w:outlineLvl w:val="9"/>
      </w:pPr>
      <w:r/>
      <w:bookmarkStart w:id="2" w:name="_Toc6267"/>
      <w:r/>
      <w:bookmarkStart w:id="3" w:name="_Toc8186"/>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714"/>
        <w:rPr>
          <w:b w:val="0"/>
          <w:bCs/>
          <w:color w:val="000000"/>
          <w:sz w:val="28"/>
          <w:szCs w:val="28"/>
          <w:highlight w:val="none"/>
        </w:rPr>
        <w:outlineLvl w:val="9"/>
      </w:pPr>
      <w:r>
        <w:rPr>
          <w:b w:val="0"/>
          <w:bCs/>
          <w:color w:val="000000"/>
          <w:sz w:val="28"/>
          <w:szCs w:val="28"/>
          <w:highlight w:val="none"/>
        </w:rPr>
      </w:r>
      <w:r/>
    </w:p>
    <w:p>
      <w:pPr>
        <w:pStyle w:val="1738"/>
        <w:ind w:left="1260"/>
        <w:rPr>
          <w:b/>
          <w:color w:val="000000"/>
          <w:sz w:val="28"/>
          <w:szCs w:val="28"/>
          <w:highlight w:val="none"/>
        </w:rPr>
        <w:outlineLvl w:val="9"/>
      </w:pPr>
      <w:r>
        <w:rPr>
          <w:b/>
          <w:color w:val="000000"/>
          <w:sz w:val="28"/>
          <w:szCs w:val="28"/>
          <w:highlight w:val="none"/>
        </w:rPr>
      </w:r>
      <w:r/>
    </w:p>
    <w:p>
      <w:pPr>
        <w:pStyle w:val="1714"/>
        <w:rPr>
          <w:b/>
          <w:color w:val="000000"/>
          <w:sz w:val="28"/>
          <w:szCs w:val="28"/>
          <w:highlight w:val="none"/>
        </w:rPr>
        <w:outlineLvl w:val="9"/>
      </w:pPr>
      <w:r>
        <w:rPr>
          <w:b/>
          <w:color w:val="000000"/>
          <w:sz w:val="28"/>
          <w:szCs w:val="28"/>
          <w:highlight w:val="none"/>
        </w:rPr>
      </w:r>
      <w:r/>
    </w:p>
    <w:p>
      <w:pPr>
        <w:pStyle w:val="1714"/>
        <w:jc w:val="center"/>
        <w:rPr>
          <w:b/>
          <w:color w:val="000000"/>
          <w:sz w:val="28"/>
          <w:szCs w:val="28"/>
          <w:highlight w:val="none"/>
        </w:rPr>
        <w:outlineLvl w:val="9"/>
      </w:pPr>
      <w:r>
        <w:rPr>
          <w:b/>
          <w:color w:val="000000"/>
          <w:sz w:val="28"/>
          <w:szCs w:val="28"/>
          <w:highlight w:val="none"/>
        </w:rPr>
      </w:r>
      <w:r/>
    </w:p>
    <w:p>
      <w:pPr>
        <w:pStyle w:val="1714"/>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787"/>
        <w:ind w:firstLine="0"/>
        <w:rPr>
          <w:color w:val="000000"/>
          <w:highlight w:val="none"/>
        </w:rPr>
        <w:outlineLvl w:val="9"/>
      </w:pPr>
      <w:r>
        <w:rPr>
          <w:color w:val="000000"/>
          <w:highlight w:val="none"/>
        </w:rPr>
      </w:r>
      <w:r/>
    </w:p>
    <w:p>
      <w:pPr>
        <w:pStyle w:val="1787"/>
        <w:ind w:firstLine="0"/>
        <w:rPr>
          <w:color w:val="000000"/>
          <w:highlight w:val="none"/>
        </w:rPr>
        <w:outlineLvl w:val="9"/>
      </w:pPr>
      <w:r>
        <w:rPr>
          <w:color w:val="000000"/>
          <w:highlight w:val="none"/>
        </w:rPr>
      </w:r>
      <w:r/>
    </w:p>
    <w:p>
      <w:pPr>
        <w:pStyle w:val="1787"/>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714"/>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714"/>
        <w:spacing w:line="360" w:lineRule="auto"/>
        <w:rPr>
          <w:rFonts w:hint="eastAsia" w:ascii="宋体" w:hAnsi="宋体" w:eastAsia="宋体" w:cs="宋体"/>
          <w:color w:val="000000"/>
          <w:sz w:val="30"/>
          <w:szCs w:val="30"/>
          <w:highlight w:val="none"/>
          <w:lang w:eastAsia="zh-CN"/>
        </w:rPr>
        <w:outlineLvl w:val="9"/>
      </w:pPr>
      <w:r/>
      <w:bookmarkStart w:id="6" w:name="_Toc158"/>
      <w:r/>
      <w:bookmarkStart w:id="7" w:name="_Toc30450"/>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JSZC-320205-WXXG-G2024-0018</w:t>
      </w:r>
      <w:r>
        <w:rPr>
          <w:rFonts w:hint="eastAsia" w:ascii="宋体" w:hAnsi="宋体" w:eastAsia="宋体" w:cs="宋体"/>
          <w:color w:val="000000"/>
          <w:sz w:val="30"/>
          <w:szCs w:val="30"/>
          <w:highlight w:val="none"/>
          <w:lang w:eastAsia="zh-CN"/>
        </w:rPr>
      </w:r>
      <w:r/>
    </w:p>
    <w:p>
      <w:pPr>
        <w:pStyle w:val="1714"/>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厚桥街道绿化养护K标段</w:t>
      </w:r>
      <w:r>
        <w:rPr>
          <w:rFonts w:hint="eastAsia" w:ascii="宋体" w:hAnsi="宋体" w:eastAsia="宋体" w:cs="Times New Roman"/>
          <w:b w:val="0"/>
          <w:bCs/>
          <w:color w:val="000000"/>
          <w:sz w:val="30"/>
          <w:szCs w:val="30"/>
          <w:highlight w:val="none"/>
          <w:lang w:eastAsia="zh-CN"/>
        </w:rPr>
      </w:r>
      <w:r/>
    </w:p>
    <w:p>
      <w:pPr>
        <w:pStyle w:val="1714"/>
        <w:jc w:val="left"/>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人：无锡市锡山区人民政府厚桥街道办事处</w:t>
      </w:r>
      <w:r>
        <w:rPr>
          <w:rFonts w:hint="eastAsia" w:ascii="宋体" w:hAnsi="宋体" w:cs="宋体"/>
          <w:color w:val="000000"/>
          <w:sz w:val="30"/>
          <w:szCs w:val="30"/>
          <w:highlight w:val="none"/>
        </w:rPr>
      </w:r>
      <w:r/>
    </w:p>
    <w:p>
      <w:pPr>
        <w:pStyle w:val="1714"/>
        <w:spacing w:line="360" w:lineRule="auto"/>
        <w:rPr>
          <w:rFonts w:hint="eastAsia" w:ascii="宋体" w:hAnsi="宋体" w:eastAsia="宋体" w:cs="宋体"/>
          <w:color w:val="000000"/>
          <w:sz w:val="30"/>
          <w:szCs w:val="30"/>
          <w:highlight w:val="none"/>
          <w:lang w:eastAsia="zh-CN"/>
        </w:rPr>
        <w:outlineLvl w:val="9"/>
      </w:pPr>
      <w:r/>
      <w:bookmarkStart w:id="8" w:name="_Toc12700"/>
      <w:r/>
      <w:bookmarkStart w:id="9" w:name="_Toc22627"/>
      <w:r>
        <w:rPr>
          <w:rFonts w:hint="eastAsia" w:ascii="宋体" w:hAnsi="宋体" w:cs="宋体"/>
          <w:color w:val="000000"/>
          <w:sz w:val="30"/>
          <w:szCs w:val="30"/>
          <w:highlight w:val="none"/>
        </w:rPr>
        <w:t xml:space="preserve">采购代理机构：</w:t>
      </w:r>
      <w:bookmarkEnd w:id="8"/>
      <w:r/>
      <w:bookmarkEnd w:id="9"/>
      <w:r>
        <w:rPr>
          <w:rFonts w:hint="eastAsia" w:ascii="宋体" w:hAnsi="宋体" w:cs="宋体"/>
          <w:color w:val="000000"/>
          <w:sz w:val="30"/>
          <w:szCs w:val="30"/>
          <w:highlight w:val="none"/>
          <w:lang w:eastAsia="zh-CN"/>
        </w:rPr>
        <w:t xml:space="preserve">江苏新桂工程咨询有限公司</w:t>
      </w:r>
      <w:r>
        <w:rPr>
          <w:rFonts w:hint="eastAsia" w:ascii="宋体" w:hAnsi="宋体" w:eastAsia="宋体" w:cs="宋体"/>
          <w:color w:val="000000"/>
          <w:sz w:val="30"/>
          <w:szCs w:val="30"/>
          <w:highlight w:val="none"/>
          <w:lang w:eastAsia="zh-CN"/>
        </w:rPr>
      </w:r>
      <w:r/>
    </w:p>
    <w:p>
      <w:pPr>
        <w:pStyle w:val="1714"/>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714"/>
        <w:jc w:val="center"/>
        <w:rPr>
          <w:rStyle w:val="1769"/>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四</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十二</w:t>
      </w:r>
      <w:r>
        <w:rPr>
          <w:rFonts w:hint="eastAsia" w:ascii="黑体" w:hAnsi="华文中宋" w:eastAsia="黑体"/>
          <w:bCs/>
          <w:color w:val="000000"/>
          <w:sz w:val="32"/>
          <w:szCs w:val="32"/>
          <w:highlight w:val="none"/>
        </w:rPr>
        <w:t xml:space="preserve">月</w:t>
      </w:r>
      <w:r>
        <w:rPr>
          <w:rStyle w:val="1769"/>
          <w:rFonts w:eastAsia="黑体"/>
          <w:bCs/>
          <w:color w:val="000000"/>
          <w:sz w:val="48"/>
          <w:highlight w:val="none"/>
        </w:rPr>
      </w:r>
      <w:r/>
    </w:p>
    <w:p>
      <w:pPr>
        <w:pStyle w:val="1714"/>
        <w:jc w:val="center"/>
        <w:rPr>
          <w:rStyle w:val="1769"/>
          <w:rFonts w:hint="eastAsia" w:eastAsia="黑体"/>
          <w:bCs/>
          <w:color w:val="000000"/>
          <w:sz w:val="48"/>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769"/>
          <w:rFonts w:hint="eastAsia" w:eastAsia="黑体"/>
          <w:bCs/>
          <w:color w:val="000000"/>
          <w:sz w:val="48"/>
          <w:highlight w:val="none"/>
        </w:rPr>
      </w:r>
      <w:r/>
    </w:p>
    <w:p>
      <w:pPr>
        <w:pStyle w:val="1747"/>
        <w:tabs>
          <w:tab w:val="center" w:pos="4153" w:leader="none"/>
          <w:tab w:val="right" w:pos="8306" w:leader="none"/>
        </w:tabs>
        <w:rPr>
          <w:rFonts w:hint="eastAsia"/>
          <w:color w:val="000000"/>
          <w:highlight w:val="none"/>
        </w:rPr>
      </w:pPr>
      <w:r>
        <w:rPr>
          <w:rFonts w:hint="eastAsia"/>
          <w:color w:val="000000"/>
          <w:highlight w:val="none"/>
        </w:rPr>
      </w:r>
      <w:r/>
    </w:p>
    <w:p>
      <w:pPr>
        <w:pStyle w:val="1749"/>
        <w:rPr>
          <w:rFonts w:hint="eastAsia"/>
          <w:color w:val="000000"/>
          <w:highlight w:val="none"/>
        </w:rPr>
        <w:outlineLvl w:val="9"/>
      </w:pPr>
      <w:r>
        <w:rPr>
          <w:rFonts w:hint="eastAsia"/>
          <w:color w:val="000000"/>
          <w:highlight w:val="none"/>
        </w:rPr>
      </w:r>
      <w:r/>
    </w:p>
    <w:p>
      <w:pPr>
        <w:pStyle w:val="1714"/>
        <w:jc w:val="center"/>
        <w:rPr>
          <w:rStyle w:val="1769"/>
          <w:rFonts w:hint="eastAsia" w:ascii="宋体" w:hAnsi="宋体" w:cs="宋体"/>
          <w:b/>
          <w:color w:val="000000"/>
          <w:sz w:val="44"/>
          <w:szCs w:val="44"/>
          <w:highlight w:val="none"/>
        </w:rPr>
        <w:outlineLvl w:val="9"/>
      </w:pPr>
      <w:r/>
      <w:bookmarkStart w:id="11" w:name="_Toc32576"/>
      <w:r/>
      <w:bookmarkStart w:id="12" w:name="_Toc15618"/>
      <w:r/>
      <w:bookmarkStart w:id="13" w:name="_Toc23032"/>
      <w:r>
        <w:rPr>
          <w:rStyle w:val="1769"/>
          <w:rFonts w:hint="eastAsia" w:ascii="宋体" w:hAnsi="宋体" w:cs="宋体"/>
          <w:b/>
          <w:color w:val="000000"/>
          <w:sz w:val="44"/>
          <w:szCs w:val="44"/>
          <w:highlight w:val="none"/>
        </w:rPr>
        <w:t xml:space="preserve">目     录</w:t>
      </w:r>
      <w:bookmarkEnd w:id="10"/>
      <w:r/>
      <w:bookmarkEnd w:id="11"/>
      <w:r/>
      <w:bookmarkEnd w:id="12"/>
      <w:r/>
      <w:bookmarkEnd w:id="13"/>
      <w:r>
        <w:rPr>
          <w:rStyle w:val="1769"/>
          <w:rFonts w:hint="eastAsia" w:ascii="宋体" w:hAnsi="宋体" w:cs="宋体"/>
          <w:b/>
          <w:color w:val="000000"/>
          <w:sz w:val="44"/>
          <w:szCs w:val="44"/>
          <w:highlight w:val="none"/>
        </w:rPr>
      </w:r>
      <w:r/>
    </w:p>
    <w:p>
      <w:pPr>
        <w:pStyle w:val="1714"/>
        <w:rPr>
          <w:color w:val="000000"/>
          <w:highlight w:val="none"/>
        </w:rPr>
      </w:pPr>
      <w:r>
        <w:rPr>
          <w:color w:val="000000"/>
          <w:highlight w:val="none"/>
        </w:rPr>
      </w:r>
      <w:r/>
    </w:p>
    <w:p>
      <w:pPr>
        <w:pStyle w:val="175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75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75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75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33</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753"/>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34</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714"/>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714"/>
        <w:spacing w:line="720" w:lineRule="auto"/>
        <w:rPr>
          <w:rFonts w:ascii="宋体"/>
          <w:bCs/>
          <w:color w:val="000000"/>
          <w:sz w:val="28"/>
          <w:szCs w:val="28"/>
          <w:highlight w:val="none"/>
        </w:rPr>
      </w:pPr>
      <w:r>
        <w:rPr>
          <w:rFonts w:ascii="宋体"/>
          <w:bCs/>
          <w:color w:val="000000"/>
          <w:sz w:val="28"/>
          <w:szCs w:val="28"/>
          <w:highlight w:val="none"/>
        </w:rPr>
      </w:r>
      <w:r/>
    </w:p>
    <w:p>
      <w:pPr>
        <w:pStyle w:val="1714"/>
        <w:spacing w:line="720" w:lineRule="auto"/>
        <w:rPr>
          <w:rFonts w:ascii="宋体"/>
          <w:bCs/>
          <w:color w:val="000000"/>
          <w:sz w:val="30"/>
          <w:highlight w:val="none"/>
        </w:rPr>
      </w:pPr>
      <w:r>
        <w:rPr>
          <w:rFonts w:ascii="宋体"/>
          <w:bCs/>
          <w:color w:val="000000"/>
          <w:sz w:val="30"/>
          <w:highlight w:val="none"/>
        </w:rPr>
      </w:r>
      <w:r/>
    </w:p>
    <w:p>
      <w:pPr>
        <w:pStyle w:val="1714"/>
        <w:spacing w:line="480" w:lineRule="auto"/>
        <w:rPr>
          <w:rFonts w:ascii="宋体"/>
          <w:bCs/>
          <w:color w:val="000000"/>
          <w:sz w:val="30"/>
          <w:highlight w:val="none"/>
        </w:rPr>
      </w:pPr>
      <w:r>
        <w:rPr>
          <w:rFonts w:ascii="宋体"/>
          <w:bCs/>
          <w:color w:val="000000"/>
          <w:sz w:val="30"/>
          <w:highlight w:val="none"/>
        </w:rPr>
      </w:r>
      <w:r/>
    </w:p>
    <w:p>
      <w:pPr>
        <w:pStyle w:val="1714"/>
        <w:rPr>
          <w:rFonts w:ascii="宋体"/>
          <w:bCs/>
          <w:color w:val="000000"/>
          <w:sz w:val="28"/>
          <w:highlight w:val="none"/>
        </w:rPr>
      </w:pPr>
      <w:r>
        <w:rPr>
          <w:rFonts w:ascii="宋体"/>
          <w:bCs/>
          <w:color w:val="000000"/>
          <w:sz w:val="28"/>
          <w:highlight w:val="none"/>
        </w:rPr>
      </w:r>
      <w:r/>
    </w:p>
    <w:p>
      <w:pPr>
        <w:pStyle w:val="1714"/>
        <w:rPr>
          <w:rFonts w:ascii="宋体"/>
          <w:bCs/>
          <w:color w:val="000000"/>
          <w:sz w:val="32"/>
          <w:highlight w:val="none"/>
        </w:rPr>
      </w:pPr>
      <w:r>
        <w:rPr>
          <w:rFonts w:ascii="宋体"/>
          <w:bCs/>
          <w:color w:val="000000"/>
          <w:sz w:val="32"/>
          <w:highlight w:val="none"/>
        </w:rPr>
      </w:r>
      <w:r/>
    </w:p>
    <w:p>
      <w:pPr>
        <w:pStyle w:val="1714"/>
        <w:rPr>
          <w:rFonts w:ascii="宋体"/>
          <w:bCs/>
          <w:color w:val="000000"/>
          <w:sz w:val="32"/>
          <w:highlight w:val="none"/>
        </w:rPr>
      </w:pPr>
      <w:r>
        <w:rPr>
          <w:rFonts w:ascii="宋体"/>
          <w:bCs/>
          <w:color w:val="000000"/>
          <w:sz w:val="32"/>
          <w:highlight w:val="none"/>
        </w:rPr>
      </w:r>
      <w:r/>
    </w:p>
    <w:p>
      <w:pPr>
        <w:pStyle w:val="1714"/>
        <w:jc w:val="center"/>
        <w:spacing w:line="360" w:lineRule="auto"/>
        <w:rPr>
          <w:rFonts w:hint="eastAsia" w:ascii="宋体" w:hAnsi="宋体" w:cs="宋体"/>
          <w:b/>
          <w:color w:val="000000"/>
          <w:sz w:val="30"/>
          <w:szCs w:val="30"/>
          <w:highlight w:val="none"/>
        </w:rPr>
        <w:sectPr>
          <w:headerReference w:type="default" r:id="rId11"/>
          <w:footerReference w:type="default" r:id="rId19"/>
          <w:footerReference w:type="even" r:id="rId20"/>
          <w:footerReference w:type="first" r:id="rId21"/>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Pr>
          <w:rFonts w:hint="eastAsia" w:ascii="宋体" w:hAnsi="宋体" w:cs="宋体"/>
          <w:b/>
          <w:color w:val="000000"/>
          <w:sz w:val="30"/>
          <w:szCs w:val="30"/>
          <w:highlight w:val="none"/>
        </w:rPr>
      </w:r>
      <w:r/>
    </w:p>
    <w:p>
      <w:pPr>
        <w:pStyle w:val="1714"/>
        <w:jc w:val="center"/>
        <w:spacing w:line="360" w:lineRule="auto"/>
        <w:rPr>
          <w:rFonts w:hint="eastAsia" w:ascii="Times New Roman" w:hAnsi="宋体" w:eastAsia="宋体" w:cs="宋体"/>
          <w:b/>
          <w:bCs/>
          <w:sz w:val="32"/>
          <w:szCs w:val="32"/>
          <w:highlight w:val="none"/>
        </w:rPr>
        <w:outlineLvl w:val="0"/>
      </w:pPr>
      <w:r/>
      <w:bookmarkStart w:id="16" w:name="_Toc13603"/>
      <w:r/>
      <w:bookmarkStart w:id="17" w:name="_Toc622"/>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江苏新桂工程咨询有限公司</w:t>
      </w:r>
      <w:r>
        <w:rPr>
          <w:rFonts w:hint="eastAsia" w:ascii="宋体" w:hAnsi="宋体" w:cs="宋体"/>
          <w:bCs/>
          <w:color w:val="000000"/>
          <w:sz w:val="24"/>
          <w:szCs w:val="24"/>
          <w:highlight w:val="none"/>
        </w:rPr>
        <w:t xml:space="preserve">受</w:t>
      </w:r>
      <w:r>
        <w:rPr>
          <w:rFonts w:hint="eastAsia" w:ascii="宋体" w:hAnsi="宋体" w:cs="宋体"/>
          <w:color w:val="000000"/>
          <w:sz w:val="24"/>
          <w:szCs w:val="24"/>
          <w:highlight w:val="none"/>
        </w:rPr>
        <w:t xml:space="preserve">无锡市锡山区人民政府厚桥街道办事处的委托，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厚桥街道绿化养护K标段</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p>
      <w:pPr>
        <w:pStyle w:val="1714"/>
        <w:ind w:firstLine="482"/>
        <w:spacing w:line="360" w:lineRule="auto"/>
        <w:rPr>
          <w:rFonts w:hint="eastAsia" w:ascii="宋体" w:hAnsi="宋体" w:cs="宋体"/>
          <w:b/>
          <w:bCs w:val="0"/>
          <w:color w:val="000000"/>
          <w:sz w:val="24"/>
          <w:szCs w:val="24"/>
          <w:highlight w:val="none"/>
        </w:rPr>
        <w:outlineLvl w:val="1"/>
      </w:pPr>
      <w:r/>
      <w:bookmarkStart w:id="18" w:name="_Toc23923"/>
      <w:r/>
      <w:bookmarkStart w:id="19" w:name="_Toc24863"/>
      <w:r>
        <w:rPr>
          <w:rFonts w:hint="eastAsia" w:ascii="宋体" w:hAnsi="宋体" w:cs="宋体"/>
          <w:b/>
          <w:bCs w:val="0"/>
          <w:color w:val="000000"/>
          <w:sz w:val="24"/>
          <w:szCs w:val="24"/>
          <w:highlight w:val="none"/>
        </w:rPr>
        <w:t xml:space="preserve">（一）招标项目信息</w:t>
      </w:r>
      <w:r>
        <w:rPr>
          <w:rFonts w:hint="eastAsia" w:ascii="宋体" w:hAnsi="宋体" w:cs="宋体"/>
          <w:b/>
          <w:bCs w:val="0"/>
          <w:color w:val="000000"/>
          <w:sz w:val="24"/>
          <w:szCs w:val="24"/>
          <w:highlight w:val="none"/>
        </w:rPr>
      </w:r>
      <w:r/>
    </w:p>
    <w:p>
      <w:pPr>
        <w:pStyle w:val="171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厚桥街道绿化养护K标段</w:t>
      </w:r>
      <w:r>
        <w:rPr>
          <w:rFonts w:hint="eastAsia" w:ascii="宋体" w:hAnsi="宋体" w:eastAsia="宋体" w:cs="宋体"/>
          <w:bCs/>
          <w:color w:val="000000"/>
          <w:sz w:val="24"/>
          <w:szCs w:val="24"/>
          <w:highlight w:val="none"/>
          <w:lang w:eastAsia="zh-CN"/>
        </w:rPr>
      </w:r>
      <w:r/>
    </w:p>
    <w:p>
      <w:pPr>
        <w:pStyle w:val="171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JSZC-320205-WXXG-G2024-0018</w:t>
      </w:r>
      <w:r>
        <w:rPr>
          <w:rFonts w:hint="eastAsia" w:ascii="宋体" w:hAnsi="宋体" w:eastAsia="宋体" w:cs="宋体"/>
          <w:bCs/>
          <w:color w:val="000000"/>
          <w:sz w:val="24"/>
          <w:szCs w:val="24"/>
          <w:highlight w:val="none"/>
          <w:lang w:eastAsia="zh-CN"/>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167.9516</w:t>
      </w:r>
      <w:r>
        <w:rPr>
          <w:rFonts w:hint="eastAsia" w:ascii="宋体" w:hAnsi="宋体" w:cs="宋体"/>
          <w:bCs/>
          <w:color w:val="000000"/>
          <w:sz w:val="24"/>
          <w:szCs w:val="24"/>
          <w:highlight w:val="none"/>
        </w:rPr>
        <w:t xml:space="preserve">万元，最高限价：</w:t>
      </w:r>
      <w:r>
        <w:rPr>
          <w:rFonts w:hint="eastAsia" w:ascii="宋体" w:hAnsi="宋体" w:cs="宋体"/>
          <w:bCs/>
          <w:color w:val="000000"/>
          <w:sz w:val="24"/>
          <w:szCs w:val="24"/>
          <w:highlight w:val="none"/>
          <w:lang w:val="en-US" w:eastAsia="zh-CN"/>
        </w:rPr>
        <w:t xml:space="preserve">167.9516</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rPr>
        <w:t xml:space="preserve">；投标报价不得超过最高限价，否则作无效响应文件处理。</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服务期：</w:t>
      </w:r>
      <w:r>
        <w:rPr>
          <w:rFonts w:hint="eastAsia" w:ascii="宋体" w:hAnsi="宋体" w:eastAsia="宋体" w:cs="宋体"/>
          <w:bCs/>
          <w:color w:val="000000"/>
          <w:sz w:val="24"/>
          <w:szCs w:val="24"/>
          <w:highlight w:val="none"/>
          <w:lang w:val="en-US" w:eastAsia="zh-CN" w:bidi="ar-SA"/>
        </w:rPr>
        <w:t xml:space="preserve">自合同生效之日起三年</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本项目标的所属行业：其他未列明行业。根据《关于印发中小企业划型标准规定的通知》工信部联企业〔2011〕300号规定，其他未列明行业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8、本项目是否专门面向</w:t>
      </w:r>
      <w:r>
        <w:rPr>
          <w:rFonts w:hint="eastAsia" w:eastAsia="宋体" w:cs="宋体"/>
          <w:b w:val="0"/>
          <w:bCs/>
          <w:color w:val="000000"/>
          <w:sz w:val="24"/>
          <w:szCs w:val="24"/>
          <w:highlight w:val="none"/>
          <w:lang w:val="en-US" w:eastAsia="zh-CN"/>
        </w:rPr>
        <w:t xml:space="preserve">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rPr>
      </w:r>
      <w:r/>
    </w:p>
    <w:p>
      <w:pPr>
        <w:pStyle w:val="171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3、落实政府采购政策需满足的资格要求：供应商为小微企业/监狱企业/残疾人福利企业；</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4、本项目的特定资格要求：</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71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（2）办理并领取CA和电子签章（办理地址：无锡市观山路市民中心12号楼2楼公共资源交易大厅9号10号窗口）。</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rPr>
          <w:rFonts w:hint="eastAsia" w:ascii="宋体" w:hAnsi="宋体" w:cs="宋体"/>
          <w:bCs/>
          <w:color w:val="000000"/>
          <w:sz w:val="24"/>
          <w:szCs w:val="24"/>
          <w:highlight w:val="none"/>
        </w:rPr>
      </w:r>
      <w:r/>
    </w:p>
    <w:p>
      <w:pPr>
        <w:pStyle w:val="171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rPr>
          <w:rFonts w:hint="eastAsia" w:ascii="宋体" w:hAnsi="宋体" w:eastAsia="宋体" w:cs="宋体"/>
          <w:b/>
          <w:bCs w:val="0"/>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供应商可在财政部门指定媒体发布的公告附件中查看公开招标文件，如确定参加本次采购活</w:t>
      </w:r>
      <w:r>
        <w:rPr>
          <w:rFonts w:hint="eastAsia" w:ascii="宋体" w:hAnsi="宋体" w:cs="宋体"/>
          <w:bCs/>
          <w:color w:val="000000"/>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color w:val="000000"/>
          <w:sz w:val="24"/>
          <w:szCs w:val="24"/>
          <w:highlight w:val="none"/>
        </w:rPr>
      </w:r>
      <w:r/>
    </w:p>
    <w:p>
      <w:pPr>
        <w:pStyle w:val="171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rPr>
          <w:rFonts w:hint="eastAsia" w:ascii="宋体" w:hAnsi="宋体" w:eastAsia="宋体" w:cs="宋体"/>
          <w:b/>
          <w:bCs w:val="0"/>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江苏新桂工程咨询有限公司</w:t>
      </w:r>
      <w:r>
        <w:rPr>
          <w:rFonts w:hint="eastAsia" w:ascii="宋体" w:hAnsi="宋体" w:cs="宋体"/>
          <w:bCs/>
          <w:color w:val="000000"/>
          <w:sz w:val="24"/>
          <w:szCs w:val="24"/>
          <w:highlight w:val="none"/>
        </w:rPr>
        <w:t xml:space="preserve">将以电话咨询、邮箱（</w:t>
      </w:r>
      <w:r>
        <w:rPr>
          <w:rFonts w:hint="eastAsia" w:ascii="宋体" w:hAnsi="宋体" w:cs="宋体"/>
          <w:bCs/>
          <w:color w:val="000000"/>
          <w:sz w:val="24"/>
          <w:szCs w:val="24"/>
          <w:highlight w:val="none"/>
          <w:lang w:eastAsia="zh-CN"/>
        </w:rPr>
        <w:t xml:space="preserve">208948223@qq.com</w:t>
      </w:r>
      <w:r>
        <w:rPr>
          <w:rFonts w:hint="eastAsia" w:ascii="宋体" w:hAnsi="宋体" w:cs="宋体"/>
          <w:bCs/>
          <w:color w:val="000000"/>
          <w:sz w:val="24"/>
          <w:szCs w:val="24"/>
          <w:highlight w:val="none"/>
        </w:rPr>
        <w:t xml:space="preserve">）等方式开展线上不见面答疑服务。截</w:t>
      </w:r>
      <w:r>
        <w:rPr>
          <w:rFonts w:hint="eastAsia" w:ascii="宋体" w:hAnsi="宋体" w:cs="宋体"/>
          <w:bCs/>
          <w:color w:val="000000"/>
          <w:sz w:val="24"/>
          <w:szCs w:val="24"/>
          <w:highlight w:val="none"/>
        </w:rPr>
        <w:t xml:space="preserve">止至</w:t>
      </w:r>
      <w:r>
        <w:rPr>
          <w:rFonts w:hint="eastAsia" w:ascii="宋体" w:hAnsi="宋体" w:cs="宋体"/>
          <w:bCs/>
          <w:color w:val="000000"/>
          <w:sz w:val="24"/>
          <w:szCs w:val="24"/>
          <w:highlight w:val="none"/>
        </w:rPr>
        <w:t xml:space="preserve">2024年</w:t>
      </w:r>
      <w:r>
        <w:rPr>
          <w:rFonts w:hint="eastAsia" w:ascii="宋体" w:hAnsi="宋体" w:cs="宋体"/>
          <w:bCs/>
          <w:color w:val="000000"/>
          <w:sz w:val="24"/>
          <w:szCs w:val="24"/>
          <w:highlight w:val="none"/>
          <w:lang w:val="en-US" w:eastAsia="zh-CN"/>
        </w:rPr>
        <w:t xml:space="preserve">12</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31</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rPr>
        <w:t xml:space="preserve">10:00前，有关单位对于招标文件的相关事项如有疑问可通过上述方式咨询；供应商如有需要对招标文件要求澄清的问题，请以书面形式（必须加</w:t>
      </w:r>
      <w:r>
        <w:rPr>
          <w:rFonts w:hint="eastAsia" w:ascii="宋体" w:hAnsi="宋体" w:cs="宋体"/>
          <w:bCs/>
          <w:color w:val="000000"/>
          <w:sz w:val="24"/>
          <w:szCs w:val="24"/>
          <w:highlight w:val="none"/>
        </w:rPr>
        <w:t xml:space="preserve">盖供应商公章，也请务必留下联系方式，以便回复）提出“</w:t>
      </w:r>
      <w:r>
        <w:rPr>
          <w:rFonts w:hint="eastAsia" w:ascii="宋体" w:hAnsi="宋体" w:cs="宋体"/>
          <w:bCs/>
          <w:color w:val="000000"/>
          <w:sz w:val="24"/>
          <w:szCs w:val="24"/>
          <w:highlight w:val="none"/>
          <w:lang w:eastAsia="zh-CN"/>
        </w:rPr>
        <w:t xml:space="preserve">JSZC-320205-WXXG-G2024-0018</w:t>
      </w:r>
      <w:r>
        <w:rPr>
          <w:rFonts w:hint="eastAsia" w:ascii="宋体" w:hAnsi="宋体" w:cs="宋体"/>
          <w:bCs/>
          <w:color w:val="000000"/>
          <w:sz w:val="24"/>
          <w:szCs w:val="24"/>
          <w:highlight w:val="none"/>
        </w:rPr>
        <w:t xml:space="preserve">项目需澄清问题”，并于答疑截止时间前邮箱（</w:t>
      </w:r>
      <w:r>
        <w:rPr>
          <w:rFonts w:hint="eastAsia" w:ascii="宋体" w:hAnsi="宋体" w:cs="宋体"/>
          <w:bCs/>
          <w:color w:val="000000"/>
          <w:sz w:val="24"/>
          <w:szCs w:val="24"/>
          <w:highlight w:val="none"/>
          <w:lang w:eastAsia="zh-CN"/>
        </w:rPr>
        <w:t xml:space="preserve">208948223@qq.com</w:t>
      </w:r>
      <w:r>
        <w:rPr>
          <w:rFonts w:hint="eastAsia" w:ascii="宋体" w:hAnsi="宋体" w:cs="宋体"/>
          <w:bCs/>
          <w:color w:val="000000"/>
          <w:sz w:val="24"/>
          <w:szCs w:val="24"/>
          <w:highlight w:val="none"/>
        </w:rPr>
        <w:t xml:space="preserve">）给项目联系人。若未在法定时间内提出澄清，由此造成的损失及风险由供应商自行承担。</w:t>
      </w:r>
      <w:r>
        <w:rPr>
          <w:rFonts w:hint="eastAsia" w:ascii="宋体" w:hAnsi="宋体" w:cs="宋体"/>
          <w:bCs/>
          <w:color w:val="000000"/>
          <w:sz w:val="24"/>
          <w:szCs w:val="24"/>
          <w:highlight w:val="none"/>
        </w:rPr>
      </w:r>
      <w:r/>
    </w:p>
    <w:p>
      <w:pPr>
        <w:pStyle w:val="1714"/>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（六）现场踏勘</w:t>
      </w:r>
      <w:r>
        <w:rPr>
          <w:rFonts w:hint="eastAsia" w:ascii="宋体" w:hAnsi="宋体" w:eastAsia="宋体" w:cs="宋体"/>
          <w:b/>
          <w:bCs w:val="0"/>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highlight w:val="none"/>
        </w:rPr>
      </w:r>
      <w:r/>
    </w:p>
    <w:p>
      <w:pPr>
        <w:pStyle w:val="171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（七）投标及开标、定标时间、地点</w:t>
      </w:r>
      <w:r>
        <w:rPr>
          <w:rFonts w:hint="eastAsia" w:ascii="宋体" w:hAnsi="宋体" w:eastAsia="宋体" w:cs="宋体"/>
          <w:b/>
          <w:bCs w:val="0"/>
          <w:color w:val="000000"/>
          <w:sz w:val="24"/>
          <w:szCs w:val="24"/>
          <w:highlight w:val="none"/>
          <w:lang w:val="en-US" w:eastAsia="zh-CN"/>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16</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:30，投标截止时间后的投标文件恕不接受。</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16</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定标时间：评标结束</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定标地点：无锡市锡山区东亭迎宾南路21号二楼</w:t>
      </w:r>
      <w:r>
        <w:rPr>
          <w:rFonts w:hint="eastAsia" w:ascii="宋体" w:hAnsi="宋体" w:cs="宋体"/>
          <w:bCs/>
          <w:color w:val="000000"/>
          <w:sz w:val="24"/>
          <w:szCs w:val="24"/>
          <w:highlight w:val="none"/>
        </w:rPr>
      </w:r>
      <w:r/>
    </w:p>
    <w:p>
      <w:pPr>
        <w:pStyle w:val="1714"/>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（八）投标文件份数：</w:t>
      </w:r>
      <w:r>
        <w:rPr>
          <w:rFonts w:hint="eastAsia" w:ascii="宋体" w:hAnsi="宋体" w:eastAsia="宋体" w:cs="宋体"/>
          <w:b w:val="0"/>
          <w:bCs/>
          <w:color w:val="000000"/>
          <w:sz w:val="24"/>
          <w:szCs w:val="24"/>
          <w:highlight w:val="none"/>
          <w:lang w:val="en-US" w:eastAsia="zh-CN"/>
        </w:rPr>
        <w:t xml:space="preserve">请按规定上传电子响应文件，不接收纸质投标文件</w:t>
      </w:r>
      <w:r>
        <w:rPr>
          <w:rFonts w:hint="eastAsia" w:ascii="宋体" w:hAnsi="宋体" w:eastAsia="宋体" w:cs="宋体"/>
          <w:b w:val="0"/>
          <w:bCs/>
          <w:color w:val="000000"/>
          <w:sz w:val="24"/>
          <w:szCs w:val="24"/>
          <w:highlight w:val="none"/>
          <w:lang w:val="en-US" w:eastAsia="zh-CN"/>
        </w:rPr>
      </w:r>
      <w:r/>
    </w:p>
    <w:p>
      <w:pPr>
        <w:pStyle w:val="1714"/>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（九）投标有效期：</w:t>
      </w:r>
      <w:r>
        <w:rPr>
          <w:rFonts w:hint="eastAsia" w:ascii="宋体" w:hAnsi="宋体" w:eastAsia="宋体" w:cs="宋体"/>
          <w:b w:val="0"/>
          <w:bCs/>
          <w:color w:val="000000"/>
          <w:sz w:val="24"/>
          <w:szCs w:val="24"/>
          <w:highlight w:val="none"/>
          <w:lang w:val="en-US" w:eastAsia="zh-CN"/>
        </w:rPr>
        <w:t xml:space="preserve">开标之日起90天</w:t>
      </w:r>
      <w:r>
        <w:rPr>
          <w:rFonts w:hint="eastAsia" w:ascii="宋体" w:hAnsi="宋体" w:eastAsia="宋体" w:cs="宋体"/>
          <w:b w:val="0"/>
          <w:bCs/>
          <w:color w:val="000000"/>
          <w:sz w:val="24"/>
          <w:szCs w:val="24"/>
          <w:highlight w:val="none"/>
          <w:lang w:val="en-US" w:eastAsia="zh-CN"/>
        </w:rPr>
      </w:r>
      <w:r/>
    </w:p>
    <w:p>
      <w:pPr>
        <w:pStyle w:val="171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（十）采购方法</w:t>
      </w:r>
      <w:r>
        <w:rPr>
          <w:rFonts w:hint="eastAsia" w:ascii="宋体" w:hAnsi="宋体" w:eastAsia="宋体" w:cs="宋体"/>
          <w:b/>
          <w:bCs w:val="0"/>
          <w:color w:val="000000"/>
          <w:sz w:val="24"/>
          <w:szCs w:val="24"/>
          <w:highlight w:val="none"/>
          <w:lang w:val="en-US" w:eastAsia="zh-CN"/>
        </w:rPr>
      </w:r>
      <w:r/>
    </w:p>
    <w:p>
      <w:pPr>
        <w:pStyle w:val="1714"/>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lang w:val="en-US" w:eastAsia="zh-CN"/>
        </w:rPr>
      </w:r>
      <w:r/>
    </w:p>
    <w:p>
      <w:pPr>
        <w:pStyle w:val="1714"/>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（十一）其他</w:t>
      </w:r>
      <w:r>
        <w:rPr>
          <w:rFonts w:hint="eastAsia" w:ascii="宋体" w:hAnsi="宋体" w:eastAsia="宋体" w:cs="宋体"/>
          <w:b/>
          <w:bCs w:val="0"/>
          <w:color w:val="000000"/>
          <w:sz w:val="24"/>
          <w:szCs w:val="24"/>
          <w:highlight w:val="none"/>
          <w:lang w:val="en-US" w:eastAsia="zh-CN"/>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714"/>
        <w:ind w:firstLine="480"/>
        <w:spacing w:line="360" w:lineRule="auto"/>
        <w:rPr>
          <w:rFonts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陈潍坚</w:t>
      </w:r>
      <w:r>
        <w:rPr>
          <w:rFonts w:ascii="宋体" w:hAnsi="宋体" w:cs="宋体"/>
          <w:bCs/>
          <w:color w:val="000000"/>
          <w:sz w:val="24"/>
          <w:szCs w:val="24"/>
          <w:highlight w:val="none"/>
          <w:lang w:val="en-US" w:eastAsia="zh-CN"/>
        </w:rPr>
      </w:r>
      <w:r/>
    </w:p>
    <w:p>
      <w:pPr>
        <w:pStyle w:val="171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采购机构：</w:t>
      </w:r>
      <w:r>
        <w:rPr>
          <w:rFonts w:hint="eastAsia" w:ascii="宋体" w:hAnsi="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lang w:eastAsia="zh-CN"/>
        </w:rPr>
      </w:r>
      <w:r/>
    </w:p>
    <w:p>
      <w:pPr>
        <w:pStyle w:val="171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地址：</w:t>
      </w:r>
      <w:r>
        <w:rPr>
          <w:rFonts w:hint="eastAsia" w:ascii="宋体" w:hAnsi="宋体" w:cs="宋体"/>
          <w:bCs/>
          <w:color w:val="000000"/>
          <w:sz w:val="24"/>
          <w:szCs w:val="24"/>
          <w:highlight w:val="none"/>
          <w:lang w:eastAsia="zh-CN"/>
        </w:rPr>
        <w:t xml:space="preserve">无锡市滨湖区太湖西大道2188号9楼904室</w:t>
      </w:r>
      <w:r>
        <w:rPr>
          <w:rFonts w:hint="eastAsia" w:ascii="宋体" w:hAnsi="宋体" w:eastAsia="宋体" w:cs="宋体"/>
          <w:bCs/>
          <w:color w:val="000000"/>
          <w:sz w:val="24"/>
          <w:szCs w:val="24"/>
          <w:highlight w:val="none"/>
          <w:lang w:eastAsia="zh-CN"/>
        </w:rPr>
      </w:r>
      <w:r/>
    </w:p>
    <w:p>
      <w:pPr>
        <w:pStyle w:val="1714"/>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eastAsia="zh-CN"/>
        </w:rPr>
        <w:t xml:space="preserve">张旻燕</w:t>
      </w:r>
      <w:r>
        <w:rPr>
          <w:rFonts w:hint="eastAsia" w:ascii="宋体" w:hAnsi="宋体" w:eastAsia="宋体" w:cs="宋体"/>
          <w:bCs/>
          <w:color w:val="000000"/>
          <w:sz w:val="24"/>
          <w:szCs w:val="24"/>
          <w:highlight w:val="none"/>
          <w:lang w:eastAsia="zh-CN"/>
        </w:rPr>
      </w:r>
      <w:r/>
    </w:p>
    <w:p>
      <w:pPr>
        <w:pStyle w:val="1714"/>
        <w:ind w:firstLine="480"/>
        <w:jc w:val="both"/>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电话：18021186726</w:t>
      </w:r>
      <w:r>
        <w:rPr>
          <w:rFonts w:hint="eastAsia" w:ascii="宋体" w:hAnsi="宋体" w:eastAsia="宋体" w:cs="宋体"/>
          <w:bCs/>
          <w:color w:val="000000"/>
          <w:sz w:val="24"/>
          <w:szCs w:val="24"/>
          <w:highlight w:val="none"/>
        </w:rPr>
      </w:r>
      <w:r/>
    </w:p>
    <w:p>
      <w:pPr>
        <w:pStyle w:val="1714"/>
        <w:ind w:firstLine="480"/>
        <w:jc w:val="both"/>
        <w:keepLines w:val="0"/>
        <w:keepNext w:val="0"/>
        <w:pageBreakBefore w:val="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邮编</w:t>
      </w:r>
      <w:r>
        <w:rPr>
          <w:rFonts w:hint="eastAsia" w:ascii="宋体" w:hAnsi="宋体" w:eastAsia="宋体" w:cs="宋体"/>
          <w:bCs/>
          <w:color w:val="000000"/>
          <w:sz w:val="24"/>
          <w:szCs w:val="24"/>
          <w:highlight w:val="none"/>
        </w:rPr>
        <w:t xml:space="preserve">：214101</w:t>
      </w:r>
      <w:r>
        <w:rPr>
          <w:rFonts w:hint="eastAsia" w:ascii="宋体" w:hAnsi="宋体" w:eastAsia="宋体" w:cs="宋体"/>
          <w:bCs/>
          <w:color w:val="000000"/>
          <w:sz w:val="24"/>
          <w:szCs w:val="24"/>
          <w:highlight w:val="none"/>
          <w:lang w:val="en-US" w:eastAsia="zh-CN"/>
        </w:rPr>
      </w:r>
      <w:r/>
    </w:p>
    <w:p>
      <w:pPr>
        <w:pStyle w:val="1714"/>
        <w:ind w:firstLine="480"/>
        <w:spacing w:line="360" w:lineRule="auto"/>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r>
      <w:r/>
    </w:p>
    <w:p>
      <w:pPr>
        <w:pStyle w:val="1714"/>
        <w:ind w:firstLine="480"/>
        <w:spacing w:line="360" w:lineRule="auto"/>
        <w:rPr>
          <w:rFonts w:hint="eastAsia" w:ascii="宋体" w:hAnsi="宋体" w:eastAsia="宋体" w:cs="宋体"/>
          <w:bCs/>
          <w:color w:val="000000"/>
          <w:sz w:val="24"/>
          <w:szCs w:val="24"/>
          <w:highlight w:val="none"/>
          <w:lang w:val="en-US" w:eastAsia="zh-CN"/>
        </w:rPr>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1714"/>
        <w:jc w:val="center"/>
        <w:spacing w:line="360" w:lineRule="auto"/>
        <w:rPr>
          <w:rFonts w:hint="eastAsia" w:ascii="Times New Roman" w:hAnsi="宋体" w:eastAsia="宋体" w:cs="宋体"/>
          <w:b/>
          <w:bCs/>
          <w:sz w:val="32"/>
          <w:szCs w:val="32"/>
          <w:highlight w:val="none"/>
        </w:rPr>
        <w:outlineLvl w:val="0"/>
      </w:pPr>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790"/>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对无效质疑不予受理。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714"/>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lang w:eastAsia="zh-CN"/>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714"/>
        <w:ind w:left="0" w:firstLine="480"/>
        <w:keepLines w:val="0"/>
        <w:keepNext w:val="0"/>
        <w:pageBreakBefore w:val="0"/>
        <w:spacing w:line="360" w:lineRule="auto"/>
        <w:widowControl w:val="off"/>
        <w:tabs>
          <w:tab w:val="left" w:pos="126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Cs/>
          <w:color w:val="000000"/>
          <w:sz w:val="24"/>
          <w:szCs w:val="24"/>
          <w:highlight w:val="none"/>
          <w:lang w:val="en-US" w:eastAsia="zh-CN"/>
        </w:rPr>
        <w:t xml:space="preserve">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7．投标供应商情况表（格式见附件）</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主要人员配置表及项目负责人简历表（格式见附件）</w:t>
      </w:r>
      <w:r>
        <w:rPr>
          <w:rFonts w:hint="eastAsia" w:ascii="宋体" w:hAnsi="宋体" w:eastAsia="宋体" w:cs="宋体"/>
          <w:b/>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2.供应商应对CA数字证书妥善保管，如被他人盗用投标，后果自负。</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171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eastAsia="宋体" w:cs="宋体"/>
          <w:b/>
          <w:bCs w:val="0"/>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1.电子投标文件未按规定期限投标的；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18.投标文件含有供应商不能接受的附加条件的；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24.暗标未按招标文件要求编制的；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25.法律法规和招标文件规定的其他无效情形。</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71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766"/>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71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556" w:type="dxa"/>
            <w:vAlign w:val="center"/>
            <w:textDirection w:val="lrTb"/>
            <w:noWrap w:val="false"/>
          </w:tcPr>
          <w:p>
            <w:pPr>
              <w:pStyle w:val="171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562"/>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981"/>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94"/>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29"/>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765"/>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423"/>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1498"/>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新成立的公司（</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lang w:eastAsia="zh-CN"/>
              </w:rPr>
              <w:t xml:space="preserve">）除外</w:t>
            </w:r>
            <w:r>
              <w:rPr>
                <w:rFonts w:hint="eastAsia" w:ascii="宋体" w:hAnsi="宋体" w:eastAsia="宋体" w:cs="宋体"/>
                <w:bCs/>
                <w:color w:val="000000"/>
                <w:sz w:val="24"/>
                <w:szCs w:val="24"/>
                <w:highlight w:val="none"/>
                <w:vertAlign w:val="baseline"/>
              </w:rPr>
            </w:r>
            <w:r/>
          </w:p>
        </w:tc>
      </w:tr>
      <w:tr>
        <w:trPr>
          <w:trHeight w:val="667"/>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641"/>
        </w:trPr>
        <w:tc>
          <w:tcPr>
            <w:tcW w:w="923" w:type="dxa"/>
            <w:vAlign w:val="center"/>
            <w:textDirection w:val="lrTb"/>
            <w:noWrap w:val="false"/>
          </w:tcPr>
          <w:p>
            <w:pPr>
              <w:pStyle w:val="1714"/>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w:t>
            </w:r>
            <w:r>
              <w:rPr>
                <w:rFonts w:hint="eastAsia" w:ascii="宋体" w:hAnsi="宋体" w:eastAsia="宋体" w:cs="宋体"/>
                <w:bCs/>
                <w:sz w:val="24"/>
                <w:szCs w:val="24"/>
                <w:highlight w:val="none"/>
                <w:lang w:eastAsia="zh-CN"/>
              </w:rPr>
              <w:t xml:space="preserve">〔2011〕300号</w:t>
            </w:r>
            <w:r>
              <w:rPr>
                <w:rFonts w:hint="eastAsia" w:ascii="宋体" w:hAnsi="宋体" w:eastAsia="宋体" w:cs="宋体"/>
                <w:bCs/>
                <w:sz w:val="24"/>
                <w:szCs w:val="24"/>
                <w:highlight w:val="none"/>
              </w:rPr>
              <w:t xml:space="preserve">》)规定，提供《中小企业声明函》，残疾人福利企业提供《残疾人福利性单位声明函》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672"/>
        </w:trPr>
        <w:tc>
          <w:tcPr>
            <w:tcW w:w="923" w:type="dxa"/>
            <w:vAlign w:val="center"/>
            <w:textDirection w:val="lrTb"/>
            <w:noWrap w:val="false"/>
          </w:tcPr>
          <w:p>
            <w:pPr>
              <w:pStyle w:val="171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lang w:eastAsia="zh-CN"/>
              </w:rPr>
            </w:pPr>
            <w:r>
              <w:rPr>
                <w:rFonts w:hint="eastAsia" w:ascii="宋体" w:hAnsi="宋体" w:eastAsia="宋体" w:cs="宋体"/>
                <w:bCs/>
                <w:color w:val="000000"/>
                <w:sz w:val="24"/>
                <w:szCs w:val="24"/>
                <w:highlight w:val="none"/>
                <w:vertAlign w:val="baseline"/>
                <w:lang w:val="en-US" w:eastAsia="zh-CN"/>
              </w:rPr>
              <w:t xml:space="preserve">/</w:t>
            </w:r>
            <w:r>
              <w:rPr>
                <w:rFonts w:hint="eastAsia" w:ascii="宋体" w:hAnsi="宋体" w:eastAsia="宋体" w:cs="宋体"/>
                <w:bCs/>
                <w:color w:val="000000"/>
                <w:sz w:val="24"/>
                <w:szCs w:val="24"/>
                <w:highlight w:val="none"/>
                <w:vertAlign w:val="baseline"/>
                <w:lang w:eastAsia="zh-CN"/>
              </w:rPr>
            </w:r>
            <w:r/>
          </w:p>
        </w:tc>
      </w:tr>
      <w:tr>
        <w:trPr>
          <w:trHeight w:val="3038"/>
        </w:trPr>
        <w:tc>
          <w:tcPr>
            <w:tcW w:w="923" w:type="dxa"/>
            <w:vAlign w:val="center"/>
            <w:textDirection w:val="lrTb"/>
            <w:noWrap w:val="false"/>
          </w:tcPr>
          <w:p>
            <w:pPr>
              <w:pStyle w:val="171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747"/>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654"/>
        </w:trPr>
        <w:tc>
          <w:tcPr>
            <w:tcW w:w="923" w:type="dxa"/>
            <w:vAlign w:val="center"/>
            <w:textDirection w:val="lrTb"/>
            <w:noWrap w:val="false"/>
          </w:tcPr>
          <w:p>
            <w:pPr>
              <w:pStyle w:val="1714"/>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645"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714"/>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eastAsia="宋体" w:cs="宋体"/>
                <w:bCs/>
                <w:color w:val="000000"/>
                <w:sz w:val="24"/>
                <w:szCs w:val="24"/>
                <w:highlight w:val="none"/>
                <w:vertAlign w:val="baseline"/>
              </w:rPr>
            </w:r>
            <w:r/>
          </w:p>
        </w:tc>
      </w:tr>
    </w:tbl>
    <w:p>
      <w:pPr>
        <w:pStyle w:val="171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714"/>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pStyle w:val="1714"/>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70" w:type="dxa"/>
            <w:vAlign w:val="center"/>
            <w:textDirection w:val="lrTb"/>
            <w:noWrap w:val="false"/>
          </w:tcPr>
          <w:p>
            <w:pPr>
              <w:pStyle w:val="1714"/>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59" w:type="dxa"/>
            <w:vAlign w:val="center"/>
            <w:textDirection w:val="lrTb"/>
            <w:noWrap w:val="false"/>
          </w:tcPr>
          <w:p>
            <w:pPr>
              <w:pStyle w:val="1714"/>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714"/>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59" w:type="dxa"/>
            <w:vAlign w:val="center"/>
            <w:textDirection w:val="lrTb"/>
            <w:noWrap w:val="false"/>
          </w:tcPr>
          <w:p>
            <w:pPr>
              <w:pStyle w:val="1714"/>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714"/>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714"/>
              <w:jc w:val="lef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本表无需上传，评审时以苏采云系统自带的开标一览表为准</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714"/>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2670" w:type="dxa"/>
            <w:vAlign w:val="center"/>
            <w:textDirection w:val="lrTb"/>
            <w:noWrap w:val="false"/>
          </w:tcPr>
          <w:p>
            <w:pPr>
              <w:pStyle w:val="1714"/>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cs="宋体"/>
                <w:bCs/>
                <w:sz w:val="24"/>
                <w:szCs w:val="24"/>
                <w:highlight w:val="none"/>
              </w:rPr>
            </w:r>
            <w:r/>
          </w:p>
        </w:tc>
        <w:tc>
          <w:tcPr>
            <w:tcW w:w="5459" w:type="dxa"/>
            <w:vAlign w:val="center"/>
            <w:textDirection w:val="lrTb"/>
            <w:noWrap w:val="false"/>
          </w:tcPr>
          <w:p>
            <w:pPr>
              <w:pStyle w:val="1714"/>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sz w:val="24"/>
                <w:szCs w:val="24"/>
                <w:highlight w:val="none"/>
              </w:rPr>
            </w:r>
            <w:r/>
          </w:p>
        </w:tc>
      </w:tr>
      <w:tr>
        <w:trPr>
          <w:trHeight w:val="646"/>
        </w:trPr>
        <w:tc>
          <w:tcPr>
            <w:tcW w:w="789" w:type="dxa"/>
            <w:vAlign w:val="center"/>
            <w:textDirection w:val="lrTb"/>
            <w:noWrap w:val="false"/>
          </w:tcPr>
          <w:p>
            <w:pPr>
              <w:pStyle w:val="171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714"/>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71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714"/>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71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714"/>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71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rPr>
                <w:rFonts w:hint="eastAsia" w:ascii="宋体" w:hAnsi="宋体" w:eastAsia="宋体" w:cs="Times New Roman"/>
                <w:bCs/>
                <w:color w:val="000000"/>
                <w:sz w:val="24"/>
                <w:szCs w:val="24"/>
                <w:highlight w:val="none"/>
              </w:rPr>
              <w:t xml:space="preserve">及项目</w:t>
            </w:r>
            <w:r>
              <w:rPr>
                <w:rFonts w:hint="eastAsia" w:ascii="宋体" w:hAnsi="宋体" w:eastAsia="宋体" w:cs="Times New Roman"/>
                <w:bCs/>
                <w:color w:val="000000"/>
                <w:sz w:val="24"/>
                <w:szCs w:val="24"/>
                <w:highlight w:val="none"/>
                <w:lang w:val="en-US" w:eastAsia="zh-CN"/>
              </w:rPr>
              <w:t xml:space="preserve">负责人</w:t>
            </w:r>
            <w:r>
              <w:rPr>
                <w:rFonts w:hint="eastAsia" w:ascii="宋体" w:hAnsi="宋体" w:eastAsia="宋体" w:cs="Times New Roman"/>
                <w:bCs/>
                <w:color w:val="000000"/>
                <w:sz w:val="24"/>
                <w:szCs w:val="24"/>
                <w:highlight w:val="none"/>
              </w:rPr>
              <w:t xml:space="preserve">简历表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714"/>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714"/>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rPr>
            </w:r>
            <w:r/>
          </w:p>
        </w:tc>
        <w:tc>
          <w:tcPr>
            <w:tcW w:w="5459" w:type="dxa"/>
            <w:vAlign w:val="center"/>
            <w:textDirection w:val="lrTb"/>
            <w:noWrap w:val="false"/>
          </w:tcPr>
          <w:p>
            <w:pPr>
              <w:pStyle w:val="1714"/>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sz w:val="24"/>
                <w:szCs w:val="24"/>
                <w:highlight w:val="none"/>
                <w:lang w:val="en-US" w:eastAsia="zh-CN"/>
              </w:rPr>
            </w:r>
            <w:r/>
          </w:p>
        </w:tc>
      </w:tr>
      <w:tr>
        <w:trPr>
          <w:trHeight w:val="646"/>
        </w:trPr>
        <w:tc>
          <w:tcPr>
            <w:tcW w:w="789" w:type="dxa"/>
            <w:vAlign w:val="center"/>
            <w:textDirection w:val="lrTb"/>
            <w:noWrap w:val="false"/>
          </w:tcPr>
          <w:p>
            <w:pPr>
              <w:pStyle w:val="1714"/>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rPr>
                <w:rFonts w:hint="eastAsia" w:ascii="宋体" w:hAnsi="宋体" w:eastAsia="宋体"/>
                <w:sz w:val="24"/>
                <w:szCs w:val="24"/>
                <w:highlight w:val="none"/>
                <w:lang w:val="en-US" w:eastAsia="zh-CN" w:bidi="ar-SA"/>
              </w:rPr>
            </w:r>
            <w:r/>
          </w:p>
        </w:tc>
        <w:tc>
          <w:tcPr>
            <w:tcW w:w="2670" w:type="dxa"/>
            <w:vAlign w:val="center"/>
            <w:textDirection w:val="lrTb"/>
            <w:noWrap w:val="false"/>
          </w:tcPr>
          <w:p>
            <w:pPr>
              <w:pStyle w:val="1714"/>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714"/>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714"/>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将在财政部门指定的政府采购信息发布媒体上发布中标结果公告。</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和评标委员会对未中标原因不作解释。</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32174"/>
      <w:r/>
      <w:bookmarkStart w:id="23" w:name="_Toc21337"/>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江苏新桂工程咨询有限公司</w:t>
      </w:r>
      <w:r>
        <w:rPr>
          <w:rFonts w:hint="eastAsia" w:ascii="宋体" w:hAnsi="宋体" w:eastAsia="宋体" w:cs="宋体"/>
          <w:bCs/>
          <w:color w:val="000000"/>
          <w:sz w:val="24"/>
          <w:szCs w:val="24"/>
          <w:highlight w:val="none"/>
        </w:rPr>
        <w:t xml:space="preserve">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(十五)质疑处理：</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提出质疑，上述应知其权益受到损害之日，是指：</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、采购人将只对供应商第一次质疑作出答复。</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提出，由</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负责答复。</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不接受未填写快递运单的快件）。</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联系人、联系方式、通信地址见招标文件第一章。</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5.1内容不符合《政府采购质疑和投诉办法》第十二条规定的质疑。</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5.2超出政府采购法定期限的质疑。</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5.3以传真、电子邮件等方式递交的非原件形式的质疑。</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(十六)服务（包含与服务相关的货物）的追加：</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宋体"/>
          <w:bCs/>
          <w:color w:val="000000"/>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本项目代理费由采购人支付。采购代理服务费采用差额定率累进计费方式，收费标准为：100万元以下费率为1.5%，100万元-500万元以内费率为0.8%，按以上规定的80%计取，以中标价作为计算基数。</w:t>
      </w:r>
      <w:r>
        <w:rPr>
          <w:rFonts w:hint="eastAsia" w:ascii="宋体" w:hAnsi="宋体" w:eastAsia="宋体" w:cs="宋体"/>
          <w:color w:val="000000"/>
          <w:sz w:val="24"/>
          <w:szCs w:val="24"/>
          <w:highlight w:val="none"/>
          <w:lang w:eastAsia="zh-CN"/>
        </w:rPr>
      </w:r>
      <w:r/>
    </w:p>
    <w:p>
      <w:pPr>
        <w:pStyle w:val="171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714"/>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714"/>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734"/>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714"/>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erReference w:type="default" r:id="rId23"/>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714"/>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sz w:val="32"/>
          <w:szCs w:val="32"/>
          <w:highlight w:val="none"/>
          <w:lang w:val="en-US"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bookmarkStart w:id="28" w:name="_Toc26"/>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lang w:eastAsia="zh-CN"/>
        </w:rPr>
        <w:t xml:space="preserve">：厚桥街道绿化养护K标段；</w:t>
      </w:r>
      <w:r>
        <w:rPr>
          <w:rFonts w:hint="eastAsia" w:ascii="宋体" w:hAnsi="宋体" w:eastAsia="宋体" w:cs="宋体"/>
          <w:bCs/>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项目地点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无锡市锡山区厚桥街道</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项目概况</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本项目为</w:t>
      </w:r>
      <w:r>
        <w:rPr>
          <w:rFonts w:hint="eastAsia" w:ascii="宋体" w:hAnsi="宋体" w:eastAsia="宋体" w:cs="宋体"/>
          <w:bCs/>
          <w:sz w:val="24"/>
          <w:szCs w:val="24"/>
          <w:highlight w:val="none"/>
          <w:lang w:eastAsia="zh-CN"/>
        </w:rPr>
        <w:t xml:space="preserve">厚桥街道绿化养护K标段</w:t>
      </w:r>
      <w:r>
        <w:rPr>
          <w:rFonts w:hint="eastAsia" w:ascii="宋体" w:hAnsi="宋体" w:eastAsia="宋体" w:cs="宋体"/>
          <w:bCs/>
          <w:sz w:val="24"/>
          <w:szCs w:val="24"/>
          <w:highlight w:val="none"/>
        </w:rPr>
        <w:t xml:space="preserve">，绿化养护面积约</w:t>
      </w:r>
      <w:r>
        <w:rPr>
          <w:rFonts w:hint="eastAsia" w:ascii="宋体" w:hAnsi="宋体" w:eastAsia="宋体" w:cs="宋体"/>
          <w:bCs/>
          <w:sz w:val="24"/>
          <w:szCs w:val="24"/>
          <w:highlight w:val="none"/>
          <w:lang w:val="en-US" w:eastAsia="zh-CN"/>
        </w:rPr>
        <w:t xml:space="preserve">193962.5</w:t>
      </w:r>
      <w:r>
        <w:rPr>
          <w:rFonts w:hint="eastAsia" w:ascii="宋体" w:hAnsi="宋体" w:eastAsia="宋体" w:cs="宋体"/>
          <w:bCs/>
          <w:sz w:val="24"/>
          <w:szCs w:val="24"/>
          <w:highlight w:val="none"/>
        </w:rPr>
        <w:t xml:space="preserve">平方米，具体养护清单详见附件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养护主要内容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绿化养护，含上木类、色块绿篱类、草本地被类、草坪类、竹类、水生植物、立体绿化、草花等全部植物。具体按相关标准执行</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服务质量要求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合格。养护标准详见养护清单，具体标准参照《江苏省城市园林绿化养护管理规范及分级标准的通知》（苏建园</w:t>
      </w:r>
      <w:r>
        <w:rPr>
          <w:rFonts w:hint="eastAsia" w:ascii="宋体" w:hAnsi="宋体" w:eastAsia="宋体" w:cs="宋体"/>
          <w:bCs/>
          <w:sz w:val="24"/>
          <w:szCs w:val="24"/>
          <w:highlight w:val="none"/>
          <w:lang w:eastAsia="zh-CN"/>
        </w:rPr>
        <w:t xml:space="preserve">〔2015〕383号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服务期</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自合同生效之日起三年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付款方式</w:t>
      </w:r>
      <w:r>
        <w:rPr>
          <w:rFonts w:hint="eastAsia" w:ascii="宋体" w:hAnsi="宋体" w:eastAsia="宋体" w:cs="宋体"/>
          <w:bCs/>
          <w:sz w:val="24"/>
          <w:szCs w:val="24"/>
          <w:highlight w:val="none"/>
          <w:lang w:eastAsia="zh-CN"/>
        </w:rPr>
        <w:t xml:space="preserve">：</w:t>
      </w:r>
      <w:r>
        <w:rPr>
          <w:rFonts w:hint="eastAsia" w:ascii="宋体" w:hAnsi="宋体" w:cs="宋体"/>
          <w:bCs/>
          <w:sz w:val="24"/>
          <w:szCs w:val="24"/>
          <w:highlight w:val="none"/>
          <w:lang w:eastAsia="zh-CN"/>
        </w:rPr>
        <w:t xml:space="preserve">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r>
        <w:rPr>
          <w:rFonts w:hint="eastAsia" w:ascii="宋体" w:hAnsi="宋体" w:eastAsia="宋体" w:cs="宋体"/>
          <w:bCs/>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9、其他有关要求：</w:t>
      </w:r>
      <w:r>
        <w:rPr>
          <w:rFonts w:hint="eastAsia" w:ascii="宋体" w:hAnsi="宋体" w:eastAsia="宋体" w:cs="宋体"/>
          <w:sz w:val="24"/>
          <w:szCs w:val="24"/>
          <w:highlight w:val="none"/>
          <w:lang w:val="en-US"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投标人应充分考虑项目承包期间劳务、相应的人身安全保险、赔偿及所需的全部费用，并计入总报价。除非合同中另有规定，投标人的投标报价包括不限于在承包期内服务需要的人员工资（符合《</w:t>
      </w:r>
      <w:r>
        <w:rPr>
          <w:rFonts w:hint="eastAsia" w:ascii="宋体" w:hAnsi="宋体" w:eastAsia="宋体" w:cs="宋体"/>
          <w:sz w:val="24"/>
          <w:szCs w:val="24"/>
          <w:highlight w:val="none"/>
          <w:lang w:eastAsia="zh-CN"/>
        </w:rPr>
        <w:t xml:space="preserve">中华人民共和国劳动法</w:t>
      </w:r>
      <w:r>
        <w:rPr>
          <w:rFonts w:hint="eastAsia" w:ascii="宋体" w:hAnsi="宋体" w:eastAsia="宋体" w:cs="宋体"/>
          <w:sz w:val="24"/>
          <w:szCs w:val="24"/>
          <w:highlight w:val="none"/>
        </w:rPr>
        <w:t xml:space="preserve">》）、社保、人员加班工资、高温费、意外伤害保险费、劳保用品、工具费、机械化作业车辆折旧费、保养、维修、油料费、车辆保险费以及在服务过程中发生的其他费用。报价中还包括管理费、各种税费及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r>
        <w:rPr>
          <w:rFonts w:hint="eastAsia" w:ascii="宋体" w:hAnsi="宋体" w:eastAsia="宋体" w:cs="宋体"/>
          <w:bCs/>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投标人报价为</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年养护期的总价格，故每年的合同价为</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年投标价平均除以</w:t>
      </w:r>
      <w:r>
        <w:rPr>
          <w:rFonts w:hint="eastAsia" w:ascii="宋体" w:hAnsi="宋体" w:eastAsia="宋体" w:cs="宋体"/>
          <w:sz w:val="24"/>
          <w:szCs w:val="24"/>
          <w:highlight w:val="none"/>
          <w:lang w:val="en-US" w:eastAsia="zh-CN"/>
        </w:rPr>
        <w:t xml:space="preserve">三后</w:t>
      </w:r>
      <w:r>
        <w:rPr>
          <w:rFonts w:hint="eastAsia" w:ascii="宋体" w:hAnsi="宋体" w:eastAsia="宋体" w:cs="宋体"/>
          <w:sz w:val="24"/>
          <w:szCs w:val="24"/>
          <w:highlight w:val="none"/>
        </w:rPr>
        <w:t xml:space="preserve">得出，投标人应充分考虑涨价因素，在合同执行中不再更改或调整价格。所有根据合同或其他原因，应由投标人支付的所有税收和</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rPr>
          <w:rFonts w:hint="eastAsia" w:ascii="宋体" w:hAnsi="宋体" w:eastAsia="宋体" w:cs="宋体"/>
          <w:bCs/>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29" w:name="_Hlk46777619"/>
      <w:r/>
      <w:bookmarkStart w:id="30" w:name="_Hlk65591423"/>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投标书中需明确本项目的项目经理，投标人一旦中标，拟派驻现场的项目经理原则上不得更换，除特殊原因经招标人同意的之外，</w:t>
      </w:r>
      <w:r>
        <w:rPr>
          <w:rFonts w:hint="eastAsia" w:ascii="宋体" w:hAnsi="宋体" w:eastAsia="宋体" w:cs="宋体"/>
          <w:sz w:val="24"/>
          <w:szCs w:val="24"/>
          <w:highlight w:val="none"/>
        </w:rPr>
        <w:t xml:space="preserve">否则罚款5万元，经招标人同意后更换的项目经理须配备有足够的能力方可上岗</w:t>
      </w:r>
      <w:bookmarkEnd w:id="29"/>
      <w:r/>
      <w:bookmarkStart w:id="31" w:name="_Hlk530040798"/>
      <w:r>
        <w:rPr>
          <w:rFonts w:hint="eastAsia" w:ascii="宋体" w:hAnsi="宋体" w:eastAsia="宋体" w:cs="宋体"/>
          <w:sz w:val="24"/>
          <w:szCs w:val="24"/>
          <w:highlight w:val="none"/>
        </w:rPr>
        <w:t xml:space="preserve">。</w:t>
      </w:r>
      <w:bookmarkEnd w:id="31"/>
      <w:r>
        <w:rPr>
          <w:rFonts w:hint="eastAsia" w:ascii="宋体" w:hAnsi="宋体" w:eastAsia="宋体" w:cs="宋体"/>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合同履行过程中中标单位现场实际到岗的人员数量不得少于投标文件中配置的数量，且未书面上报招标人同意的，发现一次按每少一人5000元/人/次进行处罚性扣款，在管理费中扣除，同时中标单位须在一周内补足至投标文件中配置的数量，考核办法和标准同时执行。</w:t>
      </w:r>
      <w:r>
        <w:rPr>
          <w:rFonts w:hint="eastAsia" w:ascii="宋体" w:hAnsi="宋体" w:eastAsia="宋体" w:cs="宋体"/>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highlight w:val="none"/>
        </w:rPr>
        <w:t xml:space="preserve">本项目中投标人的车辆及设备需按投标文件中配备的标准作为投标报价的测算依据，且用于合同的履行。</w:t>
      </w:r>
      <w:r>
        <w:rPr>
          <w:rFonts w:hint="eastAsia" w:ascii="宋体" w:hAnsi="宋体" w:eastAsia="宋体" w:cs="宋体"/>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各投标人须对项目进行现场踏勘，认识到现状与项目招标要求存在的差异，投标报价时充分考虑在1个月内将作业质量提升至项目招标要求所需成本。</w:t>
      </w:r>
      <w:r>
        <w:rPr>
          <w:rFonts w:hint="eastAsia" w:ascii="宋体" w:hAnsi="宋体" w:eastAsia="宋体" w:cs="宋体"/>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中标单位为全部人员购买人身意外伤害险，须报给采购人备案管理，年底根据实际上交情况做考核处理，如果没有达到要求比例的则相应扣除费用。</w:t>
      </w:r>
      <w:r>
        <w:rPr>
          <w:rFonts w:hint="eastAsia" w:ascii="宋体" w:hAnsi="宋体" w:eastAsia="宋体" w:cs="宋体"/>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采购人根据国家有关规定、招标文件、中标方的投标文件以及合同约定的内容和响应标准在中标后15天内进行现场核查。如中标方所配备的人员和车辆设备没有达到招标文件规定要求，导致项目无法正常运行，采购人有权取消其中标资格，一切损失由中标方负责。</w:t>
      </w:r>
      <w:bookmarkEnd w:id="30"/>
      <w:r>
        <w:rPr>
          <w:rFonts w:hint="eastAsia" w:ascii="宋体" w:hAnsi="宋体" w:eastAsia="宋体" w:cs="宋体"/>
          <w:bCs/>
          <w:sz w:val="24"/>
          <w:szCs w:val="24"/>
          <w:highlight w:val="none"/>
        </w:rPr>
      </w:r>
      <w:r/>
    </w:p>
    <w:p>
      <w:pPr>
        <w:pStyle w:val="1714"/>
        <w:ind w:firstLine="482"/>
        <w:spacing w:line="360" w:lineRule="auto"/>
        <w:tabs>
          <w:tab w:val="left" w:pos="840"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9</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履约保证金：</w:t>
      </w:r>
      <w:r>
        <w:rPr>
          <w:rFonts w:hint="eastAsia" w:ascii="宋体" w:hAnsi="宋体" w:eastAsia="宋体" w:cs="宋体"/>
          <w:b/>
          <w:bCs w:val="0"/>
          <w:sz w:val="24"/>
          <w:szCs w:val="24"/>
          <w:highlight w:val="none"/>
        </w:rPr>
      </w:r>
      <w:r/>
    </w:p>
    <w:p>
      <w:pPr>
        <w:pStyle w:val="1714"/>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收取履约保证金形式：</w:t>
      </w:r>
      <w:r>
        <w:rPr>
          <w:rFonts w:hint="eastAsia" w:ascii="宋体" w:hAnsi="宋体" w:eastAsia="宋体" w:cs="宋体"/>
          <w:b/>
          <w:bCs w:val="0"/>
          <w:color w:val="000000"/>
          <w:sz w:val="24"/>
          <w:szCs w:val="24"/>
          <w:u w:val="single"/>
          <w:lang w:val="en-US" w:eastAsia="zh-CN" w:bidi="ar-SA"/>
        </w:rPr>
        <w:t xml:space="preserve">以保函等非现金形式缴纳或提交</w:t>
      </w:r>
      <w:r>
        <w:rPr>
          <w:rFonts w:hint="eastAsia" w:ascii="宋体" w:hAnsi="宋体" w:eastAsia="宋体" w:cs="宋体"/>
          <w:b/>
          <w:bCs w:val="0"/>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收取履约保证金金额：</w:t>
      </w:r>
      <w:r>
        <w:rPr>
          <w:rFonts w:hint="eastAsia" w:ascii="宋体" w:hAnsi="宋体" w:eastAsia="宋体" w:cs="宋体"/>
          <w:b/>
          <w:bCs w:val="0"/>
          <w:color w:val="000000"/>
          <w:sz w:val="24"/>
          <w:szCs w:val="24"/>
          <w:u w:val="single"/>
          <w:lang w:val="en-US" w:eastAsia="zh-CN" w:bidi="ar-SA"/>
        </w:rPr>
        <w:t xml:space="preserve">合同价款的10%</w:t>
      </w:r>
      <w:r>
        <w:rPr>
          <w:rFonts w:hint="eastAsia" w:ascii="宋体" w:hAnsi="宋体" w:eastAsia="宋体" w:cs="宋体"/>
          <w:b/>
          <w:bCs w:val="0"/>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履约担保期限：</w:t>
      </w:r>
      <w:r>
        <w:rPr>
          <w:rFonts w:hint="eastAsia" w:ascii="宋体" w:hAnsi="宋体" w:eastAsia="宋体" w:cs="宋体"/>
          <w:b/>
          <w:bCs w:val="0"/>
          <w:color w:val="000000"/>
          <w:sz w:val="24"/>
          <w:szCs w:val="24"/>
          <w:highlight w:val="none"/>
          <w:u w:val="single"/>
        </w:rPr>
        <w:t xml:space="preserve">履约保证金将在服务完毕并考核合格后无息退回</w:t>
      </w:r>
      <w:r>
        <w:rPr>
          <w:rFonts w:hint="eastAsia" w:ascii="宋体" w:hAnsi="宋体" w:eastAsia="宋体" w:cs="宋体"/>
          <w:b/>
          <w:bCs w:val="0"/>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履约保证金的缴纳时间：</w:t>
      </w:r>
      <w:r>
        <w:rPr>
          <w:rFonts w:hint="eastAsia" w:ascii="宋体" w:hAnsi="宋体" w:eastAsia="宋体" w:cs="宋体"/>
          <w:b/>
          <w:bCs w:val="0"/>
          <w:color w:val="000000"/>
          <w:sz w:val="24"/>
          <w:szCs w:val="24"/>
          <w:u w:val="single"/>
          <w:lang w:val="en-US" w:eastAsia="zh-CN" w:bidi="ar-SA"/>
        </w:rPr>
        <w:t xml:space="preserve">乙方在签订合同后5个工作日内，向甲方提交履约保证金</w:t>
      </w:r>
      <w:r>
        <w:rPr>
          <w:rFonts w:hint="eastAsia" w:ascii="宋体" w:hAnsi="宋体" w:eastAsia="宋体" w:cs="宋体"/>
          <w:b/>
          <w:bCs w:val="0"/>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退付办法：</w:t>
      </w:r>
      <w:r>
        <w:rPr>
          <w:rFonts w:hint="eastAsia" w:ascii="宋体" w:hAnsi="宋体" w:eastAsia="宋体" w:cs="宋体"/>
          <w:b/>
          <w:bCs w:val="0"/>
          <w:color w:val="000000"/>
          <w:sz w:val="24"/>
          <w:szCs w:val="24"/>
          <w:u w:val="single"/>
          <w:lang w:val="en-US" w:eastAsia="zh-CN" w:bidi="ar-SA"/>
        </w:rPr>
        <w:t xml:space="preserve">与</w:t>
      </w:r>
      <w:r>
        <w:rPr>
          <w:rFonts w:hint="eastAsia" w:ascii="宋体" w:hAnsi="宋体" w:cs="宋体"/>
          <w:b/>
          <w:bCs w:val="0"/>
          <w:color w:val="000000"/>
          <w:sz w:val="24"/>
          <w:szCs w:val="24"/>
          <w:u w:val="single"/>
          <w:lang w:val="en-US" w:eastAsia="zh-CN" w:bidi="ar-SA"/>
        </w:rPr>
        <w:t xml:space="preserve">乙方</w:t>
      </w:r>
      <w:r>
        <w:rPr>
          <w:rFonts w:hint="eastAsia" w:ascii="宋体" w:hAnsi="宋体" w:eastAsia="宋体" w:cs="宋体"/>
          <w:b/>
          <w:bCs w:val="0"/>
          <w:color w:val="000000"/>
          <w:sz w:val="24"/>
          <w:szCs w:val="24"/>
          <w:u w:val="single"/>
          <w:lang w:val="en-US" w:eastAsia="zh-CN" w:bidi="ar-SA"/>
        </w:rPr>
        <w:t xml:space="preserve">提交履约保证金的方式相同</w:t>
      </w:r>
      <w:r>
        <w:rPr>
          <w:rFonts w:hint="eastAsia" w:ascii="宋体" w:hAnsi="宋体" w:eastAsia="宋体" w:cs="宋体"/>
          <w:b/>
          <w:bCs w:val="0"/>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履约保证金不予退还的情形：</w:t>
      </w:r>
      <w:r>
        <w:rPr>
          <w:rFonts w:hint="eastAsia" w:ascii="宋体" w:hAnsi="宋体" w:eastAsia="宋体" w:cs="宋体"/>
          <w:b/>
          <w:bCs w:val="0"/>
          <w:color w:val="000000"/>
          <w:sz w:val="24"/>
          <w:szCs w:val="24"/>
          <w:u w:val="single"/>
          <w:lang w:val="en-US" w:eastAsia="zh-CN" w:bidi="ar-SA"/>
        </w:rPr>
        <w:t xml:space="preserve">①由于中标方的原因不能履约的，②在履行合同期间发生重大安全事故，给采购人造成不良影响和严重经济损失的</w:t>
      </w:r>
      <w:r>
        <w:rPr>
          <w:rFonts w:hint="eastAsia" w:ascii="宋体" w:hAnsi="宋体" w:eastAsia="宋体" w:cs="宋体"/>
          <w:b/>
          <w:bCs w:val="0"/>
          <w:color w:val="000000"/>
          <w:sz w:val="24"/>
          <w:szCs w:val="24"/>
          <w:lang w:val="en-US" w:eastAsia="zh-CN" w:bidi="ar-SA"/>
        </w:rPr>
      </w:r>
      <w:r/>
    </w:p>
    <w:p>
      <w:pPr>
        <w:pStyle w:val="1714"/>
        <w:ind w:firstLine="723"/>
        <w:spacing w:line="360" w:lineRule="auto"/>
        <w:tabs>
          <w:tab w:val="left" w:pos="840" w:leader="none"/>
          <w:tab w:val="left" w:pos="1155" w:leader="none"/>
        </w:tabs>
        <w:rPr>
          <w:rFonts w:hint="eastAsia" w:ascii="宋体" w:hAnsi="宋体" w:eastAsia="宋体" w:cs="宋体"/>
          <w:b/>
          <w:bCs w:val="0"/>
          <w:color w:val="000000"/>
          <w:sz w:val="24"/>
          <w:szCs w:val="24"/>
          <w:u w:val="single"/>
          <w:lang w:val="en-US" w:eastAsia="zh-CN" w:bidi="ar-SA"/>
        </w:rPr>
      </w:pPr>
      <w:r>
        <w:rPr>
          <w:rFonts w:hint="eastAsia" w:ascii="宋体" w:hAnsi="宋体" w:eastAsia="宋体" w:cs="宋体"/>
          <w:b/>
          <w:bCs w:val="0"/>
          <w:color w:val="000000"/>
          <w:sz w:val="24"/>
          <w:szCs w:val="24"/>
          <w:lang w:val="en-US" w:eastAsia="zh-CN" w:bidi="ar-SA"/>
        </w:rPr>
        <w:t xml:space="preserve">逾期退还履约保证金的违约责任：</w:t>
      </w:r>
      <w:r>
        <w:rPr>
          <w:rFonts w:hint="eastAsia" w:ascii="宋体" w:hAnsi="宋体" w:eastAsia="宋体" w:cs="宋体"/>
          <w:b/>
          <w:bCs w:val="0"/>
          <w:color w:val="000000"/>
          <w:sz w:val="24"/>
          <w:szCs w:val="24"/>
          <w:u w:val="single"/>
          <w:lang w:val="en-US" w:eastAsia="zh-CN" w:bidi="ar-SA"/>
        </w:rPr>
        <w:t xml:space="preserve">承担履约保证金金额千分之二/天的违约</w:t>
      </w:r>
      <w:r>
        <w:rPr>
          <w:rFonts w:hint="eastAsia" w:ascii="宋体" w:hAnsi="宋体" w:eastAsia="宋体" w:cs="宋体"/>
          <w:b/>
          <w:bCs w:val="0"/>
          <w:color w:val="000000"/>
          <w:sz w:val="24"/>
          <w:szCs w:val="24"/>
          <w:u w:val="single"/>
          <w:lang w:val="en-US" w:eastAsia="zh-CN" w:bidi="ar-SA"/>
        </w:rPr>
      </w:r>
      <w:r/>
    </w:p>
    <w:p>
      <w:pPr>
        <w:pStyle w:val="1722"/>
        <w:rPr>
          <w:rFonts w:hint="eastAsia" w:eastAsia="宋体"/>
          <w:lang w:eastAsia="zh-CN"/>
        </w:rPr>
      </w:pPr>
      <w:r>
        <w:rPr>
          <w:rFonts w:hint="eastAsia" w:eastAsia="宋体"/>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eastAsia="zh-CN"/>
        </w:rPr>
      </w:r>
      <w:r/>
    </w:p>
    <w:p>
      <w:pPr>
        <w:pStyle w:val="1714"/>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rPr>
      </w:r>
      <w:r/>
    </w:p>
    <w:p>
      <w:pPr>
        <w:pStyle w:val="1714"/>
        <w:ind w:firstLine="482"/>
        <w:jc w:val="center"/>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人员最低配置要求清单</w:t>
      </w:r>
      <w:r>
        <w:rPr>
          <w:rFonts w:hint="eastAsia" w:ascii="宋体" w:hAnsi="宋体" w:eastAsia="宋体" w:cs="宋体"/>
          <w:b/>
          <w:bCs/>
          <w:sz w:val="24"/>
          <w:szCs w:val="24"/>
          <w:highlight w:val="none"/>
        </w:rPr>
      </w:r>
      <w:r/>
    </w:p>
    <w:tbl>
      <w:tblPr>
        <w:tblStyle w:val="1766"/>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1458"/>
        <w:gridCol w:w="1530"/>
        <w:gridCol w:w="1840"/>
        <w:gridCol w:w="1660"/>
        <w:gridCol w:w="1309"/>
      </w:tblGrid>
      <w:tr>
        <w:trPr>
          <w:trHeight w:val="891"/>
        </w:trPr>
        <w:tc>
          <w:tcPr>
            <w:tcW w:w="1808" w:type="dxa"/>
            <w:vAlign w:val="center"/>
            <w:vMerge w:val="restart"/>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tcW w:w="1458" w:type="dxa"/>
            <w:vAlign w:val="center"/>
            <w:vMerge w:val="restart"/>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养护等级</w:t>
            </w:r>
            <w:r>
              <w:rPr>
                <w:rFonts w:hint="eastAsia" w:ascii="宋体" w:hAnsi="宋体" w:eastAsia="宋体" w:cs="宋体"/>
                <w:b/>
                <w:bCs/>
                <w:sz w:val="24"/>
                <w:szCs w:val="24"/>
                <w:highlight w:val="none"/>
              </w:rPr>
            </w:r>
            <w:r/>
          </w:p>
        </w:tc>
        <w:tc>
          <w:tcPr>
            <w:tcW w:w="1530" w:type="dxa"/>
            <w:vAlign w:val="center"/>
            <w:vMerge w:val="restart"/>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绿化面积(㎡)</w:t>
            </w:r>
            <w:r>
              <w:rPr>
                <w:rFonts w:hint="eastAsia" w:ascii="宋体" w:hAnsi="宋体" w:eastAsia="宋体" w:cs="宋体"/>
                <w:b/>
                <w:bCs/>
                <w:sz w:val="24"/>
                <w:szCs w:val="24"/>
                <w:highlight w:val="none"/>
              </w:rPr>
            </w:r>
            <w:r/>
          </w:p>
        </w:tc>
        <w:tc>
          <w:tcPr>
            <w:gridSpan w:val="3"/>
            <w:tcW w:w="4809" w:type="dxa"/>
            <w:vAlign w:val="center"/>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作业人员配置要求</w:t>
            </w:r>
            <w:r>
              <w:rPr>
                <w:rFonts w:hint="eastAsia" w:ascii="宋体" w:hAnsi="宋体" w:eastAsia="宋体" w:cs="宋体"/>
                <w:b/>
                <w:bCs/>
                <w:sz w:val="24"/>
                <w:szCs w:val="24"/>
                <w:highlight w:val="none"/>
              </w:rPr>
            </w:r>
            <w:r/>
          </w:p>
        </w:tc>
      </w:tr>
      <w:tr>
        <w:trPr>
          <w:trHeight w:val="844"/>
        </w:trPr>
        <w:tc>
          <w:tcPr>
            <w:tcW w:w="1808" w:type="dxa"/>
            <w:vAlign w:val="center"/>
            <w:vMerge w:val="continue"/>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1458" w:type="dxa"/>
            <w:vAlign w:val="center"/>
            <w:vMerge w:val="continue"/>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1530" w:type="dxa"/>
            <w:vAlign w:val="center"/>
            <w:vMerge w:val="continue"/>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1840" w:type="dxa"/>
            <w:vAlign w:val="center"/>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普通作业工人总数</w:t>
            </w:r>
            <w:r>
              <w:rPr>
                <w:rFonts w:hint="eastAsia" w:ascii="宋体" w:hAnsi="宋体" w:eastAsia="宋体" w:cs="宋体"/>
                <w:b/>
                <w:bCs/>
                <w:sz w:val="24"/>
                <w:szCs w:val="24"/>
                <w:highlight w:val="none"/>
              </w:rPr>
            </w:r>
            <w:r/>
          </w:p>
        </w:tc>
        <w:tc>
          <w:tcPr>
            <w:tcW w:w="1660" w:type="dxa"/>
            <w:vAlign w:val="center"/>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中级技工</w:t>
            </w:r>
            <w:r>
              <w:rPr>
                <w:rFonts w:hint="eastAsia" w:ascii="宋体" w:hAnsi="宋体" w:eastAsia="宋体" w:cs="宋体"/>
                <w:b/>
                <w:bCs/>
                <w:sz w:val="24"/>
                <w:szCs w:val="24"/>
                <w:highlight w:val="none"/>
              </w:rPr>
            </w:r>
            <w:r/>
          </w:p>
        </w:tc>
        <w:tc>
          <w:tcPr>
            <w:tcW w:w="1309" w:type="dxa"/>
            <w:vAlign w:val="center"/>
            <w:textDirection w:val="lrTb"/>
            <w:noWrap w:val="false"/>
          </w:tcPr>
          <w:p>
            <w:pPr>
              <w:pStyle w:val="1738"/>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高级技工及以上</w:t>
            </w:r>
            <w:r>
              <w:rPr>
                <w:rFonts w:hint="eastAsia" w:ascii="宋体" w:hAnsi="宋体" w:eastAsia="宋体" w:cs="宋体"/>
                <w:b/>
                <w:bCs/>
                <w:sz w:val="24"/>
                <w:szCs w:val="24"/>
                <w:highlight w:val="none"/>
              </w:rPr>
            </w:r>
            <w:r/>
          </w:p>
        </w:tc>
      </w:tr>
      <w:tr>
        <w:trPr>
          <w:trHeight w:val="1083"/>
        </w:trPr>
        <w:tc>
          <w:tcPr>
            <w:tcW w:w="1808" w:type="dxa"/>
            <w:vAlign w:val="center"/>
            <w:textDirection w:val="lrTb"/>
            <w:noWrap w:val="false"/>
          </w:tcPr>
          <w:p>
            <w:pPr>
              <w:pStyle w:val="1738"/>
              <w:ind w:left="0" w:right="0" w:firstLine="0"/>
              <w:jc w:val="center"/>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eastAsia="zh-CN"/>
              </w:rPr>
              <w:t xml:space="preserve">厚桥街道绿化养护K标段</w:t>
            </w:r>
            <w:r>
              <w:rPr>
                <w:rFonts w:hint="eastAsia" w:ascii="宋体" w:hAnsi="宋体" w:eastAsia="宋体" w:cs="宋体"/>
                <w:sz w:val="24"/>
                <w:szCs w:val="24"/>
                <w:highlight w:val="none"/>
                <w:lang w:eastAsia="zh-CN"/>
              </w:rPr>
            </w:r>
            <w:r/>
          </w:p>
        </w:tc>
        <w:tc>
          <w:tcPr>
            <w:tcW w:w="1458" w:type="dxa"/>
            <w:vAlign w:val="center"/>
            <w:textDirection w:val="lrTb"/>
            <w:noWrap w:val="false"/>
          </w:tcPr>
          <w:p>
            <w:pPr>
              <w:pStyle w:val="1738"/>
              <w:ind w:left="0" w:right="0" w:firstLine="0"/>
              <w:jc w:val="center"/>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级</w:t>
            </w:r>
            <w:r>
              <w:rPr>
                <w:rFonts w:hint="eastAsia" w:ascii="宋体" w:hAnsi="宋体" w:eastAsia="宋体" w:cs="宋体"/>
                <w:sz w:val="24"/>
                <w:szCs w:val="24"/>
                <w:highlight w:val="none"/>
              </w:rPr>
            </w:r>
            <w:r/>
          </w:p>
        </w:tc>
        <w:tc>
          <w:tcPr>
            <w:tcW w:w="1530" w:type="dxa"/>
            <w:vAlign w:val="center"/>
            <w:textDirection w:val="lrTb"/>
            <w:noWrap w:val="false"/>
          </w:tcPr>
          <w:p>
            <w:pPr>
              <w:pStyle w:val="1738"/>
              <w:ind w:left="0" w:right="0" w:firstLine="0"/>
              <w:jc w:val="center"/>
              <w:rPr>
                <w:rFonts w:hint="eastAsia" w:ascii="宋体" w:hAnsi="宋体" w:eastAsia="宋体" w:cs="宋体"/>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193962.5</w:t>
            </w:r>
            <w:r>
              <w:rPr>
                <w:rFonts w:hint="eastAsia" w:ascii="宋体" w:hAnsi="宋体" w:eastAsia="宋体" w:cs="宋体"/>
                <w:sz w:val="24"/>
                <w:szCs w:val="24"/>
                <w:highlight w:val="none"/>
                <w:lang w:val="en-US" w:eastAsia="zh-CN"/>
              </w:rPr>
            </w:r>
            <w:r/>
          </w:p>
        </w:tc>
        <w:tc>
          <w:tcPr>
            <w:tcW w:w="1840" w:type="dxa"/>
            <w:vAlign w:val="center"/>
            <w:textDirection w:val="lrTb"/>
            <w:noWrap w:val="false"/>
          </w:tcPr>
          <w:p>
            <w:pPr>
              <w:pStyle w:val="1738"/>
              <w:ind w:left="0" w:right="0" w:firstLine="0"/>
              <w:jc w:val="center"/>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6</w:t>
            </w:r>
            <w:r/>
          </w:p>
        </w:tc>
        <w:tc>
          <w:tcPr>
            <w:tcW w:w="1660" w:type="dxa"/>
            <w:vAlign w:val="center"/>
            <w:textDirection w:val="lrTb"/>
            <w:noWrap w:val="false"/>
          </w:tcPr>
          <w:p>
            <w:pPr>
              <w:pStyle w:val="1738"/>
              <w:ind w:left="0" w:right="0" w:firstLine="0"/>
              <w:jc w:val="center"/>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c>
          <w:tcPr>
            <w:tcW w:w="1309" w:type="dxa"/>
            <w:vAlign w:val="center"/>
            <w:textDirection w:val="lrTb"/>
            <w:noWrap w:val="false"/>
          </w:tcPr>
          <w:p>
            <w:pPr>
              <w:pStyle w:val="1738"/>
              <w:ind w:left="0" w:right="0" w:firstLine="0"/>
              <w:jc w:val="center"/>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r>
    </w:tbl>
    <w:p>
      <w:pPr>
        <w:pStyle w:val="1714"/>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说明：</w:t>
      </w:r>
      <w:r>
        <w:rPr>
          <w:rFonts w:hint="eastAsia" w:ascii="宋体" w:hAnsi="宋体" w:eastAsia="宋体" w:cs="宋体"/>
          <w:b/>
          <w:bCs/>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作业人员配置要求：</w:t>
      </w:r>
      <w:r>
        <w:rPr>
          <w:rFonts w:hint="eastAsia" w:ascii="宋体" w:hAnsi="宋体" w:eastAsia="宋体" w:cs="宋体"/>
          <w:b/>
          <w:bCs/>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每标段配备高级技工及以上1名；</w:t>
      </w:r>
      <w:r>
        <w:rPr>
          <w:rFonts w:hint="eastAsia" w:ascii="宋体" w:hAnsi="宋体" w:eastAsia="宋体" w:cs="宋体"/>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二级养护：每15万平方米配置中级技工及以上1名，每3.5万平方米绿地配绿化普通作业工人1名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714"/>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7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项目负责人需提供园林绿化相关专业中级及以上职称扫描件上传至投标文件并电子签章（园林绿化相关专业职称证书是指：与园林绿化工程规划、设计、施工及养护管理相关的专业，包括园林（含园林规划设计、园林植物、风景园林、园林绿化等）、园艺、城市规划、景观、植物（含植保、森保等）的职称证书），同时需提供由供应商近三个月中任意一个月（不含开标当月）连续三个月为项目负责人缴纳社保的缴费证明（需提供带有清晰二维码的官网扫描件）扫描件上传至投标文件并电子签章，</w:t>
      </w:r>
      <w:r>
        <w:rPr>
          <w:rFonts w:hint="eastAsia" w:ascii="宋体" w:hAnsi="宋体" w:eastAsia="宋体" w:cs="宋体"/>
          <w:b/>
          <w:bCs/>
          <w:color w:val="000000"/>
          <w:sz w:val="24"/>
          <w:szCs w:val="24"/>
          <w:highlight w:val="none"/>
        </w:rPr>
        <w:t xml:space="preserve">若未</w:t>
      </w:r>
      <w:r>
        <w:rPr>
          <w:rFonts w:hint="eastAsia" w:ascii="宋体" w:hAnsi="宋体" w:eastAsia="宋体" w:cs="宋体"/>
          <w:b/>
          <w:bCs/>
          <w:color w:val="000000"/>
          <w:sz w:val="24"/>
          <w:szCs w:val="24"/>
          <w:highlight w:val="none"/>
          <w:lang w:val="en-US" w:eastAsia="zh-CN"/>
        </w:rPr>
        <w:t xml:space="preserve">提供相关材料</w:t>
      </w:r>
      <w:r>
        <w:rPr>
          <w:rFonts w:hint="eastAsia" w:ascii="宋体" w:hAnsi="宋体" w:eastAsia="宋体" w:cs="宋体"/>
          <w:b/>
          <w:bCs/>
          <w:color w:val="000000"/>
          <w:sz w:val="24"/>
          <w:szCs w:val="24"/>
          <w:highlight w:val="none"/>
        </w:rPr>
        <w:t xml:space="preserve">的，作无效投标文件处理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17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技能工人一人一证，其中技能人员和作业工人不得重复。投标人需对此</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b/>
          <w:bCs/>
          <w:color w:val="000000"/>
          <w:sz w:val="24"/>
          <w:szCs w:val="24"/>
          <w:highlight w:val="none"/>
        </w:rPr>
        <w:t xml:space="preserve">的最低配置人数要求作出承诺（格式自拟，</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rPr>
          <w:rFonts w:hint="eastAsia" w:ascii="宋体" w:hAnsi="宋体" w:eastAsia="宋体" w:cs="宋体"/>
          <w:b/>
          <w:bCs/>
          <w:color w:val="000000"/>
          <w:sz w:val="24"/>
          <w:szCs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val="en-US" w:eastAsia="zh-CN"/>
        </w:rPr>
      </w:r>
      <w:r/>
    </w:p>
    <w:p>
      <w:pPr>
        <w:pStyle w:val="1714"/>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714"/>
        <w:ind w:firstLine="482"/>
        <w:jc w:val="center"/>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设备最低配置要求清单</w:t>
      </w:r>
      <w:r>
        <w:rPr>
          <w:rFonts w:hint="eastAsia" w:ascii="宋体" w:hAnsi="宋体" w:eastAsia="宋体" w:cs="宋体"/>
          <w:b/>
          <w:bCs/>
          <w:sz w:val="24"/>
          <w:szCs w:val="24"/>
          <w:highlight w:val="none"/>
        </w:rPr>
      </w:r>
      <w:r/>
    </w:p>
    <w:tbl>
      <w:tblPr>
        <w:tblW w:w="91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8321"/>
      </w:tblGrid>
      <w:tr>
        <w:trPr>
          <w:trHeight w:val="654"/>
        </w:trPr>
        <w:tc>
          <w:tcPr>
            <w:tcW w:w="814" w:type="dxa"/>
            <w:vAlign w:val="center"/>
            <w:textDirection w:val="lrTb"/>
            <w:noWrap w:val="false"/>
          </w:tcPr>
          <w:p>
            <w:pPr>
              <w:pStyle w:val="1714"/>
              <w:jc w:val="center"/>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8321" w:type="dxa"/>
            <w:vAlign w:val="center"/>
            <w:textDirection w:val="lrTb"/>
            <w:noWrap w:val="false"/>
          </w:tcPr>
          <w:p>
            <w:pPr>
              <w:pStyle w:val="1714"/>
              <w:jc w:val="center"/>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设备名称</w:t>
            </w:r>
            <w:r>
              <w:rPr>
                <w:rFonts w:hint="eastAsia" w:ascii="宋体" w:hAnsi="宋体" w:eastAsia="宋体" w:cs="宋体"/>
                <w:b/>
                <w:bCs/>
                <w:color w:val="000000"/>
                <w:sz w:val="24"/>
                <w:szCs w:val="24"/>
                <w:highlight w:val="none"/>
              </w:rPr>
            </w:r>
            <w:r/>
          </w:p>
        </w:tc>
      </w:tr>
      <w:tr>
        <w:trPr>
          <w:trHeight w:val="622"/>
        </w:trPr>
        <w:tc>
          <w:tcPr>
            <w:tcW w:w="814" w:type="dxa"/>
            <w:vAlign w:val="center"/>
            <w:textDirection w:val="lrTb"/>
            <w:noWrap w:val="false"/>
          </w:tcPr>
          <w:p>
            <w:pPr>
              <w:pStyle w:val="1714"/>
              <w:jc w:val="center"/>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8321" w:type="dxa"/>
            <w:vAlign w:val="center"/>
            <w:textDirection w:val="lrTb"/>
            <w:noWrap w:val="false"/>
          </w:tcPr>
          <w:p>
            <w:pPr>
              <w:pStyle w:val="1714"/>
              <w:jc w:val="left"/>
              <w:widowControl/>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辆标准制式水车（核定载质量≥6吨）</w:t>
            </w:r>
            <w:r>
              <w:rPr>
                <w:rFonts w:hint="eastAsia" w:ascii="宋体" w:hAnsi="宋体" w:eastAsia="宋体" w:cs="宋体"/>
                <w:sz w:val="24"/>
                <w:szCs w:val="24"/>
                <w:highlight w:val="none"/>
              </w:rPr>
            </w:r>
            <w:r/>
          </w:p>
        </w:tc>
      </w:tr>
      <w:tr>
        <w:trPr>
          <w:trHeight w:val="622"/>
        </w:trPr>
        <w:tc>
          <w:tcPr>
            <w:tcW w:w="814" w:type="dxa"/>
            <w:vAlign w:val="center"/>
            <w:textDirection w:val="lrTb"/>
            <w:noWrap w:val="false"/>
          </w:tcPr>
          <w:p>
            <w:pPr>
              <w:pStyle w:val="1714"/>
              <w:jc w:val="center"/>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8321" w:type="dxa"/>
            <w:vAlign w:val="center"/>
            <w:textDirection w:val="lrTb"/>
            <w:noWrap w:val="false"/>
          </w:tcPr>
          <w:p>
            <w:pPr>
              <w:pStyle w:val="1714"/>
              <w:jc w:val="left"/>
              <w:widowControl/>
              <w:rPr>
                <w:rFonts w:hint="eastAsia" w:ascii="宋体" w:hAnsi="宋体" w:eastAsia="宋体" w:cs="宋体"/>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割灌机（1台）、绿篱机（1台）、草坪机（1台）、水泵（1台）、碎枝机或枝干粉碎机（1台）</w:t>
            </w:r>
            <w:r>
              <w:rPr>
                <w:rFonts w:hint="eastAsia" w:ascii="宋体" w:hAnsi="宋体" w:eastAsia="宋体" w:cs="宋体"/>
                <w:sz w:val="24"/>
                <w:szCs w:val="24"/>
                <w:highlight w:val="none"/>
              </w:rPr>
            </w:r>
            <w:r/>
          </w:p>
        </w:tc>
      </w:tr>
      <w:tr>
        <w:trPr>
          <w:trHeight w:val="622"/>
        </w:trPr>
        <w:tc>
          <w:tcPr>
            <w:tcW w:w="814" w:type="dxa"/>
            <w:vAlign w:val="center"/>
            <w:textDirection w:val="lrTb"/>
            <w:noWrap w:val="false"/>
          </w:tcPr>
          <w:p>
            <w:pPr>
              <w:pStyle w:val="1714"/>
              <w:jc w:val="center"/>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rPr>
            </w:r>
            <w:r/>
          </w:p>
        </w:tc>
        <w:tc>
          <w:tcPr>
            <w:tcW w:w="8321" w:type="dxa"/>
            <w:vAlign w:val="center"/>
            <w:textDirection w:val="lrTb"/>
            <w:noWrap w:val="false"/>
          </w:tcPr>
          <w:p>
            <w:pPr>
              <w:pStyle w:val="1714"/>
              <w:jc w:val="lef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1辆吊车（汽车起重机）（核定载质量或额定起重量≥8吨）</w:t>
            </w:r>
            <w:r>
              <w:rPr>
                <w:rFonts w:ascii="宋体" w:hAnsi="宋体" w:eastAsia="宋体" w:cs="宋体"/>
                <w:sz w:val="24"/>
                <w:szCs w:val="24"/>
                <w:highlight w:val="none"/>
                <w:lang w:val="en-US" w:eastAsia="zh-CN"/>
              </w:rPr>
            </w:r>
            <w:r/>
          </w:p>
        </w:tc>
      </w:tr>
      <w:tr>
        <w:trPr>
          <w:trHeight w:val="622"/>
        </w:trPr>
        <w:tc>
          <w:tcPr>
            <w:tcW w:w="814" w:type="dxa"/>
            <w:vAlign w:val="center"/>
            <w:textDirection w:val="lrTb"/>
            <w:noWrap w:val="false"/>
          </w:tcPr>
          <w:p>
            <w:pPr>
              <w:pStyle w:val="1714"/>
              <w:jc w:val="center"/>
              <w:widowControl/>
              <w:rPr>
                <w:rFonts w:hint="eastAsia" w:ascii="宋体" w:hAnsi="宋体" w:eastAsia="宋体" w:cs="宋体"/>
                <w:color w:val="000000"/>
                <w:sz w:val="24"/>
                <w:szCs w:val="24"/>
                <w:highlight w:val="none"/>
                <w:lang w:eastAsia="zh-CN" w:bidi="ar"/>
              </w:rPr>
              <w:outlineLvl w:val="9"/>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r>
            <w:r/>
          </w:p>
        </w:tc>
        <w:tc>
          <w:tcPr>
            <w:tcW w:w="8321" w:type="dxa"/>
            <w:vAlign w:val="center"/>
            <w:textDirection w:val="lrTb"/>
            <w:noWrap w:val="false"/>
          </w:tcPr>
          <w:p>
            <w:pPr>
              <w:pStyle w:val="1714"/>
              <w:jc w:val="left"/>
              <w:widowControl/>
              <w:rPr>
                <w:rFonts w:hint="eastAsia" w:ascii="宋体" w:hAnsi="宋体" w:eastAsia="宋体" w:cs="宋体"/>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1辆运输车（核定载质量≥1.5吨，用于运输材料）</w:t>
            </w:r>
            <w:r>
              <w:rPr>
                <w:rFonts w:hint="eastAsia" w:ascii="宋体" w:hAnsi="宋体" w:eastAsia="宋体" w:cs="宋体"/>
                <w:sz w:val="24"/>
                <w:szCs w:val="24"/>
                <w:highlight w:val="none"/>
                <w:lang w:bidi="ar"/>
              </w:rPr>
            </w:r>
            <w:r/>
          </w:p>
        </w:tc>
      </w:tr>
      <w:tr>
        <w:trPr>
          <w:trHeight w:val="622"/>
        </w:trPr>
        <w:tc>
          <w:tcPr>
            <w:tcW w:w="814" w:type="dxa"/>
            <w:vAlign w:val="center"/>
            <w:textDirection w:val="lrTb"/>
            <w:noWrap w:val="false"/>
          </w:tcPr>
          <w:p>
            <w:pPr>
              <w:pStyle w:val="1714"/>
              <w:jc w:val="center"/>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rPr>
            </w:r>
            <w:r/>
          </w:p>
        </w:tc>
        <w:tc>
          <w:tcPr>
            <w:tcW w:w="8321" w:type="dxa"/>
            <w:vAlign w:val="center"/>
            <w:textDirection w:val="lrTb"/>
            <w:noWrap w:val="false"/>
          </w:tcPr>
          <w:p>
            <w:pPr>
              <w:pStyle w:val="1714"/>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1辆客车（12座及以上，用于接送养护工人及应急作业）</w:t>
            </w:r>
            <w:r>
              <w:rPr>
                <w:rFonts w:hint="eastAsia" w:ascii="宋体" w:hAnsi="宋体" w:eastAsia="宋体" w:cs="宋体"/>
                <w:color w:val="000000"/>
                <w:sz w:val="24"/>
                <w:szCs w:val="24"/>
                <w:highlight w:val="none"/>
              </w:rPr>
            </w:r>
            <w:r/>
          </w:p>
        </w:tc>
      </w:tr>
      <w:tr>
        <w:trPr>
          <w:trHeight w:val="622"/>
        </w:trPr>
        <w:tc>
          <w:tcPr>
            <w:tcW w:w="814" w:type="dxa"/>
            <w:vAlign w:val="center"/>
            <w:textDirection w:val="lrTb"/>
            <w:noWrap w:val="false"/>
          </w:tcPr>
          <w:p>
            <w:pPr>
              <w:pStyle w:val="1714"/>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6</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714"/>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1辆多功能抑尘车（核定载质量≥4吨）</w:t>
            </w:r>
            <w:r>
              <w:rPr>
                <w:rFonts w:hint="eastAsia" w:ascii="宋体" w:hAnsi="宋体" w:eastAsia="宋体" w:cs="宋体"/>
                <w:color w:val="000000"/>
                <w:sz w:val="24"/>
                <w:szCs w:val="24"/>
                <w:highlight w:val="none"/>
                <w:lang w:bidi="ar"/>
              </w:rPr>
            </w:r>
            <w:r/>
          </w:p>
        </w:tc>
      </w:tr>
      <w:tr>
        <w:trPr>
          <w:trHeight w:val="622"/>
        </w:trPr>
        <w:tc>
          <w:tcPr>
            <w:tcW w:w="814" w:type="dxa"/>
            <w:vAlign w:val="center"/>
            <w:textDirection w:val="lrTb"/>
            <w:noWrap w:val="false"/>
          </w:tcPr>
          <w:p>
            <w:pPr>
              <w:pStyle w:val="1714"/>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7</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714"/>
              <w:jc w:val="left"/>
              <w:widowControl/>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b w:val="0"/>
                <w:bCs w:val="0"/>
                <w:color w:val="000000"/>
                <w:sz w:val="24"/>
                <w:szCs w:val="24"/>
                <w:highlight w:val="none"/>
                <w:lang w:val="en-US" w:eastAsia="zh-CN"/>
              </w:rPr>
              <w:t xml:space="preserve">1辆高空作业车</w:t>
            </w:r>
            <w:r>
              <w:rPr>
                <w:rFonts w:hint="eastAsia" w:ascii="宋体" w:hAnsi="宋体" w:eastAsia="宋体" w:cs="宋体"/>
                <w:color w:val="000000"/>
                <w:sz w:val="24"/>
                <w:szCs w:val="24"/>
                <w:highlight w:val="none"/>
                <w:lang w:val="en-US" w:eastAsia="zh-CN" w:bidi="ar"/>
              </w:rPr>
            </w:r>
            <w:r/>
          </w:p>
        </w:tc>
      </w:tr>
      <w:tr>
        <w:trPr>
          <w:trHeight w:val="622"/>
        </w:trPr>
        <w:tc>
          <w:tcPr>
            <w:tcW w:w="814" w:type="dxa"/>
            <w:vAlign w:val="center"/>
            <w:textDirection w:val="lrTb"/>
            <w:noWrap w:val="false"/>
          </w:tcPr>
          <w:p>
            <w:pPr>
              <w:pStyle w:val="1714"/>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8</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714"/>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1辆绿篱修剪车</w:t>
            </w:r>
            <w:r>
              <w:rPr>
                <w:rFonts w:hint="eastAsia" w:ascii="宋体" w:hAnsi="宋体" w:eastAsia="宋体" w:cs="宋体"/>
                <w:color w:val="000000"/>
                <w:sz w:val="24"/>
                <w:szCs w:val="24"/>
                <w:highlight w:val="none"/>
                <w:lang w:bidi="ar"/>
              </w:rPr>
            </w:r>
            <w:r/>
          </w:p>
        </w:tc>
      </w:tr>
      <w:tr>
        <w:trPr>
          <w:trHeight w:val="622"/>
        </w:trPr>
        <w:tc>
          <w:tcPr>
            <w:tcW w:w="814" w:type="dxa"/>
            <w:vAlign w:val="center"/>
            <w:textDirection w:val="lrTb"/>
            <w:noWrap w:val="false"/>
          </w:tcPr>
          <w:p>
            <w:pPr>
              <w:pStyle w:val="1714"/>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9</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714"/>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1辆枝叶粉碎车</w:t>
            </w:r>
            <w:r>
              <w:rPr>
                <w:rFonts w:hint="eastAsia" w:ascii="宋体" w:hAnsi="宋体" w:eastAsia="宋体" w:cs="宋体"/>
                <w:color w:val="000000"/>
                <w:sz w:val="24"/>
                <w:szCs w:val="24"/>
                <w:highlight w:val="none"/>
                <w:lang w:bidi="ar"/>
              </w:rPr>
            </w:r>
            <w:r/>
          </w:p>
        </w:tc>
      </w:tr>
    </w:tbl>
    <w:p>
      <w:pPr>
        <w:pStyle w:val="1714"/>
        <w:ind w:firstLine="482"/>
        <w:spacing w:line="360" w:lineRule="auto"/>
        <w:rPr>
          <w:rFonts w:hint="eastAsia"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备注：</w:t>
      </w:r>
      <w:r>
        <w:rPr>
          <w:rFonts w:hint="eastAsia" w:ascii="宋体" w:hAnsi="宋体" w:eastAsia="宋体" w:cs="宋体"/>
          <w:b/>
          <w:bCs/>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在完全满足采购需求的基础上，若采购需求中，明确要求提供相关证明材料的，必须按要求提供，未提供的视为负偏离，作为无效投标文件处理。未明确提供相关证明材料的，由投标人根据自身情况提供材料。</w:t>
      </w:r>
      <w:r>
        <w:rPr>
          <w:rFonts w:hint="eastAsia" w:ascii="宋体" w:hAnsi="宋体" w:eastAsia="宋体" w:cs="宋体"/>
          <w:b/>
          <w:bCs/>
          <w:sz w:val="24"/>
          <w:szCs w:val="24"/>
          <w:highlight w:val="none"/>
        </w:rPr>
      </w:r>
      <w:r/>
    </w:p>
    <w:p>
      <w:pPr>
        <w:pStyle w:val="1714"/>
        <w:ind w:firstLine="482"/>
        <w:jc w:val="left"/>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b/>
          <w:sz w:val="24"/>
          <w:szCs w:val="24"/>
          <w:highlight w:val="none"/>
        </w:rPr>
        <w:t xml:space="preserve">以上所有</w:t>
      </w:r>
      <w:r>
        <w:rPr>
          <w:rFonts w:hint="eastAsia" w:ascii="宋体" w:hAnsi="宋体" w:eastAsia="宋体" w:cs="宋体"/>
          <w:b/>
          <w:sz w:val="24"/>
          <w:szCs w:val="24"/>
          <w:highlight w:val="none"/>
          <w:lang w:val="en-US" w:eastAsia="zh-CN"/>
        </w:rPr>
        <w:t xml:space="preserve">车辆及设备</w:t>
      </w:r>
      <w:r>
        <w:rPr>
          <w:rFonts w:hint="eastAsia" w:ascii="宋体" w:hAnsi="宋体" w:eastAsia="宋体" w:cs="宋体"/>
          <w:b/>
          <w:sz w:val="24"/>
          <w:szCs w:val="24"/>
          <w:highlight w:val="none"/>
        </w:rPr>
        <w:t xml:space="preserve">都须符合项目要求和有关说明中对车辆的配置要求及其他相关要求，在</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拟投入的机械设备表</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格式自拟</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中列明；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扫描件上传至投标文件并电子签章</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或提供承诺书（格式自拟，承诺中标之后20天内提供以上所有机械设备配置至采购人指定现场核查，达到可规范使用状态方可验收通过</w:t>
      </w:r>
      <w:r>
        <w:rPr>
          <w:rFonts w:hint="eastAsia" w:ascii="宋体" w:hAnsi="宋体" w:eastAsia="宋体" w:cs="宋体"/>
          <w:b/>
          <w:bCs/>
          <w:color w:val="000000"/>
          <w:sz w:val="24"/>
          <w:szCs w:val="24"/>
          <w:highlight w:val="none"/>
        </w:rPr>
        <w:t xml:space="preserve">，包括但不限于车辆设备的通行、作业</w:t>
      </w:r>
      <w:r>
        <w:rPr>
          <w:rFonts w:hint="eastAsia" w:ascii="宋体" w:hAnsi="宋体" w:eastAsia="宋体" w:cs="宋体"/>
          <w:b/>
          <w:sz w:val="24"/>
          <w:szCs w:val="24"/>
          <w:highlight w:val="none"/>
          <w:lang w:val="en-US" w:eastAsia="zh-CN"/>
        </w:rPr>
        <w:t xml:space="preserve">），未按要求提供的作无效投标文件处理。</w:t>
      </w:r>
      <w:r>
        <w:rPr>
          <w:rFonts w:ascii="宋体" w:hAnsi="宋体" w:eastAsia="宋体" w:cs="宋体"/>
          <w:sz w:val="24"/>
          <w:szCs w:val="24"/>
          <w:highlight w:val="none"/>
          <w:lang w:val="en-US" w:eastAsia="zh-CN"/>
        </w:rPr>
      </w:r>
      <w:r/>
    </w:p>
    <w:p>
      <w:pPr>
        <w:pStyle w:val="1714"/>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如中标方所配备的作业车辆没有达到招标文件规定要求，导致项目无法正常运行，采购人有权取消其中标资格，一切损失由中标单位负责。</w:t>
      </w:r>
      <w:r>
        <w:rPr>
          <w:rFonts w:hint="eastAsia" w:ascii="宋体" w:hAnsi="宋体" w:eastAsia="宋体" w:cs="宋体"/>
          <w:b/>
          <w:bCs/>
          <w:color w:val="000000"/>
          <w:sz w:val="24"/>
          <w:szCs w:val="24"/>
          <w:highlight w:val="none"/>
        </w:rPr>
      </w:r>
      <w:r/>
    </w:p>
    <w:p>
      <w:pPr>
        <w:pStyle w:val="1714"/>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val="en-US" w:eastAsia="zh-CN"/>
        </w:rPr>
      </w:r>
      <w:r/>
    </w:p>
    <w:p>
      <w:pPr>
        <w:pStyle w:val="1714"/>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附件2：</w:t>
      </w:r>
      <w:r>
        <w:rPr>
          <w:rFonts w:hint="eastAsia" w:ascii="宋体" w:hAnsi="宋体" w:eastAsia="宋体" w:cs="宋体"/>
          <w:sz w:val="24"/>
          <w:szCs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364"/>
        <w:gridCol w:w="3393"/>
        <w:gridCol w:w="1072"/>
        <w:gridCol w:w="1690"/>
      </w:tblGrid>
      <w:tr>
        <w:trPr>
          <w:trHeight w:val="312"/>
        </w:trPr>
        <w:tc>
          <w:tcPr>
            <w:shd w:val="clear" w:color="auto" w:fill="ffffff"/>
            <w:tcW w:w="1387" w:type="dxa"/>
            <w:vAlign w:val="center"/>
            <w:vMerge w:val="restart"/>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rPr>
                <w:rFonts w:hint="eastAsia" w:ascii="黑体" w:hAnsi="宋体" w:eastAsia="黑体" w:cs="黑体"/>
                <w:i w:val="0"/>
                <w:iCs w:val="0"/>
                <w:color w:val="000000"/>
                <w:sz w:val="21"/>
                <w:szCs w:val="21"/>
                <w:u w:val="none"/>
              </w:rPr>
            </w:r>
            <w:r/>
          </w:p>
        </w:tc>
        <w:tc>
          <w:tcPr>
            <w:shd w:val="clear" w:color="auto" w:fill="ffffff"/>
            <w:tcW w:w="1991" w:type="dxa"/>
            <w:vAlign w:val="center"/>
            <w:vMerge w:val="restart"/>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rPr>
                <w:rFonts w:hint="eastAsia" w:ascii="黑体" w:hAnsi="宋体" w:eastAsia="黑体" w:cs="黑体"/>
                <w:i w:val="0"/>
                <w:iCs w:val="0"/>
                <w:color w:val="000000"/>
                <w:sz w:val="21"/>
                <w:szCs w:val="21"/>
                <w:u w:val="none"/>
              </w:rPr>
            </w:r>
            <w:r/>
          </w:p>
        </w:tc>
        <w:tc>
          <w:tcPr>
            <w:shd w:val="clear" w:color="auto" w:fill="ffffff"/>
            <w:tcW w:w="629" w:type="dxa"/>
            <w:vAlign w:val="center"/>
            <w:vMerge w:val="restart"/>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type="textWrapping" w:clear="all"/>
            </w:r>
            <w:r>
              <w:rPr>
                <w:rFonts w:hint="eastAsia" w:ascii="黑体" w:hAnsi="宋体" w:eastAsia="黑体" w:cs="黑体"/>
                <w:i w:val="0"/>
                <w:iCs w:val="0"/>
                <w:color w:val="000000"/>
                <w:sz w:val="21"/>
                <w:szCs w:val="21"/>
                <w:u w:val="none"/>
                <w:lang w:val="en-US" w:eastAsia="zh-CN" w:bidi="ar"/>
              </w:rPr>
              <w:t xml:space="preserve">单位</w:t>
            </w:r>
            <w:r>
              <w:rPr>
                <w:rFonts w:hint="eastAsia" w:ascii="黑体" w:hAnsi="宋体" w:eastAsia="黑体" w:cs="黑体"/>
                <w:i w:val="0"/>
                <w:iCs w:val="0"/>
                <w:color w:val="000000"/>
                <w:sz w:val="21"/>
                <w:szCs w:val="21"/>
                <w:u w:val="none"/>
              </w:rPr>
            </w:r>
            <w:r/>
          </w:p>
        </w:tc>
        <w:tc>
          <w:tcPr>
            <w:shd w:val="clear" w:color="auto" w:fill="ffffff"/>
            <w:tcW w:w="991" w:type="dxa"/>
            <w:vAlign w:val="center"/>
            <w:vMerge w:val="restart"/>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rPr>
                <w:rFonts w:hint="eastAsia" w:ascii="黑体" w:hAnsi="宋体" w:eastAsia="黑体" w:cs="黑体"/>
                <w:i w:val="0"/>
                <w:iCs w:val="0"/>
                <w:color w:val="000000"/>
                <w:sz w:val="21"/>
                <w:szCs w:val="21"/>
                <w:u w:val="none"/>
              </w:rPr>
            </w:r>
            <w:r/>
          </w:p>
        </w:tc>
      </w:tr>
      <w:tr>
        <w:trPr>
          <w:trHeight w:val="1805"/>
        </w:trPr>
        <w:tc>
          <w:tcPr>
            <w:tcW w:w="1387"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走马塘东路东侧</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（厚泽街-厚桥河）</w:t>
            </w:r>
            <w:r>
              <w:rPr>
                <w:rFonts w:hint="eastAsia" w:ascii="宋体" w:hAnsi="宋体" w:eastAsia="宋体" w:cs="宋体"/>
                <w:i w:val="0"/>
                <w:iCs w:val="0"/>
                <w:color w:val="000000"/>
                <w:sz w:val="21"/>
                <w:szCs w:val="21"/>
                <w:u w:val="none"/>
              </w:rPr>
            </w:r>
            <w:r/>
          </w:p>
        </w:tc>
        <w:tc>
          <w:tcPr>
            <w:tcW w:w="1991"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5、含秋季追播黑麦草</w:t>
            </w:r>
            <w:r>
              <w:rPr>
                <w:rFonts w:hint="eastAsia" w:ascii="宋体" w:hAnsi="宋体" w:eastAsia="宋体" w:cs="宋体"/>
                <w:i w:val="0"/>
                <w:iCs w:val="0"/>
                <w:color w:val="000000"/>
                <w:sz w:val="21"/>
                <w:szCs w:val="21"/>
                <w:u w:val="none"/>
              </w:rPr>
            </w:r>
            <w:r/>
          </w:p>
        </w:tc>
        <w:tc>
          <w:tcPr>
            <w:tcW w:w="629" w:type="dxa"/>
            <w:vAlign w:val="center"/>
            <w:textDirection w:val="lrTb"/>
            <w:noWrap w:val="false"/>
          </w:tcPr>
          <w:p>
            <w:pPr>
              <w:pStyle w:val="1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991"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13656</w:t>
            </w:r>
            <w:r>
              <w:rPr>
                <w:rFonts w:hint="eastAsia" w:ascii="宋体" w:hAnsi="宋体" w:eastAsia="宋体" w:cs="宋体"/>
                <w:i w:val="0"/>
                <w:iCs w:val="0"/>
                <w:color w:val="000000"/>
                <w:sz w:val="21"/>
                <w:szCs w:val="21"/>
                <w:u w:val="none"/>
              </w:rPr>
            </w:r>
            <w:r/>
          </w:p>
        </w:tc>
      </w:tr>
      <w:tr>
        <w:trPr>
          <w:trHeight w:val="1275"/>
        </w:trPr>
        <w:tc>
          <w:tcPr>
            <w:tcW w:w="1387"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走马塘东路西侧、高铁线西侧</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（厚嵩路-厚桥河）</w:t>
            </w:r>
            <w:r>
              <w:rPr>
                <w:rFonts w:hint="eastAsia" w:ascii="宋体" w:hAnsi="宋体" w:eastAsia="宋体" w:cs="宋体"/>
                <w:i w:val="0"/>
                <w:iCs w:val="0"/>
                <w:color w:val="000000"/>
                <w:sz w:val="21"/>
                <w:szCs w:val="21"/>
                <w:u w:val="none"/>
                <w:lang w:val="en-US" w:eastAsia="zh-CN" w:bidi="ar"/>
              </w:rPr>
            </w:r>
            <w:r/>
          </w:p>
          <w:p>
            <w:pPr>
              <w:pStyle w:val="1722"/>
              <w:ind w:left="0" w:firstLine="0"/>
              <w:rPr>
                <w:rFonts w:hint="eastAsia"/>
                <w:lang w:val="en-US" w:eastAsia="zh-CN"/>
              </w:rPr>
            </w:pPr>
            <w:r>
              <w:rPr>
                <w:rFonts w:hint="eastAsia"/>
                <w:lang w:val="en-US" w:eastAsia="zh-CN"/>
              </w:rPr>
            </w:r>
            <w:r/>
          </w:p>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嵩山桥北侧走马塘河两侧</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（嵩山桥往北段，厂区北-锡山大道南）</w:t>
            </w:r>
            <w:r>
              <w:rPr>
                <w:rFonts w:hint="eastAsia" w:ascii="宋体" w:hAnsi="宋体" w:eastAsia="宋体" w:cs="宋体"/>
                <w:i w:val="0"/>
                <w:iCs w:val="0"/>
                <w:color w:val="000000"/>
                <w:sz w:val="21"/>
                <w:szCs w:val="21"/>
                <w:u w:val="none"/>
              </w:rPr>
            </w:r>
            <w:r/>
          </w:p>
        </w:tc>
        <w:tc>
          <w:tcPr>
            <w:tcW w:w="1991"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629" w:type="dxa"/>
            <w:vAlign w:val="center"/>
            <w:textDirection w:val="lrTb"/>
            <w:noWrap w:val="false"/>
          </w:tcPr>
          <w:p>
            <w:pPr>
              <w:pStyle w:val="1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991"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84882</w:t>
            </w:r>
            <w:r>
              <w:rPr>
                <w:rFonts w:hint="eastAsia" w:ascii="宋体" w:hAnsi="宋体" w:eastAsia="宋体" w:cs="宋体"/>
                <w:i w:val="0"/>
                <w:iCs w:val="0"/>
                <w:color w:val="000000"/>
                <w:sz w:val="21"/>
                <w:szCs w:val="21"/>
                <w:u w:val="none"/>
              </w:rPr>
            </w:r>
            <w:r/>
          </w:p>
        </w:tc>
      </w:tr>
      <w:tr>
        <w:trPr>
          <w:trHeight w:val="2325"/>
        </w:trPr>
        <w:tc>
          <w:tcPr>
            <w:tcW w:w="1387"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锡太路南绿化</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（锡太路往南-鸿山河往北）</w:t>
            </w:r>
            <w:r>
              <w:rPr>
                <w:rFonts w:hint="eastAsia" w:ascii="宋体" w:hAnsi="宋体" w:eastAsia="宋体" w:cs="宋体"/>
                <w:i w:val="0"/>
                <w:iCs w:val="0"/>
                <w:color w:val="000000"/>
                <w:sz w:val="21"/>
                <w:szCs w:val="21"/>
                <w:u w:val="none"/>
              </w:rPr>
            </w:r>
            <w:r/>
          </w:p>
        </w:tc>
        <w:tc>
          <w:tcPr>
            <w:tcW w:w="1991"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629" w:type="dxa"/>
            <w:vAlign w:val="center"/>
            <w:textDirection w:val="lrTb"/>
            <w:noWrap w:val="false"/>
          </w:tcPr>
          <w:p>
            <w:pPr>
              <w:pStyle w:val="1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991"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95424.5</w:t>
            </w:r>
            <w:r>
              <w:rPr>
                <w:rFonts w:hint="eastAsia" w:ascii="宋体" w:hAnsi="宋体" w:eastAsia="宋体" w:cs="宋体"/>
                <w:i w:val="0"/>
                <w:iCs w:val="0"/>
                <w:color w:val="000000"/>
                <w:sz w:val="21"/>
                <w:szCs w:val="21"/>
                <w:u w:val="none"/>
              </w:rPr>
            </w:r>
            <w:r/>
          </w:p>
        </w:tc>
      </w:tr>
    </w:tbl>
    <w:p>
      <w:pPr>
        <w:pStyle w:val="1734"/>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734"/>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ascii="宋体" w:hAnsi="宋体" w:eastAsia="宋体" w:cs="宋体"/>
          <w:bCs/>
          <w:color w:val="000000"/>
          <w:sz w:val="24"/>
          <w:szCs w:val="24"/>
          <w:highlight w:val="none"/>
          <w:lang w:val="en-US" w:eastAsia="zh-CN" w:bidi="ar-SA"/>
        </w:rPr>
      </w:r>
      <w:r/>
    </w:p>
    <w:p>
      <w:pPr>
        <w:pStyle w:val="1714"/>
        <w:jc w:val="left"/>
        <w:spacing w:line="36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附件4：</w:t>
      </w:r>
      <w:r>
        <w:rPr>
          <w:rFonts w:ascii="宋体" w:hAnsi="宋体" w:eastAsia="宋体" w:cs="宋体"/>
          <w:sz w:val="24"/>
          <w:szCs w:val="24"/>
          <w:highlight w:val="none"/>
          <w:lang w:val="en-US" w:eastAsia="zh-CN"/>
        </w:rPr>
      </w:r>
      <w:r/>
    </w:p>
    <w:p>
      <w:pPr>
        <w:pStyle w:val="1714"/>
        <w:jc w:val="center"/>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t xml:space="preserve">锡山经济技术开发区绿化养护作业导则</w:t>
      </w:r>
      <w:r>
        <w:rPr>
          <w:rFonts w:hint="eastAsia" w:ascii="Times New Roman" w:hAnsi="Times New Roman" w:eastAsia="宋体" w:cs="Times New Roman"/>
          <w:b/>
          <w:bCs/>
          <w:sz w:val="28"/>
          <w:szCs w:val="28"/>
          <w:highlight w:val="none"/>
          <w:lang w:eastAsia="zh-CN"/>
        </w:rPr>
      </w:r>
      <w:r/>
    </w:p>
    <w:p>
      <w:pPr>
        <w:pStyle w:val="1714"/>
        <w:ind w:firstLine="560"/>
        <w:keepLines w:val="0"/>
        <w:keepNext w:val="0"/>
        <w:pageBreakBefore w:val="0"/>
        <w:spacing w:line="360" w:lineRule="auto"/>
        <w:rPr>
          <w:rFonts w:eastAsia="仿宋_GB2312"/>
          <w:sz w:val="28"/>
          <w:szCs w:val="28"/>
        </w:rPr>
      </w:pPr>
      <w:r>
        <w:rPr>
          <w:rFonts w:eastAsia="仿宋_GB2312"/>
          <w:sz w:val="28"/>
          <w:szCs w:val="28"/>
        </w:rPr>
        <w:t xml:space="preserve">为了提高</w:t>
      </w:r>
      <w:r>
        <w:rPr>
          <w:rFonts w:hint="eastAsia" w:eastAsia="仿宋_GB2312"/>
          <w:sz w:val="28"/>
          <w:szCs w:val="28"/>
        </w:rPr>
        <w:t xml:space="preserve">园林绿化</w:t>
      </w:r>
      <w:r>
        <w:rPr>
          <w:rFonts w:eastAsia="仿宋_GB2312"/>
          <w:sz w:val="28"/>
          <w:szCs w:val="28"/>
        </w:rPr>
        <w:t xml:space="preserve">养护管理水平</w:t>
      </w:r>
      <w:r>
        <w:rPr>
          <w:rFonts w:hint="eastAsia" w:eastAsia="仿宋_GB2312"/>
          <w:sz w:val="28"/>
          <w:szCs w:val="28"/>
        </w:rPr>
        <w:t xml:space="preserve">，</w:t>
      </w:r>
      <w:r>
        <w:rPr>
          <w:rFonts w:eastAsia="仿宋_GB2312"/>
          <w:sz w:val="28"/>
          <w:szCs w:val="28"/>
        </w:rPr>
        <w:t xml:space="preserve">加强园林绿化养护技术管理，按照园林绿化养护管理的专业化、标准化、规范化、常态化的要求，制订本导则。</w:t>
      </w:r>
      <w:r>
        <w:rPr>
          <w:rFonts w:eastAsia="仿宋_GB2312"/>
          <w:sz w:val="28"/>
          <w:szCs w:val="28"/>
        </w:rPr>
      </w:r>
      <w:r/>
    </w:p>
    <w:p>
      <w:pPr>
        <w:pStyle w:val="1714"/>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shd w:val="clear" w:color="auto" w:fill="ffffff"/>
        </w:rPr>
        <w:t xml:space="preserve">本养护作业导则设定的养护工作主要内容包括：修剪（含清除萌蘖枝、枯枝死膀）、剥芽</w:t>
      </w:r>
      <w:r>
        <w:rPr>
          <w:rFonts w:hint="eastAsia" w:ascii="仿宋_GB2312" w:hAnsi="仿宋" w:eastAsia="仿宋_GB2312"/>
          <w:sz w:val="28"/>
          <w:szCs w:val="28"/>
        </w:rPr>
        <w:t xml:space="preserve">、病虫害防治、施肥、浇灌、松土除草、打孔、梳草、枯枝及枯死树处理、加土扶正、涂白防护、保洁和环境清理、水生植物管护（含水面保洁）、园林建筑及设施养护、补植翻种及改造、侵占绿地恢复、竣工验收工程量核查移交等。</w:t>
      </w:r>
      <w:r>
        <w:rPr>
          <w:rFonts w:ascii="仿宋_GB2312" w:hAnsi="仿宋" w:eastAsia="仿宋_GB2312"/>
          <w:sz w:val="28"/>
          <w:szCs w:val="28"/>
        </w:rPr>
      </w:r>
      <w:r/>
    </w:p>
    <w:p>
      <w:pPr>
        <w:pStyle w:val="1714"/>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养护工作内容具体安排如下：</w:t>
      </w:r>
      <w:r>
        <w:rPr>
          <w:rFonts w:ascii="仿宋_GB2312" w:hAnsi="仿宋" w:eastAsia="仿宋_GB2312"/>
          <w:sz w:val="28"/>
          <w:szCs w:val="28"/>
        </w:rPr>
      </w:r>
      <w:r/>
    </w:p>
    <w:p>
      <w:pPr>
        <w:pStyle w:val="1714"/>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1.上木类：修剪（含清除萌蘖枝、枯枝死膀）、剥芽、浇灌、松土、病虫害防治、涂白、扶正支撑、安全防护、环境清理及清运。松科植物一般不考虑大的树形修剪。 (表2-1)</w:t>
      </w:r>
      <w:r>
        <w:rPr>
          <w:rFonts w:ascii="仿宋_GB2312" w:hAnsi="仿宋" w:eastAsia="仿宋_GB2312"/>
          <w:sz w:val="28"/>
          <w:szCs w:val="28"/>
          <w:shd w:val="clear" w:color="auto" w:fill="ffffff"/>
        </w:rPr>
      </w:r>
      <w:r/>
    </w:p>
    <w:p>
      <w:pPr>
        <w:pStyle w:val="1714"/>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２.色块绿篱类：修剪整形（含枯枝、死株清理、高篱剥芽）、浇灌、松土除草、病虫害防治、环境清理及清运。 (表2-2)</w:t>
      </w:r>
      <w:r>
        <w:rPr>
          <w:rFonts w:ascii="仿宋_GB2312" w:hAnsi="仿宋" w:eastAsia="仿宋_GB2312"/>
          <w:sz w:val="28"/>
          <w:szCs w:val="28"/>
          <w:shd w:val="clear" w:color="auto" w:fill="ffffff"/>
        </w:rPr>
      </w:r>
      <w:r/>
    </w:p>
    <w:p>
      <w:pPr>
        <w:pStyle w:val="1714"/>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５.草本地被类：修剪整形(含枯枝死株清理)、、浇灌、松土除草、病虫害防治、环境清理及清运。球根、宿根植物分株复壮。(表2-3)</w:t>
      </w:r>
      <w:r>
        <w:rPr>
          <w:rFonts w:ascii="仿宋_GB2312" w:hAnsi="仿宋" w:eastAsia="仿宋_GB2312"/>
          <w:sz w:val="28"/>
          <w:szCs w:val="28"/>
          <w:shd w:val="clear" w:color="auto" w:fill="ffffff"/>
        </w:rPr>
      </w:r>
      <w:r/>
    </w:p>
    <w:p>
      <w:pPr>
        <w:pStyle w:val="1714"/>
        <w:ind w:firstLine="560"/>
        <w:keepLines w:val="0"/>
        <w:keepNext w:val="0"/>
        <w:pageBreakBefore w:val="0"/>
        <w:spacing w:line="360" w:lineRule="auto"/>
        <w:rPr>
          <w:rFonts w:ascii="仿宋_GB2312" w:hAnsi="仿宋" w:eastAsia="仿宋_GB2312"/>
          <w:sz w:val="28"/>
          <w:szCs w:val="28"/>
          <w:shd w:val="clear" w:color="auto" w:fill="ffffff"/>
        </w:rPr>
      </w:pPr>
      <w:r>
        <w:rPr>
          <w:rFonts w:hint="eastAsia" w:ascii="仿宋_GB2312" w:hAnsi="仿宋" w:eastAsia="仿宋_GB2312"/>
          <w:sz w:val="28"/>
          <w:szCs w:val="28"/>
          <w:shd w:val="clear" w:color="auto" w:fill="ffffff"/>
        </w:rPr>
        <w:t xml:space="preserve">６.草坪类：修剪、浇灌、打孔、梳草（结合施肥）、除草、病虫害防治、杂草地清理、环境清理及清运。(表2-4) </w:t>
      </w:r>
      <w:r>
        <w:rPr>
          <w:rFonts w:ascii="仿宋_GB2312" w:hAnsi="仿宋" w:eastAsia="仿宋_GB2312"/>
          <w:sz w:val="28"/>
          <w:szCs w:val="28"/>
          <w:shd w:val="clear" w:color="auto" w:fill="ffffff"/>
        </w:rPr>
      </w:r>
      <w:r/>
    </w:p>
    <w:p>
      <w:pPr>
        <w:pStyle w:val="1714"/>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7.竹类：修剪钩梢、老竹清理、浇灌、松土除草、病虫害防治、环境清理及清运。</w:t>
      </w:r>
      <w:r>
        <w:rPr>
          <w:rFonts w:hint="eastAsia" w:ascii="仿宋_GB2312" w:hAnsi="仿宋" w:eastAsia="仿宋_GB2312"/>
          <w:sz w:val="28"/>
          <w:szCs w:val="28"/>
          <w:shd w:val="clear" w:color="auto" w:fill="ffffff"/>
        </w:rPr>
        <w:t xml:space="preserve">(表2-5)</w:t>
      </w:r>
      <w:r>
        <w:rPr>
          <w:rFonts w:hint="eastAsia" w:ascii="仿宋_GB2312" w:hAnsi="仿宋" w:eastAsia="仿宋_GB2312"/>
          <w:sz w:val="28"/>
          <w:szCs w:val="28"/>
        </w:rPr>
        <w:t xml:space="preserve"> </w:t>
      </w:r>
      <w:r>
        <w:rPr>
          <w:rFonts w:ascii="仿宋_GB2312" w:hAnsi="仿宋" w:eastAsia="仿宋_GB2312"/>
          <w:sz w:val="28"/>
          <w:szCs w:val="28"/>
        </w:rPr>
      </w:r>
      <w:r/>
    </w:p>
    <w:p>
      <w:pPr>
        <w:pStyle w:val="1714"/>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8.水生植物：春季间苗、枯叶死株清理（含水草）、冬季修剪清运、水面保洁、病虫害防治、环境清理及清运。</w:t>
      </w:r>
      <w:r>
        <w:rPr>
          <w:rFonts w:hint="eastAsia" w:ascii="仿宋_GB2312" w:hAnsi="仿宋" w:eastAsia="仿宋_GB2312"/>
          <w:sz w:val="28"/>
          <w:szCs w:val="28"/>
          <w:shd w:val="clear" w:color="auto" w:fill="ffffff"/>
        </w:rPr>
        <w:t xml:space="preserve">(表2-6)</w:t>
      </w:r>
      <w:r>
        <w:rPr>
          <w:rFonts w:ascii="仿宋_GB2312" w:hAnsi="仿宋" w:eastAsia="仿宋_GB2312"/>
          <w:sz w:val="28"/>
          <w:szCs w:val="28"/>
        </w:rPr>
      </w:r>
      <w:r/>
    </w:p>
    <w:p>
      <w:pPr>
        <w:pStyle w:val="1714"/>
        <w:ind w:firstLine="560"/>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盆栽或人工小景水生植物春季翻盆施基肥，自然水域不施肥。</w:t>
      </w:r>
      <w:r>
        <w:rPr>
          <w:rFonts w:ascii="仿宋_GB2312" w:hAnsi="仿宋" w:eastAsia="仿宋_GB2312"/>
          <w:sz w:val="28"/>
          <w:szCs w:val="28"/>
        </w:rPr>
      </w:r>
      <w:r/>
    </w:p>
    <w:p>
      <w:pPr>
        <w:pStyle w:val="1714"/>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9.立体绿化：修剪牵攀（含疏枝绑扎、清理枯枝杂藤杂草）、浇灌、病虫害防治、环境清理及清运。</w:t>
      </w:r>
      <w:r>
        <w:rPr>
          <w:rFonts w:hint="eastAsia" w:ascii="仿宋_GB2312" w:hAnsi="仿宋" w:eastAsia="仿宋_GB2312"/>
          <w:sz w:val="28"/>
          <w:szCs w:val="28"/>
          <w:shd w:val="clear" w:color="auto" w:fill="ffffff"/>
        </w:rPr>
        <w:t xml:space="preserve">(表2-7)</w:t>
      </w:r>
      <w:r>
        <w:rPr>
          <w:rFonts w:ascii="仿宋_GB2312" w:hAnsi="仿宋" w:eastAsia="仿宋_GB2312"/>
          <w:sz w:val="28"/>
          <w:szCs w:val="28"/>
        </w:rPr>
      </w:r>
      <w:r/>
    </w:p>
    <w:p>
      <w:pPr>
        <w:pStyle w:val="1714"/>
        <w:ind w:firstLine="560"/>
        <w:jc w:val="left"/>
        <w:keepLines w:val="0"/>
        <w:keepNext w:val="0"/>
        <w:pageBreakBefore w:val="0"/>
        <w:spacing w:line="360" w:lineRule="auto"/>
        <w:rPr>
          <w:rFonts w:hint="eastAsia" w:ascii="仿宋_GB2312" w:hAnsi="仿宋" w:eastAsia="仿宋_GB2312"/>
          <w:sz w:val="28"/>
          <w:szCs w:val="28"/>
        </w:rPr>
      </w:pPr>
      <w:r>
        <w:rPr>
          <w:rFonts w:hint="eastAsia" w:ascii="仿宋_GB2312" w:hAnsi="仿宋" w:eastAsia="仿宋_GB2312"/>
          <w:sz w:val="28"/>
          <w:szCs w:val="28"/>
        </w:rPr>
        <w:t xml:space="preserve">立体绿化、横纹小品按合同要求的标准执行，支架容器等每月进行安全检查维护。</w:t>
      </w:r>
      <w:r>
        <w:rPr>
          <w:rFonts w:hint="eastAsia" w:ascii="仿宋_GB2312" w:hAnsi="仿宋" w:eastAsia="仿宋_GB2312"/>
          <w:sz w:val="28"/>
          <w:szCs w:val="28"/>
        </w:rPr>
      </w:r>
      <w:r/>
    </w:p>
    <w:p>
      <w:pPr>
        <w:pStyle w:val="1714"/>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lang w:val="en-US" w:eastAsia="zh-CN"/>
        </w:rPr>
        <w:t xml:space="preserve">10.</w:t>
      </w:r>
      <w:r>
        <w:rPr>
          <w:rFonts w:hint="eastAsia" w:ascii="仿宋_GB2312" w:hAnsi="仿宋" w:eastAsia="仿宋_GB2312"/>
          <w:sz w:val="28"/>
          <w:szCs w:val="28"/>
        </w:rPr>
        <w:t xml:space="preserve">草花：清除残花、浇灌、松土除草、病虫害防治、环境清理及清运。</w:t>
      </w:r>
      <w:r>
        <w:rPr>
          <w:rFonts w:hint="eastAsia" w:ascii="仿宋_GB2312" w:hAnsi="仿宋" w:eastAsia="仿宋_GB2312"/>
          <w:sz w:val="28"/>
          <w:szCs w:val="28"/>
          <w:shd w:val="clear" w:color="auto" w:fill="ffffff"/>
        </w:rPr>
        <w:t xml:space="preserve">(表2-8)</w:t>
      </w:r>
      <w:r>
        <w:rPr>
          <w:rFonts w:ascii="仿宋_GB2312" w:hAnsi="仿宋" w:eastAsia="仿宋_GB2312"/>
          <w:sz w:val="28"/>
          <w:szCs w:val="28"/>
        </w:rPr>
      </w:r>
      <w:r/>
    </w:p>
    <w:p>
      <w:pPr>
        <w:pStyle w:val="1714"/>
        <w:ind w:firstLine="560"/>
        <w:jc w:val="left"/>
        <w:keepLines w:val="0"/>
        <w:keepNext w:val="0"/>
        <w:pageBreakBefore w:val="0"/>
        <w:spacing w:line="360" w:lineRule="auto"/>
        <w:rPr>
          <w:rFonts w:hint="eastAsia" w:ascii="仿宋_GB2312" w:hAnsi="仿宋" w:eastAsia="仿宋_GB2312"/>
          <w:sz w:val="28"/>
          <w:szCs w:val="28"/>
        </w:rPr>
      </w:pPr>
      <w:r>
        <w:rPr>
          <w:rFonts w:hint="eastAsia" w:ascii="仿宋_GB2312" w:hAnsi="仿宋" w:eastAsia="仿宋_GB2312"/>
          <w:sz w:val="28"/>
          <w:szCs w:val="28"/>
        </w:rPr>
        <w:t xml:space="preserve">草花换植等按合同要求的标准执行，自衍花卉养护参照执行。</w:t>
      </w:r>
      <w:r>
        <w:rPr>
          <w:rFonts w:hint="eastAsia" w:ascii="仿宋_GB2312" w:hAnsi="仿宋" w:eastAsia="仿宋_GB2312"/>
          <w:sz w:val="28"/>
          <w:szCs w:val="28"/>
        </w:rPr>
      </w:r>
      <w:r/>
    </w:p>
    <w:p>
      <w:pPr>
        <w:pStyle w:val="1714"/>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lang w:val="en-US" w:eastAsia="zh-CN"/>
        </w:rPr>
        <w:t xml:space="preserve">11.</w:t>
      </w:r>
      <w:r>
        <w:rPr>
          <w:rFonts w:hint="eastAsia" w:ascii="仿宋_GB2312" w:hAnsi="仿宋" w:eastAsia="仿宋_GB2312"/>
          <w:sz w:val="28"/>
          <w:szCs w:val="28"/>
        </w:rPr>
        <w:t xml:space="preserve">古树名木：修剪剥芽（含清除枯枝及死膀）、浇灌、松土除草、病虫害防治、环境清理及清运。</w:t>
      </w:r>
      <w:r>
        <w:rPr>
          <w:rFonts w:hint="eastAsia" w:ascii="仿宋_GB2312" w:hAnsi="仿宋" w:eastAsia="仿宋_GB2312"/>
          <w:sz w:val="28"/>
          <w:szCs w:val="28"/>
          <w:shd w:val="clear" w:color="auto" w:fill="ffffff"/>
        </w:rPr>
        <w:t xml:space="preserve">(表2-9)</w:t>
      </w:r>
      <w:r>
        <w:rPr>
          <w:rFonts w:ascii="仿宋_GB2312" w:hAnsi="仿宋" w:eastAsia="仿宋_GB2312"/>
          <w:sz w:val="28"/>
          <w:szCs w:val="28"/>
        </w:rPr>
      </w:r>
      <w:r/>
    </w:p>
    <w:p>
      <w:pPr>
        <w:pStyle w:val="1714"/>
        <w:ind w:firstLine="560"/>
        <w:jc w:val="left"/>
        <w:keepLines w:val="0"/>
        <w:keepNext w:val="0"/>
        <w:pageBreakBefore w:val="0"/>
        <w:spacing w:line="360" w:lineRule="auto"/>
        <w:rPr>
          <w:rFonts w:ascii="仿宋_GB2312" w:hAnsi="仿宋" w:eastAsia="仿宋_GB2312"/>
          <w:sz w:val="28"/>
          <w:szCs w:val="28"/>
        </w:rPr>
      </w:pPr>
      <w:r>
        <w:rPr>
          <w:rFonts w:hint="eastAsia" w:ascii="仿宋_GB2312" w:hAnsi="仿宋" w:eastAsia="仿宋_GB2312"/>
          <w:sz w:val="28"/>
          <w:szCs w:val="28"/>
        </w:rPr>
        <w:t xml:space="preserve">古树名木养护管理具体按相关规范执行。枝干防腐、根系保护等按需进行。</w:t>
      </w:r>
      <w:r>
        <w:rPr>
          <w:rFonts w:ascii="仿宋_GB2312" w:hAnsi="仿宋" w:eastAsia="仿宋_GB2312"/>
          <w:sz w:val="28"/>
          <w:szCs w:val="28"/>
        </w:rPr>
      </w:r>
      <w:r/>
    </w:p>
    <w:p>
      <w:pPr>
        <w:pStyle w:val="1714"/>
        <w:ind w:firstLine="560"/>
        <w:jc w:val="left"/>
        <w:keepLines w:val="0"/>
        <w:keepNext w:val="0"/>
        <w:pageBreakBefore w:val="0"/>
        <w:spacing w:line="360" w:lineRule="auto"/>
        <w:rPr>
          <w:rFonts w:ascii="仿宋_GB2312" w:hAnsi="仿宋" w:eastAsia="仿宋_GB2312"/>
          <w:sz w:val="28"/>
          <w:szCs w:val="28"/>
        </w:rPr>
      </w:pPr>
      <w:r>
        <w:rPr>
          <w:rFonts w:ascii="仿宋_GB2312" w:hAnsi="仿宋" w:eastAsia="仿宋_GB2312"/>
          <w:sz w:val="28"/>
          <w:szCs w:val="28"/>
        </w:rPr>
      </w:r>
      <w:r/>
    </w:p>
    <w:p>
      <w:pPr>
        <w:pStyle w:val="1714"/>
        <w:ind w:firstLine="560"/>
        <w:jc w:val="left"/>
        <w:keepLines w:val="0"/>
        <w:keepNext w:val="0"/>
        <w:pageBreakBefore w:val="0"/>
        <w:spacing w:line="360" w:lineRule="auto"/>
        <w:widowControl/>
        <w:rPr>
          <w:rFonts w:ascii="方正小标宋简体" w:eastAsia="方正小标宋简体"/>
          <w:sz w:val="28"/>
          <w:szCs w:val="28"/>
        </w:rPr>
        <w:sectPr>
          <w:footnotePr/>
          <w:endnotePr/>
          <w:type w:val="nextPage"/>
          <w:pgSz w:w="11907" w:h="16840" w:orient="portrait"/>
          <w:pgMar w:top="1418" w:right="1006" w:bottom="1418" w:left="911" w:header="851" w:footer="992" w:gutter="0"/>
          <w:cols w:num="1" w:sep="0" w:space="1701" w:equalWidth="1"/>
          <w:docGrid w:linePitch="360"/>
        </w:sectPr>
      </w:pPr>
      <w:r>
        <w:rPr>
          <w:rFonts w:ascii="方正小标宋简体" w:eastAsia="方正小标宋简体"/>
          <w:sz w:val="28"/>
          <w:szCs w:val="28"/>
        </w:rPr>
      </w:r>
      <w:r/>
    </w:p>
    <w:p>
      <w:pPr>
        <w:pStyle w:val="1714"/>
        <w:jc w:val="center"/>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t xml:space="preserve">锡山经济技术开发区园林绿化养护管理导则</w:t>
      </w:r>
      <w:r>
        <w:rPr>
          <w:rFonts w:hint="eastAsia" w:ascii="Times New Roman" w:hAnsi="Times New Roman" w:eastAsia="宋体" w:cs="Times New Roman"/>
          <w:b/>
          <w:bCs/>
          <w:sz w:val="28"/>
          <w:szCs w:val="28"/>
          <w:highlight w:val="none"/>
          <w:lang w:eastAsia="zh-CN"/>
        </w:rPr>
      </w:r>
      <w:r/>
    </w:p>
    <w:p>
      <w:pPr>
        <w:pStyle w:val="1714"/>
        <w:ind w:firstLine="560"/>
        <w:keepLines w:val="0"/>
        <w:keepNext w:val="0"/>
        <w:pageBreakBefore w:val="0"/>
        <w:spacing w:line="360" w:lineRule="auto"/>
        <w:widowControl w:val="off"/>
        <w:rPr>
          <w:rFonts w:eastAsia="楷体"/>
          <w:sz w:val="28"/>
          <w:szCs w:val="28"/>
        </w:rPr>
      </w:pPr>
      <w:r>
        <w:rPr>
          <w:rFonts w:hint="eastAsia" w:eastAsia="楷体"/>
          <w:sz w:val="28"/>
          <w:szCs w:val="28"/>
        </w:rPr>
        <w:t xml:space="preserve">1.</w:t>
      </w:r>
      <w:r>
        <w:rPr>
          <w:rFonts w:eastAsia="楷体"/>
          <w:sz w:val="28"/>
          <w:szCs w:val="28"/>
        </w:rPr>
        <w:t xml:space="preserve">一级养护</w:t>
      </w:r>
      <w:r>
        <w:rPr>
          <w:rFonts w:eastAsia="楷体"/>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1.1行道树：植株青枝绿叶，长势茂盛（含地被植物），树冠丰满完整。植株无徒长枝、病虫枝、过密枝、并生枝、交叉枝、下垂枝、枯枝、伤损枝。道路行道树要有群体特色效果，品种统一，姿态协调，补植树木品种规格也应保持一致。无缺株、死树，植株不倾斜，无断桩、坏桩，桩位扎缚规范化。基本无病虫害危害迹象。其中蛀干性害虫危害率不超过3％。有防治措施。</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1.2</w:t>
      </w:r>
      <w:r>
        <w:rPr>
          <w:rFonts w:hint="eastAsia" w:eastAsia="仿宋_GB2312"/>
          <w:sz w:val="28"/>
          <w:szCs w:val="28"/>
          <w:lang w:eastAsia="zh-CN"/>
        </w:rPr>
        <w:t xml:space="preserve">其他树木</w:t>
      </w:r>
      <w:r>
        <w:rPr>
          <w:rFonts w:eastAsia="仿宋_GB2312"/>
          <w:sz w:val="28"/>
          <w:szCs w:val="28"/>
        </w:rPr>
        <w:t xml:space="preserve">：生长旺盛，树冠整齐，主侧枝分枝均匀，数量适宜，内膛通风透光；叶色正常，无卷叶、黄叶（生长季节），无病虫害；枝干健壮，无枯死枝，无蛀干性病虫危害；缺株在2%以下（含2%）。不得连续2棵缺株，补植树木与原树木径级不超过20%；树穴内无垃圾杂草、土壤松疏。</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1.3花卉：植株健壮，花型正，花色艳，株行距适宜，不露底土，覆盖面达90%以上；花卉生长正常，无枯枝残花（残花量≤10%），无缺株、倒伏；花坛图案清晰，色彩鲜艳，花朵繁茂，花期一致；花径花卉层次分明，高矮有序。</w:t>
      </w:r>
      <w:r>
        <w:rPr>
          <w:rFonts w:eastAsia="仿宋_GB2312"/>
          <w:sz w:val="28"/>
          <w:szCs w:val="28"/>
        </w:rPr>
      </w:r>
      <w:r/>
    </w:p>
    <w:p>
      <w:pPr>
        <w:pStyle w:val="1714"/>
        <w:ind w:firstLine="560"/>
        <w:keepLines w:val="0"/>
        <w:keepNext w:val="0"/>
        <w:pageBreakBefore w:val="0"/>
        <w:spacing w:line="360" w:lineRule="auto"/>
        <w:widowControl w:val="off"/>
        <w:rPr>
          <w:rFonts w:ascii="Times New Roman" w:hAnsi="Times New Roman" w:eastAsia="仿宋_GB2312" w:cs="Times New Roman"/>
          <w:sz w:val="28"/>
          <w:szCs w:val="28"/>
        </w:rPr>
      </w:pPr>
      <w:r>
        <w:rPr>
          <w:rFonts w:ascii="Times New Roman" w:hAnsi="Times New Roman" w:eastAsia="仿宋_GB2312" w:cs="Times New Roman"/>
          <w:sz w:val="28"/>
          <w:szCs w:val="28"/>
        </w:rPr>
        <w:t xml:space="preserve">1.4绿篱及地被：生长茂盛，枝条茂密；修剪成型，完整无缺；无杂物。</w:t>
      </w:r>
      <w:r>
        <w:rPr>
          <w:rFonts w:ascii="Times New Roman" w:hAnsi="Times New Roman" w:eastAsia="仿宋_GB2312" w:cs="Times New Roman"/>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1.5草坪：生长旺盛，草根不裸露；生长季节不枯黄，杂草率≤15%，覆盖率达95%以上；修剪及时，修剪高度符合要求，无堆料堆物；集中空秃面积不超过0.1M2。</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1.6病虫害控制：食叶性害虫危害的叶片每株小于5%，刺吸性害虫危害的叶片每株小于10%，蛀干性害虫率小于3%，基本无危害迹象。</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1.7杂草控制：无杂草。</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1.8环境卫生：绿地整洁。</w:t>
      </w:r>
      <w:r>
        <w:rPr>
          <w:rFonts w:eastAsia="仿宋_GB2312"/>
          <w:sz w:val="28"/>
          <w:szCs w:val="28"/>
        </w:rPr>
      </w:r>
      <w:r/>
    </w:p>
    <w:p>
      <w:pPr>
        <w:pStyle w:val="1714"/>
        <w:ind w:firstLine="560"/>
        <w:keepLines w:val="0"/>
        <w:keepNext w:val="0"/>
        <w:pageBreakBefore w:val="0"/>
        <w:spacing w:line="360" w:lineRule="auto"/>
        <w:widowControl w:val="off"/>
        <w:rPr>
          <w:rFonts w:eastAsia="楷体"/>
          <w:sz w:val="28"/>
          <w:szCs w:val="28"/>
        </w:rPr>
      </w:pPr>
      <w:r>
        <w:rPr>
          <w:rFonts w:eastAsia="楷体"/>
          <w:sz w:val="28"/>
          <w:szCs w:val="28"/>
        </w:rPr>
        <w:t xml:space="preserve">2.二级养护</w:t>
      </w:r>
      <w:r>
        <w:rPr>
          <w:rFonts w:eastAsia="楷体"/>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2.1行道树：树冠完整，长势良好。植株基本无徒长枝、病虫枝、过密枝、并生枝、交叉枝、下垂枝、枯枝。行道树品种统一，有良好的外观和遮荫效果，无死树，无缺株现象，基本无断桩，坏桩，桩位扎缚有效。病虫害危害未达到明显程度。其中，蛀干性害虫危害不超过5％。有一定的防治措施。</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2.2</w:t>
      </w:r>
      <w:r>
        <w:rPr>
          <w:rFonts w:hint="eastAsia" w:eastAsia="仿宋_GB2312"/>
          <w:sz w:val="28"/>
          <w:szCs w:val="28"/>
          <w:lang w:eastAsia="zh-CN"/>
        </w:rPr>
        <w:t xml:space="preserve">其他树木</w:t>
      </w:r>
      <w:r>
        <w:rPr>
          <w:rFonts w:eastAsia="仿宋_GB2312"/>
          <w:sz w:val="28"/>
          <w:szCs w:val="28"/>
        </w:rPr>
        <w:t xml:space="preserve">：生长正常，树冠基本完整，主侧枝分枝基本均匀，数量适宜，内膛通风透光；叶色基本正常，有少量黄叶（生长季节）、焦叶、卷叶，有少量虫粪；枝干生长正常，无明显枯死枝，病虫害虽有发生，但能及时根除；缺株在4%以下（含4%）。不得连续3棵缺株，补植树木与原树木径级不超过30%；树穴无垃圾杂草、土壤不板结。</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2.3花卉：花卉植株生长良好，花色艳丽，具有一定的株行距，不露底土，覆盖面达85%以上；花卉生长正常（残花量≤15%），缺株、倒伏不超过3-5处，无枯枝残花；花期基本一致。    </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2.4绿篱及地被：生长正常。无明显枯枝、断枝；修剪及时，形状较完整；基本无杂物。</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2.5草坪：生长良好，杂草率≤25%，覆盖率达90%以上；修剪高度符合要求，能及时处理堆料堆物；单块空秃面积不超过0.2M2。</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2.6病虫害控制：食叶性害虫危害的叶片每株小于10%，刺吸性害虫危害的叶片每株小于20%，蛀干性害虫危害率小于5%，无明显危害迹象。</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2.7杂草控制：基本无杂草。无缠绕性、</w:t>
      </w:r>
      <w:r>
        <w:rPr>
          <w:rFonts w:hint="eastAsia" w:eastAsia="仿宋_GB2312"/>
          <w:sz w:val="28"/>
          <w:szCs w:val="28"/>
          <w:lang w:eastAsia="zh-CN"/>
        </w:rPr>
        <w:t xml:space="preserve">攀缘</w:t>
      </w:r>
      <w:r>
        <w:rPr>
          <w:rFonts w:eastAsia="仿宋_GB2312"/>
          <w:sz w:val="28"/>
          <w:szCs w:val="28"/>
        </w:rPr>
        <w:t xml:space="preserve">性杂草。杂草高度控制在6cm以下，不影响景观效果。</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2.8环境卫生：绿地整洁。</w:t>
      </w:r>
      <w:r>
        <w:rPr>
          <w:rFonts w:eastAsia="仿宋_GB2312"/>
          <w:sz w:val="28"/>
          <w:szCs w:val="28"/>
        </w:rPr>
      </w:r>
      <w:r/>
    </w:p>
    <w:p>
      <w:pPr>
        <w:pStyle w:val="1714"/>
        <w:ind w:firstLine="560"/>
        <w:keepLines w:val="0"/>
        <w:keepNext w:val="0"/>
        <w:pageBreakBefore w:val="0"/>
        <w:spacing w:line="360" w:lineRule="auto"/>
        <w:widowControl w:val="off"/>
        <w:rPr>
          <w:rFonts w:eastAsia="楷体"/>
          <w:sz w:val="28"/>
          <w:szCs w:val="28"/>
        </w:rPr>
      </w:pPr>
      <w:r>
        <w:rPr>
          <w:rFonts w:eastAsia="楷体"/>
          <w:sz w:val="28"/>
          <w:szCs w:val="28"/>
        </w:rPr>
        <w:t xml:space="preserve">3</w:t>
      </w:r>
      <w:r>
        <w:rPr>
          <w:rFonts w:hint="eastAsia" w:eastAsia="楷体"/>
          <w:sz w:val="28"/>
          <w:szCs w:val="28"/>
        </w:rPr>
        <w:t xml:space="preserve">.</w:t>
      </w:r>
      <w:r>
        <w:rPr>
          <w:rFonts w:eastAsia="楷体"/>
          <w:sz w:val="28"/>
          <w:szCs w:val="28"/>
        </w:rPr>
        <w:t xml:space="preserve">三级养护</w:t>
      </w:r>
      <w:r>
        <w:rPr>
          <w:rFonts w:eastAsia="楷体"/>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3.1行道树：保持树冠基本完整。无死树、无缺株现象。有病虫害控制措施，其中，蛀干性害虫危害率不超过10％。有一定的防治措施。</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3.2</w:t>
      </w:r>
      <w:r>
        <w:rPr>
          <w:rFonts w:hint="eastAsia" w:eastAsia="仿宋_GB2312"/>
          <w:sz w:val="28"/>
          <w:szCs w:val="28"/>
          <w:lang w:eastAsia="zh-CN"/>
        </w:rPr>
        <w:t xml:space="preserve">其他树木</w:t>
      </w:r>
      <w:r>
        <w:rPr>
          <w:rFonts w:eastAsia="仿宋_GB2312"/>
          <w:sz w:val="28"/>
          <w:szCs w:val="28"/>
        </w:rPr>
        <w:t xml:space="preserve">：生长基本正常，树冠基本完整，选留主侧枝基本合理，内膛基本通风透气；叶色基本正常，有部分黄叶（生长季节）、焦叶、卷叶，有部分虫粪，有被虫咬食的痕迹；枝干生长正常，有少量枯死枝，有少量蛀干病虫为害；缺株在6%以下（含6%）。不得连续4棵缺株，补植树木与原树木径级不超过40%；树穴内基本无垃圾及高型杂草。</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3.3花卉：有整体色彩效果,不露底土，覆盖面达80%以上；花卉生长基本正常，枯枝败叶清理不够及时，有部分枯枝残花（残花量≤25%）；适时开花。  </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3.4绿篱及地被：生长基本正常，有少量枯枝、断枝；修剪能在规定时间内完成；无明显的杂物。</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3.5草坪：生长基本正常，杂草率≤35%，覆盖率达85%以上；修剪高度基本符合要求，堆料堆场清理能在规定期限内完成；单块空秃面积不超过0.3M2。</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3.6病虫害控制：食叶性害虫危害的叶片每株小于15%，刺吸性害虫危害的叶片每株小于30%，蛀干性害虫危害率小于10%，无因病害而引起断枝倒伏现象。</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3.7杂草控制：无缠绕性、</w:t>
      </w:r>
      <w:r>
        <w:rPr>
          <w:rFonts w:hint="eastAsia" w:eastAsia="仿宋_GB2312"/>
          <w:sz w:val="28"/>
          <w:szCs w:val="28"/>
          <w:lang w:eastAsia="zh-CN"/>
        </w:rPr>
        <w:t xml:space="preserve">攀缘</w:t>
      </w:r>
      <w:r>
        <w:rPr>
          <w:rFonts w:eastAsia="仿宋_GB2312"/>
          <w:sz w:val="28"/>
          <w:szCs w:val="28"/>
        </w:rPr>
        <w:t xml:space="preserve">性杂草。控制杂草高度以不影响景观效果为度。</w:t>
      </w:r>
      <w:r>
        <w:rPr>
          <w:rFonts w:eastAsia="仿宋_GB2312"/>
          <w:sz w:val="28"/>
          <w:szCs w:val="28"/>
        </w:rPr>
      </w:r>
      <w:r/>
    </w:p>
    <w:p>
      <w:pPr>
        <w:pStyle w:val="1714"/>
        <w:ind w:firstLine="560"/>
        <w:keepLines w:val="0"/>
        <w:keepNext w:val="0"/>
        <w:pageBreakBefore w:val="0"/>
        <w:spacing w:line="360" w:lineRule="auto"/>
        <w:widowControl w:val="off"/>
        <w:rPr>
          <w:rFonts w:eastAsia="仿宋_GB2312"/>
          <w:sz w:val="28"/>
          <w:szCs w:val="28"/>
        </w:rPr>
      </w:pPr>
      <w:r>
        <w:rPr>
          <w:rFonts w:eastAsia="仿宋_GB2312"/>
          <w:sz w:val="28"/>
          <w:szCs w:val="28"/>
        </w:rPr>
        <w:t xml:space="preserve">3.8环境卫生：绿地整洁。</w:t>
      </w:r>
      <w:r>
        <w:rPr>
          <w:rFonts w:eastAsia="仿宋_GB2312"/>
          <w:sz w:val="28"/>
          <w:szCs w:val="28"/>
        </w:rPr>
      </w:r>
      <w:r/>
    </w:p>
    <w:p>
      <w:pPr>
        <w:pStyle w:val="1714"/>
        <w:ind w:firstLine="560"/>
        <w:jc w:val="left"/>
        <w:keepLines w:val="0"/>
        <w:keepNext w:val="0"/>
        <w:pageBreakBefore w:val="0"/>
        <w:spacing w:line="360" w:lineRule="auto"/>
        <w:widowControl/>
        <w:rPr>
          <w:rFonts w:ascii="仿宋_GB2312" w:hAnsi="宋体" w:eastAsia="仿宋_GB2312"/>
          <w:color w:val="000000"/>
          <w:sz w:val="28"/>
          <w:szCs w:val="28"/>
        </w:rPr>
        <w:sectPr>
          <w:footnotePr/>
          <w:endnotePr/>
          <w:type w:val="nextPage"/>
          <w:pgSz w:w="11907" w:h="16840" w:orient="portrait"/>
          <w:pgMar w:top="1418" w:right="1006" w:bottom="1418" w:left="911" w:header="851" w:footer="992" w:gutter="0"/>
          <w:cols w:num="1" w:sep="0" w:space="1701" w:equalWidth="1"/>
          <w:docGrid w:linePitch="360"/>
        </w:sectPr>
      </w:pPr>
      <w:r>
        <w:rPr>
          <w:rFonts w:ascii="仿宋_GB2312" w:hAnsi="宋体" w:eastAsia="仿宋_GB2312"/>
          <w:color w:val="000000"/>
          <w:sz w:val="28"/>
          <w:szCs w:val="28"/>
        </w:rPr>
      </w:r>
      <w:r/>
    </w:p>
    <w:tbl>
      <w:tblPr>
        <w:tblpPr w:horzAnchor="margin" w:tblpXSpec="center" w:vertAnchor="text" w:tblpY="138" w:leftFromText="180" w:topFromText="0" w:rightFromText="180" w:bottomFromText="0"/>
        <w:tblW w:w="10635" w:type="dxa"/>
        <w:tblInd w:w="-15" w:type="dxa"/>
        <w:tblLayout w:type="fixed"/>
        <w:tblCellMar>
          <w:left w:w="15" w:type="dxa"/>
          <w:top w:w="15" w:type="dxa"/>
          <w:right w:w="15" w:type="dxa"/>
          <w:bottom w:w="15" w:type="dxa"/>
        </w:tblCellMar>
        <w:tblLook w:val="04A0" w:firstRow="1" w:lastRow="0" w:firstColumn="1" w:lastColumn="0" w:noHBand="0" w:noVBand="1"/>
      </w:tblPr>
      <w:tblGrid>
        <w:gridCol w:w="855"/>
        <w:gridCol w:w="2415"/>
        <w:gridCol w:w="3900"/>
        <w:gridCol w:w="3465"/>
      </w:tblGrid>
      <w:tr>
        <w:trPr>
          <w:trHeight w:val="285"/>
        </w:trPr>
        <w:tc>
          <w:tcPr>
            <w:gridSpan w:val="4"/>
            <w:tcBorders>
              <w:top w:val="none" w:color="000000" w:sz="0" w:space="0"/>
              <w:left w:val="none" w:color="000000" w:sz="0" w:space="0"/>
              <w:bottom w:val="single" w:color="000000" w:sz="4" w:space="0"/>
              <w:right w:val="none" w:color="000000" w:sz="0" w:space="0"/>
            </w:tcBorders>
            <w:tcW w:w="10635" w:type="dxa"/>
            <w:vAlign w:val="center"/>
            <w:textDirection w:val="lrTb"/>
            <w:noWrap w:val="false"/>
          </w:tcPr>
          <w:p>
            <w:pPr>
              <w:pStyle w:val="1714"/>
              <w:ind w:left="0" w:right="0" w:firstLine="0"/>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38"/>
            </w:pPr>
            <w:r>
              <w:rPr>
                <w:rFonts w:hint="eastAsia" w:ascii="仿宋" w:hAnsi="仿宋" w:eastAsia="仿宋" w:cs="仿宋"/>
                <w:b/>
                <w:color w:val="000000"/>
                <w:sz w:val="24"/>
                <w:szCs w:val="24"/>
              </w:rPr>
              <w:t xml:space="preserve">上木类养护工作主要内容表(表2-1)</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none" w:color="000000" w:sz="0"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none" w:color="000000" w:sz="0"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none" w:color="000000" w:sz="0" w:space="0"/>
            </w:tcBorders>
            <w:tcW w:w="3900"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none" w:color="000000" w:sz="0" w:space="0"/>
              <w:right w:val="single" w:color="000000" w:sz="4" w:space="0"/>
            </w:tcBorders>
            <w:tcW w:w="346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修剪</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休眠期修剪1次，萌芽期修剪1次，按全年总体2次计。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含清除</w:t>
            </w:r>
            <w:r>
              <w:rPr>
                <w:rFonts w:hint="eastAsia" w:ascii="仿宋" w:hAnsi="仿宋" w:eastAsia="仿宋" w:cs="仿宋"/>
                <w:color w:val="000000"/>
                <w:sz w:val="24"/>
                <w:szCs w:val="24"/>
                <w:lang w:eastAsia="zh-CN"/>
              </w:rPr>
              <w:t xml:space="preserve">萌蘖</w:t>
            </w:r>
            <w:r>
              <w:rPr>
                <w:rFonts w:hint="eastAsia" w:ascii="仿宋" w:hAnsi="仿宋" w:eastAsia="仿宋" w:cs="仿宋"/>
                <w:color w:val="000000"/>
                <w:sz w:val="24"/>
                <w:szCs w:val="24"/>
              </w:rPr>
              <w:t xml:space="preserve">枝、清枯枝、死膀及死树。</w:t>
            </w: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剥芽</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生长期剥芽2次，休眠期剥芽1次，按全年总体3次计。</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新植或扶正2年内，一年6次，其余按全年总体1次计。</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松土</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按全年总体2次计。</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含地上和地下病虫害。有蚧壳虫或蛀干类害虫的，需注干防治二次。</w:t>
            </w:r>
            <w:r>
              <w:rPr>
                <w:rFonts w:ascii="仿宋" w:hAnsi="仿宋" w:eastAsia="仿宋" w:cs="仿宋"/>
                <w:color w:val="000000"/>
                <w:sz w:val="24"/>
                <w:szCs w:val="24"/>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涂白</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入冬1次。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7</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扶正清残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按管理要求实施并见证。含病残树、死树清理。</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8</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8"/>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38"/>
            </w:pP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168"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single" w:color="000000" w:sz="4"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68"/>
            </w:pPr>
            <w:r>
              <w:rPr>
                <w:rFonts w:hint="eastAsia" w:ascii="仿宋" w:hAnsi="仿宋" w:eastAsia="仿宋" w:cs="仿宋"/>
                <w:b/>
                <w:color w:val="000000"/>
                <w:sz w:val="24"/>
                <w:szCs w:val="24"/>
              </w:rPr>
              <w:t xml:space="preserve">色块绿篱类养护工作主要内容表(表2-2)</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修剪整形</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按全年整体9次计。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含枯枝、死株清理，高篱剥芽。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按全年整体8次计。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按全年整体5次计。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杂草日常管控。</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按全年整体4次计。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68"/>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68"/>
            </w:pP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216"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216"/>
            </w:pPr>
            <w:r>
              <w:rPr>
                <w:rFonts w:hint="eastAsia" w:ascii="仿宋" w:hAnsi="仿宋" w:eastAsia="仿宋" w:cs="仿宋"/>
                <w:b/>
                <w:color w:val="000000"/>
                <w:sz w:val="24"/>
                <w:szCs w:val="24"/>
              </w:rPr>
              <w:t xml:space="preserve">草本地被类养护工作主要内容表(表2-3)</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修剪整形</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休眠期修剪1次，生长季疏剪清理2次，按全年整体3次计。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含枯枝叶、死株清理。</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按全年整体8次计。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按全年整体5次计。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杂草日常管控。</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按全年整体4次计。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16"/>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216"/>
            </w:pP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303"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303"/>
            </w:pPr>
            <w:r>
              <w:rPr>
                <w:rFonts w:hint="eastAsia" w:ascii="仿宋" w:hAnsi="仿宋" w:eastAsia="仿宋" w:cs="仿宋"/>
                <w:b/>
                <w:color w:val="000000"/>
                <w:sz w:val="24"/>
                <w:szCs w:val="24"/>
              </w:rPr>
              <w:t xml:space="preserve">草坪类养护工作主要内容表(表2-4)</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修剪（混播型、冷季型）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一年20次。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含枯草清理。非人工草坪应做好割草清理工作。</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修剪（暖季型）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一年12次。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浇灌（混播型、冷季型）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一年12次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restart"/>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浇灌（暖季型）</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一年6次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打孔</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春季1次。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结合施肥。</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梳草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秋季1次。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结合施肥。</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按一年总体12次计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杂草日常管控，含切边。</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按一年总体4次计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1200"/>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7</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杂草地清理</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按一年总体3次计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本项工作指对标段内非人工种植环境的管护要求，须保持整体环境优美，按每年整体3次、不满1年整体2次计。包括边坡、林下、水岸线等杂草、杂树的清理整治。</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8</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263"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263"/>
            </w:pPr>
            <w:r>
              <w:rPr>
                <w:rFonts w:hint="eastAsia" w:ascii="仿宋" w:hAnsi="仿宋" w:eastAsia="仿宋" w:cs="仿宋"/>
                <w:b/>
                <w:color w:val="000000"/>
                <w:sz w:val="24"/>
                <w:szCs w:val="24"/>
              </w:rPr>
              <w:t xml:space="preserve">竹类养护工作主要内容表(表2-5)</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修剪钩梢</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按全年总体1次计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丛生竹2次/年，散生竹1次/年。</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老竹清理</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按全年总体1次计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含钩梢，清理不得留桩。</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按全年总体1次计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26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263"/>
            </w:pP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114"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14"/>
            </w:pPr>
            <w:r>
              <w:rPr>
                <w:rFonts w:hint="eastAsia" w:ascii="仿宋" w:hAnsi="仿宋" w:eastAsia="仿宋" w:cs="仿宋"/>
                <w:b/>
                <w:color w:val="000000"/>
                <w:sz w:val="24"/>
                <w:szCs w:val="24"/>
              </w:rPr>
              <w:t xml:space="preserve">水生植物养护工作主要内容表(表2-6)</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春季间苗</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早春1次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14"/>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枯叶死株清理</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按全年总体2次计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14"/>
            </w:pP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冬季修剪清运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冬季1次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含水体保洁。</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水面保洁</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按全年12次计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水体沿岸线纳入日常保洁。</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14"/>
            </w:pPr>
            <w:r>
              <w:rPr>
                <w:rFonts w:ascii="仿宋" w:hAnsi="仿宋" w:eastAsia="仿宋" w:cs="仿宋"/>
                <w:color w:val="000000"/>
                <w:sz w:val="24"/>
                <w:szCs w:val="24"/>
              </w:rPr>
            </w:r>
            <w:r/>
          </w:p>
        </w:tc>
      </w:tr>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14"/>
            </w:pPr>
            <w:r>
              <w:rPr>
                <w:rFonts w:hint="eastAsia" w:ascii="仿宋" w:hAnsi="仿宋" w:eastAsia="仿宋" w:cs="仿宋"/>
                <w:color w:val="000000"/>
                <w:sz w:val="24"/>
                <w:szCs w:val="24"/>
              </w:rPr>
              <w:t xml:space="preserve">注：盆栽或人工小景水生植物春季翻盆施基肥，自然水域不施肥。</w:t>
            </w: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303"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303"/>
            </w:pPr>
            <w:r>
              <w:rPr>
                <w:rFonts w:hint="eastAsia" w:ascii="仿宋" w:hAnsi="仿宋" w:eastAsia="仿宋" w:cs="仿宋"/>
                <w:b/>
                <w:color w:val="000000"/>
                <w:sz w:val="24"/>
                <w:szCs w:val="24"/>
              </w:rPr>
              <w:t xml:space="preserve">立体绿化养护工作主要内容表(表2-7)</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修剪牵攀</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一年3次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含疏枝绑扎，清理枯枝杂藤、杂草。</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restart"/>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浇灌（地栽）</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按全年总体8次计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含松土。</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浇灌（容器）</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按全年总体24次计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含松土。</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6</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环境清理及清运</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303"/>
            </w:pPr>
            <w:r>
              <w:rPr>
                <w:rFonts w:ascii="仿宋" w:hAnsi="仿宋" w:eastAsia="仿宋" w:cs="仿宋"/>
                <w:color w:val="000000"/>
                <w:sz w:val="24"/>
                <w:szCs w:val="24"/>
              </w:rPr>
            </w:r>
            <w:r/>
          </w:p>
        </w:tc>
      </w:tr>
      <w:tr>
        <w:trPr>
          <w:trHeight w:val="285"/>
        </w:trPr>
        <w:tc>
          <w:tcPr>
            <w:gridSpan w:val="4"/>
            <w:tcBorders>
              <w:top w:val="single" w:color="000000" w:sz="4" w:space="0"/>
              <w:left w:val="none" w:color="000000" w:sz="0" w:space="0"/>
              <w:bottom w:val="none" w:color="000000" w:sz="0" w:space="0"/>
              <w:right w:val="none" w:color="000000" w:sz="0" w:space="0"/>
            </w:tcBorders>
            <w:tcW w:w="10619"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303"/>
            </w:pPr>
            <w:r>
              <w:rPr>
                <w:rFonts w:hint="eastAsia" w:ascii="仿宋" w:hAnsi="仿宋" w:eastAsia="仿宋" w:cs="仿宋"/>
                <w:color w:val="000000"/>
                <w:sz w:val="24"/>
                <w:szCs w:val="24"/>
              </w:rPr>
              <w:t xml:space="preserve">注：立体绿化、模纹小品按合同要求的标准执行；支架容器等每月进行安全检查维护。 </w:t>
            </w: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139" w:leftFromText="180" w:topFromText="0" w:rightFromText="180" w:bottomFromText="0"/>
        <w:tblW w:w="1061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415"/>
        <w:gridCol w:w="3915"/>
        <w:gridCol w:w="3435"/>
      </w:tblGrid>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39"/>
            </w:pPr>
            <w:r>
              <w:rPr>
                <w:rFonts w:hint="eastAsia" w:ascii="仿宋" w:hAnsi="仿宋" w:eastAsia="仿宋" w:cs="仿宋"/>
                <w:b/>
                <w:color w:val="000000"/>
                <w:sz w:val="24"/>
                <w:szCs w:val="24"/>
              </w:rPr>
              <w:t xml:space="preserve">草花养护工作主要内容表(表2-8)</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清除残花</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按全年总体3次计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含摘心、残花清理、修剪控高等。</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按全年总体12次计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除草保洁</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39"/>
            </w:pPr>
            <w:r>
              <w:rPr>
                <w:rFonts w:ascii="仿宋" w:hAnsi="仿宋" w:eastAsia="仿宋" w:cs="仿宋"/>
                <w:color w:val="000000"/>
                <w:sz w:val="24"/>
                <w:szCs w:val="24"/>
              </w:rPr>
            </w:r>
            <w:r/>
          </w:p>
        </w:tc>
      </w:tr>
      <w:tr>
        <w:trPr>
          <w:trHeight w:val="285"/>
        </w:trPr>
        <w:tc>
          <w:tcPr>
            <w:gridSpan w:val="4"/>
            <w:tcBorders>
              <w:top w:val="none" w:color="000000" w:sz="0" w:space="0"/>
              <w:left w:val="none" w:color="000000" w:sz="0" w:space="0"/>
              <w:bottom w:val="none" w:color="000000" w:sz="0" w:space="0"/>
              <w:right w:val="none" w:color="000000" w:sz="0" w:space="0"/>
            </w:tcBorders>
            <w:tcW w:w="10619"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39"/>
            </w:pPr>
            <w:r>
              <w:rPr>
                <w:rFonts w:hint="eastAsia" w:ascii="仿宋" w:hAnsi="仿宋" w:eastAsia="仿宋" w:cs="仿宋"/>
                <w:color w:val="000000"/>
                <w:sz w:val="24"/>
                <w:szCs w:val="24"/>
              </w:rPr>
              <w:t xml:space="preserve">注：草花换植等按合同要求的标准执行；自衍花卉养护参照执行。</w:t>
            </w:r>
            <w:r>
              <w:rPr>
                <w:rFonts w:ascii="仿宋" w:hAnsi="仿宋" w:eastAsia="仿宋" w:cs="仿宋"/>
                <w:color w:val="000000"/>
                <w:sz w:val="24"/>
                <w:szCs w:val="24"/>
              </w:rPr>
            </w:r>
            <w:r/>
          </w:p>
        </w:tc>
      </w:tr>
    </w:tbl>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p>
      <w:pPr>
        <w:pStyle w:val="1714"/>
        <w:jc w:val="left"/>
        <w:keepLines w:val="0"/>
        <w:keepNext w:val="0"/>
        <w:pageBreakBefore w:val="0"/>
        <w:spacing w:line="240" w:lineRule="auto"/>
        <w:rPr>
          <w:rFonts w:ascii="仿宋" w:hAnsi="仿宋" w:eastAsia="仿宋"/>
          <w:sz w:val="24"/>
          <w:szCs w:val="24"/>
        </w:rPr>
      </w:pPr>
      <w:r>
        <w:rPr>
          <w:rFonts w:ascii="仿宋" w:hAnsi="仿宋" w:eastAsia="仿宋"/>
          <w:sz w:val="24"/>
          <w:szCs w:val="24"/>
        </w:rPr>
      </w:r>
      <w:r/>
    </w:p>
    <w:tbl>
      <w:tblPr>
        <w:tblpPr w:horzAnchor="margin" w:tblpXSpec="center" w:vertAnchor="text" w:tblpY="-41" w:leftFromText="180" w:topFromText="0" w:rightFromText="180" w:bottomFromText="0"/>
        <w:tblW w:w="10529" w:type="dxa"/>
        <w:tblInd w:w="-15" w:type="dxa"/>
        <w:tblLayout w:type="fixed"/>
        <w:tblCellMar>
          <w:left w:w="15" w:type="dxa"/>
          <w:top w:w="15" w:type="dxa"/>
          <w:right w:w="15" w:type="dxa"/>
          <w:bottom w:w="15" w:type="dxa"/>
        </w:tblCellMar>
        <w:tblLook w:val="04A0" w:firstRow="1" w:lastRow="0" w:firstColumn="1" w:lastColumn="0" w:noHBand="0" w:noVBand="1"/>
      </w:tblPr>
      <w:tblGrid>
        <w:gridCol w:w="854"/>
        <w:gridCol w:w="211"/>
        <w:gridCol w:w="2145"/>
        <w:gridCol w:w="59"/>
        <w:gridCol w:w="3915"/>
        <w:gridCol w:w="1501"/>
        <w:gridCol w:w="1844"/>
        <w:gridCol w:w="90"/>
      </w:tblGrid>
      <w:tr>
        <w:trPr>
          <w:gridAfter w:val="1"/>
          <w:trHeight w:val="285"/>
        </w:trPr>
        <w:tc>
          <w:tcPr>
            <w:gridSpan w:val="7"/>
            <w:tcBorders>
              <w:top w:val="none" w:color="000000" w:sz="0" w:space="0"/>
              <w:left w:val="none" w:color="000000" w:sz="0" w:space="0"/>
              <w:bottom w:val="none" w:color="000000" w:sz="0" w:space="0"/>
              <w:right w:val="none" w:color="000000" w:sz="0" w:space="0"/>
            </w:tcBorders>
            <w:tcW w:w="1052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41"/>
            </w:pPr>
            <w:r>
              <w:rPr>
                <w:rFonts w:hint="eastAsia" w:ascii="仿宋" w:hAnsi="仿宋" w:eastAsia="仿宋" w:cs="仿宋"/>
                <w:b/>
                <w:color w:val="000000"/>
                <w:sz w:val="24"/>
                <w:szCs w:val="24"/>
              </w:rPr>
              <w:t xml:space="preserve">园林建筑及设施养护工作主要内容表(表2-9)</w:t>
            </w:r>
            <w:r>
              <w:rPr>
                <w:rFonts w:ascii="仿宋" w:hAnsi="仿宋" w:eastAsia="仿宋" w:cs="仿宋"/>
                <w:b/>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547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84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gridAfter w:val="1"/>
          <w:trHeight w:val="480"/>
        </w:trPr>
        <w:tc>
          <w:tcPr>
            <w:gridSpan w:val="2"/>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9-1</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园林建筑及设施维护保养</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restart"/>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基本按《江苏省城市园林绿化设施维护管理规范》执行，9-1占本项总费用不小于60%，按实见证，核算费用；9-2占本项总费用不大于40%。年度内对园林建筑及设施的完好度、安全性进行2次全面检查维修。9-1主要包括：金属及木制、竹制品等油漆（每年1次或按标底次数）；园路、贴面、小品设施等维修。9-2主要包括：整体环境保洁和秩序维护；垃圾箱每天清理一次；座凳、花箱、小品等每周擦洗一次；雕塑、设施等半月清洁一次等。</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包含内容</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建筑物</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栏杆</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座凳</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shd w:val="clear" w:color="auto" w:fill="ffffff"/>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9-2</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保洁维护</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restart"/>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restart"/>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包含内容</w:t>
            </w: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垃圾箱</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花箱</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小品</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gridAfter w:val="1"/>
          <w:trHeight w:val="285"/>
        </w:trPr>
        <w:tc>
          <w:tcPr>
            <w:gridSpan w:val="2"/>
            <w:tcBorders>
              <w:top w:val="single" w:color="000000" w:sz="4" w:space="0"/>
              <w:left w:val="single" w:color="000000" w:sz="4" w:space="0"/>
              <w:bottom w:val="single" w:color="000000" w:sz="4" w:space="0"/>
              <w:right w:val="single" w:color="000000" w:sz="4" w:space="0"/>
            </w:tcBorders>
            <w:tcW w:w="1065"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41"/>
            </w:pPr>
            <w:r>
              <w:rPr>
                <w:rFonts w:hint="eastAsia" w:ascii="仿宋" w:hAnsi="仿宋" w:eastAsia="仿宋" w:cs="仿宋"/>
                <w:color w:val="000000"/>
                <w:sz w:val="24"/>
                <w:szCs w:val="24"/>
              </w:rPr>
              <w:t xml:space="preserve">...</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475" w:type="dxa"/>
            <w:vAlign w:val="center"/>
            <w:vMerge w:val="continue"/>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1844" w:type="dxa"/>
            <w:vAlign w:val="center"/>
            <w:vMerge w:val="continue"/>
            <w:textDirection w:val="lrTb"/>
            <w:noWrap w:val="false"/>
          </w:tcPr>
          <w:p>
            <w:pPr>
              <w:pStyle w:val="1714"/>
              <w:jc w:val="center"/>
              <w:keepLines w:val="0"/>
              <w:keepNext w:val="0"/>
              <w:pageBreakBefore w:val="0"/>
              <w:spacing w:line="240" w:lineRule="auto"/>
              <w:rPr>
                <w:rFonts w:ascii="仿宋" w:hAnsi="仿宋" w:eastAsia="仿宋" w:cs="仿宋"/>
                <w:color w:val="000000"/>
                <w:sz w:val="24"/>
                <w:szCs w:val="24"/>
              </w:rPr>
              <w:framePr w:vAnchor="page" w:hAnchor="page" w:xAlign="center" w:y="-41"/>
            </w:pPr>
            <w:r>
              <w:rPr>
                <w:rFonts w:ascii="仿宋" w:hAnsi="仿宋" w:eastAsia="仿宋" w:cs="仿宋"/>
                <w:color w:val="000000"/>
                <w:sz w:val="24"/>
                <w:szCs w:val="24"/>
              </w:rPr>
            </w:r>
            <w:r/>
          </w:p>
        </w:tc>
      </w:tr>
      <w:tr>
        <w:trPr>
          <w:trHeight w:val="285"/>
        </w:trPr>
        <w:tc>
          <w:tcPr>
            <w:gridSpan w:val="8"/>
            <w:tcBorders>
              <w:top w:val="none" w:color="000000" w:sz="0" w:space="0"/>
              <w:left w:val="none" w:color="000000" w:sz="0" w:space="0"/>
              <w:bottom w:val="single" w:color="000000" w:sz="4" w:space="0"/>
              <w:right w:val="none" w:color="000000" w:sz="0" w:space="0"/>
            </w:tcBorders>
            <w:tcW w:w="10619"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b/>
                <w:color w:val="000000"/>
                <w:sz w:val="24"/>
                <w:szCs w:val="24"/>
              </w:rPr>
              <w:framePr w:vAnchor="page" w:hAnchor="page" w:xAlign="center" w:y="123"/>
            </w:pPr>
            <w:r>
              <w:rPr>
                <w:rFonts w:hint="eastAsia" w:ascii="仿宋" w:hAnsi="仿宋" w:eastAsia="仿宋" w:cs="仿宋"/>
                <w:b/>
                <w:color w:val="000000"/>
                <w:sz w:val="24"/>
                <w:szCs w:val="24"/>
              </w:rPr>
              <w:t xml:space="preserve">古树名木养护工作主要内容表(表2-10)</w:t>
            </w:r>
            <w:r>
              <w:rPr>
                <w:rFonts w:ascii="仿宋" w:hAnsi="仿宋" w:eastAsia="仿宋" w:cs="仿宋"/>
                <w:b/>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序号</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项目</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工作内容</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备注</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1</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修剪剥芽</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含清除</w:t>
            </w:r>
            <w:r>
              <w:rPr>
                <w:rFonts w:hint="eastAsia" w:ascii="仿宋" w:hAnsi="仿宋" w:eastAsia="仿宋" w:cs="仿宋"/>
                <w:color w:val="000000"/>
                <w:sz w:val="24"/>
                <w:szCs w:val="24"/>
                <w:lang w:eastAsia="zh-CN"/>
              </w:rPr>
              <w:t xml:space="preserve">萌蘖</w:t>
            </w:r>
            <w:r>
              <w:rPr>
                <w:rFonts w:hint="eastAsia" w:ascii="仿宋" w:hAnsi="仿宋" w:eastAsia="仿宋" w:cs="仿宋"/>
                <w:color w:val="000000"/>
                <w:sz w:val="24"/>
                <w:szCs w:val="24"/>
              </w:rPr>
              <w:t xml:space="preserve">枝、清枯枝、死膀。</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2</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浇灌</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按全年总体8次计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3</w:t>
            </w:r>
            <w:r>
              <w:rPr>
                <w:rFonts w:ascii="仿宋" w:hAnsi="仿宋" w:eastAsia="仿宋" w:cs="仿宋"/>
                <w:color w:val="000000"/>
                <w:sz w:val="24"/>
                <w:szCs w:val="24"/>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松土除草</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按需实施</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4</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病虫害防治</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按全年总体4次计</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含地上和地下病虫害。</w:t>
            </w:r>
            <w:r>
              <w:rPr>
                <w:rFonts w:ascii="仿宋" w:hAnsi="仿宋" w:eastAsia="仿宋" w:cs="仿宋"/>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5</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pStyle w:val="1714"/>
              <w:jc w:val="center"/>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环境清理　</w:t>
            </w: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随产随清</w:t>
            </w:r>
            <w:r>
              <w:rPr>
                <w:rFonts w:ascii="仿宋" w:hAnsi="仿宋" w:eastAsia="仿宋" w:cs="仿宋"/>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pStyle w:val="1714"/>
              <w:jc w:val="left"/>
              <w:keepLines w:val="0"/>
              <w:keepNext w:val="0"/>
              <w:pageBreakBefore w:val="0"/>
              <w:spacing w:line="240" w:lineRule="auto"/>
              <w:rPr>
                <w:rFonts w:ascii="仿宋" w:hAnsi="仿宋" w:eastAsia="仿宋" w:cs="仿宋"/>
                <w:color w:val="000000"/>
                <w:sz w:val="24"/>
                <w:szCs w:val="24"/>
              </w:rPr>
              <w:framePr w:vAnchor="page" w:hAnchor="page" w:xAlign="center" w:y="123"/>
            </w:pPr>
            <w:r>
              <w:rPr>
                <w:rFonts w:ascii="仿宋" w:hAnsi="仿宋" w:eastAsia="仿宋" w:cs="仿宋"/>
                <w:color w:val="000000"/>
                <w:sz w:val="24"/>
                <w:szCs w:val="24"/>
              </w:rPr>
            </w:r>
            <w:r/>
          </w:p>
        </w:tc>
      </w:tr>
      <w:tr>
        <w:trPr>
          <w:trHeight w:val="285"/>
        </w:trPr>
        <w:tc>
          <w:tcPr>
            <w:gridSpan w:val="8"/>
            <w:tcBorders>
              <w:top w:val="single" w:color="000000" w:sz="4" w:space="0"/>
              <w:left w:val="none" w:color="000000" w:sz="0" w:space="0"/>
              <w:bottom w:val="none" w:color="000000" w:sz="0" w:space="0"/>
              <w:right w:val="none" w:color="000000" w:sz="0" w:space="0"/>
            </w:tcBorders>
            <w:tcW w:w="10619" w:type="dxa"/>
            <w:vAlign w:val="center"/>
            <w:textDirection w:val="lrTb"/>
            <w:noWrap w:val="false"/>
          </w:tcPr>
          <w:p>
            <w:pPr>
              <w:pStyle w:val="1714"/>
              <w:jc w:val="left"/>
              <w:keepLines w:val="0"/>
              <w:keepNext w:val="0"/>
              <w:pageBreakBefore w:val="0"/>
              <w:spacing w:line="240" w:lineRule="auto"/>
              <w:widowControl/>
              <w:rPr>
                <w:rFonts w:ascii="仿宋" w:hAnsi="仿宋" w:eastAsia="仿宋" w:cs="仿宋"/>
                <w:color w:val="000000"/>
                <w:sz w:val="24"/>
                <w:szCs w:val="24"/>
              </w:rPr>
              <w:framePr w:vAnchor="page" w:hAnchor="page" w:xAlign="center" w:y="123"/>
            </w:pPr>
            <w:r>
              <w:rPr>
                <w:rFonts w:hint="eastAsia" w:ascii="仿宋" w:hAnsi="仿宋" w:eastAsia="仿宋" w:cs="仿宋"/>
                <w:color w:val="000000"/>
                <w:sz w:val="24"/>
                <w:szCs w:val="24"/>
              </w:rPr>
              <w:t xml:space="preserve">注：古树名木养护管理具体按相关规范执行。枝干防腐、根系保护等按需进行。</w:t>
            </w:r>
            <w:r>
              <w:rPr>
                <w:rFonts w:ascii="仿宋" w:hAnsi="仿宋" w:eastAsia="仿宋" w:cs="仿宋"/>
                <w:color w:val="000000"/>
                <w:sz w:val="24"/>
                <w:szCs w:val="24"/>
              </w:rPr>
            </w:r>
            <w:r/>
          </w:p>
        </w:tc>
      </w:tr>
    </w:tbl>
    <w:p>
      <w:pPr>
        <w:pStyle w:val="1714"/>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714"/>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eastAsia="zh-CN"/>
        </w:rPr>
      </w:r>
      <w:r/>
    </w:p>
    <w:p>
      <w:pPr>
        <w:pStyle w:val="1714"/>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714"/>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714"/>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1734"/>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734"/>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734"/>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734"/>
        <w:keepLines w:val="0"/>
        <w:keepNext w:val="0"/>
        <w:pageBreakBefore w:val="0"/>
        <w:spacing w:line="360" w:lineRule="auto"/>
        <w:widowControl w:val="off"/>
        <w:rPr>
          <w:rFonts w:ascii="宋体" w:hAnsi="宋体" w:eastAsia="宋体" w:cs="宋体"/>
          <w:bCs/>
          <w:color w:val="000000"/>
          <w:sz w:val="24"/>
          <w:szCs w:val="24"/>
          <w:highlight w:val="none"/>
          <w:lang w:val="en-US" w:eastAsia="zh-CN" w:bidi="ar-SA"/>
        </w:rPr>
        <w:outlineLvl w:val="9"/>
      </w:pPr>
      <w:r>
        <w:rPr>
          <w:rFonts w:ascii="宋体" w:hAnsi="宋体" w:eastAsia="宋体" w:cs="宋体"/>
          <w:bCs/>
          <w:color w:val="000000"/>
          <w:sz w:val="24"/>
          <w:szCs w:val="24"/>
          <w:highlight w:val="none"/>
          <w:lang w:val="en-US" w:eastAsia="zh-CN" w:bidi="ar-SA"/>
        </w:rPr>
      </w:r>
      <w:r/>
    </w:p>
    <w:p>
      <w:pPr>
        <w:pStyle w:val="1734"/>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714"/>
        <w:jc w:val="center"/>
        <w:spacing w:line="360" w:lineRule="auto"/>
        <w:rPr>
          <w:rFonts w:hint="eastAsia" w:ascii="Times New Roman" w:hAnsi="宋体" w:eastAsia="宋体" w:cs="宋体"/>
          <w:b/>
          <w:bCs/>
          <w:sz w:val="32"/>
          <w:szCs w:val="32"/>
          <w:highlight w:val="none"/>
          <w:lang w:val="en-US" w:eastAsia="zh-CN"/>
        </w:rPr>
        <w:outlineLvl w:val="0"/>
      </w:pPr>
      <w:r/>
      <w:bookmarkEnd w:id="28"/>
      <w:r/>
      <w:bookmarkStart w:id="32" w:name="_Toc12214"/>
      <w:r/>
      <w:bookmarkStart w:id="33" w:name="_Toc21985"/>
      <w:r/>
      <w:bookmarkStart w:id="34" w:name="_Toc17918"/>
      <w:r/>
      <w:bookmarkStart w:id="35" w:name="_Toc4709"/>
      <w:r>
        <w:rPr>
          <w:rFonts w:hint="eastAsia" w:ascii="Times New Roman" w:hAnsi="宋体" w:eastAsia="宋体" w:cs="宋体"/>
          <w:b/>
          <w:bCs/>
          <w:sz w:val="32"/>
          <w:szCs w:val="32"/>
          <w:highlight w:val="none"/>
          <w:lang w:val="en-US" w:eastAsia="zh-CN"/>
        </w:rPr>
        <w:t xml:space="preserve">四、合同书（格式文本）</w:t>
      </w:r>
      <w:bookmarkEnd w:id="32"/>
      <w:r/>
      <w:bookmarkEnd w:id="33"/>
      <w:r>
        <w:rPr>
          <w:rFonts w:hint="eastAsia" w:ascii="Times New Roman" w:hAnsi="宋体" w:eastAsia="宋体" w:cs="宋体"/>
          <w:b/>
          <w:bCs/>
          <w:sz w:val="32"/>
          <w:szCs w:val="32"/>
          <w:highlight w:val="none"/>
          <w:lang w:val="en-US" w:eastAsia="zh-CN"/>
        </w:rPr>
      </w:r>
      <w:r/>
    </w:p>
    <w:p>
      <w:pPr>
        <w:pStyle w:val="171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71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一、采购项目编号：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714"/>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三</w:t>
      </w:r>
      <w:r>
        <w:rPr>
          <w:rFonts w:hint="eastAsia" w:ascii="宋体" w:hAnsi="宋体" w:eastAsia="宋体" w:cs="Times New Roman"/>
          <w:b w:val="0"/>
          <w:bCs/>
          <w:color w:val="000000"/>
          <w:sz w:val="24"/>
          <w:szCs w:val="24"/>
          <w:highlight w:val="none"/>
          <w:u w:val="none"/>
        </w:rPr>
        <w:t xml:space="preserve">、采购内容：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四</w:t>
      </w:r>
      <w:r>
        <w:rPr>
          <w:rFonts w:hint="eastAsia" w:ascii="宋体" w:hAnsi="宋体" w:eastAsia="宋体" w:cs="Times New Roman"/>
          <w:b w:val="0"/>
          <w:bCs/>
          <w:color w:val="000000"/>
          <w:sz w:val="24"/>
          <w:szCs w:val="24"/>
          <w:highlight w:val="none"/>
          <w:u w:val="none"/>
        </w:rPr>
        <w:t xml:space="preserve">、中标总金额：人民币（大写）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五</w:t>
      </w:r>
      <w:r>
        <w:rPr>
          <w:rFonts w:hint="eastAsia" w:ascii="宋体" w:hAnsi="宋体" w:eastAsia="宋体" w:cs="Times New Roman"/>
          <w:b w:val="0"/>
          <w:bCs/>
          <w:color w:val="000000"/>
          <w:sz w:val="24"/>
          <w:szCs w:val="24"/>
          <w:highlight w:val="none"/>
          <w:u w:val="none"/>
        </w:rPr>
        <w:t xml:space="preserve">、质量和服务要求及验收标准：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六</w:t>
      </w:r>
      <w:r>
        <w:rPr>
          <w:rFonts w:hint="eastAsia" w:ascii="宋体" w:hAnsi="宋体" w:eastAsia="宋体" w:cs="Times New Roman"/>
          <w:b w:val="0"/>
          <w:bCs/>
          <w:color w:val="000000"/>
          <w:sz w:val="24"/>
          <w:szCs w:val="24"/>
          <w:highlight w:val="none"/>
          <w:u w:val="none"/>
        </w:rPr>
        <w:t xml:space="preserve">、交货期限和服务期限：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七</w:t>
      </w:r>
      <w:r>
        <w:rPr>
          <w:rFonts w:hint="eastAsia" w:ascii="宋体" w:hAnsi="宋体" w:eastAsia="宋体" w:cs="Times New Roman"/>
          <w:b w:val="0"/>
          <w:bCs/>
          <w:color w:val="000000"/>
          <w:sz w:val="24"/>
          <w:szCs w:val="24"/>
          <w:highlight w:val="none"/>
          <w:u w:val="none"/>
        </w:rPr>
        <w:t xml:space="preserve">、服务地点和方式：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八</w:t>
      </w:r>
      <w:r>
        <w:rPr>
          <w:rFonts w:hint="eastAsia" w:ascii="宋体" w:hAnsi="宋体" w:eastAsia="宋体" w:cs="Times New Roman"/>
          <w:b w:val="0"/>
          <w:bCs/>
          <w:color w:val="000000"/>
          <w:sz w:val="24"/>
          <w:szCs w:val="24"/>
          <w:highlight w:val="none"/>
          <w:u w:val="none"/>
        </w:rPr>
        <w:t xml:space="preserve">、货款支付步骤和办法：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九</w:t>
      </w:r>
      <w:r>
        <w:rPr>
          <w:rFonts w:hint="eastAsia" w:ascii="宋体" w:hAnsi="宋体" w:eastAsia="宋体" w:cs="Times New Roman"/>
          <w:b w:val="0"/>
          <w:bCs/>
          <w:color w:val="000000"/>
          <w:sz w:val="24"/>
          <w:szCs w:val="24"/>
          <w:highlight w:val="none"/>
          <w:u w:val="none"/>
        </w:rPr>
        <w:t xml:space="preserve">、违约责任：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十</w:t>
      </w:r>
      <w:r>
        <w:rPr>
          <w:rFonts w:hint="eastAsia" w:ascii="宋体" w:hAnsi="宋体" w:eastAsia="宋体" w:cs="Times New Roman"/>
          <w:b w:val="0"/>
          <w:bCs/>
          <w:color w:val="000000"/>
          <w:sz w:val="24"/>
          <w:szCs w:val="24"/>
          <w:highlight w:val="none"/>
          <w:u w:val="none"/>
        </w:rPr>
        <w:t xml:space="preserve">、解决争议的方式：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val="en-US" w:eastAsia="zh-CN"/>
        </w:rPr>
        <w:t xml:space="preserve">一</w:t>
      </w:r>
      <w:r>
        <w:rPr>
          <w:rFonts w:hint="eastAsia" w:ascii="宋体" w:hAnsi="宋体" w:eastAsia="宋体" w:cs="Times New Roman"/>
          <w:b w:val="0"/>
          <w:bCs/>
          <w:color w:val="000000"/>
          <w:sz w:val="24"/>
          <w:szCs w:val="24"/>
          <w:highlight w:val="none"/>
          <w:u w:val="none"/>
        </w:rPr>
        <w:t xml:space="preserve">、</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71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w:t>
      </w:r>
      <w:r>
        <w:rPr>
          <w:rFonts w:hint="eastAsia" w:hAnsi="宋体" w:cs="宋体"/>
          <w:bCs/>
          <w:sz w:val="24"/>
          <w:highlight w:val="none"/>
          <w:lang w:val="en-US" w:eastAsia="zh-CN"/>
        </w:rPr>
        <w:t xml:space="preserve">二</w:t>
      </w:r>
      <w:r>
        <w:rPr>
          <w:rFonts w:hint="eastAsia" w:hAnsi="宋体" w:cs="宋体"/>
          <w:bCs/>
          <w:sz w:val="24"/>
          <w:highlight w:val="none"/>
        </w:rPr>
        <w:t xml:space="preserve">、合同不可分割部分：</w:t>
      </w:r>
      <w:r>
        <w:rPr>
          <w:rFonts w:hint="eastAsia" w:hAnsi="宋体" w:cs="宋体"/>
          <w:bCs/>
          <w:sz w:val="24"/>
          <w:highlight w:val="none"/>
        </w:rPr>
      </w:r>
      <w:r/>
    </w:p>
    <w:p>
      <w:pPr>
        <w:pStyle w:val="171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w:t>
      </w:r>
      <w:r>
        <w:rPr>
          <w:rFonts w:hint="eastAsia" w:ascii="Times New Roman" w:hAnsi="宋体" w:eastAsia="宋体" w:cs="宋体"/>
          <w:bCs/>
          <w:sz w:val="24"/>
          <w:highlight w:val="none"/>
          <w:lang w:eastAsia="zh-CN"/>
        </w:rPr>
        <w:t xml:space="preserve">其他</w:t>
      </w:r>
      <w:r>
        <w:rPr>
          <w:rFonts w:hint="eastAsia" w:ascii="Times New Roman" w:hAnsi="宋体" w:eastAsia="宋体" w:cs="宋体"/>
          <w:bCs/>
          <w:sz w:val="24"/>
          <w:highlight w:val="none"/>
        </w:rPr>
        <w:t xml:space="preserve">有关承诺、声明、书面澄清等均为合同不可分割的部分，与主合同具有同等法律效力。</w:t>
      </w:r>
      <w:r>
        <w:rPr>
          <w:rFonts w:hint="eastAsia" w:ascii="Times New Roman" w:hAnsi="宋体" w:eastAsia="宋体" w:cs="宋体"/>
          <w:bCs/>
          <w:sz w:val="24"/>
          <w:highlight w:val="none"/>
        </w:rPr>
      </w:r>
      <w:r/>
    </w:p>
    <w:p>
      <w:pPr>
        <w:pStyle w:val="171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三</w:t>
      </w:r>
      <w:r>
        <w:rPr>
          <w:rFonts w:hint="eastAsia" w:ascii="Times New Roman" w:hAnsi="宋体" w:eastAsia="宋体" w:cs="宋体"/>
          <w:bCs/>
          <w:sz w:val="24"/>
          <w:highlight w:val="none"/>
        </w:rPr>
        <w:t xml:space="preserve">、合同备案：</w:t>
      </w:r>
      <w:r>
        <w:rPr>
          <w:rFonts w:hint="eastAsia" w:ascii="Times New Roman" w:hAnsi="宋体" w:eastAsia="宋体" w:cs="宋体"/>
          <w:bCs/>
          <w:sz w:val="24"/>
          <w:highlight w:val="none"/>
        </w:rPr>
      </w:r>
      <w:r/>
    </w:p>
    <w:p>
      <w:pPr>
        <w:pStyle w:val="171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rPr>
          <w:rFonts w:hint="eastAsia" w:ascii="Times New Roman" w:hAnsi="宋体" w:eastAsia="宋体" w:cs="宋体"/>
          <w:bCs/>
          <w:sz w:val="24"/>
          <w:highlight w:val="none"/>
        </w:rPr>
      </w:r>
      <w:r/>
    </w:p>
    <w:p>
      <w:pPr>
        <w:pStyle w:val="1714"/>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四</w:t>
      </w:r>
      <w:r>
        <w:rPr>
          <w:rFonts w:hint="eastAsia" w:ascii="Times New Roman" w:hAnsi="宋体" w:eastAsia="宋体" w:cs="宋体"/>
          <w:bCs/>
          <w:sz w:val="24"/>
          <w:highlight w:val="none"/>
        </w:rPr>
        <w:t xml:space="preserve">、合同生效：</w:t>
      </w:r>
      <w:r>
        <w:rPr>
          <w:rFonts w:hint="eastAsia" w:ascii="Times New Roman" w:hAnsi="宋体" w:eastAsia="宋体" w:cs="宋体"/>
          <w:bCs/>
          <w:sz w:val="24"/>
          <w:highlight w:val="none"/>
        </w:rPr>
      </w:r>
      <w:r/>
    </w:p>
    <w:p>
      <w:pPr>
        <w:pStyle w:val="1714"/>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lang w:eastAsia="zh-CN"/>
        </w:rPr>
        <w:t xml:space="preserve">江苏新桂工程咨询有限公司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714"/>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714"/>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714"/>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71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71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714"/>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714"/>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71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714"/>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714"/>
        <w:jc w:val="center"/>
        <w:spacing w:line="360" w:lineRule="auto"/>
        <w:rPr>
          <w:rFonts w:hint="eastAsia" w:ascii="Times New Roman" w:hAnsi="宋体" w:eastAsia="宋体" w:cs="宋体"/>
          <w:b/>
          <w:bCs/>
          <w:sz w:val="32"/>
          <w:szCs w:val="32"/>
          <w:highlight w:val="none"/>
          <w:lang w:val="de-DE" w:eastAsia="zh-CN"/>
        </w:rPr>
        <w:outlineLvl w:val="0"/>
      </w:pPr>
      <w:r/>
      <w:bookmarkStart w:id="36" w:name="_Toc5730"/>
      <w:r>
        <w:rPr>
          <w:rFonts w:hint="eastAsia" w:ascii="Times New Roman" w:hAnsi="宋体" w:eastAsia="宋体" w:cs="宋体"/>
          <w:b/>
          <w:bCs/>
          <w:sz w:val="32"/>
          <w:szCs w:val="32"/>
          <w:highlight w:val="none"/>
          <w:lang w:val="en-US" w:eastAsia="zh-CN"/>
        </w:rPr>
        <w:t xml:space="preserve">合同条款（格式）</w:t>
      </w:r>
      <w:r>
        <w:rPr>
          <w:rFonts w:hint="eastAsia" w:ascii="Times New Roman" w:hAnsi="宋体" w:eastAsia="宋体" w:cs="宋体"/>
          <w:b/>
          <w:bCs/>
          <w:sz w:val="32"/>
          <w:szCs w:val="32"/>
          <w:highlight w:val="none"/>
          <w:lang w:val="de-DE" w:eastAsia="zh-CN"/>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 甲方代表</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甲方指派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为派驻现场代表，全面负责日常养护作业的管理工作。</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2 乙方代表</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2.1 乙方指派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为绿地养护项目负责人，具体负责本养护标段作业工作，并用书面材料报甲方备案。</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2.2 项目负责人等有关人员必须按时参加由甲方召开的养护例会和各种必须参加的会议。</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2.3 乙方如需更换项目负责人，应至少提前5天以书面形式通知甲方，并征得甲方同意。后任继续行使合同文件约定的前任的职权，履行前任的义务。</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2.4 甲方可以与乙方协商，建议更换其认为不称职的项目负责人。如乙方指派的现场负责人不能胜任目前工作，甲方有权要求进行更换，乙方必须无条件服从。</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3 甲方的权利和义务</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3.1 负责向乙方提供中标绿地的有关资料。</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3.2 组织召开养护作业技术交底会。</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3.3 负责乙方的日常养护作业的管理和检查(定期检查和抽查相结合)。每月底对乙方作出下月度养护工作计划布置和对当</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度养护工作进行考核(全年考核</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次)，考核按有关养护工作考核标准结合甲方养护工作计划要求综合进行，合同期满综合考核考评。</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3.4 甲方每月对乙方的养护质量进行检查考核，按本合同有关条款，支付相应养护经费。</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3.5 如遇突发事件，协调乙方在作业过程中与其他管理部门的关系。</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甲方对于乙方因台风、雪灾等突发事件，需及时处理的绿化抢险工作发生的费用，按照《无锡市城区绿化抢险救灾资金使用管理办法》给予适当资金补贴。</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3.7 在合同期内，因国家需要征用、改造、临时占用绿地等需要调整乙方管护绿化地段和管护等级时，乙方应服从大局，退出原养护地段，或相应减少养护范围及经费。由此造成的经济损失，甲方不负赔偿责任。</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甲方对乙方因养护管理不当，受到上级领导点名批评、媒体曝光、群众举报的，视情况扣除一定的养护经费，其中上级领导点名批评每次扣3000-5000元，情节严重的扣5000-10000元；媒体曝光后经查实的，每次扣3000-5000元；群众举报经查实的，每次扣1000-3000元。</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3.9甲方应</w:t>
      </w:r>
      <w:r>
        <w:rPr>
          <w:rFonts w:hint="eastAsia" w:ascii="宋体" w:hAnsi="宋体" w:eastAsia="宋体" w:cs="宋体"/>
          <w:sz w:val="24"/>
          <w:highlight w:val="none"/>
          <w:lang w:eastAsia="zh-CN"/>
        </w:rPr>
        <w:t xml:space="preserve">做</w:t>
      </w:r>
      <w:r>
        <w:rPr>
          <w:rFonts w:hint="eastAsia" w:ascii="宋体" w:hAnsi="宋体" w:eastAsia="宋体" w:cs="宋体"/>
          <w:sz w:val="24"/>
          <w:highlight w:val="none"/>
        </w:rPr>
        <w:t xml:space="preserve">的其他工作，双方在补充条款内约定。</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4 乙方工作</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b/>
          <w:bCs/>
          <w:sz w:val="24"/>
          <w:highlight w:val="none"/>
          <w:u w:val="single"/>
        </w:rPr>
        <w:outlineLvl w:val="9"/>
      </w:pPr>
      <w:r>
        <w:rPr>
          <w:rFonts w:hint="eastAsia" w:ascii="宋体" w:hAnsi="宋体" w:eastAsia="宋体" w:cs="宋体"/>
          <w:sz w:val="24"/>
          <w:highlight w:val="none"/>
        </w:rPr>
        <w:t xml:space="preserve">4.1 根据甲方养护工作计划，乙方承担日常养护内容有：</w:t>
      </w:r>
      <w:r>
        <w:rPr>
          <w:rFonts w:hint="eastAsia" w:ascii="宋体" w:hAnsi="宋体" w:eastAsia="宋体" w:cs="宋体"/>
          <w:b/>
          <w:bCs/>
          <w:sz w:val="24"/>
          <w:highlight w:val="none"/>
          <w:u w:val="single"/>
        </w:rPr>
        <w:t xml:space="preserve">绿化养护，含上木类、色块绿篱类、草本地被类、草坪类、竹类、水生植物、立体绿化、草花等全部植物。</w:t>
      </w:r>
      <w:r>
        <w:rPr>
          <w:rFonts w:hint="eastAsia" w:ascii="宋体" w:hAnsi="宋体" w:eastAsia="宋体" w:cs="宋体"/>
          <w:b/>
          <w:bCs/>
          <w:sz w:val="24"/>
          <w:highlight w:val="none"/>
          <w:u w:val="singl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 做好详细的养护</w:t>
      </w:r>
      <w:r>
        <w:rPr>
          <w:rFonts w:hint="eastAsia" w:ascii="宋体" w:hAnsi="宋体" w:eastAsia="宋体" w:cs="宋体"/>
          <w:sz w:val="24"/>
          <w:highlight w:val="none"/>
          <w:lang w:eastAsia="zh-CN"/>
        </w:rPr>
        <w:t xml:space="preserve">台账</w:t>
      </w:r>
      <w:r>
        <w:rPr>
          <w:rFonts w:hint="eastAsia" w:ascii="宋体" w:hAnsi="宋体" w:eastAsia="宋体" w:cs="宋体"/>
          <w:sz w:val="24"/>
          <w:highlight w:val="none"/>
        </w:rPr>
        <w:t xml:space="preserve">，建立养护档案，并按时做好月、季、年度上报养护工作完成情况表，按甲方要求及时上报。</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4.3 应按甲方提出的对各种管理的要求落实各项措施，每个标段根据工作量确定至少3人的长期稳定的日常管理养护人员，并报甲方备案，如有变更，应及时上报变更情况。甲方应将检查管护人员日常落实情况纳入考核评分范畴。</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巡视中如发现绿化设施损坏，应在24小时内处理完毕，如发现人为造成的绿化设施损坏，必须在24小时内书面报告甲方和所在地监察部门。</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巡视中发现绿地内有违章搭建</w:t>
      </w:r>
      <w:r>
        <w:rPr>
          <w:rFonts w:hint="eastAsia" w:ascii="宋体" w:hAnsi="宋体" w:eastAsia="宋体" w:cs="宋体"/>
          <w:sz w:val="24"/>
          <w:highlight w:val="none"/>
          <w:lang w:eastAsia="zh-CN"/>
        </w:rPr>
        <w:t xml:space="preserve">及其他</w:t>
      </w:r>
      <w:r>
        <w:rPr>
          <w:rFonts w:hint="eastAsia" w:ascii="宋体" w:hAnsi="宋体" w:eastAsia="宋体" w:cs="宋体"/>
          <w:sz w:val="24"/>
          <w:highlight w:val="none"/>
        </w:rPr>
        <w:t xml:space="preserve">破坏绿化等现象，必须当场予以制止，立即报告所在地的监察部门，协助做好有关工作，并将处理结果报告甲方。</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汛期和台风季节要加强人员值班，随时处理各种情况。</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及时解决来信、来访，并根据甲方要求及时处理。</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4.6 按时按量完成甲方交办的110等</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突击性任务和指令性任务。</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4.8 加强法定节假日的正常养护工作。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4.9 乙方应服从所在地的绿化行政主管部门的行业管理。</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4.10</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抽调必要的人员和设备、工具，作为抢险救灾的中坚力量，原则上负责各自养护标段范围内绿地的抢险救灾，但对局部性严重自然灾害，局抢险指挥中心可对各抢险队伍进行合理调配，以集中精力解决严重的灾情。</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应按照养护面积组织相应数量的抢险救灾队员，救灾人员要求身体健康、体力好、熟悉绿化业务的人员组成，老弱病残及女职工不得作为抢险救灾队员，抢险救灾队员应统一着装（工作服），夜间抢险作业必穿反光背心。</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乙方应储备应急所需的物资，种类包括支撑木棍、绳索、铁丝、竹梯、油锯、高空修剪机洒水车等抢险设备、器械和车辆，应急储备物资使用后要及时予以补充。</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乙方一旦发现有突发性绿化应急事件发生，都有及时上报的权利和责任，无论事件级别大小，都应在一小时内向甲方报告，先期处置过程要做好记录。</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积极参与各项应急抢险任务，所发生的各种费用，由乙方承担，本次养护合同期内不再另外增加该项费用（除本合同3.6条款外）。</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4.16 如有移伐树木、占用绿地等事项，乙方应及时无偿负责移伐树木、占用绿地后的绿地修复工作。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4.17 在承包期内承包人应服从发包人的安排，做好以下的服务工作：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因不可抗力造成的抢修保养工作；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防汛抗灾期间的汛前、汛期、汛后的各项工作；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养护相关的社会职能工作；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上级布置的突击性活动而发生的各项工作；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确保国定节假日的养护维修工作。</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4.18 乙方有偿或无偿承担防范、杀灭四害等有关规定的义务，所使用的肥料、农药等符合环保标准。</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4.19 乙方应</w:t>
      </w:r>
      <w:r>
        <w:rPr>
          <w:rFonts w:hint="eastAsia" w:ascii="宋体" w:hAnsi="宋体" w:eastAsia="宋体" w:cs="宋体"/>
          <w:sz w:val="24"/>
          <w:highlight w:val="none"/>
          <w:lang w:eastAsia="zh-CN"/>
        </w:rPr>
        <w:t xml:space="preserve">做</w:t>
      </w:r>
      <w:r>
        <w:rPr>
          <w:rFonts w:hint="eastAsia" w:ascii="宋体" w:hAnsi="宋体" w:eastAsia="宋体" w:cs="宋体"/>
          <w:sz w:val="24"/>
          <w:highlight w:val="none"/>
        </w:rPr>
        <w:t xml:space="preserve">的其他工作，双方在补充条款内约定。</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4.20 由乙方招募、管理</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rPr>
        <w:t xml:space="preserve">人员为乙方的员工，与乙方之间系劳动合同关系，工作人员的薪资、社保、加班费、疾病、生育、非因工死亡、工伤、在服务过程中的伤亡或</w:t>
      </w:r>
      <w:r>
        <w:rPr>
          <w:rFonts w:hint="eastAsia" w:ascii="宋体" w:hAnsi="宋体" w:eastAsia="宋体" w:cs="宋体"/>
          <w:sz w:val="24"/>
          <w:highlight w:val="none"/>
          <w:lang w:eastAsia="zh-CN"/>
        </w:rPr>
        <w:t xml:space="preserve">致</w:t>
      </w:r>
      <w:r>
        <w:rPr>
          <w:rFonts w:hint="eastAsia" w:ascii="宋体" w:hAnsi="宋体" w:eastAsia="宋体" w:cs="宋体"/>
          <w:sz w:val="24"/>
          <w:highlight w:val="none"/>
        </w:rPr>
        <w:t xml:space="preserve">他人损害等均由乙方自行负责处理并承担费用，甲方概不负责。</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4.21 超出常规养护范围的工作，需提前报甲方审批。中标地段原设施量清单中未纳入的周围相邻绿化(单位绿化或责任管护单位不明的绿化)，在该标段交接完毕后5日内书面提交具体位置及设施量清单，甲方核验纳入经费核算范围，未及时提出的，视作无偿义务养护。如有甲方提出的新增部分，已正式接管起支付费用，费用按照此次招标均价计算。</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5 进度计划</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5.1 乙方在本合同生效后15天内上报全年养护作业维修计划和该标段养护管理人员网络组成表，并结合季节特点和绿化状况，制定季度、月度养护计划、材料计划送交甲方，甲方在7天内予以确认。如甲方对该计划不满意的，乙方应负责予以修改直至甲方满意为止。</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6 质量标准</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养护维修质量标准参照补充条款约定的质量标准。因乙方原因养护质量达不到约定的质量标准，乙方承担违约责任。</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7 检查和考核</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7.1 乙方应认真按照补充条款中约定的质量标准进行养护，随时接受甲方的检查和考核，为检查和考核提供便利条件。</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7.2 对于养护质量不符合要求的，甲方先通知整改，乙方在两天内不整改的或整改效果不符合要求的，甲方有权委托第三方进行整改，整改费用将在乙方养护费中给予扣除，不足部分由乙方予以补足。</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在日常工作中甲方下达任务给乙方，乙方未在规定的期限内完成或完成不到位的，甲方有权视情况按比例扣除养护费。</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7.4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甲方按照相关考核办法和规定中约定的考核奖惩办法进行考核。乙方连续</w:t>
      </w:r>
      <w:r>
        <w:rPr>
          <w:rFonts w:hint="eastAsia" w:ascii="宋体" w:hAnsi="宋体" w:cs="宋体"/>
          <w:sz w:val="24"/>
          <w:highlight w:val="none"/>
          <w:lang w:val="en-US" w:eastAsia="zh-CN"/>
        </w:rPr>
        <w:t xml:space="preserve">2个季度</w:t>
      </w:r>
      <w:r>
        <w:rPr>
          <w:rFonts w:hint="eastAsia" w:ascii="宋体" w:hAnsi="宋体" w:eastAsia="宋体" w:cs="宋体"/>
          <w:sz w:val="24"/>
          <w:highlight w:val="none"/>
        </w:rPr>
        <w:t xml:space="preserve">考核分低于合格分（</w:t>
      </w:r>
      <w:r>
        <w:rPr>
          <w:rFonts w:hint="eastAsia" w:ascii="宋体" w:hAnsi="宋体" w:cs="宋体"/>
          <w:sz w:val="24"/>
          <w:highlight w:val="none"/>
          <w:lang w:val="en-US" w:eastAsia="zh-CN"/>
        </w:rPr>
        <w:t xml:space="preserve">70</w:t>
      </w:r>
      <w:r>
        <w:rPr>
          <w:rFonts w:hint="eastAsia" w:ascii="宋体" w:hAnsi="宋体" w:eastAsia="宋体" w:cs="宋体"/>
          <w:sz w:val="24"/>
          <w:highlight w:val="none"/>
        </w:rPr>
        <w:t xml:space="preserve">分）的，甲方有权无条件单方面终止合同；在甲方组织的考核中，乙方经考核确实不能承担养护项目的，甲方有权无条件单方面终止合同。乙方</w:t>
      </w:r>
      <w:r>
        <w:rPr>
          <w:rFonts w:hint="eastAsia" w:ascii="宋体" w:hAnsi="宋体" w:eastAsia="宋体" w:cs="宋体"/>
          <w:sz w:val="24"/>
          <w:highlight w:val="none"/>
          <w:lang w:eastAsia="zh-CN"/>
        </w:rPr>
        <w:t xml:space="preserve">接到</w:t>
      </w:r>
      <w:r>
        <w:rPr>
          <w:rFonts w:hint="eastAsia" w:ascii="宋体" w:hAnsi="宋体" w:eastAsia="宋体" w:cs="宋体"/>
          <w:sz w:val="24"/>
          <w:highlight w:val="none"/>
        </w:rPr>
        <w:t xml:space="preserve">甲方通知后24小时内必须无条件清退出场，由此造成的经济损失由乙方承担，原已完成的工作量按实结算。</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7.6</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退出管护，绿地交接按《关于加强环境绿化工程验收备案移交管理工作的实施意见》与下一接管单位办理绿地交接手续，绿地需在规定时间内按要求整改到位后交付，逾期整改不到位由接管方进行整改，所需费用由原养护单位支付。</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bookmarkStart w:id="37" w:name="_Hlk519783623"/>
      <w:r>
        <w:rPr>
          <w:rFonts w:hint="eastAsia" w:ascii="宋体" w:hAnsi="宋体" w:eastAsia="宋体" w:cs="宋体"/>
          <w:sz w:val="24"/>
          <w:highlight w:val="none"/>
        </w:rPr>
        <w:t xml:space="preserve">7.7</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合同期满后，养护乙方应提交完整的养护量清单，甲方将进行普查（如有），若普查的养护量与乙方提交的不符，未达到养护等级标准，甲方有权对乙方处以普查费用两倍的处罚。</w:t>
      </w:r>
      <w:bookmarkEnd w:id="37"/>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8 安全文明养护与检查</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8.1 乙方应做好养护作业管理区内的安全管理工作，并随时接受甲方或行业安全检查人员依法实施的监督检查，采取必要的安全防护措施，消除事故隐患。</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8.2 由于乙方管理不善，引起政府职能部门处罚和停工整改，或安全措施不力造成事故的，由乙方承担一切责任和损失。</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9 安全防护</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养护作业人员应做好各项安全防范措施，必须着装上岗操作，养护期间按规定做好安全标识，作业区放置安全警示标志。</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10 事故处理</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发生重大伤亡及其他安全事故，乙方应当先行通知甲方，并按有关规定立即上报相关部门。同时按有关部门要求处理，事故处理过程中发生的费用按政府有关部门要求处理由事故责任方承担。</w:t>
      </w:r>
      <w:r>
        <w:rPr>
          <w:rFonts w:hint="eastAsia" w:ascii="宋体" w:hAnsi="宋体" w:eastAsia="宋体" w:cs="宋体"/>
          <w:b w:val="0"/>
          <w:bCs w:val="0"/>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11</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 xml:space="preserve">合同价款</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11.1 合同价款由甲、乙双方依据中标通知书中的中标价格在协议书内约定。</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11.2 乙方应向甲方提交月度养护作业统计报表。甲方可以按报表内容进行计量与考核，考核结果作为合同价款支付的依据。</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11.3 如实际养护作业量与清单有出入时，乙方按照补充条款约定的时间上报计划变更单，经甲方审核并报有关部门审定后方可在下月养护计划中调整。</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11.4 对乙方超出养护范围和因乙方原因造成返工的工作量，甲方不予计量。</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11.5 如因招标时间延后，导致招标合同期内标段绿地仍由原养护单位延续养护的，养护费按原合同每月均价按实结算。</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12</w:t>
      </w:r>
      <w:r>
        <w:rPr>
          <w:rFonts w:hint="eastAsia" w:ascii="宋体" w:hAnsi="宋体" w:eastAsia="宋体" w:cs="宋体"/>
          <w:b/>
          <w:bCs/>
          <w:sz w:val="24"/>
          <w:highlight w:val="none"/>
          <w:lang w:val="en-US" w:eastAsia="zh-CN"/>
        </w:rPr>
        <w:t xml:space="preserve"> </w:t>
      </w:r>
      <w:r>
        <w:rPr>
          <w:rFonts w:hint="eastAsia" w:ascii="宋体" w:hAnsi="宋体" w:eastAsia="宋体" w:cs="宋体"/>
          <w:b/>
          <w:bCs/>
          <w:sz w:val="24"/>
          <w:highlight w:val="none"/>
        </w:rPr>
        <w:t xml:space="preserve">付款方式</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eastAsia="zh-CN"/>
        </w:rPr>
        <w:t xml:space="preserve">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半年支付一次，合同期结束后根据考核结果付清余款。</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13 违约</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13.1 甲方代表不能及时给出必要指令、确认、批准，不能按合同约定履行自己的各项义务</w:t>
      </w:r>
      <w:r>
        <w:rPr>
          <w:rFonts w:hint="eastAsia" w:ascii="宋体" w:hAnsi="宋体" w:eastAsia="宋体" w:cs="宋体"/>
          <w:sz w:val="24"/>
          <w:highlight w:val="none"/>
          <w:lang w:eastAsia="zh-CN"/>
        </w:rPr>
        <w:t xml:space="preserve">，以及</w:t>
      </w:r>
      <w:r>
        <w:rPr>
          <w:rFonts w:hint="eastAsia" w:ascii="宋体" w:hAnsi="宋体" w:eastAsia="宋体" w:cs="宋体"/>
          <w:sz w:val="24"/>
          <w:highlight w:val="none"/>
        </w:rPr>
        <w:t xml:space="preserve">发生</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使合同无法履行的行为，应承担违约责任(包括支付违约导致乙方增加经济支出和从应支付之日起计算的应支付款项的利息)，相应顺延养护期；按协议条款约定支付违约金和赔偿因违约给乙方造成的窝工等损失。</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13.2 乙方不能达到所承诺的养护质量和有关技术规范标准，乙方按协议条款支付违约金并赔偿因违约给甲方造成的损失。</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13.3 因一方违约使合同不能履行，另一方欲终止或解除全部合同，应提前10天通知违约方后，方可终止或解除合同，由违约方承担违约责任。</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甲方内部工作安排、计划调整等自身原因；</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中央、省、市、区级政策变动，以及规划、计划调整等外部原因；</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其他需方原因。</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本合同对合同变更、中止或终止合同有其他特殊约定的，按该特殊约定执行。</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14 履约保证金</w:t>
      </w:r>
      <w:r>
        <w:rPr>
          <w:rFonts w:hint="eastAsia" w:ascii="宋体" w:hAnsi="宋体" w:eastAsia="宋体" w:cs="宋体"/>
          <w:b/>
          <w:bCs/>
          <w:sz w:val="24"/>
          <w:highlight w:val="none"/>
        </w:rPr>
      </w:r>
      <w:r/>
    </w:p>
    <w:p>
      <w:pPr>
        <w:pStyle w:val="1714"/>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收取履约保证金形式：</w:t>
      </w:r>
      <w:r>
        <w:rPr>
          <w:rFonts w:hint="eastAsia" w:ascii="宋体" w:hAnsi="宋体" w:eastAsia="宋体" w:cs="宋体"/>
          <w:b/>
          <w:bCs/>
          <w:color w:val="000000"/>
          <w:sz w:val="24"/>
          <w:szCs w:val="24"/>
          <w:u w:val="single"/>
          <w:lang w:val="en-US" w:eastAsia="zh-CN" w:bidi="ar-SA"/>
        </w:rPr>
        <w:t xml:space="preserve">以保函等非现金形式缴纳或提交</w:t>
      </w:r>
      <w:r>
        <w:rPr>
          <w:rFonts w:hint="eastAsia" w:ascii="宋体" w:hAnsi="宋体" w:eastAsia="宋体" w:cs="宋体"/>
          <w:b/>
          <w:bCs/>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收取履约保证金金额：</w:t>
      </w:r>
      <w:r>
        <w:rPr>
          <w:rFonts w:hint="eastAsia" w:ascii="宋体" w:hAnsi="宋体" w:eastAsia="宋体" w:cs="宋体"/>
          <w:b/>
          <w:bCs/>
          <w:color w:val="000000"/>
          <w:sz w:val="24"/>
          <w:szCs w:val="24"/>
          <w:u w:val="single"/>
          <w:lang w:val="en-US" w:eastAsia="zh-CN" w:bidi="ar-SA"/>
        </w:rPr>
        <w:t xml:space="preserve">合同价款的10%</w:t>
      </w:r>
      <w:r>
        <w:rPr>
          <w:rFonts w:hint="eastAsia" w:ascii="宋体" w:hAnsi="宋体" w:eastAsia="宋体" w:cs="宋体"/>
          <w:b/>
          <w:bCs/>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履约担保期限：</w:t>
      </w:r>
      <w:r>
        <w:rPr>
          <w:rFonts w:hint="eastAsia" w:ascii="宋体" w:hAnsi="宋体" w:eastAsia="宋体" w:cs="宋体"/>
          <w:b/>
          <w:bCs/>
          <w:color w:val="000000"/>
          <w:sz w:val="24"/>
          <w:szCs w:val="24"/>
          <w:highlight w:val="none"/>
          <w:u w:val="single"/>
        </w:rPr>
        <w:t xml:space="preserve">履约保证金将在服务完毕并考核合格后无息退回</w:t>
      </w:r>
      <w:r>
        <w:rPr>
          <w:rFonts w:hint="eastAsia" w:ascii="宋体" w:hAnsi="宋体" w:eastAsia="宋体" w:cs="宋体"/>
          <w:b/>
          <w:bCs/>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履约保证金的缴纳时间：</w:t>
      </w:r>
      <w:r>
        <w:rPr>
          <w:rFonts w:hint="eastAsia" w:ascii="宋体" w:hAnsi="宋体" w:eastAsia="宋体" w:cs="宋体"/>
          <w:b/>
          <w:bCs/>
          <w:color w:val="000000"/>
          <w:sz w:val="24"/>
          <w:szCs w:val="24"/>
          <w:u w:val="single"/>
          <w:lang w:val="en-US" w:eastAsia="zh-CN" w:bidi="ar-SA"/>
        </w:rPr>
        <w:t xml:space="preserve">乙方在签订合同后5个工作日内，向甲方提交履约保证金</w:t>
      </w:r>
      <w:r>
        <w:rPr>
          <w:rFonts w:hint="eastAsia" w:ascii="宋体" w:hAnsi="宋体" w:eastAsia="宋体" w:cs="宋体"/>
          <w:b/>
          <w:bCs/>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退付办法：</w:t>
      </w:r>
      <w:r>
        <w:rPr>
          <w:rFonts w:hint="eastAsia" w:ascii="宋体" w:hAnsi="宋体" w:eastAsia="宋体" w:cs="宋体"/>
          <w:b/>
          <w:bCs/>
          <w:color w:val="000000"/>
          <w:sz w:val="24"/>
          <w:szCs w:val="24"/>
          <w:u w:val="single"/>
          <w:lang w:val="en-US" w:eastAsia="zh-CN" w:bidi="ar-SA"/>
        </w:rPr>
        <w:t xml:space="preserve">与</w:t>
      </w:r>
      <w:r>
        <w:rPr>
          <w:rFonts w:hint="eastAsia" w:ascii="宋体" w:hAnsi="宋体" w:cs="宋体"/>
          <w:b/>
          <w:bCs/>
          <w:color w:val="000000"/>
          <w:sz w:val="24"/>
          <w:szCs w:val="24"/>
          <w:u w:val="single"/>
          <w:lang w:val="en-US" w:eastAsia="zh-CN" w:bidi="ar-SA"/>
        </w:rPr>
        <w:t xml:space="preserve">乙方</w:t>
      </w:r>
      <w:r>
        <w:rPr>
          <w:rFonts w:hint="eastAsia" w:ascii="宋体" w:hAnsi="宋体" w:eastAsia="宋体" w:cs="宋体"/>
          <w:b/>
          <w:bCs/>
          <w:color w:val="000000"/>
          <w:sz w:val="24"/>
          <w:szCs w:val="24"/>
          <w:u w:val="single"/>
          <w:lang w:val="en-US" w:eastAsia="zh-CN" w:bidi="ar-SA"/>
        </w:rPr>
        <w:t xml:space="preserve">提交履约保证金的方式相同</w:t>
      </w:r>
      <w:r>
        <w:rPr>
          <w:rFonts w:hint="eastAsia" w:ascii="宋体" w:hAnsi="宋体" w:eastAsia="宋体" w:cs="宋体"/>
          <w:b/>
          <w:bCs/>
          <w:color w:val="000000"/>
          <w:sz w:val="24"/>
          <w:szCs w:val="24"/>
          <w:lang w:val="en-US" w:eastAsia="zh-CN" w:bidi="ar-SA"/>
        </w:rPr>
      </w:r>
      <w:r/>
    </w:p>
    <w:p>
      <w:pPr>
        <w:pStyle w:val="1714"/>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履约保证金不予退还的情形：</w:t>
      </w:r>
      <w:r>
        <w:rPr>
          <w:rFonts w:hint="eastAsia" w:ascii="宋体" w:hAnsi="宋体" w:eastAsia="宋体" w:cs="宋体"/>
          <w:b/>
          <w:bCs/>
          <w:color w:val="000000"/>
          <w:sz w:val="24"/>
          <w:szCs w:val="24"/>
          <w:u w:val="single"/>
          <w:lang w:val="en-US" w:eastAsia="zh-CN" w:bidi="ar-SA"/>
        </w:rPr>
        <w:t xml:space="preserve">①由于中标方的原因不能履约的，②在履行合同期间发生重大安全事故，给采购人造成不良影响和严重经济损失的</w:t>
      </w:r>
      <w:r>
        <w:rPr>
          <w:rFonts w:hint="eastAsia" w:ascii="宋体" w:hAnsi="宋体" w:eastAsia="宋体" w:cs="宋体"/>
          <w:b/>
          <w:bCs/>
          <w:color w:val="000000"/>
          <w:sz w:val="24"/>
          <w:szCs w:val="24"/>
          <w:lang w:val="en-US" w:eastAsia="zh-CN" w:bidi="ar-SA"/>
        </w:rPr>
      </w:r>
      <w:r/>
    </w:p>
    <w:p>
      <w:pPr>
        <w:pStyle w:val="1714"/>
        <w:ind w:firstLine="723"/>
        <w:spacing w:line="360" w:lineRule="auto"/>
        <w:tabs>
          <w:tab w:val="left" w:pos="840" w:leader="none"/>
          <w:tab w:val="left" w:pos="1155" w:leader="none"/>
        </w:tabs>
        <w:rPr>
          <w:rFonts w:hint="eastAsia" w:ascii="宋体" w:hAnsi="宋体" w:eastAsia="宋体" w:cs="宋体"/>
          <w:sz w:val="24"/>
          <w:highlight w:val="none"/>
        </w:rPr>
      </w:pPr>
      <w:r>
        <w:rPr>
          <w:rFonts w:hint="eastAsia" w:ascii="宋体" w:hAnsi="宋体" w:eastAsia="宋体" w:cs="宋体"/>
          <w:b/>
          <w:bCs/>
          <w:color w:val="000000"/>
          <w:sz w:val="24"/>
          <w:szCs w:val="24"/>
          <w:lang w:val="en-US" w:eastAsia="zh-CN" w:bidi="ar-SA"/>
        </w:rPr>
        <w:t xml:space="preserve">逾期退还履约保证金的违约责任：</w:t>
      </w:r>
      <w:r>
        <w:rPr>
          <w:rFonts w:hint="eastAsia" w:ascii="宋体" w:hAnsi="宋体" w:eastAsia="宋体" w:cs="宋体"/>
          <w:b/>
          <w:bCs/>
          <w:color w:val="000000"/>
          <w:sz w:val="24"/>
          <w:szCs w:val="24"/>
          <w:u w:val="single"/>
          <w:lang w:val="en-US" w:eastAsia="zh-CN" w:bidi="ar-SA"/>
        </w:rPr>
        <w:t xml:space="preserve">承担履约保证金金额千分之二/天的违约</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15</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 xml:space="preserve">争议</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15.1 甲乙双方因合同发生争议，可由甲乙双方协商、协商不成可向无锡市锡山区人民法院起诉。</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15.2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发生争议后，除出现以下情况的，双方都应继续履行合同，保持养护连续性：</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合同确已无法履行；</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双方协议停止养护作业；</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仲裁机关要求停止养护作业；</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 法院要求停止养护作业。</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16 </w:t>
      </w:r>
      <w:r>
        <w:rPr>
          <w:rFonts w:hint="eastAsia" w:ascii="宋体" w:hAnsi="宋体" w:eastAsia="宋体" w:cs="宋体"/>
          <w:b/>
          <w:bCs/>
          <w:sz w:val="24"/>
          <w:highlight w:val="none"/>
        </w:rPr>
        <w:t xml:space="preserve">合同终止</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16.1 承包范围内的养护管理项目，乙方不得采取任何形式实施转包，凡违反此规定的，甲方将立即取消乙方的承包资格，终止或解除养护承包合同，由此产生的一切法律责任和经济损失由乙方承担。</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16.2 乙方连续</w:t>
      </w:r>
      <w:r>
        <w:rPr>
          <w:rFonts w:hint="eastAsia" w:ascii="宋体" w:hAnsi="宋体" w:cs="宋体"/>
          <w:sz w:val="24"/>
          <w:highlight w:val="none"/>
          <w:lang w:val="en-US" w:eastAsia="zh-CN"/>
        </w:rPr>
        <w:t xml:space="preserve">2个季度</w:t>
      </w:r>
      <w:r>
        <w:rPr>
          <w:rFonts w:hint="eastAsia" w:ascii="宋体" w:hAnsi="宋体" w:eastAsia="宋体" w:cs="宋体"/>
          <w:sz w:val="24"/>
          <w:highlight w:val="none"/>
        </w:rPr>
        <w:t xml:space="preserve">考核分低于合格分（</w:t>
      </w:r>
      <w:r>
        <w:rPr>
          <w:rFonts w:hint="eastAsia" w:ascii="宋体" w:hAnsi="宋体" w:cs="宋体"/>
          <w:sz w:val="24"/>
          <w:highlight w:val="none"/>
          <w:lang w:val="en-US" w:eastAsia="zh-CN"/>
        </w:rPr>
        <w:t xml:space="preserve">70</w:t>
      </w:r>
      <w:r>
        <w:rPr>
          <w:rFonts w:hint="eastAsia" w:ascii="宋体" w:hAnsi="宋体" w:eastAsia="宋体" w:cs="宋体"/>
          <w:sz w:val="24"/>
          <w:highlight w:val="none"/>
        </w:rPr>
        <w:t xml:space="preserve">分）的，甲方有权无条件单方面终止合同；在甲方组织的考核中，乙方经考核确实不能承担养护项目的，甲方有权无条件单方面终止合同。</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甲方在乙方履行合同期间发现乙方投标文件中的内容有隐瞒、虚假、伪造等弄虚作假行为的，甲方有权终止或解除养护承包合同，由此产生的一切法律责任和经济损失由乙方承担。</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17 </w:t>
      </w:r>
      <w:r>
        <w:rPr>
          <w:rFonts w:hint="eastAsia" w:ascii="宋体" w:hAnsi="宋体" w:eastAsia="宋体" w:cs="宋体"/>
          <w:b/>
          <w:bCs/>
          <w:sz w:val="24"/>
          <w:highlight w:val="none"/>
        </w:rPr>
        <w:t xml:space="preserve">其他</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17.1 在本合同执行过程中如遇和国家政策、</w:t>
      </w:r>
      <w:r>
        <w:rPr>
          <w:rFonts w:hint="eastAsia" w:ascii="宋体" w:hAnsi="宋体" w:eastAsia="宋体" w:cs="宋体"/>
          <w:sz w:val="24"/>
          <w:highlight w:val="none"/>
          <w:lang w:eastAsia="zh-CN"/>
        </w:rPr>
        <w:t xml:space="preserve">地方性法规</w:t>
      </w:r>
      <w:r>
        <w:rPr>
          <w:rFonts w:hint="eastAsia" w:ascii="宋体" w:hAnsi="宋体" w:eastAsia="宋体" w:cs="宋体"/>
          <w:sz w:val="24"/>
          <w:highlight w:val="none"/>
        </w:rPr>
        <w:t xml:space="preserve">的有关规定不符时，按有关政策法规执行。</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17.2 如遇自然灾害和不可抗力造成损失的，经双方协商解决。</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17.3 本合同如有未尽事宜，双方可通过协商补充协议解决。</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18 </w:t>
      </w:r>
      <w:r>
        <w:rPr>
          <w:rFonts w:hint="eastAsia" w:ascii="宋体" w:hAnsi="宋体" w:eastAsia="宋体" w:cs="宋体"/>
          <w:b/>
          <w:bCs/>
          <w:sz w:val="24"/>
          <w:highlight w:val="none"/>
        </w:rPr>
        <w:t xml:space="preserve">合同生效与终止</w:t>
      </w:r>
      <w:r>
        <w:rPr>
          <w:rFonts w:hint="eastAsia" w:ascii="宋体" w:hAnsi="宋体" w:eastAsia="宋体" w:cs="宋体"/>
          <w:b/>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双方合同以在合同协议书中约定的方式生效。双方履行合同全部义务，合同价款支付完毕后，本合同即告终止。</w:t>
      </w:r>
      <w:r>
        <w:rPr>
          <w:rFonts w:hint="eastAsia" w:ascii="宋体" w:hAnsi="宋体" w:eastAsia="宋体" w:cs="宋体"/>
          <w:sz w:val="24"/>
          <w:highlight w:val="none"/>
        </w:rPr>
      </w:r>
      <w:r/>
    </w:p>
    <w:p>
      <w:pPr>
        <w:pStyle w:val="1714"/>
        <w:ind w:firstLine="482"/>
        <w:jc w:val="left"/>
        <w:keepLines w:val="0"/>
        <w:keepNext w:val="0"/>
        <w:pageBreakBefore w:val="0"/>
        <w:spacing w:line="360" w:lineRule="auto"/>
        <w:widowControl w:val="off"/>
        <w:rPr>
          <w:rFonts w:hint="eastAsia" w:ascii="宋体" w:hAnsi="宋体" w:cs="宋体"/>
          <w:b/>
          <w:bCs/>
          <w:sz w:val="24"/>
          <w:highlight w:val="none"/>
          <w:lang w:val="en-US" w:eastAsia="zh-CN"/>
        </w:rPr>
        <w:outlineLvl w:val="1"/>
      </w:pPr>
      <w:r>
        <w:rPr>
          <w:rFonts w:hint="eastAsia" w:ascii="宋体" w:hAnsi="宋体" w:cs="宋体"/>
          <w:b/>
          <w:bCs/>
          <w:sz w:val="24"/>
          <w:highlight w:val="none"/>
          <w:lang w:val="en-US" w:eastAsia="zh-CN"/>
        </w:rPr>
        <w:t xml:space="preserve">19 合同份数与解释</w:t>
      </w:r>
      <w:r>
        <w:rPr>
          <w:rFonts w:hint="eastAsia" w:ascii="宋体" w:hAnsi="宋体" w:cs="宋体"/>
          <w:b/>
          <w:bCs/>
          <w:sz w:val="24"/>
          <w:highlight w:val="none"/>
          <w:lang w:val="en-US" w:eastAsia="zh-CN"/>
        </w:rPr>
      </w:r>
      <w:r/>
    </w:p>
    <w:p>
      <w:pPr>
        <w:pStyle w:val="1714"/>
        <w:ind w:firstLine="480"/>
        <w:jc w:val="left"/>
        <w:keepLines w:val="0"/>
        <w:keepNext w:val="0"/>
        <w:pageBreakBefore w:val="0"/>
        <w:spacing w:line="360" w:lineRule="auto"/>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eastAsia="宋体" w:cs="宋体"/>
          <w:bCs/>
          <w:sz w:val="24"/>
          <w:highlight w:val="none"/>
        </w:rPr>
        <w:t xml:space="preserve">合同一式</w:t>
      </w:r>
      <w:r>
        <w:rPr>
          <w:rFonts w:hint="eastAsia" w:ascii="宋体" w:hAnsi="宋体" w:cs="宋体"/>
          <w:bCs/>
          <w:sz w:val="24"/>
          <w:highlight w:val="none"/>
          <w:lang w:val="en-US" w:eastAsia="zh-CN"/>
        </w:rPr>
        <w:t xml:space="preserve">伍</w:t>
      </w:r>
      <w:r>
        <w:rPr>
          <w:rFonts w:hint="eastAsia" w:ascii="宋体" w:hAnsi="宋体" w:eastAsia="宋体" w:cs="宋体"/>
          <w:bCs/>
          <w:sz w:val="24"/>
          <w:highlight w:val="none"/>
        </w:rPr>
        <w:t xml:space="preserve">份，甲乙双方各执贰份，</w:t>
      </w:r>
      <w:r>
        <w:rPr>
          <w:rFonts w:hint="eastAsia" w:ascii="宋体" w:hAnsi="宋体" w:eastAsia="宋体" w:cs="宋体"/>
          <w:bCs/>
          <w:sz w:val="24"/>
          <w:highlight w:val="none"/>
          <w:lang w:eastAsia="zh-CN"/>
        </w:rPr>
        <w:t xml:space="preserve">江苏新桂工程咨询有限公司</w:t>
      </w:r>
      <w:r>
        <w:rPr>
          <w:rFonts w:hint="eastAsia" w:ascii="宋体" w:hAnsi="宋体" w:cs="宋体"/>
          <w:bCs/>
          <w:sz w:val="24"/>
          <w:highlight w:val="none"/>
          <w:lang w:val="en-US" w:eastAsia="zh-CN"/>
        </w:rPr>
        <w:t xml:space="preserve">壹</w:t>
      </w:r>
      <w:r>
        <w:rPr>
          <w:rFonts w:hint="eastAsia" w:ascii="宋体" w:hAnsi="宋体" w:eastAsia="宋体" w:cs="宋体"/>
          <w:bCs/>
          <w:sz w:val="24"/>
          <w:highlight w:val="none"/>
        </w:rPr>
        <w:t xml:space="preserve">份。</w:t>
      </w:r>
      <w:r>
        <w:rPr>
          <w:rFonts w:hint="eastAsia" w:ascii="宋体" w:hAnsi="宋体" w:eastAsia="宋体" w:cs="宋体"/>
          <w:bCs/>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签订后供需双方即直接产生权利与义务的关系，合同执行过程中出现的问题应按照合同约定、法律法规的规定办理，在合同履行过程中，双方如有争议，由招标代理机构协调解决。如协商不能解决，双方可向当地仲裁委员会申请仲裁，仲裁期间，除仲裁委员会要求停止履行合同或出现一方确实无法继续履行合同的情形外，本合同应继续履行。</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sz w:val="24"/>
          <w:highlight w:val="none"/>
        </w:rPr>
      </w:r>
      <w:r/>
    </w:p>
    <w:p>
      <w:pPr>
        <w:pStyle w:val="1714"/>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本合同的解释权在</w:t>
      </w:r>
      <w:r>
        <w:rPr>
          <w:rFonts w:hint="eastAsia" w:ascii="宋体" w:hAnsi="宋体" w:eastAsia="宋体" w:cs="宋体"/>
          <w:sz w:val="24"/>
          <w:highlight w:val="none"/>
          <w:lang w:eastAsia="zh-CN"/>
        </w:rPr>
        <w:t xml:space="preserve">无锡市锡山区人民政府厚桥街道办事处</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714"/>
        <w:ind w:firstLine="420"/>
        <w:jc w:val="center"/>
        <w:keepLines w:val="0"/>
        <w:keepNext w:val="0"/>
        <w:pageBreakBefore w:val="0"/>
        <w:spacing w:line="360" w:lineRule="auto"/>
        <w:widowControl w:val="off"/>
        <w:tabs>
          <w:tab w:val="left" w:pos="675" w:leader="none"/>
        </w:tabs>
        <w:rPr>
          <w:rFonts w:hint="eastAsia" w:ascii="宋体" w:hAnsi="宋体" w:eastAsia="宋体" w:cs="宋体"/>
          <w:highlight w:val="none"/>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highlight w:val="none"/>
        </w:rPr>
      </w:r>
      <w:r/>
    </w:p>
    <w:p>
      <w:pPr>
        <w:pStyle w:val="1714"/>
        <w:jc w:val="center"/>
        <w:spacing w:line="360" w:lineRule="auto"/>
        <w:rPr>
          <w:rFonts w:hint="eastAsia" w:eastAsia="宋体"/>
          <w:b/>
          <w:bCs/>
          <w:sz w:val="28"/>
          <w:szCs w:val="28"/>
          <w:highlight w:val="none"/>
          <w:lang w:eastAsia="zh-CN"/>
        </w:rPr>
        <w:outlineLvl w:val="9"/>
      </w:pPr>
      <w:r>
        <w:rPr>
          <w:rFonts w:hint="eastAsia"/>
          <w:b/>
          <w:bCs/>
          <w:sz w:val="28"/>
          <w:szCs w:val="28"/>
          <w:highlight w:val="none"/>
          <w:lang w:eastAsia="zh-CN"/>
        </w:rPr>
        <w:t xml:space="preserve">厚桥街道绿化养护K标段</w:t>
      </w:r>
      <w:r>
        <w:rPr>
          <w:rFonts w:hint="eastAsia" w:eastAsia="宋体"/>
          <w:b/>
          <w:bCs/>
          <w:sz w:val="28"/>
          <w:szCs w:val="28"/>
          <w:highlight w:val="none"/>
          <w:lang w:eastAsia="zh-CN"/>
        </w:rPr>
      </w:r>
      <w:r/>
    </w:p>
    <w:p>
      <w:pPr>
        <w:pStyle w:val="1714"/>
        <w:jc w:val="center"/>
        <w:spacing w:line="360" w:lineRule="auto"/>
        <w:rPr>
          <w:b/>
          <w:bCs/>
          <w:sz w:val="28"/>
          <w:szCs w:val="28"/>
          <w:highlight w:val="none"/>
        </w:rPr>
        <w:outlineLvl w:val="9"/>
      </w:pPr>
      <w:r>
        <w:rPr>
          <w:rFonts w:hint="eastAsia"/>
          <w:b/>
          <w:bCs/>
          <w:sz w:val="28"/>
          <w:szCs w:val="28"/>
          <w:highlight w:val="none"/>
        </w:rPr>
        <w:t xml:space="preserve">考核办法</w:t>
      </w:r>
      <w:r>
        <w:rPr>
          <w:b/>
          <w:bCs/>
          <w:sz w:val="28"/>
          <w:szCs w:val="28"/>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为建立和完善绿化养护长效管理机制，巩固锡山区绿化建设成果，不断提高绿化养护管理水平，使锡山区公共绿地日常养护得到更加持久有效、合理规范的管理，根据《</w:t>
      </w:r>
      <w:r>
        <w:rPr>
          <w:rFonts w:hint="eastAsia" w:ascii="宋体" w:hAnsi="宋体" w:eastAsia="宋体" w:cs="宋体"/>
          <w:sz w:val="24"/>
          <w:highlight w:val="none"/>
          <w:lang w:eastAsia="zh-CN"/>
        </w:rPr>
        <w:t xml:space="preserve">无锡市城市绿化管理条例</w:t>
      </w:r>
      <w:r>
        <w:rPr>
          <w:rFonts w:hint="eastAsia" w:ascii="宋体" w:hAnsi="宋体" w:eastAsia="宋体" w:cs="宋体"/>
          <w:sz w:val="24"/>
          <w:highlight w:val="none"/>
        </w:rPr>
        <w:t xml:space="preserve">》及相关</w:t>
      </w:r>
      <w:r>
        <w:rPr>
          <w:rFonts w:hint="eastAsia" w:ascii="宋体" w:hAnsi="宋体" w:eastAsia="宋体" w:cs="宋体"/>
          <w:sz w:val="24"/>
          <w:highlight w:val="none"/>
          <w:lang w:eastAsia="zh-CN"/>
        </w:rPr>
        <w:t xml:space="preserve">法律法规</w:t>
      </w:r>
      <w:r>
        <w:rPr>
          <w:rFonts w:hint="eastAsia" w:ascii="宋体" w:hAnsi="宋体" w:eastAsia="宋体" w:cs="宋体"/>
          <w:sz w:val="24"/>
          <w:highlight w:val="none"/>
        </w:rPr>
        <w:t xml:space="preserve">，结合我区绿化养护实际情况，制订本办法。</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一、总则</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负责镇区绿化养护管理工作，并负责对养护承包单位管养质量的检查考核。检查考核的结果作为对养护承包单位管养质量评价、经费支付以及其他奖惩的依据。在每年末进行考核评比，实行末位淘汰。</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二、检查考核机构及职责</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成立检查考核小组，由考核小组牵头具体考核工作，并做好日常检查考核评分工作。</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三、考核办法</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对养护承包单位管养质量实行</w:t>
      </w:r>
      <w:r>
        <w:rPr>
          <w:rFonts w:hint="eastAsia" w:ascii="宋体" w:hAnsi="宋体" w:cs="宋体"/>
          <w:sz w:val="24"/>
          <w:highlight w:val="none"/>
          <w:lang w:val="en-US" w:eastAsia="zh-CN"/>
        </w:rPr>
        <w:t xml:space="preserve">季度考核</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承包单位须严格按照养护计划，《养护计划》需明确每块绿地的养护目标任务、工作内容、计划完成时间和确保完成的保障措施等，并加盖单位公章或分公司、项目部公章。考核小组对养护计划审核后，派员检查养护工作落实情况。</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在日常巡查中对各块绿地进行不定期检查，针对检查中发现的问题以书面或口头形式告知，并要求各养护单位限期整改。凡发出书面通知的绿地列入下次集中考核的重点。不定期</w:t>
      </w:r>
      <w:r>
        <w:rPr>
          <w:rFonts w:hint="eastAsia" w:ascii="宋体" w:hAnsi="宋体" w:eastAsia="宋体" w:cs="宋体"/>
          <w:sz w:val="24"/>
          <w:highlight w:val="none"/>
          <w:lang w:eastAsia="zh-CN"/>
        </w:rPr>
        <w:t xml:space="preserve">检查</w:t>
      </w:r>
      <w:r>
        <w:rPr>
          <w:rFonts w:hint="eastAsia" w:ascii="宋体" w:hAnsi="宋体" w:eastAsia="宋体" w:cs="宋体"/>
          <w:sz w:val="24"/>
          <w:highlight w:val="none"/>
        </w:rPr>
        <w:t xml:space="preserve">结果作为当</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考评的重要依据之一。</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针对一年养护中病虫害、施肥、剥芽修剪、防汛抗台、保洁、文明安全、黑麦草、重要活动保障等重点性、周期性的事项进行重点</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考核。</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除考核小组日常</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检查考核外，各级领导、城管大队、督查室在巡查或督查过程中发现的问题以及各类市民投诉、媒体曝光等方面的问题都由考核小组负责汇总并按考核标准进行相应扣分。</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考核中发现的问题以《整改通知书》形式告知养护承包单位。《整改通知书》作为考评扣分主要依据，按考核标准进行相应扣分。原则上要求养护承包单位在收到通知后24小时内完成整改，并将完成情况反馈考核小组，未及时反馈的视作未完成整改。</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四、评分等级</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根据每次考核评分，考核等级为优秀、良好、合格、不合格四类。</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90分及以上的为优秀，80-89分为良好，70-79为合格，70分以下为不合格。</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五、分值计算</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考核评分采用百分制计分，满分100分。根据《锡山区绿地养护管理考核评定表》要求对检查结果进行评分，并以《整改通知书》等为依据。每</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一考核，每</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一结算。</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六、奖惩措施</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以检查和考核得分结果作为合同价款支付依据：</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（一）经考核后每个季度根据考核结果结算一次。根据季度考核情况，本季度得分≧90分的采购人按合同付款方式全额支付服务项目经费；90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val="en-US"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val="en-US"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二</w:t>
      </w:r>
      <w:r>
        <w:rPr>
          <w:rFonts w:hint="eastAsia" w:ascii="宋体" w:hAnsi="宋体" w:eastAsia="宋体" w:cs="宋体"/>
          <w:sz w:val="24"/>
          <w:highlight w:val="none"/>
        </w:rPr>
        <w:t xml:space="preserve">）养护承包单位在防台防汛、抗雪减灾等应急抢险中未能按要求积极履行职责的，甲方有权无条件单方面终止合同，养护承包单位接到甲方考核小组通知后24小时内无条件清退出场，由此造成的经济损失由养护承包单位承担，原已完成工作量据实按有关规定结算。</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三</w:t>
      </w:r>
      <w:r>
        <w:rPr>
          <w:rFonts w:hint="eastAsia" w:ascii="宋体" w:hAnsi="宋体" w:eastAsia="宋体" w:cs="宋体"/>
          <w:sz w:val="24"/>
          <w:highlight w:val="none"/>
        </w:rPr>
        <w:t xml:space="preserve">）养护承包单位应在中标</w:t>
      </w:r>
      <w:r>
        <w:rPr>
          <w:rFonts w:hint="eastAsia" w:ascii="宋体" w:hAnsi="宋体" w:cs="宋体"/>
          <w:sz w:val="24"/>
          <w:highlight w:val="none"/>
          <w:lang w:val="en-US" w:eastAsia="zh-CN"/>
        </w:rPr>
        <w:t xml:space="preserve">之</w:t>
      </w:r>
      <w:r>
        <w:rPr>
          <w:rFonts w:hint="eastAsia" w:ascii="宋体" w:hAnsi="宋体" w:eastAsia="宋体" w:cs="宋体"/>
          <w:sz w:val="24"/>
          <w:highlight w:val="none"/>
        </w:rPr>
        <w:t xml:space="preserve">后15</w:t>
      </w:r>
      <w:r>
        <w:rPr>
          <w:rFonts w:hint="eastAsia" w:ascii="宋体" w:hAnsi="宋体" w:eastAsia="宋体" w:cs="宋体"/>
          <w:sz w:val="24"/>
          <w:highlight w:val="none"/>
          <w:lang w:eastAsia="zh-CN"/>
        </w:rPr>
        <w:t xml:space="preserve">天</w:t>
      </w:r>
      <w:r>
        <w:rPr>
          <w:rFonts w:hint="eastAsia" w:ascii="宋体" w:hAnsi="宋体" w:eastAsia="宋体" w:cs="宋体"/>
          <w:sz w:val="24"/>
          <w:highlight w:val="none"/>
        </w:rPr>
        <w:t xml:space="preserve">内落实好招标文件中约定的作业机械、作业人员等要求，未能及时落实到位的，甲方有权无条件单方面终止合同，养护承包单位接到甲方考核小组通知后24小时内无条件清退出场，由此造成的经济损失由养护承包单位承担。</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七、相关制度</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（一）整改反馈制度</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1、现场检查发现的问题，属作业规范、保洁工作的，予以当场记录和扣分，养护承包单位应在24小时内整改到位；如果属于季节性问题或其他特殊问题的可先向养护承包单位发出限期整改通知。</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考核小组将对所有整改工作进行复查，如果整改工作不力处以双倍惩罚。</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2、为确保工作的有效性，在检查考核中将把是否及时落实整改作为考核的一项重点。对同一地点、同一类型问题，每连续发现一次加扣一倍分值，以此类推。</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3、检查发现需要整改的问题经考核负责人出具书面意见后，于2个工作日内反馈到养护承包单位。</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4、养护承包单位必须在收到整改通知后及时整改；遇特殊情况不能立即整改的，则应向考核小组反馈，经双方协商后确定整改日期，否则加倍扣分。</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（二）分数公示制度</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根据《锡山区绿地养护管理（三级养护）考核评定表》要求对检查结果进行评分，每</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一考核。</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（三）养护工作例会制度</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在每月初召开养护工作例会，通报每月日常考核情况及进行工作总结和部署，对遇到的养护难点进行共同研讨，同时，促进各养护承包单位间的相互学习和交流。</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（四）定期业务培训制度</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承包单位应结合养护工作计划，定期对技术骨干和作业工人进行相应的业务培训，努力提高作业人员专业素养和技术水平。并按招标要求足额配备经国家认定的中高级绿化工，由绿化工作为作业骨干领班指导养护作业。</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考核小组将对养护承包单位的培训内容、培训课时、培训成效和绿化工领班作业情况进行检查，检查结果列入</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考评。</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（五）项目经理自查制度</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为加强养护队伍管理，提高工作效率，实行项目经理互查制度。</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考核小组每半个月组织养护承包单位项目经理，对指定路段进行自查并填写《项目经理自查表》，各养护承包单位自备养护巡查车辆，积极配合</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考核小组工作，并将《项目经理自查表（附巡查发现问题照片）》汇总后，每月上报至</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八、</w:t>
      </w:r>
      <w:r>
        <w:rPr>
          <w:rFonts w:hint="eastAsia" w:ascii="宋体" w:hAnsi="宋体" w:eastAsia="宋体" w:cs="宋体"/>
          <w:sz w:val="24"/>
          <w:highlight w:val="none"/>
          <w:lang w:eastAsia="zh-CN"/>
        </w:rPr>
        <w:t xml:space="preserve">无锡市锡山区人民政府厚桥街道办事处</w:t>
      </w:r>
      <w:r>
        <w:rPr>
          <w:rFonts w:hint="eastAsia" w:ascii="宋体" w:hAnsi="宋体" w:eastAsia="宋体" w:cs="宋体"/>
          <w:sz w:val="24"/>
          <w:highlight w:val="none"/>
        </w:rPr>
        <w:t xml:space="preserve">有权根据实施情况对本考核办法及时作出修改。</w:t>
      </w:r>
      <w:r>
        <w:rPr>
          <w:rFonts w:hint="eastAsia" w:ascii="宋体" w:hAnsi="宋体" w:eastAsia="宋体" w:cs="宋体"/>
          <w:sz w:val="24"/>
          <w:highlight w:val="none"/>
        </w:rPr>
      </w:r>
      <w:r/>
    </w:p>
    <w:p>
      <w:pPr>
        <w:pStyle w:val="1714"/>
        <w:ind w:firstLine="482"/>
        <w:keepLines w:val="0"/>
        <w:keepNext w:val="0"/>
        <w:pageBreakBefore w:val="0"/>
        <w:spacing w:line="360" w:lineRule="auto"/>
        <w:widowControl w:val="off"/>
        <w:rPr>
          <w:rFonts w:hint="eastAsia" w:ascii="宋体" w:hAnsi="宋体" w:eastAsia="宋体" w:cs="宋体"/>
          <w:b/>
          <w:bCs/>
          <w:sz w:val="24"/>
          <w:highlight w:val="none"/>
        </w:rPr>
        <w:outlineLvl w:val="9"/>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.锡山区绿地养护管理（</w:t>
      </w: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级养护）考核评定表</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.锡山区绿地养护等级标准</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.《整改通知书》</w:t>
      </w:r>
      <w:r>
        <w:rPr>
          <w:rFonts w:hint="eastAsia" w:ascii="宋体" w:hAnsi="宋体" w:eastAsia="宋体" w:cs="宋体"/>
          <w:sz w:val="24"/>
          <w:highlight w:val="none"/>
        </w:rPr>
      </w:r>
      <w:r/>
    </w:p>
    <w:p>
      <w:pPr>
        <w:pStyle w:val="1714"/>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.《项目经理自查表》</w:t>
      </w:r>
      <w:r>
        <w:rPr>
          <w:rFonts w:hint="eastAsia" w:ascii="宋体" w:hAnsi="宋体" w:eastAsia="宋体" w:cs="宋体"/>
          <w:sz w:val="24"/>
          <w:highlight w:val="none"/>
        </w:rPr>
      </w:r>
      <w:r/>
    </w:p>
    <w:p>
      <w:pPr>
        <w:pStyle w:val="1722"/>
        <w:rPr>
          <w:rFonts w:hint="eastAsia"/>
        </w:rPr>
      </w:pPr>
      <w:r>
        <w:rPr>
          <w:rFonts w:hint="eastAsia"/>
        </w:rPr>
      </w:r>
      <w:r/>
    </w:p>
    <w:p>
      <w:pPr>
        <w:pStyle w:val="1787"/>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714"/>
        <w:ind w:left="0" w:firstLine="480"/>
        <w:keepLines w:val="0"/>
        <w:keepNext w:val="0"/>
        <w:pageBreakBefore w:val="0"/>
        <w:spacing w:line="360" w:lineRule="auto"/>
        <w:widowControl w:val="off"/>
        <w:rPr>
          <w:rFonts w:hint="eastAsia" w:ascii="宋体" w:hAnsi="宋体" w:eastAsia="宋体" w:cs="宋体"/>
          <w:sz w:val="24"/>
          <w:szCs w:val="24"/>
          <w:highlight w:val="none"/>
        </w:rPr>
        <w:sectPr>
          <w:headerReference w:type="default" r:id="rId12"/>
          <w:footerReference w:type="default" r:id="rId24"/>
          <w:footnotePr/>
          <w:endnotePr/>
          <w:type w:val="nextPage"/>
          <w:pgSz w:w="11906" w:h="16838" w:orient="portrait"/>
          <w:pgMar w:top="1304" w:right="1304" w:bottom="1304" w:left="1304" w:header="851" w:footer="992" w:gutter="0"/>
          <w:cols w:num="1" w:sep="0" w:space="1701" w:equalWidth="1"/>
          <w:docGrid w:linePitch="360"/>
        </w:sectPr>
      </w:pPr>
      <w:r>
        <w:rPr>
          <w:rFonts w:hint="eastAsia" w:ascii="宋体" w:hAnsi="宋体" w:eastAsia="宋体" w:cs="宋体"/>
          <w:sz w:val="24"/>
          <w:szCs w:val="24"/>
          <w:highlight w:val="none"/>
        </w:rPr>
      </w:r>
      <w:r/>
    </w:p>
    <w:tbl>
      <w:tblPr>
        <w:tblW w:w="14223" w:type="dxa"/>
        <w:tblInd w:w="-108" w:type="dxa"/>
        <w:tblLayout w:type="fixed"/>
        <w:tblCellMar>
          <w:left w:w="108" w:type="dxa"/>
          <w:top w:w="0" w:type="dxa"/>
          <w:right w:w="108" w:type="dxa"/>
          <w:bottom w:w="0" w:type="dxa"/>
        </w:tblCellMar>
        <w:tblLook w:val="04A0" w:firstRow="1" w:lastRow="0" w:firstColumn="1" w:lastColumn="0" w:noHBand="0" w:noVBand="1"/>
      </w:tblPr>
      <w:tblGrid>
        <w:gridCol w:w="616"/>
        <w:gridCol w:w="768"/>
        <w:gridCol w:w="5391"/>
        <w:gridCol w:w="700"/>
        <w:gridCol w:w="862"/>
        <w:gridCol w:w="4070"/>
        <w:gridCol w:w="786"/>
        <w:gridCol w:w="956"/>
      </w:tblGrid>
      <w:tr>
        <w:trPr>
          <w:trHeight w:val="1037"/>
        </w:trPr>
        <w:tc>
          <w:tcPr>
            <w:gridSpan w:val="8"/>
            <w:tcBorders>
              <w:top w:val="none" w:color="000000" w:sz="4" w:space="0"/>
              <w:left w:val="none" w:color="000000" w:sz="4" w:space="0"/>
              <w:bottom w:val="none" w:color="000000" w:sz="4" w:space="0"/>
              <w:right w:val="none" w:color="000000" w:sz="4" w:space="0"/>
            </w:tcBorders>
            <w:tcW w:w="14149" w:type="dxa"/>
            <w:vAlign w:val="center"/>
            <w:textDirection w:val="lrTb"/>
            <w:noWrap w:val="false"/>
          </w:tcPr>
          <w:p>
            <w:pPr>
              <w:pStyle w:val="1714"/>
              <w:jc w:val="center"/>
              <w:widowControl/>
              <w:rPr>
                <w:rFonts w:hint="eastAsia" w:ascii="宋体" w:hAnsi="宋体" w:cs="宋体"/>
                <w:b/>
                <w:bCs/>
                <w:sz w:val="36"/>
                <w:szCs w:val="36"/>
                <w:highlight w:val="none"/>
              </w:rPr>
            </w:pPr>
            <w:r>
              <w:rPr>
                <w:rFonts w:hint="eastAsia" w:ascii="宋体" w:hAnsi="宋体" w:cs="宋体"/>
                <w:b/>
                <w:bCs/>
                <w:sz w:val="36"/>
                <w:szCs w:val="36"/>
              </w:rPr>
              <w:t xml:space="preserve">锡山区绿地养护管理（二</w:t>
            </w:r>
            <w:r>
              <w:rPr>
                <w:rFonts w:ascii="宋体" w:hAnsi="宋体" w:cs="宋体"/>
                <w:b/>
                <w:bCs/>
                <w:sz w:val="36"/>
                <w:szCs w:val="36"/>
              </w:rPr>
              <w:t xml:space="preserve">级养护</w:t>
            </w:r>
            <w:r>
              <w:rPr>
                <w:rFonts w:hint="eastAsia" w:ascii="宋体" w:hAnsi="宋体" w:cs="宋体"/>
                <w:b/>
                <w:bCs/>
                <w:sz w:val="36"/>
                <w:szCs w:val="36"/>
              </w:rPr>
              <w:t xml:space="preserve">）考核评定表</w:t>
            </w:r>
            <w:r>
              <w:rPr>
                <w:rFonts w:hint="eastAsia" w:ascii="宋体" w:hAnsi="宋体" w:cs="宋体"/>
                <w:b/>
                <w:bCs/>
                <w:sz w:val="36"/>
                <w:szCs w:val="36"/>
                <w:highlight w:val="none"/>
              </w:rPr>
            </w:r>
            <w:r/>
          </w:p>
        </w:tc>
      </w:tr>
      <w:tr>
        <w:trPr>
          <w:trHeight w:val="375"/>
        </w:trPr>
        <w:tc>
          <w:tcPr>
            <w:gridSpan w:val="8"/>
            <w:tcBorders>
              <w:top w:val="none" w:color="000000" w:sz="4" w:space="0"/>
              <w:left w:val="none" w:color="000000" w:sz="4" w:space="0"/>
              <w:bottom w:val="single" w:color="000000" w:sz="4" w:space="0"/>
              <w:right w:val="none" w:color="000000" w:sz="4" w:space="0"/>
            </w:tcBorders>
            <w:tcW w:w="14149" w:type="dxa"/>
            <w:vAlign w:val="center"/>
            <w:textDirection w:val="lrTb"/>
            <w:noWrap w:val="false"/>
          </w:tcPr>
          <w:p>
            <w:pPr>
              <w:pStyle w:val="1714"/>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考核工程</w:t>
            </w:r>
            <w:r>
              <w:rPr>
                <w:rFonts w:hint="eastAsia" w:ascii="楷体_GB2312" w:hAnsi="宋体" w:eastAsia="楷体_GB2312" w:cs="宋体"/>
                <w:sz w:val="24"/>
                <w:szCs w:val="24"/>
                <w:lang w:eastAsia="zh-CN"/>
              </w:rPr>
              <w:t xml:space="preserve">：</w:t>
            </w:r>
            <w:r>
              <w:rPr>
                <w:rFonts w:hint="eastAsia" w:ascii="楷体_GB2312" w:hAnsi="宋体" w:eastAsia="楷体_GB2312" w:cs="宋体"/>
                <w:sz w:val="24"/>
                <w:szCs w:val="24"/>
              </w:rPr>
              <w:t xml:space="preserve"> </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    单位名称：</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    考核日期：</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年</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月</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日</w:t>
            </w:r>
            <w:r>
              <w:rPr>
                <w:rFonts w:ascii="楷体_GB2312" w:hAnsi="宋体" w:eastAsia="楷体_GB2312" w:cs="宋体"/>
                <w:sz w:val="24"/>
                <w:szCs w:val="24"/>
              </w:rPr>
            </w:r>
            <w:r/>
          </w:p>
        </w:tc>
      </w:tr>
      <w:tr>
        <w:trPr>
          <w:trHeight w:val="385"/>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项目</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编号</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考核标准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分值</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扣分标准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扣分</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得分</w:t>
            </w:r>
            <w:r>
              <w:rPr>
                <w:rFonts w:ascii="宋体" w:hAnsi="宋体" w:cs="宋体"/>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显见性问题</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绿地基本整洁，无枯枝病叶，无垃圾。无明显杂物（纸屑、果壳、塑料纸、砖头石块、堆物、堆料、搭棚等）。</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有一内容不到要求，扣1分，扣完为止。</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2</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绿化生产垃圾（树枝、树叶、草屑等），水面杂物能日产日清，能做到保洁及时。</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有一内容不到要求，扣1分，扣完为止。</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302"/>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3</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发现侵占绿地、砍伐树木现象及时阻止，及时汇报。</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及时上报、阻止得2分，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技术性工作</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4</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场地排水坡度恰当，无积水，有排水沟。</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发现一处扣2分。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树木生长势好，枝条健壮，无枯枝、无死杈，绿地内无死株、缺苗</w:t>
            </w:r>
            <w:r>
              <w:rPr>
                <w:rFonts w:hint="eastAsia" w:ascii="宋体" w:hAnsi="宋体" w:cs="宋体"/>
                <w:color w:val="000000"/>
                <w:szCs w:val="24"/>
                <w:lang w:eastAsia="zh-CN"/>
              </w:rPr>
              <w:t xml:space="preserve">，</w:t>
            </w:r>
            <w:r>
              <w:rPr>
                <w:rFonts w:hint="eastAsia" w:ascii="宋体" w:hAnsi="宋体" w:cs="宋体"/>
                <w:color w:val="000000"/>
                <w:szCs w:val="24"/>
              </w:rPr>
              <w:t xml:space="preserve">补植迅速。</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有一内容不到要求，扣2分。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114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6</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做好绿地内植物病虫害的防治工作，危害状不明显。病虫害较严重时，应及时防治，措施得力。结合冬季修剪，冬耕消灭越冬的虫茧、虫蛹、越冬的虫蛹等活动。</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危害状明显发现一处扣1-2分，大面积危害扣3-4分。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93"/>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7</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树干或树干重心与地面基本垂直，支撑应稳定，牢固一致。对树体伤口应清理，修整后消毒，涂保护剂，发现树洞要及时修补。</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发现树木歪斜应扶正，否则扣1分。违反规定有一项扣1分。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5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8</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冬季树木统一涂白，做好防扫雪等植物保护性工作</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涂白不及时，扣1-2分，不到位扣2分。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73"/>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9</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及时耕除杂草，树穴整修，绿篱两侧30厘米内无杂草或草坪</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有一内容不到要求，扣1-2分。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10</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灌木、色块、草坪修剪及时，平面平整，高度统一，棱角清楚，球形圆整。</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发现乱剪或不及时修剪扣1-2分。凡草坪生长超过平面7cm、色块、绿篱生长超过8cm未修剪的不得分。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1120"/>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技术性工作</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11</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雨季及时排水，绿地不积水，高温季节及时灌水，叶面喷水，做好台风季节的防护工作。暴雨前应检查好排水设施是否畅通，暴雨堵塞管道或积水时应及时采取排水措施。</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发现一处积水扣1分，植物缺水影响生长或死亡扣4分，植株抗台风、防护工作做不好，有一处扣1分。</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52"/>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12</w:t>
            </w: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szCs w:val="24"/>
              </w:rPr>
            </w:pPr>
            <w:r>
              <w:rPr>
                <w:rFonts w:hint="eastAsia" w:ascii="宋体" w:hAnsi="宋体" w:cs="宋体"/>
                <w:szCs w:val="24"/>
              </w:rPr>
              <w:t xml:space="preserve">按苗木长势情况施基肥，做好保质、保量、及时。树木、草坪、地被要按要求施追肥1-2次。</w:t>
            </w:r>
            <w:r>
              <w:rPr>
                <w:rFonts w:ascii="宋体" w:hAnsi="宋体" w:cs="宋体"/>
                <w:szCs w:val="24"/>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singl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少施一处扣3分，施肥不足或不按要求扣2分。</w:t>
            </w: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singl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63"/>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管理标准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13</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绿地管理制度全面落实，档案资料完整、详尽，根据绿地质量标准，制订养护管理技术措施及年度养护计划。按月上报养护计划及上月工作总结。</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记录不全及内容乱记不真实扣1分。不及时上报月养护计划扣2分。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55"/>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14</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配足养护人员，按照技术操作规程工作。工作人员统一着装。在规定时期内及时做好甲方下达的任务。</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不按规程作业，人员不足，发现一次扣5分；无人员不得分。着装不统一扣5分，有无故拖延者发现一处扣2分。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57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714"/>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15</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积极参加我单位组织的各类会议、活动。</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color w:val="000000"/>
                <w:szCs w:val="24"/>
              </w:rPr>
            </w:pPr>
            <w:r>
              <w:rPr>
                <w:rFonts w:hint="eastAsia" w:ascii="宋体" w:hAnsi="宋体" w:cs="宋体"/>
                <w:color w:val="000000"/>
                <w:szCs w:val="24"/>
              </w:rPr>
              <w:t xml:space="preserve">无故缺席或借故中途离开，发现一处扣2分。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1189"/>
        </w:trPr>
        <w:tc>
          <w:tcPr>
            <w:tcBorders>
              <w:top w:val="none" w:color="000000" w:sz="4" w:space="0"/>
              <w:left w:val="single" w:color="000000" w:sz="4" w:space="0"/>
              <w:bottom w:val="single" w:color="000000" w:sz="4" w:space="0"/>
              <w:right w:val="single" w:color="000000" w:sz="4" w:space="0"/>
            </w:tcBorders>
            <w:tcW w:w="616" w:type="dxa"/>
            <w:vAlign w:val="center"/>
            <w:textDirection w:val="tbRlV"/>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社会监督</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16</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szCs w:val="24"/>
              </w:rPr>
            </w:pPr>
            <w:r>
              <w:rPr>
                <w:rFonts w:hint="eastAsia" w:ascii="宋体" w:hAnsi="宋体" w:cs="宋体"/>
                <w:szCs w:val="24"/>
              </w:rPr>
              <w:t xml:space="preserve">被上级领导批评、市民投诉、新闻媒体曝光问题的</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15</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szCs w:val="24"/>
              </w:rPr>
            </w:pPr>
            <w:r>
              <w:rPr>
                <w:rFonts w:hint="eastAsia" w:ascii="宋体" w:hAnsi="宋体" w:cs="宋体"/>
                <w:szCs w:val="24"/>
              </w:rPr>
              <w:t xml:space="preserve">被上级领导批评、市民投诉、新闻媒体曝光属养护单位责任的一次扣5分，在养护标段内但非养护单位责任且已及时上报的不扣分、未及时上报的一次扣5分。</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86"/>
        </w:trPr>
        <w:tc>
          <w:tcPr>
            <w:tcBorders>
              <w:top w:val="none" w:color="000000" w:sz="4" w:space="0"/>
              <w:left w:val="single" w:color="000000" w:sz="4" w:space="0"/>
              <w:bottom w:val="single" w:color="000000" w:sz="4" w:space="0"/>
              <w:right w:val="single" w:color="000000" w:sz="4" w:space="0"/>
            </w:tcBorders>
            <w:tcW w:w="616" w:type="dxa"/>
            <w:vAlign w:val="center"/>
            <w:textDirection w:val="tbRlV"/>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其他</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714"/>
              <w:jc w:val="center"/>
              <w:widowControl/>
              <w:rPr>
                <w:rFonts w:ascii="宋体" w:hAnsi="宋体" w:cs="宋体"/>
                <w:color w:val="000000"/>
                <w:szCs w:val="24"/>
              </w:rPr>
            </w:pPr>
            <w:r>
              <w:rPr>
                <w:rFonts w:hint="eastAsia" w:ascii="宋体" w:hAnsi="宋体" w:cs="宋体"/>
                <w:color w:val="000000"/>
                <w:szCs w:val="24"/>
              </w:rPr>
              <w:t xml:space="preserve">17</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szCs w:val="24"/>
              </w:rPr>
            </w:pPr>
            <w:r>
              <w:rPr>
                <w:rFonts w:hint="eastAsia" w:ascii="宋体" w:hAnsi="宋体" w:cs="宋体"/>
                <w:szCs w:val="24"/>
              </w:rPr>
              <w:t xml:space="preserve">乡镇绿化主管部门发现的问题应积极整改到位，配合乡镇做好各项检查工作。</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10</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szCs w:val="24"/>
              </w:rPr>
            </w:pPr>
            <w:r>
              <w:rPr>
                <w:rFonts w:hint="eastAsia" w:ascii="宋体" w:hAnsi="宋体" w:cs="宋体"/>
                <w:szCs w:val="24"/>
              </w:rPr>
              <w:t xml:space="preserve">乡镇主管部门发现问题的扣2分/次，整改不及时扣5分/次，配合工作不到位的5分/次。</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232"/>
        </w:trPr>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合计</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714"/>
              <w:jc w:val="left"/>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100</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4932" w:type="dxa"/>
            <w:vAlign w:val="center"/>
            <w:textDirection w:val="lrTb"/>
            <w:noWrap w:val="false"/>
          </w:tcPr>
          <w:p>
            <w:pPr>
              <w:pStyle w:val="1714"/>
              <w:jc w:val="left"/>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714"/>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705"/>
        </w:trPr>
        <w:tc>
          <w:tcPr>
            <w:gridSpan w:val="8"/>
            <w:tcBorders>
              <w:top w:val="single" w:color="000000" w:sz="4" w:space="0"/>
              <w:left w:val="none" w:color="000000" w:sz="4" w:space="0"/>
              <w:bottom w:val="none" w:color="000000" w:sz="4" w:space="0"/>
              <w:right w:val="none" w:color="000000" w:sz="4" w:space="0"/>
            </w:tcBorders>
            <w:tcW w:w="14149" w:type="dxa"/>
            <w:vAlign w:val="center"/>
            <w:textDirection w:val="lrTb"/>
            <w:noWrap w:val="false"/>
          </w:tcPr>
          <w:p>
            <w:pPr>
              <w:pStyle w:val="1714"/>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说明：1考核小组每月对辖区绿化考核一次，各级领导、城管大队、督查室在巡查或督查过程中发现的问题以及各类市民投诉、媒体曝光等方面的问题都作为日常考核的依据。</w:t>
            </w:r>
            <w:r>
              <w:rPr>
                <w:rFonts w:ascii="楷体_GB2312" w:hAnsi="宋体" w:eastAsia="楷体_GB2312" w:cs="宋体"/>
                <w:sz w:val="24"/>
                <w:szCs w:val="24"/>
              </w:rPr>
            </w:r>
            <w:r/>
          </w:p>
        </w:tc>
      </w:tr>
      <w:tr>
        <w:trPr>
          <w:trHeight w:val="645"/>
        </w:trPr>
        <w:tc>
          <w:tcPr>
            <w:gridSpan w:val="8"/>
            <w:tcBorders>
              <w:top w:val="none" w:color="000000" w:sz="4" w:space="0"/>
              <w:left w:val="none" w:color="000000" w:sz="4" w:space="0"/>
              <w:bottom w:val="none" w:color="000000" w:sz="4" w:space="0"/>
              <w:right w:val="none" w:color="000000" w:sz="4" w:space="0"/>
            </w:tcBorders>
            <w:tcW w:w="14149" w:type="dxa"/>
            <w:vAlign w:val="center"/>
            <w:textDirection w:val="lrTb"/>
            <w:noWrap w:val="false"/>
          </w:tcPr>
          <w:p>
            <w:pPr>
              <w:pStyle w:val="1714"/>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      2此评分标准以100分为满分，90（含）</w:t>
            </w:r>
            <w:r>
              <w:rPr>
                <w:rFonts w:ascii="楷体_GB2312" w:hAnsi="宋体" w:eastAsia="楷体_GB2312" w:cs="宋体"/>
                <w:sz w:val="24"/>
                <w:szCs w:val="24"/>
              </w:rPr>
              <w:t xml:space="preserve">-100</w:t>
            </w:r>
            <w:r>
              <w:rPr>
                <w:rFonts w:hint="eastAsia" w:ascii="楷体_GB2312" w:hAnsi="宋体" w:eastAsia="楷体_GB2312" w:cs="宋体"/>
                <w:sz w:val="24"/>
                <w:szCs w:val="24"/>
              </w:rPr>
              <w:t xml:space="preserve">分为优秀，</w:t>
            </w:r>
            <w:r>
              <w:rPr>
                <w:rFonts w:hint="eastAsia" w:ascii="楷体_GB2312" w:hAnsi="宋体" w:eastAsia="楷体_GB2312" w:cs="宋体"/>
                <w:sz w:val="24"/>
                <w:szCs w:val="24"/>
                <w:lang w:eastAsia="zh-CN"/>
              </w:rPr>
              <w:t xml:space="preserve">每</w:t>
            </w:r>
            <w:r>
              <w:rPr>
                <w:rFonts w:hint="eastAsia" w:ascii="楷体_GB2312" w:hAnsi="宋体" w:eastAsia="楷体_GB2312" w:cs="宋体"/>
                <w:sz w:val="24"/>
                <w:szCs w:val="24"/>
              </w:rPr>
              <w:t xml:space="preserve">少一分扣当月养护款2</w:t>
            </w:r>
            <w:r>
              <w:rPr>
                <w:rFonts w:ascii="楷体_GB2312" w:hAnsi="宋体" w:eastAsia="楷体_GB2312" w:cs="宋体"/>
                <w:sz w:val="24"/>
                <w:szCs w:val="24"/>
              </w:rPr>
              <w:t xml:space="preserve">00</w:t>
            </w:r>
            <w:r>
              <w:rPr>
                <w:rFonts w:hint="eastAsia" w:ascii="楷体_GB2312" w:hAnsi="宋体" w:eastAsia="楷体_GB2312" w:cs="宋体"/>
                <w:sz w:val="24"/>
                <w:szCs w:val="24"/>
              </w:rPr>
              <w:t xml:space="preserve">元；80-</w:t>
            </w:r>
            <w:r>
              <w:rPr>
                <w:rFonts w:ascii="楷体_GB2312" w:hAnsi="宋体" w:eastAsia="楷体_GB2312" w:cs="宋体"/>
                <w:sz w:val="24"/>
                <w:szCs w:val="24"/>
              </w:rPr>
              <w:t xml:space="preserve">89</w:t>
            </w:r>
            <w:r>
              <w:rPr>
                <w:rFonts w:hint="eastAsia" w:ascii="楷体_GB2312" w:hAnsi="宋体" w:eastAsia="楷体_GB2312" w:cs="宋体"/>
                <w:sz w:val="24"/>
                <w:szCs w:val="24"/>
              </w:rPr>
              <w:t xml:space="preserve">分为良好，每少一分扣当月养护款</w:t>
            </w:r>
            <w:r>
              <w:rPr>
                <w:rFonts w:ascii="楷体_GB2312" w:hAnsi="宋体" w:eastAsia="楷体_GB2312" w:cs="宋体"/>
                <w:sz w:val="24"/>
                <w:szCs w:val="24"/>
              </w:rPr>
              <w:t xml:space="preserve">500元</w:t>
            </w:r>
            <w:r>
              <w:rPr>
                <w:rFonts w:hint="eastAsia" w:ascii="楷体_GB2312" w:hAnsi="宋体" w:eastAsia="楷体_GB2312" w:cs="宋体"/>
                <w:sz w:val="24"/>
                <w:szCs w:val="24"/>
              </w:rPr>
              <w:t xml:space="preserve">；7</w:t>
            </w:r>
            <w:r>
              <w:rPr>
                <w:rFonts w:ascii="楷体_GB2312" w:hAnsi="宋体" w:eastAsia="楷体_GB2312" w:cs="宋体"/>
                <w:sz w:val="24"/>
                <w:szCs w:val="24"/>
              </w:rPr>
              <w:t xml:space="preserve">0-79</w:t>
            </w:r>
            <w:r>
              <w:rPr>
                <w:rFonts w:hint="eastAsia" w:ascii="楷体_GB2312" w:hAnsi="宋体" w:eastAsia="楷体_GB2312" w:cs="宋体"/>
                <w:sz w:val="24"/>
                <w:szCs w:val="24"/>
              </w:rPr>
              <w:t xml:space="preserve">分为合格，每少一分扣当月养护款</w:t>
            </w:r>
            <w:r>
              <w:rPr>
                <w:rFonts w:ascii="楷体_GB2312" w:hAnsi="宋体" w:eastAsia="楷体_GB2312" w:cs="宋体"/>
                <w:sz w:val="24"/>
                <w:szCs w:val="24"/>
              </w:rPr>
              <w:t xml:space="preserve">1000元</w:t>
            </w:r>
            <w:r>
              <w:rPr>
                <w:rFonts w:hint="eastAsia" w:ascii="楷体_GB2312" w:hAnsi="宋体" w:eastAsia="楷体_GB2312" w:cs="宋体"/>
                <w:sz w:val="24"/>
                <w:szCs w:val="24"/>
              </w:rPr>
              <w:t xml:space="preserve">；7</w:t>
            </w:r>
            <w:r>
              <w:rPr>
                <w:rFonts w:ascii="楷体_GB2312" w:hAnsi="宋体" w:eastAsia="楷体_GB2312" w:cs="宋体"/>
                <w:sz w:val="24"/>
                <w:szCs w:val="24"/>
              </w:rPr>
              <w:t xml:space="preserve">0</w:t>
            </w:r>
            <w:r>
              <w:rPr>
                <w:rFonts w:hint="eastAsia" w:ascii="楷体_GB2312" w:hAnsi="宋体" w:eastAsia="楷体_GB2312" w:cs="宋体"/>
                <w:sz w:val="24"/>
                <w:szCs w:val="24"/>
              </w:rPr>
              <w:t xml:space="preserve">分以下为不合格，每少一分扣当月养护款</w:t>
            </w:r>
            <w:r>
              <w:rPr>
                <w:rFonts w:ascii="楷体_GB2312" w:hAnsi="宋体" w:eastAsia="楷体_GB2312" w:cs="宋体"/>
                <w:sz w:val="24"/>
                <w:szCs w:val="24"/>
              </w:rPr>
              <w:t xml:space="preserve">5000元</w:t>
            </w:r>
            <w:r>
              <w:rPr>
                <w:rFonts w:hint="eastAsia" w:ascii="楷体_GB2312" w:hAnsi="宋体" w:eastAsia="楷体_GB2312" w:cs="宋体"/>
                <w:sz w:val="24"/>
                <w:szCs w:val="24"/>
              </w:rPr>
              <w:t xml:space="preserve">，扣完为止。</w:t>
            </w:r>
            <w:r>
              <w:rPr>
                <w:rFonts w:ascii="楷体_GB2312" w:hAnsi="宋体" w:eastAsia="楷体_GB2312" w:cs="宋体"/>
                <w:sz w:val="24"/>
                <w:szCs w:val="24"/>
              </w:rPr>
            </w:r>
            <w:r/>
          </w:p>
        </w:tc>
      </w:tr>
      <w:tr>
        <w:trPr>
          <w:trHeight w:val="300"/>
        </w:trPr>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pStyle w:val="171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768" w:type="dxa"/>
            <w:vAlign w:val="center"/>
            <w:textDirection w:val="lrTb"/>
            <w:noWrap w:val="false"/>
          </w:tcPr>
          <w:p>
            <w:pPr>
              <w:pStyle w:val="1714"/>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pStyle w:val="1714"/>
              <w:jc w:val="left"/>
              <w:widowControl/>
              <w:rPr>
                <w:rFonts w:ascii="宋体" w:hAnsi="宋体" w:cs="宋体"/>
                <w:sz w:val="24"/>
                <w:szCs w:val="24"/>
              </w:rPr>
            </w:pPr>
            <w:r>
              <w:rPr>
                <w:rFonts w:ascii="宋体" w:hAnsi="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1562" w:type="dxa"/>
            <w:vAlign w:val="center"/>
            <w:textDirection w:val="lrTb"/>
            <w:noWrap w:val="false"/>
          </w:tcPr>
          <w:p>
            <w:pPr>
              <w:pStyle w:val="1714"/>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4070" w:type="dxa"/>
            <w:vAlign w:val="center"/>
            <w:textDirection w:val="lrTb"/>
            <w:noWrap w:val="false"/>
          </w:tcPr>
          <w:p>
            <w:pPr>
              <w:pStyle w:val="1714"/>
              <w:jc w:val="right"/>
              <w:widowControl/>
              <w:rPr>
                <w:rFonts w:ascii="楷体_GB2312" w:hAnsi="宋体" w:eastAsia="楷体_GB2312" w:cs="宋体"/>
                <w:sz w:val="24"/>
                <w:szCs w:val="24"/>
              </w:rPr>
            </w:pPr>
            <w:r>
              <w:rPr>
                <w:rFonts w:hint="eastAsia" w:ascii="楷体_GB2312" w:hAnsi="宋体" w:eastAsia="楷体_GB2312" w:cs="宋体"/>
                <w:sz w:val="24"/>
                <w:szCs w:val="24"/>
              </w:rPr>
              <w:t xml:space="preserve">评分人：</w:t>
            </w:r>
            <w:r>
              <w:rPr>
                <w:rFonts w:ascii="楷体_GB2312" w:hAnsi="宋体" w:eastAsia="楷体_GB2312" w:cs="宋体"/>
                <w:sz w:val="24"/>
                <w:szCs w:val="24"/>
              </w:rPr>
            </w:r>
            <w:r/>
          </w:p>
        </w:tc>
        <w:tc>
          <w:tcPr>
            <w:gridSpan w:val="2"/>
            <w:tcBorders>
              <w:top w:val="none" w:color="000000" w:sz="4" w:space="0"/>
              <w:left w:val="none" w:color="000000" w:sz="4" w:space="0"/>
              <w:bottom w:val="single" w:color="000000" w:sz="8" w:space="0"/>
              <w:right w:val="none" w:color="000000" w:sz="4" w:space="0"/>
            </w:tcBorders>
            <w:tcW w:w="1742" w:type="dxa"/>
            <w:vAlign w:val="center"/>
            <w:textDirection w:val="lrTb"/>
            <w:noWrap w:val="false"/>
          </w:tcPr>
          <w:p>
            <w:pPr>
              <w:pStyle w:val="1714"/>
              <w:jc w:val="center"/>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bl>
    <w:p>
      <w:pPr>
        <w:pStyle w:val="1787"/>
        <w:ind w:firstLine="0"/>
        <w:rPr>
          <w:highlight w:val="none"/>
        </w:rPr>
      </w:pPr>
      <w:r>
        <w:rPr>
          <w:highlight w:val="none"/>
        </w:rPr>
      </w:r>
      <w:r/>
    </w:p>
    <w:p>
      <w:pPr>
        <w:pStyle w:val="1787"/>
        <w:ind w:firstLine="0"/>
        <w:rPr>
          <w:highlight w:val="none"/>
        </w:rPr>
        <w:sectPr>
          <w:footnotePr/>
          <w:endnotePr/>
          <w:type w:val="nextPage"/>
          <w:pgSz w:w="16838" w:h="11906" w:orient="landscape"/>
          <w:pgMar w:top="1304" w:right="1304" w:bottom="1304" w:left="1304" w:header="851" w:footer="992" w:gutter="0"/>
          <w:cols w:num="1" w:sep="0" w:space="1701" w:equalWidth="1"/>
          <w:docGrid w:linePitch="360"/>
        </w:sectPr>
      </w:pPr>
      <w:r>
        <w:rPr>
          <w:highlight w:val="none"/>
        </w:rPr>
      </w:r>
      <w:r/>
    </w:p>
    <w:p>
      <w:pPr>
        <w:pStyle w:val="1714"/>
        <w:jc w:val="left"/>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t xml:space="preserve">附件</w:t>
      </w:r>
      <w:r>
        <w:rPr>
          <w:rFonts w:hint="eastAsia" w:cs="Times New Roman"/>
          <w:b/>
          <w:bCs/>
          <w:sz w:val="28"/>
          <w:szCs w:val="28"/>
          <w:highlight w:val="none"/>
          <w:lang w:val="en-US" w:eastAsia="zh-CN"/>
        </w:rPr>
        <w:t xml:space="preserve">2</w:t>
      </w:r>
      <w:r>
        <w:rPr>
          <w:rFonts w:hint="eastAsia" w:ascii="Times New Roman" w:hAnsi="Times New Roman" w:eastAsia="宋体" w:cs="Times New Roman"/>
          <w:b/>
          <w:bCs/>
          <w:sz w:val="28"/>
          <w:szCs w:val="28"/>
          <w:highlight w:val="none"/>
          <w:lang w:eastAsia="zh-CN"/>
        </w:rPr>
        <w:t xml:space="preserve">：</w:t>
      </w:r>
      <w:bookmarkStart w:id="38" w:name="_Hlk131757188"/>
      <w:r>
        <w:rPr>
          <w:rFonts w:hint="eastAsia" w:ascii="Times New Roman" w:hAnsi="Times New Roman" w:eastAsia="宋体" w:cs="Times New Roman"/>
          <w:b/>
          <w:bCs/>
          <w:sz w:val="28"/>
          <w:szCs w:val="28"/>
          <w:highlight w:val="none"/>
          <w:lang w:eastAsia="zh-CN"/>
        </w:rPr>
        <w:t xml:space="preserve">锡山区绿地养护等级标准</w:t>
      </w:r>
      <w:bookmarkEnd w:id="38"/>
      <w:r>
        <w:rPr>
          <w:rFonts w:hint="eastAsia" w:ascii="Times New Roman" w:hAnsi="Times New Roman" w:eastAsia="宋体" w:cs="Times New Roman"/>
          <w:b/>
          <w:bCs/>
          <w:sz w:val="28"/>
          <w:szCs w:val="28"/>
          <w:highlight w:val="none"/>
          <w:lang w:eastAsia="zh-CN"/>
        </w:rPr>
      </w:r>
      <w:r/>
    </w:p>
    <w:tbl>
      <w:tblPr>
        <w:tblW w:w="13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4110"/>
        <w:gridCol w:w="3969"/>
        <w:gridCol w:w="3815"/>
      </w:tblGrid>
      <w:tr>
        <w:trPr>
          <w:trHeight w:val="494"/>
          <w:tblHeader/>
        </w:trPr>
        <w:tc>
          <w:tcPr>
            <w:tcW w:w="1844" w:type="dxa"/>
            <w:vAlign w:val="center"/>
            <w:textDirection w:val="lrTb"/>
            <w:noWrap w:val="false"/>
          </w:tcPr>
          <w:p>
            <w:pPr>
              <w:pStyle w:val="1714"/>
              <w:jc w:val="center"/>
              <w:rPr>
                <w:rFonts w:ascii="宋体" w:hAnsi="宋体"/>
                <w:b/>
                <w:highlight w:val="none"/>
              </w:rPr>
            </w:pPr>
            <w:r>
              <w:rPr>
                <w:rFonts w:hint="eastAsia" w:ascii="宋体" w:hAnsi="宋体"/>
                <w:b/>
                <w:highlight w:val="none"/>
              </w:rPr>
              <w:t xml:space="preserve">类别</w:t>
            </w:r>
            <w:r>
              <w:rPr>
                <w:rFonts w:ascii="宋体" w:hAnsi="宋体"/>
                <w:b/>
                <w:highlight w:val="none"/>
              </w:rPr>
            </w:r>
            <w:r/>
          </w:p>
        </w:tc>
        <w:tc>
          <w:tcPr>
            <w:tcW w:w="4110" w:type="dxa"/>
            <w:vAlign w:val="center"/>
            <w:textDirection w:val="lrTb"/>
            <w:noWrap w:val="false"/>
          </w:tcPr>
          <w:p>
            <w:pPr>
              <w:pStyle w:val="1714"/>
              <w:jc w:val="center"/>
              <w:rPr>
                <w:rFonts w:ascii="宋体" w:hAnsi="宋体"/>
                <w:b/>
                <w:highlight w:val="none"/>
              </w:rPr>
            </w:pPr>
            <w:r>
              <w:rPr>
                <w:rFonts w:hint="eastAsia" w:ascii="宋体" w:hAnsi="宋体"/>
                <w:b/>
                <w:highlight w:val="none"/>
              </w:rPr>
              <w:t xml:space="preserve">一级</w:t>
            </w:r>
            <w:r>
              <w:rPr>
                <w:rFonts w:ascii="宋体" w:hAnsi="宋体"/>
                <w:b/>
                <w:highlight w:val="none"/>
              </w:rPr>
            </w:r>
            <w:r/>
          </w:p>
        </w:tc>
        <w:tc>
          <w:tcPr>
            <w:tcW w:w="3969" w:type="dxa"/>
            <w:vAlign w:val="center"/>
            <w:textDirection w:val="lrTb"/>
            <w:noWrap w:val="false"/>
          </w:tcPr>
          <w:p>
            <w:pPr>
              <w:pStyle w:val="1714"/>
              <w:jc w:val="center"/>
              <w:rPr>
                <w:rFonts w:ascii="宋体" w:hAnsi="宋体"/>
                <w:b/>
                <w:highlight w:val="none"/>
              </w:rPr>
            </w:pPr>
            <w:r>
              <w:rPr>
                <w:rFonts w:hint="eastAsia" w:ascii="宋体" w:hAnsi="宋体"/>
                <w:b/>
                <w:highlight w:val="none"/>
              </w:rPr>
              <w:t xml:space="preserve">二级</w:t>
            </w:r>
            <w:r>
              <w:rPr>
                <w:rFonts w:ascii="宋体" w:hAnsi="宋体"/>
                <w:b/>
                <w:highlight w:val="none"/>
              </w:rPr>
            </w:r>
            <w:r/>
          </w:p>
        </w:tc>
        <w:tc>
          <w:tcPr>
            <w:tcW w:w="3815" w:type="dxa"/>
            <w:vAlign w:val="center"/>
            <w:textDirection w:val="lrTb"/>
            <w:noWrap w:val="false"/>
          </w:tcPr>
          <w:p>
            <w:pPr>
              <w:pStyle w:val="1714"/>
              <w:jc w:val="center"/>
              <w:rPr>
                <w:rFonts w:ascii="宋体" w:hAnsi="宋体"/>
                <w:b/>
                <w:highlight w:val="none"/>
              </w:rPr>
            </w:pPr>
            <w:r>
              <w:rPr>
                <w:rFonts w:hint="eastAsia" w:ascii="宋体" w:hAnsi="宋体"/>
                <w:b/>
                <w:highlight w:val="none"/>
              </w:rPr>
              <w:t xml:space="preserve">三级</w:t>
            </w:r>
            <w:r>
              <w:rPr>
                <w:rFonts w:ascii="宋体" w:hAnsi="宋体"/>
                <w:b/>
                <w:highlight w:val="none"/>
              </w:rPr>
            </w:r>
            <w:r/>
          </w:p>
        </w:tc>
      </w:tr>
      <w:tr>
        <w:trPr>
          <w:trHeight w:val="3416"/>
        </w:trPr>
        <w:tc>
          <w:tcPr>
            <w:tcW w:w="1844" w:type="dxa"/>
            <w:vAlign w:val="center"/>
            <w:textDirection w:val="lrTb"/>
            <w:noWrap w:val="false"/>
          </w:tcPr>
          <w:p>
            <w:pPr>
              <w:pStyle w:val="1714"/>
              <w:jc w:val="center"/>
              <w:rPr>
                <w:rFonts w:ascii="宋体" w:hAnsi="宋体"/>
                <w:bCs/>
                <w:highlight w:val="none"/>
              </w:rPr>
            </w:pPr>
            <w:r>
              <w:rPr>
                <w:rFonts w:hint="eastAsia" w:ascii="宋体" w:hAnsi="宋体"/>
                <w:bCs/>
                <w:highlight w:val="none"/>
              </w:rPr>
              <w:t xml:space="preserve">行道树</w:t>
            </w:r>
            <w:r>
              <w:rPr>
                <w:rFonts w:ascii="宋体" w:hAnsi="宋体"/>
                <w:bCs/>
                <w:highlight w:val="none"/>
              </w:rPr>
            </w:r>
            <w:r/>
          </w:p>
        </w:tc>
        <w:tc>
          <w:tcPr>
            <w:tcW w:w="4110" w:type="dxa"/>
            <w:vAlign w:val="center"/>
            <w:textDirection w:val="lrTb"/>
            <w:noWrap w:val="false"/>
          </w:tcPr>
          <w:p>
            <w:pPr>
              <w:pStyle w:val="1714"/>
              <w:rPr>
                <w:rFonts w:ascii="宋体" w:hAnsi="宋体"/>
                <w:bCs/>
                <w:spacing w:val="-2"/>
                <w:highlight w:val="none"/>
              </w:rPr>
            </w:pPr>
            <w:r>
              <w:rPr>
                <w:rFonts w:hint="eastAsia" w:ascii="宋体" w:hAnsi="宋体"/>
                <w:bCs/>
                <w:spacing w:val="-2"/>
                <w:highlight w:val="none"/>
              </w:rPr>
              <w:t xml:space="preserve">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rPr>
                <w:rFonts w:ascii="宋体" w:hAnsi="宋体"/>
                <w:bCs/>
                <w:spacing w:val="-2"/>
                <w:highlight w:val="none"/>
              </w:rPr>
            </w:r>
            <w:r/>
          </w:p>
        </w:tc>
        <w:tc>
          <w:tcPr>
            <w:tcW w:w="3969"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树冠完整，长势良好。植株基本无徒长枝、病虫枝、过密枝、并生枝、交叉枝、下垂枝、枯枝。树穴有平整盖板或种植地被植物，黄土不裸露。行道树品种统一，有良好的外观和遮荫效果，无死树，无缺株现象，基本无断桩，坏桩，桩位扎缚有效。病虫害危害未达到明显程度。其中，蛀干性害虫危害不超过5％。有一定的防治措施。</w:t>
            </w:r>
            <w:r>
              <w:rPr>
                <w:rFonts w:ascii="宋体" w:hAnsi="宋体"/>
                <w:bCs/>
                <w:highlight w:val="none"/>
              </w:rPr>
            </w:r>
            <w:r/>
          </w:p>
        </w:tc>
        <w:tc>
          <w:tcPr>
            <w:tcW w:w="3815"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保持树冠基本完整。树穴有完整覆盖。无死树、无缺株现象。有病虫害控制措施，其中，蛀干性害虫危害率不超过10％。有一定的防治措施。</w:t>
            </w:r>
            <w:r>
              <w:rPr>
                <w:rFonts w:ascii="宋体" w:hAnsi="宋体"/>
                <w:bCs/>
                <w:highlight w:val="none"/>
              </w:rPr>
            </w:r>
            <w:r/>
          </w:p>
        </w:tc>
      </w:tr>
      <w:tr>
        <w:trPr>
          <w:trHeight w:val="3384"/>
        </w:trPr>
        <w:tc>
          <w:tcPr>
            <w:tcW w:w="1844" w:type="dxa"/>
            <w:vAlign w:val="center"/>
            <w:textDirection w:val="lrTb"/>
            <w:noWrap w:val="false"/>
          </w:tcPr>
          <w:p>
            <w:pPr>
              <w:pStyle w:val="1714"/>
              <w:jc w:val="center"/>
              <w:rPr>
                <w:rFonts w:ascii="宋体" w:hAnsi="宋体"/>
                <w:bCs/>
                <w:highlight w:val="none"/>
              </w:rPr>
            </w:pPr>
            <w:r>
              <w:rPr>
                <w:rFonts w:hint="eastAsia" w:ascii="宋体" w:hAnsi="宋体"/>
                <w:bCs/>
                <w:highlight w:val="none"/>
                <w:lang w:eastAsia="zh-CN"/>
              </w:rPr>
              <w:t xml:space="preserve">其他树木</w:t>
            </w:r>
            <w:r>
              <w:rPr>
                <w:rFonts w:ascii="宋体" w:hAnsi="宋体"/>
                <w:bCs/>
                <w:highlight w:val="none"/>
              </w:rPr>
            </w:r>
            <w:r/>
          </w:p>
        </w:tc>
        <w:tc>
          <w:tcPr>
            <w:tcW w:w="4110" w:type="dxa"/>
            <w:vAlign w:val="center"/>
            <w:textDirection w:val="lrTb"/>
            <w:noWrap w:val="false"/>
          </w:tcPr>
          <w:p>
            <w:pPr>
              <w:pStyle w:val="1714"/>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生长旺盛，树冠整齐，主侧枝分枝均匀，数量适宜，内膛通风透光。</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叶色正常，无卷叶、黄叶（生长季节），无病虫害。</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枝干健壮，无枯死枝，无蛀干性病虫危害。</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缺株在2%以下（含2%）。不得连续2棵缺株，补植树木与原树木径级不超过20%。</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⑤</w:t>
            </w:r>
            <w:r>
              <w:rPr>
                <w:rFonts w:hint="eastAsia" w:ascii="宋体" w:hAnsi="宋体"/>
                <w:bCs/>
                <w:highlight w:val="none"/>
              </w:rPr>
              <w:t xml:space="preserve">树穴内无垃圾杂草、土壤松疏。</w:t>
            </w:r>
            <w:r>
              <w:rPr>
                <w:rFonts w:ascii="宋体" w:hAnsi="宋体"/>
                <w:bCs/>
                <w:highlight w:val="none"/>
              </w:rPr>
            </w:r>
            <w:r/>
          </w:p>
        </w:tc>
        <w:tc>
          <w:tcPr>
            <w:tcW w:w="3969" w:type="dxa"/>
            <w:vAlign w:val="center"/>
            <w:textDirection w:val="lrTb"/>
            <w:noWrap w:val="false"/>
          </w:tcPr>
          <w:p>
            <w:pPr>
              <w:pStyle w:val="1714"/>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生长正常，树冠基本完整，主侧枝分枝基本均匀，数量适宜，内膛通风透光。</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叶色基本正常，有少量黄叶（生长季节）、焦叶、卷叶，有少量虫粪。</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枝干生长正常，无明显枯死枝，病虫害虽有发生，但能及时根除。</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缺株在4%以下（含4%）。不得连续3棵缺株，补植树木与原树木径级不超过30%。</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⑤</w:t>
            </w:r>
            <w:r>
              <w:rPr>
                <w:rFonts w:hint="eastAsia" w:ascii="宋体" w:hAnsi="宋体"/>
                <w:bCs/>
                <w:highlight w:val="none"/>
              </w:rPr>
              <w:t xml:space="preserve">树穴无垃圾杂草、土壤不板结。</w:t>
            </w:r>
            <w:r>
              <w:rPr>
                <w:rFonts w:ascii="宋体" w:hAnsi="宋体"/>
                <w:bCs/>
                <w:highlight w:val="none"/>
              </w:rPr>
            </w:r>
            <w:r/>
          </w:p>
        </w:tc>
        <w:tc>
          <w:tcPr>
            <w:tcW w:w="3815" w:type="dxa"/>
            <w:vAlign w:val="center"/>
            <w:textDirection w:val="lrTb"/>
            <w:noWrap w:val="false"/>
          </w:tcPr>
          <w:p>
            <w:pPr>
              <w:pStyle w:val="1714"/>
              <w:rPr>
                <w:rFonts w:ascii="宋体" w:hAnsi="宋体"/>
                <w:bCs/>
                <w:spacing w:val="-4"/>
                <w:highlight w:val="none"/>
              </w:rPr>
            </w:pPr>
            <w:r>
              <w:rPr>
                <w:rFonts w:hint="eastAsia" w:ascii="宋体" w:hAnsi="宋体"/>
                <w:bCs/>
                <w:spacing w:val="-4"/>
                <w:highlight w:val="none"/>
                <w:lang w:val="en-US" w:eastAsia="zh-CN"/>
              </w:rPr>
              <w:t xml:space="preserve">①</w:t>
            </w:r>
            <w:r>
              <w:rPr>
                <w:rFonts w:hint="eastAsia" w:ascii="宋体" w:hAnsi="宋体"/>
                <w:bCs/>
                <w:spacing w:val="-4"/>
                <w:highlight w:val="none"/>
              </w:rPr>
              <w:t xml:space="preserve">生长基本正常，树冠基本完整，选留主侧枝基本合理，内膛基本通风透气。</w:t>
            </w:r>
            <w:r>
              <w:rPr>
                <w:rFonts w:ascii="宋体" w:hAnsi="宋体"/>
                <w:bCs/>
                <w:spacing w:val="-4"/>
                <w:highlight w:val="none"/>
              </w:rPr>
            </w:r>
            <w:r/>
          </w:p>
          <w:p>
            <w:pPr>
              <w:pStyle w:val="1714"/>
              <w:rPr>
                <w:rFonts w:ascii="宋体" w:hAnsi="宋体"/>
                <w:bCs/>
                <w:spacing w:val="-4"/>
                <w:highlight w:val="none"/>
              </w:rPr>
            </w:pPr>
            <w:r>
              <w:rPr>
                <w:rFonts w:hint="eastAsia" w:ascii="宋体" w:hAnsi="宋体"/>
                <w:bCs/>
                <w:spacing w:val="-4"/>
                <w:highlight w:val="none"/>
                <w:lang w:val="en-US" w:eastAsia="zh-CN"/>
              </w:rPr>
              <w:t xml:space="preserve">②</w:t>
            </w:r>
            <w:r>
              <w:rPr>
                <w:rFonts w:hint="eastAsia" w:ascii="宋体" w:hAnsi="宋体"/>
                <w:bCs/>
                <w:spacing w:val="-4"/>
                <w:highlight w:val="none"/>
              </w:rPr>
              <w:t xml:space="preserve">叶色基本正常，有部分黄叶（生长季节）、焦叶、卷叶，有部分虫粪，有被虫咬食的痕迹。</w:t>
            </w:r>
            <w:r>
              <w:rPr>
                <w:rFonts w:ascii="宋体" w:hAnsi="宋体"/>
                <w:bCs/>
                <w:spacing w:val="-4"/>
                <w:highlight w:val="none"/>
              </w:rPr>
            </w:r>
            <w:r/>
          </w:p>
          <w:p>
            <w:pPr>
              <w:pStyle w:val="1714"/>
              <w:rPr>
                <w:rFonts w:ascii="宋体" w:hAnsi="宋体"/>
                <w:bCs/>
                <w:spacing w:val="-4"/>
                <w:highlight w:val="none"/>
              </w:rPr>
            </w:pPr>
            <w:r>
              <w:rPr>
                <w:rFonts w:hint="eastAsia" w:ascii="宋体" w:hAnsi="宋体"/>
                <w:bCs/>
                <w:spacing w:val="-4"/>
                <w:highlight w:val="none"/>
                <w:lang w:val="en-US" w:eastAsia="zh-CN"/>
              </w:rPr>
              <w:t xml:space="preserve">③</w:t>
            </w:r>
            <w:r>
              <w:rPr>
                <w:rFonts w:hint="eastAsia" w:ascii="宋体" w:hAnsi="宋体"/>
                <w:bCs/>
                <w:spacing w:val="-8"/>
                <w:highlight w:val="none"/>
              </w:rPr>
              <w:t xml:space="preserve">枝干生长正常，有少量枯死枝，有少量蛀干病虫</w:t>
            </w:r>
            <w:r>
              <w:rPr>
                <w:rFonts w:hint="eastAsia" w:ascii="宋体" w:hAnsi="宋体"/>
                <w:bCs/>
                <w:spacing w:val="-8"/>
                <w:highlight w:val="none"/>
                <w:lang w:eastAsia="zh-CN"/>
              </w:rPr>
              <w:t xml:space="preserve">危害</w:t>
            </w:r>
            <w:r>
              <w:rPr>
                <w:rFonts w:hint="eastAsia" w:ascii="宋体" w:hAnsi="宋体"/>
                <w:bCs/>
                <w:spacing w:val="-8"/>
                <w:highlight w:val="none"/>
              </w:rPr>
              <w:t xml:space="preserve">。</w:t>
            </w:r>
            <w:r>
              <w:rPr>
                <w:rFonts w:ascii="宋体" w:hAnsi="宋体"/>
                <w:bCs/>
                <w:spacing w:val="-4"/>
                <w:highlight w:val="none"/>
              </w:rPr>
            </w:r>
            <w:r/>
          </w:p>
          <w:p>
            <w:pPr>
              <w:pStyle w:val="1714"/>
              <w:rPr>
                <w:rFonts w:ascii="宋体" w:hAnsi="宋体"/>
                <w:bCs/>
                <w:spacing w:val="-8"/>
                <w:highlight w:val="none"/>
              </w:rPr>
            </w:pPr>
            <w:r>
              <w:rPr>
                <w:rFonts w:hint="eastAsia" w:ascii="宋体" w:hAnsi="宋体"/>
                <w:bCs/>
                <w:spacing w:val="-4"/>
                <w:highlight w:val="none"/>
                <w:lang w:val="en-US" w:eastAsia="zh-CN"/>
              </w:rPr>
              <w:t xml:space="preserve">④</w:t>
            </w:r>
            <w:r>
              <w:rPr>
                <w:rFonts w:hint="eastAsia" w:ascii="宋体" w:hAnsi="宋体"/>
                <w:bCs/>
                <w:spacing w:val="-8"/>
                <w:highlight w:val="none"/>
              </w:rPr>
              <w:t xml:space="preserve">缺株在6%以下（含6%）。不得连续4棵缺株，补植树木与原树木径级不超过40%。</w:t>
            </w:r>
            <w:r>
              <w:rPr>
                <w:rFonts w:ascii="宋体" w:hAnsi="宋体"/>
                <w:bCs/>
                <w:spacing w:val="-8"/>
                <w:highlight w:val="none"/>
              </w:rPr>
            </w:r>
            <w:r/>
          </w:p>
          <w:p>
            <w:pPr>
              <w:pStyle w:val="1714"/>
              <w:rPr>
                <w:rFonts w:ascii="宋体" w:hAnsi="宋体"/>
                <w:bCs/>
                <w:spacing w:val="-4"/>
                <w:highlight w:val="none"/>
              </w:rPr>
            </w:pPr>
            <w:r>
              <w:rPr>
                <w:rFonts w:hint="eastAsia" w:ascii="宋体" w:hAnsi="宋体"/>
                <w:bCs/>
                <w:spacing w:val="-4"/>
                <w:highlight w:val="none"/>
                <w:lang w:val="en-US" w:eastAsia="zh-CN"/>
              </w:rPr>
              <w:t xml:space="preserve">⑤</w:t>
            </w:r>
            <w:r>
              <w:rPr>
                <w:rFonts w:hint="eastAsia" w:ascii="宋体" w:hAnsi="宋体"/>
                <w:bCs/>
                <w:spacing w:val="-4"/>
                <w:highlight w:val="none"/>
              </w:rPr>
              <w:t xml:space="preserve">树穴内基本无垃圾及高型杂草。</w:t>
            </w:r>
            <w:r>
              <w:rPr>
                <w:rFonts w:ascii="宋体" w:hAnsi="宋体"/>
                <w:bCs/>
                <w:spacing w:val="-4"/>
                <w:highlight w:val="none"/>
              </w:rPr>
            </w:r>
            <w:r/>
          </w:p>
        </w:tc>
      </w:tr>
      <w:tr>
        <w:trPr>
          <w:trHeight w:val="1588"/>
        </w:trPr>
        <w:tc>
          <w:tcPr>
            <w:tcW w:w="1844" w:type="dxa"/>
            <w:vAlign w:val="center"/>
            <w:textDirection w:val="lrTb"/>
            <w:noWrap w:val="false"/>
          </w:tcPr>
          <w:p>
            <w:pPr>
              <w:pStyle w:val="1714"/>
              <w:jc w:val="center"/>
              <w:rPr>
                <w:rFonts w:ascii="宋体" w:hAnsi="宋体"/>
                <w:bCs/>
                <w:highlight w:val="none"/>
              </w:rPr>
            </w:pPr>
            <w:r>
              <w:rPr>
                <w:rFonts w:hint="eastAsia" w:ascii="宋体" w:hAnsi="宋体"/>
                <w:bCs/>
                <w:highlight w:val="none"/>
              </w:rPr>
              <w:t xml:space="preserve">花卉</w:t>
            </w:r>
            <w:r>
              <w:rPr>
                <w:rFonts w:ascii="宋体" w:hAnsi="宋体"/>
                <w:bCs/>
                <w:highlight w:val="none"/>
              </w:rPr>
            </w:r>
            <w:r/>
          </w:p>
        </w:tc>
        <w:tc>
          <w:tcPr>
            <w:tcW w:w="4110" w:type="dxa"/>
            <w:vAlign w:val="center"/>
            <w:textDirection w:val="lrTb"/>
            <w:noWrap w:val="false"/>
          </w:tcPr>
          <w:p>
            <w:pPr>
              <w:pStyle w:val="1714"/>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植株健壮，花型正，花色艳，株行距适宜，不露底土，覆盖面达90%以上。</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花卉生长正常，无枯枝残花（残花量≤10%），无缺株、倒伏。</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花坛图案清晰，色彩鲜艳，花朵繁茂，花期一致。</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花径花卉层次分明，高矮有序。</w:t>
            </w:r>
            <w:r>
              <w:rPr>
                <w:rFonts w:ascii="宋体" w:hAnsi="宋体"/>
                <w:bCs/>
                <w:highlight w:val="none"/>
              </w:rPr>
            </w:r>
            <w:r/>
          </w:p>
        </w:tc>
        <w:tc>
          <w:tcPr>
            <w:tcW w:w="3969" w:type="dxa"/>
            <w:vAlign w:val="center"/>
            <w:textDirection w:val="lrTb"/>
            <w:noWrap w:val="false"/>
          </w:tcPr>
          <w:p>
            <w:pPr>
              <w:pStyle w:val="1714"/>
              <w:rPr>
                <w:rFonts w:hint="eastAsia" w:ascii="宋体" w:hAnsi="宋体"/>
                <w:bCs/>
                <w:highlight w:val="none"/>
              </w:rPr>
            </w:pPr>
            <w:r>
              <w:rPr>
                <w:rFonts w:hint="eastAsia" w:ascii="宋体" w:hAnsi="宋体"/>
                <w:bCs/>
                <w:highlight w:val="none"/>
              </w:rPr>
              <w:t xml:space="preserve">①花卉植株生长良好，花色艳丽，具有一定的株行距，不露底土，覆盖面达85%以上。</w:t>
            </w:r>
            <w:r>
              <w:rPr>
                <w:rFonts w:hint="eastAsia" w:ascii="宋体" w:hAnsi="宋体"/>
                <w:bCs/>
                <w:highlight w:val="none"/>
              </w:rPr>
            </w:r>
            <w:r/>
          </w:p>
          <w:p>
            <w:pPr>
              <w:pStyle w:val="1714"/>
              <w:rPr>
                <w:rFonts w:hint="eastAsia" w:ascii="宋体" w:hAnsi="宋体"/>
                <w:bCs/>
                <w:highlight w:val="none"/>
              </w:rPr>
            </w:pPr>
            <w:r>
              <w:rPr>
                <w:rFonts w:hint="eastAsia" w:ascii="宋体" w:hAnsi="宋体"/>
                <w:bCs/>
                <w:highlight w:val="none"/>
              </w:rPr>
              <w:t xml:space="preserve">②花卉生长正常（残花量≤15%），缺株、倒伏不超过3-5处，无枯枝残花。</w:t>
            </w:r>
            <w:r>
              <w:rPr>
                <w:rFonts w:hint="eastAsia" w:ascii="宋体" w:hAnsi="宋体"/>
                <w:bCs/>
                <w:highlight w:val="none"/>
              </w:rPr>
            </w:r>
            <w:r/>
          </w:p>
          <w:p>
            <w:pPr>
              <w:pStyle w:val="1714"/>
              <w:rPr>
                <w:rFonts w:ascii="宋体" w:hAnsi="宋体"/>
                <w:bCs/>
                <w:highlight w:val="none"/>
              </w:rPr>
            </w:pPr>
            <w:r>
              <w:rPr>
                <w:rFonts w:hint="eastAsia" w:ascii="宋体" w:hAnsi="宋体"/>
                <w:bCs/>
                <w:highlight w:val="none"/>
              </w:rPr>
              <w:t xml:space="preserve">③花期基本一致。</w:t>
            </w:r>
            <w:r>
              <w:rPr>
                <w:rFonts w:ascii="宋体" w:hAnsi="宋体"/>
                <w:bCs/>
                <w:highlight w:val="none"/>
              </w:rPr>
            </w:r>
            <w:r/>
          </w:p>
        </w:tc>
        <w:tc>
          <w:tcPr>
            <w:tcW w:w="3815" w:type="dxa"/>
            <w:vAlign w:val="center"/>
            <w:textDirection w:val="lrTb"/>
            <w:noWrap w:val="false"/>
          </w:tcPr>
          <w:p>
            <w:pPr>
              <w:pStyle w:val="1714"/>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有整体色彩效果</w:t>
            </w:r>
            <w:r>
              <w:rPr>
                <w:rFonts w:hint="eastAsia" w:ascii="宋体" w:hAnsi="宋体"/>
                <w:bCs/>
                <w:highlight w:val="none"/>
                <w:lang w:eastAsia="zh-CN"/>
              </w:rPr>
              <w:t xml:space="preserve">，</w:t>
            </w:r>
            <w:r>
              <w:rPr>
                <w:rFonts w:hint="eastAsia" w:ascii="宋体" w:hAnsi="宋体"/>
                <w:bCs/>
                <w:highlight w:val="none"/>
              </w:rPr>
              <w:t xml:space="preserve">不露底土，覆盖面达80%以上。</w:t>
            </w:r>
            <w:r>
              <w:rPr>
                <w:rFonts w:ascii="宋体" w:hAnsi="宋体"/>
                <w:bCs/>
                <w:highlight w:val="none"/>
              </w:rPr>
            </w:r>
            <w:r/>
          </w:p>
          <w:p>
            <w:pPr>
              <w:pStyle w:val="1714"/>
              <w:rPr>
                <w:rFonts w:hint="eastAsia" w:ascii="宋体" w:hAnsi="宋体" w:eastAsia="宋体"/>
                <w:bCs/>
                <w:highlight w:val="none"/>
                <w:lang w:eastAsia="zh-CN"/>
              </w:rPr>
            </w:pPr>
            <w:r>
              <w:rPr>
                <w:rFonts w:hint="eastAsia" w:ascii="宋体" w:hAnsi="宋体"/>
                <w:bCs/>
                <w:highlight w:val="none"/>
                <w:lang w:val="en-US" w:eastAsia="zh-CN"/>
              </w:rPr>
              <w:t xml:space="preserve">②</w:t>
            </w:r>
            <w:r>
              <w:rPr>
                <w:rFonts w:hint="eastAsia" w:ascii="宋体" w:hAnsi="宋体"/>
                <w:bCs/>
                <w:highlight w:val="none"/>
              </w:rPr>
              <w:t xml:space="preserve">花卉生长基本正常，枯枝败叶清理不够及时，有部分枯枝残花（残花量≤25%）</w:t>
            </w:r>
            <w:r>
              <w:rPr>
                <w:rFonts w:hint="eastAsia" w:ascii="宋体" w:hAnsi="宋体"/>
                <w:bCs/>
                <w:highlight w:val="none"/>
                <w:lang w:eastAsia="zh-CN"/>
              </w:rPr>
              <w:t xml:space="preserve">。</w:t>
            </w:r>
            <w:r>
              <w:rPr>
                <w:rFonts w:hint="eastAsia" w:ascii="宋体" w:hAnsi="宋体" w:eastAsia="宋体"/>
                <w:bCs/>
                <w:highlight w:val="none"/>
                <w:lang w:eastAsia="zh-CN"/>
              </w:rPr>
            </w:r>
            <w:r/>
          </w:p>
          <w:p>
            <w:pPr>
              <w:pStyle w:val="1714"/>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适时开花。</w:t>
            </w:r>
            <w:r>
              <w:rPr>
                <w:rFonts w:ascii="宋体" w:hAnsi="宋体"/>
                <w:bCs/>
                <w:highlight w:val="none"/>
              </w:rPr>
            </w:r>
            <w:r/>
          </w:p>
        </w:tc>
      </w:tr>
      <w:tr>
        <w:trPr>
          <w:trHeight w:val="1042"/>
        </w:trPr>
        <w:tc>
          <w:tcPr>
            <w:tcW w:w="1844" w:type="dxa"/>
            <w:vAlign w:val="center"/>
            <w:textDirection w:val="lrTb"/>
            <w:noWrap w:val="false"/>
          </w:tcPr>
          <w:p>
            <w:pPr>
              <w:pStyle w:val="1714"/>
              <w:jc w:val="center"/>
              <w:rPr>
                <w:rFonts w:ascii="宋体" w:hAnsi="宋体"/>
                <w:bCs/>
                <w:highlight w:val="none"/>
              </w:rPr>
            </w:pPr>
            <w:r>
              <w:rPr>
                <w:rFonts w:hint="eastAsia" w:ascii="宋体" w:hAnsi="宋体"/>
                <w:bCs/>
                <w:highlight w:val="none"/>
              </w:rPr>
              <w:t xml:space="preserve">绿篱及地被</w:t>
            </w:r>
            <w:r>
              <w:rPr>
                <w:rFonts w:ascii="宋体" w:hAnsi="宋体"/>
                <w:bCs/>
                <w:highlight w:val="none"/>
              </w:rPr>
            </w:r>
            <w:r/>
          </w:p>
        </w:tc>
        <w:tc>
          <w:tcPr>
            <w:tcW w:w="4110" w:type="dxa"/>
            <w:vAlign w:val="center"/>
            <w:textDirection w:val="lrTb"/>
            <w:noWrap w:val="false"/>
          </w:tcPr>
          <w:p>
            <w:pPr>
              <w:pStyle w:val="1714"/>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生长茂盛，枝条茂密。</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修剪成型，完整无缺。</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无垃圾杂物。</w:t>
            </w:r>
            <w:r>
              <w:rPr>
                <w:rFonts w:ascii="宋体" w:hAnsi="宋体"/>
                <w:bCs/>
                <w:highlight w:val="none"/>
              </w:rPr>
            </w:r>
            <w:r/>
          </w:p>
        </w:tc>
        <w:tc>
          <w:tcPr>
            <w:tcW w:w="3969" w:type="dxa"/>
            <w:vAlign w:val="center"/>
            <w:textDirection w:val="lrTb"/>
            <w:noWrap w:val="false"/>
          </w:tcPr>
          <w:p>
            <w:pPr>
              <w:pStyle w:val="1714"/>
              <w:rPr>
                <w:rFonts w:hint="eastAsia" w:ascii="宋体" w:hAnsi="宋体"/>
                <w:bCs/>
                <w:highlight w:val="none"/>
              </w:rPr>
            </w:pPr>
            <w:r>
              <w:rPr>
                <w:rFonts w:hint="eastAsia" w:ascii="宋体" w:hAnsi="宋体"/>
                <w:bCs/>
                <w:highlight w:val="none"/>
              </w:rPr>
              <w:t xml:space="preserve">①生长正常。无明显枯枝、断枝。</w:t>
            </w:r>
            <w:r>
              <w:rPr>
                <w:rFonts w:hint="eastAsia" w:ascii="宋体" w:hAnsi="宋体"/>
                <w:bCs/>
                <w:highlight w:val="none"/>
              </w:rPr>
            </w:r>
            <w:r/>
          </w:p>
          <w:p>
            <w:pPr>
              <w:pStyle w:val="1714"/>
              <w:rPr>
                <w:rFonts w:hint="eastAsia" w:ascii="宋体" w:hAnsi="宋体"/>
                <w:bCs/>
                <w:highlight w:val="none"/>
              </w:rPr>
            </w:pPr>
            <w:r>
              <w:rPr>
                <w:rFonts w:hint="eastAsia" w:ascii="宋体" w:hAnsi="宋体"/>
                <w:bCs/>
                <w:highlight w:val="none"/>
              </w:rPr>
              <w:t xml:space="preserve">②修剪及时，形状较完整。</w:t>
            </w:r>
            <w:r>
              <w:rPr>
                <w:rFonts w:hint="eastAsia" w:ascii="宋体" w:hAnsi="宋体"/>
                <w:bCs/>
                <w:highlight w:val="none"/>
              </w:rPr>
            </w:r>
            <w:r/>
          </w:p>
          <w:p>
            <w:pPr>
              <w:pStyle w:val="1714"/>
              <w:rPr>
                <w:rFonts w:ascii="宋体" w:hAnsi="宋体"/>
                <w:bCs/>
                <w:highlight w:val="none"/>
              </w:rPr>
            </w:pPr>
            <w:r>
              <w:rPr>
                <w:rFonts w:hint="eastAsia" w:ascii="宋体" w:hAnsi="宋体"/>
                <w:bCs/>
                <w:highlight w:val="none"/>
              </w:rPr>
              <w:t xml:space="preserve">③基本无垃圾杂物。</w:t>
            </w:r>
            <w:r>
              <w:rPr>
                <w:rFonts w:ascii="宋体" w:hAnsi="宋体"/>
                <w:bCs/>
                <w:highlight w:val="none"/>
              </w:rPr>
            </w:r>
            <w:r/>
          </w:p>
        </w:tc>
        <w:tc>
          <w:tcPr>
            <w:tcW w:w="3815" w:type="dxa"/>
            <w:vAlign w:val="center"/>
            <w:textDirection w:val="lrTb"/>
            <w:noWrap w:val="false"/>
          </w:tcPr>
          <w:p>
            <w:pPr>
              <w:pStyle w:val="1714"/>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生长基本正常，有少量枯枝、断枝。</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修剪能在规定时间内完成。</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无明显的垃圾杂物。</w:t>
            </w:r>
            <w:r>
              <w:rPr>
                <w:rFonts w:ascii="宋体" w:hAnsi="宋体"/>
                <w:bCs/>
                <w:highlight w:val="none"/>
              </w:rPr>
            </w:r>
            <w:r/>
          </w:p>
        </w:tc>
      </w:tr>
      <w:tr>
        <w:trPr>
          <w:trHeight w:val="1911"/>
        </w:trPr>
        <w:tc>
          <w:tcPr>
            <w:tcW w:w="1844" w:type="dxa"/>
            <w:vAlign w:val="center"/>
            <w:textDirection w:val="lrTb"/>
            <w:noWrap w:val="false"/>
          </w:tcPr>
          <w:p>
            <w:pPr>
              <w:pStyle w:val="1714"/>
              <w:ind w:left="-105"/>
              <w:jc w:val="center"/>
              <w:rPr>
                <w:rFonts w:ascii="宋体" w:hAnsi="宋体"/>
                <w:bCs/>
                <w:highlight w:val="none"/>
              </w:rPr>
            </w:pPr>
            <w:r>
              <w:rPr>
                <w:rFonts w:hint="eastAsia" w:ascii="宋体" w:hAnsi="宋体"/>
                <w:bCs/>
                <w:highlight w:val="none"/>
              </w:rPr>
              <w:t xml:space="preserve">草坪</w:t>
            </w:r>
            <w:r>
              <w:rPr>
                <w:rFonts w:ascii="宋体" w:hAnsi="宋体"/>
                <w:bCs/>
                <w:highlight w:val="none"/>
              </w:rPr>
            </w:r>
            <w:r/>
          </w:p>
        </w:tc>
        <w:tc>
          <w:tcPr>
            <w:tcW w:w="4110" w:type="dxa"/>
            <w:vAlign w:val="center"/>
            <w:textDirection w:val="lrTb"/>
            <w:noWrap w:val="false"/>
          </w:tcPr>
          <w:p>
            <w:pPr>
              <w:pStyle w:val="1714"/>
              <w:rPr>
                <w:rFonts w:hint="eastAsia" w:ascii="宋体" w:hAnsi="宋体"/>
                <w:bCs/>
                <w:highlight w:val="none"/>
              </w:rPr>
            </w:pPr>
            <w:r>
              <w:rPr>
                <w:rFonts w:hint="eastAsia" w:ascii="宋体" w:hAnsi="宋体"/>
                <w:bCs/>
                <w:highlight w:val="none"/>
              </w:rPr>
              <w:t xml:space="preserve">①生长旺盛，草根不裸露。</w:t>
            </w:r>
            <w:r>
              <w:rPr>
                <w:rFonts w:hint="eastAsia" w:ascii="宋体" w:hAnsi="宋体"/>
                <w:bCs/>
                <w:highlight w:val="none"/>
              </w:rPr>
            </w:r>
            <w:r/>
          </w:p>
          <w:p>
            <w:pPr>
              <w:pStyle w:val="1714"/>
              <w:rPr>
                <w:rFonts w:hint="eastAsia" w:ascii="宋体" w:hAnsi="宋体"/>
                <w:bCs/>
                <w:highlight w:val="none"/>
              </w:rPr>
            </w:pPr>
            <w:r>
              <w:rPr>
                <w:rFonts w:hint="eastAsia" w:ascii="宋体" w:hAnsi="宋体"/>
                <w:bCs/>
                <w:highlight w:val="none"/>
              </w:rPr>
              <w:t xml:space="preserve">②生长季节不枯黄，杂草率≤15%，覆盖率达95%以上。</w:t>
            </w:r>
            <w:r>
              <w:rPr>
                <w:rFonts w:hint="eastAsia" w:ascii="宋体" w:hAnsi="宋体"/>
                <w:bCs/>
                <w:highlight w:val="none"/>
              </w:rPr>
            </w:r>
            <w:r/>
          </w:p>
          <w:p>
            <w:pPr>
              <w:pStyle w:val="1714"/>
              <w:rPr>
                <w:rFonts w:hint="eastAsia" w:ascii="宋体" w:hAnsi="宋体"/>
                <w:bCs/>
                <w:highlight w:val="none"/>
              </w:rPr>
            </w:pPr>
            <w:r>
              <w:rPr>
                <w:rFonts w:hint="eastAsia" w:ascii="宋体" w:hAnsi="宋体"/>
                <w:bCs/>
                <w:highlight w:val="none"/>
              </w:rPr>
              <w:t xml:space="preserve">③修剪及时，修剪高度符合要求，无垃圾及堆料堆物。</w:t>
            </w:r>
            <w:r>
              <w:rPr>
                <w:rFonts w:hint="eastAsia" w:ascii="宋体" w:hAnsi="宋体"/>
                <w:bCs/>
                <w:highlight w:val="none"/>
              </w:rPr>
            </w:r>
            <w:r/>
          </w:p>
          <w:p>
            <w:pPr>
              <w:pStyle w:val="1714"/>
              <w:rPr>
                <w:rFonts w:ascii="宋体" w:hAnsi="宋体"/>
                <w:bCs/>
                <w:highlight w:val="none"/>
              </w:rPr>
            </w:pPr>
            <w:r>
              <w:rPr>
                <w:rFonts w:hint="eastAsia" w:ascii="宋体" w:hAnsi="宋体"/>
                <w:bCs/>
                <w:highlight w:val="none"/>
              </w:rPr>
              <w:t xml:space="preserve">④集中空秃面积不超过0.1M</w:t>
            </w:r>
            <w:r>
              <w:rPr>
                <w:rFonts w:hint="eastAsia" w:ascii="宋体" w:hAnsi="宋体"/>
                <w:bCs/>
                <w:highlight w:val="none"/>
                <w:vertAlign w:val="superscript"/>
              </w:rPr>
              <w:t xml:space="preserve">2</w:t>
            </w:r>
            <w:r>
              <w:rPr>
                <w:rFonts w:hint="eastAsia" w:ascii="宋体" w:hAnsi="宋体"/>
                <w:bCs/>
                <w:highlight w:val="none"/>
              </w:rPr>
              <w:t xml:space="preserve">。</w:t>
            </w:r>
            <w:r>
              <w:rPr>
                <w:rFonts w:ascii="宋体" w:hAnsi="宋体"/>
                <w:bCs/>
                <w:highlight w:val="none"/>
              </w:rPr>
            </w:r>
            <w:r/>
          </w:p>
        </w:tc>
        <w:tc>
          <w:tcPr>
            <w:tcW w:w="3969" w:type="dxa"/>
            <w:vAlign w:val="center"/>
            <w:textDirection w:val="lrTb"/>
            <w:noWrap w:val="false"/>
          </w:tcPr>
          <w:p>
            <w:pPr>
              <w:pStyle w:val="1714"/>
              <w:rPr>
                <w:rFonts w:hint="eastAsia" w:ascii="宋体" w:hAnsi="宋体"/>
                <w:bCs/>
                <w:highlight w:val="none"/>
              </w:rPr>
            </w:pPr>
            <w:r>
              <w:rPr>
                <w:rFonts w:hint="eastAsia" w:ascii="宋体" w:hAnsi="宋体"/>
                <w:bCs/>
                <w:highlight w:val="none"/>
              </w:rPr>
              <w:t xml:space="preserve">①生长良好，杂草率≤25%，覆盖率达90%以上。</w:t>
            </w:r>
            <w:r>
              <w:rPr>
                <w:rFonts w:hint="eastAsia" w:ascii="宋体" w:hAnsi="宋体"/>
                <w:bCs/>
                <w:highlight w:val="none"/>
              </w:rPr>
            </w:r>
            <w:r/>
          </w:p>
          <w:p>
            <w:pPr>
              <w:pStyle w:val="1714"/>
              <w:rPr>
                <w:rFonts w:hint="eastAsia" w:ascii="宋体" w:hAnsi="宋体"/>
                <w:bCs/>
                <w:highlight w:val="none"/>
              </w:rPr>
            </w:pPr>
            <w:r>
              <w:rPr>
                <w:rFonts w:hint="eastAsia" w:ascii="宋体" w:hAnsi="宋体"/>
                <w:bCs/>
                <w:highlight w:val="none"/>
              </w:rPr>
              <w:t xml:space="preserve">②修剪高度符合要求，能及时处理堆料堆物。</w:t>
            </w:r>
            <w:r>
              <w:rPr>
                <w:rFonts w:hint="eastAsia" w:ascii="宋体" w:hAnsi="宋体"/>
                <w:bCs/>
                <w:highlight w:val="none"/>
              </w:rPr>
            </w:r>
            <w:r/>
          </w:p>
          <w:p>
            <w:pPr>
              <w:pStyle w:val="1714"/>
              <w:rPr>
                <w:rFonts w:ascii="宋体" w:hAnsi="宋体"/>
                <w:bCs/>
                <w:highlight w:val="none"/>
              </w:rPr>
            </w:pPr>
            <w:r>
              <w:rPr>
                <w:rFonts w:hint="eastAsia" w:ascii="宋体" w:hAnsi="宋体"/>
                <w:bCs/>
                <w:highlight w:val="none"/>
              </w:rPr>
              <w:t xml:space="preserve">③单块空秃面积不超过0.2M</w:t>
            </w:r>
            <w:r>
              <w:rPr>
                <w:rFonts w:hint="eastAsia" w:ascii="宋体" w:hAnsi="宋体"/>
                <w:bCs/>
                <w:highlight w:val="none"/>
                <w:vertAlign w:val="superscript"/>
              </w:rPr>
              <w:t xml:space="preserve">2</w:t>
            </w:r>
            <w:r>
              <w:rPr>
                <w:rFonts w:hint="eastAsia" w:ascii="宋体" w:hAnsi="宋体"/>
                <w:bCs/>
                <w:highlight w:val="none"/>
              </w:rPr>
              <w:t xml:space="preserve">。</w:t>
            </w:r>
            <w:r>
              <w:rPr>
                <w:rFonts w:ascii="宋体" w:hAnsi="宋体"/>
                <w:bCs/>
                <w:highlight w:val="none"/>
              </w:rPr>
            </w:r>
            <w:r/>
          </w:p>
        </w:tc>
        <w:tc>
          <w:tcPr>
            <w:tcW w:w="3815" w:type="dxa"/>
            <w:vAlign w:val="center"/>
            <w:textDirection w:val="lrTb"/>
            <w:noWrap w:val="false"/>
          </w:tcPr>
          <w:p>
            <w:pPr>
              <w:pStyle w:val="1714"/>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生长基本正常，杂草率≤35%，覆盖率达85%以上。</w:t>
            </w:r>
            <w:r>
              <w:rPr>
                <w:rFonts w:ascii="宋体" w:hAnsi="宋体"/>
                <w:bCs/>
                <w:highlight w:val="none"/>
              </w:rPr>
            </w:r>
            <w:r/>
          </w:p>
          <w:p>
            <w:pPr>
              <w:pStyle w:val="1714"/>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修剪高度基本符合要求，堆料堆场清理能在规定期限内完成。</w:t>
            </w:r>
            <w:r>
              <w:rPr>
                <w:rFonts w:ascii="宋体" w:hAnsi="宋体"/>
                <w:bCs/>
                <w:highlight w:val="none"/>
              </w:rPr>
            </w:r>
            <w:r/>
          </w:p>
          <w:p>
            <w:pPr>
              <w:pStyle w:val="1714"/>
              <w:rPr>
                <w:rFonts w:hint="eastAsia" w:ascii="宋体" w:hAnsi="宋体" w:eastAsia="宋体"/>
                <w:bCs/>
                <w:highlight w:val="none"/>
                <w:lang w:eastAsia="zh-CN"/>
              </w:rPr>
            </w:pPr>
            <w:r>
              <w:rPr>
                <w:rFonts w:hint="eastAsia" w:ascii="宋体" w:hAnsi="宋体"/>
                <w:bCs/>
                <w:highlight w:val="none"/>
                <w:lang w:val="en-US" w:eastAsia="zh-CN"/>
              </w:rPr>
              <w:t xml:space="preserve">③</w:t>
            </w:r>
            <w:r>
              <w:rPr>
                <w:rFonts w:hint="eastAsia" w:ascii="宋体" w:hAnsi="宋体"/>
                <w:bCs/>
                <w:highlight w:val="none"/>
              </w:rPr>
              <w:t xml:space="preserve">单块空秃面积不超过0.3M</w:t>
            </w:r>
            <w:r>
              <w:rPr>
                <w:rFonts w:hint="eastAsia" w:ascii="宋体" w:hAnsi="宋体"/>
                <w:bCs/>
                <w:highlight w:val="none"/>
                <w:vertAlign w:val="superscript"/>
              </w:rPr>
              <w:t xml:space="preserve">2</w:t>
            </w:r>
            <w:r>
              <w:rPr>
                <w:rFonts w:hint="eastAsia" w:ascii="宋体" w:hAnsi="宋体"/>
                <w:bCs/>
                <w:highlight w:val="none"/>
                <w:lang w:eastAsia="zh-CN"/>
              </w:rPr>
              <w:t xml:space="preserve">。</w:t>
            </w:r>
            <w:r>
              <w:rPr>
                <w:rFonts w:hint="eastAsia" w:ascii="宋体" w:hAnsi="宋体" w:eastAsia="宋体"/>
                <w:bCs/>
                <w:highlight w:val="none"/>
                <w:lang w:eastAsia="zh-CN"/>
              </w:rPr>
            </w:r>
            <w:r/>
          </w:p>
        </w:tc>
      </w:tr>
      <w:tr>
        <w:trPr>
          <w:trHeight w:val="1228"/>
        </w:trPr>
        <w:tc>
          <w:tcPr>
            <w:tcW w:w="1844" w:type="dxa"/>
            <w:vAlign w:val="center"/>
            <w:textDirection w:val="lrTb"/>
            <w:noWrap w:val="false"/>
          </w:tcPr>
          <w:p>
            <w:pPr>
              <w:pStyle w:val="1714"/>
              <w:jc w:val="center"/>
              <w:rPr>
                <w:rFonts w:ascii="宋体" w:hAnsi="宋体"/>
                <w:bCs/>
                <w:highlight w:val="none"/>
              </w:rPr>
            </w:pPr>
            <w:r>
              <w:rPr>
                <w:rFonts w:hint="eastAsia" w:ascii="宋体" w:hAnsi="宋体"/>
                <w:bCs/>
                <w:highlight w:val="none"/>
              </w:rPr>
              <w:t xml:space="preserve">病虫害控制</w:t>
            </w:r>
            <w:r>
              <w:rPr>
                <w:rFonts w:ascii="宋体" w:hAnsi="宋体"/>
                <w:bCs/>
                <w:highlight w:val="none"/>
              </w:rPr>
            </w:r>
            <w:r/>
          </w:p>
        </w:tc>
        <w:tc>
          <w:tcPr>
            <w:tcW w:w="4110"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食叶性害虫危害的叶片每株小于5%，刺吸性害虫危害的叶片每株小于10%，蛀干性害虫率小于3%，基本无危害迹象。</w:t>
            </w:r>
            <w:r>
              <w:rPr>
                <w:rFonts w:ascii="宋体" w:hAnsi="宋体"/>
                <w:bCs/>
                <w:highlight w:val="none"/>
              </w:rPr>
            </w:r>
            <w:r/>
          </w:p>
        </w:tc>
        <w:tc>
          <w:tcPr>
            <w:tcW w:w="3969"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食叶性害虫危害的叶片每株小于10%，刺吸性害虫危害的叶片每株小于20%，蛀干性害虫危害率小于5%，无明显危害迹象。</w:t>
            </w:r>
            <w:r>
              <w:rPr>
                <w:rFonts w:ascii="宋体" w:hAnsi="宋体"/>
                <w:bCs/>
                <w:highlight w:val="none"/>
              </w:rPr>
            </w:r>
            <w:r/>
          </w:p>
        </w:tc>
        <w:tc>
          <w:tcPr>
            <w:tcW w:w="3815"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食叶性害虫危害的叶片每株小于15%，刺吸性害虫危害的叶片每株小于30%，蛀干性害虫危害率小于10%，无因病害而引起断枝倒伏现象。</w:t>
            </w:r>
            <w:r>
              <w:rPr>
                <w:rFonts w:ascii="宋体" w:hAnsi="宋体"/>
                <w:bCs/>
                <w:highlight w:val="none"/>
              </w:rPr>
            </w:r>
            <w:r/>
          </w:p>
        </w:tc>
      </w:tr>
      <w:tr>
        <w:trPr>
          <w:trHeight w:val="679"/>
        </w:trPr>
        <w:tc>
          <w:tcPr>
            <w:tcW w:w="1844" w:type="dxa"/>
            <w:vAlign w:val="center"/>
            <w:textDirection w:val="lrTb"/>
            <w:noWrap w:val="false"/>
          </w:tcPr>
          <w:p>
            <w:pPr>
              <w:pStyle w:val="1714"/>
              <w:jc w:val="center"/>
              <w:rPr>
                <w:rFonts w:ascii="宋体" w:hAnsi="宋体"/>
                <w:bCs/>
                <w:highlight w:val="none"/>
              </w:rPr>
            </w:pPr>
            <w:r>
              <w:rPr>
                <w:rFonts w:hint="eastAsia" w:ascii="宋体" w:hAnsi="宋体"/>
                <w:bCs/>
                <w:highlight w:val="none"/>
              </w:rPr>
              <w:t xml:space="preserve">杂草控制</w:t>
            </w:r>
            <w:r>
              <w:rPr>
                <w:rFonts w:ascii="宋体" w:hAnsi="宋体"/>
                <w:bCs/>
                <w:highlight w:val="none"/>
              </w:rPr>
            </w:r>
            <w:r/>
          </w:p>
        </w:tc>
        <w:tc>
          <w:tcPr>
            <w:tcW w:w="4110"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无杂草。</w:t>
            </w:r>
            <w:r>
              <w:rPr>
                <w:rFonts w:ascii="宋体" w:hAnsi="宋体"/>
                <w:bCs/>
                <w:highlight w:val="none"/>
              </w:rPr>
            </w:r>
            <w:r/>
          </w:p>
        </w:tc>
        <w:tc>
          <w:tcPr>
            <w:tcW w:w="3969"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基本无杂草。无缠绕性、</w:t>
            </w:r>
            <w:r>
              <w:rPr>
                <w:rFonts w:hint="eastAsia" w:ascii="宋体" w:hAnsi="宋体"/>
                <w:bCs/>
                <w:highlight w:val="none"/>
                <w:lang w:eastAsia="zh-CN"/>
              </w:rPr>
              <w:t xml:space="preserve">攀缘</w:t>
            </w:r>
            <w:r>
              <w:rPr>
                <w:rFonts w:hint="eastAsia" w:ascii="宋体" w:hAnsi="宋体"/>
                <w:bCs/>
                <w:highlight w:val="none"/>
              </w:rPr>
              <w:t xml:space="preserve">性杂草。杂草高度控制在6cm以下，不影响景观效果。</w:t>
            </w:r>
            <w:r>
              <w:rPr>
                <w:rFonts w:ascii="宋体" w:hAnsi="宋体"/>
                <w:bCs/>
                <w:highlight w:val="none"/>
              </w:rPr>
            </w:r>
            <w:r/>
          </w:p>
        </w:tc>
        <w:tc>
          <w:tcPr>
            <w:tcW w:w="3815"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无缠绕性、</w:t>
            </w:r>
            <w:r>
              <w:rPr>
                <w:rFonts w:hint="eastAsia" w:ascii="宋体" w:hAnsi="宋体"/>
                <w:bCs/>
                <w:highlight w:val="none"/>
                <w:lang w:eastAsia="zh-CN"/>
              </w:rPr>
              <w:t xml:space="preserve">攀缘</w:t>
            </w:r>
            <w:r>
              <w:rPr>
                <w:rFonts w:hint="eastAsia" w:ascii="宋体" w:hAnsi="宋体"/>
                <w:bCs/>
                <w:highlight w:val="none"/>
              </w:rPr>
              <w:t xml:space="preserve">性杂草。控制杂草高度以不影响景观效果为度。</w:t>
            </w:r>
            <w:r>
              <w:rPr>
                <w:rFonts w:ascii="宋体" w:hAnsi="宋体"/>
                <w:bCs/>
                <w:highlight w:val="none"/>
              </w:rPr>
            </w:r>
            <w:r/>
          </w:p>
        </w:tc>
      </w:tr>
      <w:tr>
        <w:trPr>
          <w:trHeight w:val="576"/>
        </w:trPr>
        <w:tc>
          <w:tcPr>
            <w:tcW w:w="1844" w:type="dxa"/>
            <w:vAlign w:val="center"/>
            <w:textDirection w:val="lrTb"/>
            <w:noWrap w:val="false"/>
          </w:tcPr>
          <w:p>
            <w:pPr>
              <w:pStyle w:val="1714"/>
              <w:jc w:val="center"/>
              <w:rPr>
                <w:rFonts w:ascii="宋体" w:hAnsi="宋体"/>
                <w:bCs/>
                <w:highlight w:val="none"/>
              </w:rPr>
            </w:pPr>
            <w:r>
              <w:rPr>
                <w:rFonts w:hint="eastAsia" w:ascii="宋体" w:hAnsi="宋体"/>
                <w:bCs/>
                <w:highlight w:val="none"/>
              </w:rPr>
              <w:t xml:space="preserve">环境卫生</w:t>
            </w:r>
            <w:r>
              <w:rPr>
                <w:rFonts w:ascii="宋体" w:hAnsi="宋体"/>
                <w:bCs/>
                <w:highlight w:val="none"/>
              </w:rPr>
            </w:r>
            <w:r/>
          </w:p>
        </w:tc>
        <w:tc>
          <w:tcPr>
            <w:tcW w:w="4110"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绿地整洁，无垃圾。</w:t>
            </w:r>
            <w:r>
              <w:rPr>
                <w:rFonts w:ascii="宋体" w:hAnsi="宋体"/>
                <w:bCs/>
                <w:highlight w:val="none"/>
              </w:rPr>
            </w:r>
            <w:r/>
          </w:p>
        </w:tc>
        <w:tc>
          <w:tcPr>
            <w:tcW w:w="3969"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绿地整洁，无垃圾。</w:t>
            </w:r>
            <w:r>
              <w:rPr>
                <w:rFonts w:ascii="宋体" w:hAnsi="宋体"/>
                <w:bCs/>
                <w:highlight w:val="none"/>
              </w:rPr>
            </w:r>
            <w:r/>
          </w:p>
        </w:tc>
        <w:tc>
          <w:tcPr>
            <w:tcW w:w="3815" w:type="dxa"/>
            <w:vAlign w:val="center"/>
            <w:textDirection w:val="lrTb"/>
            <w:noWrap w:val="false"/>
          </w:tcPr>
          <w:p>
            <w:pPr>
              <w:pStyle w:val="1714"/>
              <w:rPr>
                <w:rFonts w:ascii="宋体" w:hAnsi="宋体"/>
                <w:bCs/>
                <w:highlight w:val="none"/>
              </w:rPr>
            </w:pPr>
            <w:r>
              <w:rPr>
                <w:rFonts w:hint="eastAsia" w:ascii="宋体" w:hAnsi="宋体"/>
                <w:bCs/>
                <w:highlight w:val="none"/>
              </w:rPr>
              <w:t xml:space="preserve">绿地整洁，基本无垃圾。</w:t>
            </w:r>
            <w:r>
              <w:rPr>
                <w:rFonts w:ascii="宋体" w:hAnsi="宋体"/>
                <w:bCs/>
                <w:highlight w:val="none"/>
              </w:rPr>
            </w:r>
            <w:r/>
          </w:p>
        </w:tc>
      </w:tr>
    </w:tbl>
    <w:p>
      <w:pPr>
        <w:pStyle w:val="1714"/>
        <w:jc w:val="both"/>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r>
      <w:r/>
    </w:p>
    <w:p>
      <w:pPr>
        <w:pStyle w:val="1722"/>
        <w:ind w:left="0" w:firstLine="0"/>
        <w:rPr>
          <w:rFonts w:hint="eastAsia" w:ascii="Times New Roman" w:hAnsi="Times New Roman" w:eastAsia="宋体" w:cs="Times New Roman"/>
          <w:b/>
          <w:bCs/>
          <w:sz w:val="28"/>
          <w:szCs w:val="28"/>
          <w:highlight w:val="none"/>
          <w:lang w:eastAsia="zh-CN"/>
        </w:rPr>
        <w:sectPr>
          <w:footnotePr/>
          <w:endnotePr/>
          <w:type w:val="nextPage"/>
          <w:pgSz w:w="16840" w:h="11907" w:orient="landscape"/>
          <w:pgMar w:top="1361" w:right="1418" w:bottom="1186" w:left="1418" w:header="851" w:footer="992" w:gutter="0"/>
          <w:cols w:num="1" w:sep="0" w:space="1701" w:equalWidth="1"/>
          <w:docGrid w:linePitch="360"/>
        </w:sectPr>
      </w:pPr>
      <w:r>
        <w:rPr>
          <w:rFonts w:hint="eastAsia" w:ascii="Times New Roman" w:hAnsi="Times New Roman" w:eastAsia="宋体" w:cs="Times New Roman"/>
          <w:b/>
          <w:bCs/>
          <w:sz w:val="28"/>
          <w:szCs w:val="28"/>
          <w:highlight w:val="none"/>
          <w:lang w:eastAsia="zh-CN"/>
        </w:rPr>
      </w:r>
      <w:r/>
    </w:p>
    <w:p>
      <w:pPr>
        <w:pStyle w:val="1714"/>
        <w:jc w:val="left"/>
        <w:spacing w:line="360" w:lineRule="auto"/>
        <w:rPr>
          <w:rFonts w:ascii="Times New Roman" w:hAnsi="Times New Roman" w:eastAsia="宋体" w:cs="Times New Roman"/>
          <w:b/>
          <w:bCs/>
          <w:sz w:val="28"/>
          <w:szCs w:val="28"/>
          <w:highlight w:val="none"/>
          <w:lang w:val="en-US" w:eastAsia="zh-CN"/>
        </w:rPr>
        <w:outlineLvl w:val="9"/>
      </w:pPr>
      <w:r>
        <w:rPr>
          <w:rFonts w:hint="eastAsia" w:ascii="Times New Roman" w:hAnsi="Times New Roman" w:eastAsia="宋体" w:cs="Times New Roman"/>
          <w:b/>
          <w:bCs/>
          <w:sz w:val="28"/>
          <w:szCs w:val="28"/>
          <w:highlight w:val="none"/>
          <w:lang w:val="en-US" w:eastAsia="zh-CN"/>
        </w:rPr>
        <w:t xml:space="preserve">附件3：</w:t>
      </w:r>
      <w:r>
        <w:rPr>
          <w:rFonts w:ascii="Times New Roman" w:hAnsi="Times New Roman" w:eastAsia="宋体" w:cs="Times New Roman"/>
          <w:b/>
          <w:bCs/>
          <w:sz w:val="28"/>
          <w:szCs w:val="28"/>
          <w:highlight w:val="none"/>
          <w:lang w:val="en-US" w:eastAsia="zh-CN"/>
        </w:rPr>
      </w:r>
      <w:r/>
    </w:p>
    <w:p>
      <w:pPr>
        <w:pStyle w:val="1714"/>
        <w:jc w:val="center"/>
        <w:rPr>
          <w:sz w:val="44"/>
          <w:szCs w:val="44"/>
          <w:highlight w:val="none"/>
        </w:rPr>
      </w:pPr>
      <w:r>
        <w:rPr>
          <w:sz w:val="44"/>
          <w:szCs w:val="44"/>
          <w:highlight w:val="none"/>
        </w:rPr>
        <w:t xml:space="preserve">整 改 通 知 书</w:t>
      </w:r>
      <w:r>
        <w:rPr>
          <w:sz w:val="44"/>
          <w:szCs w:val="44"/>
          <w:highlight w:val="none"/>
        </w:rPr>
      </w:r>
      <w:r/>
    </w:p>
    <w:p>
      <w:pPr>
        <w:pStyle w:val="1738"/>
        <w:ind w:left="0" w:firstLine="0"/>
        <w:spacing w:line="480" w:lineRule="auto"/>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r>
      <w:r/>
    </w:p>
    <w:p>
      <w:pPr>
        <w:pStyle w:val="1714"/>
        <w:spacing w:line="480" w:lineRule="auto"/>
        <w:rPr>
          <w:rFonts w:ascii="宋体" w:hAnsi="宋体"/>
          <w:bCs/>
          <w:color w:val="000000"/>
          <w:sz w:val="28"/>
          <w:szCs w:val="28"/>
          <w:highlight w:val="none"/>
          <w:u w:val="single"/>
        </w:rPr>
      </w:pPr>
      <w:r>
        <w:rPr>
          <w:rFonts w:hint="eastAsia" w:ascii="宋体" w:hAnsi="宋体"/>
          <w:bCs/>
          <w:color w:val="000000"/>
          <w:sz w:val="28"/>
          <w:szCs w:val="28"/>
          <w:highlight w:val="none"/>
        </w:rPr>
        <w:t xml:space="preserve">致养护单位：</w:t>
      </w:r>
      <w:r>
        <w:rPr>
          <w:rFonts w:hint="eastAsia" w:ascii="宋体" w:hAnsi="宋体"/>
          <w:bCs/>
          <w:color w:val="000000"/>
          <w:sz w:val="28"/>
          <w:szCs w:val="28"/>
          <w:highlight w:val="none"/>
          <w:u w:val="single"/>
        </w:rPr>
        <w:t xml:space="preserve"> </w:t>
      </w:r>
      <w:r>
        <w:rPr>
          <w:rFonts w:ascii="宋体" w:hAnsi="宋体"/>
          <w:bCs/>
          <w:color w:val="000000"/>
          <w:sz w:val="28"/>
          <w:szCs w:val="28"/>
          <w:highlight w:val="none"/>
          <w:u w:val="single"/>
        </w:rPr>
        <w:t xml:space="preserve">                </w:t>
      </w:r>
      <w:r>
        <w:rPr>
          <w:rFonts w:hint="eastAsia" w:ascii="宋体" w:hAnsi="宋体"/>
          <w:bCs/>
          <w:color w:val="000000"/>
          <w:sz w:val="28"/>
          <w:szCs w:val="28"/>
          <w:highlight w:val="none"/>
          <w:u w:val="single"/>
          <w:lang w:val="en-US" w:eastAsia="zh-CN"/>
        </w:rPr>
        <w:t xml:space="preserve">        </w:t>
      </w:r>
      <w:r>
        <w:rPr>
          <w:rFonts w:ascii="宋体" w:hAnsi="宋体"/>
          <w:bCs/>
          <w:color w:val="000000"/>
          <w:sz w:val="28"/>
          <w:szCs w:val="28"/>
          <w:highlight w:val="none"/>
          <w:u w:val="single"/>
        </w:rPr>
        <w:t xml:space="preserve">                 </w:t>
      </w:r>
      <w:r>
        <w:rPr>
          <w:rFonts w:ascii="宋体" w:hAnsi="宋体"/>
          <w:bCs/>
          <w:color w:val="000000"/>
          <w:sz w:val="28"/>
          <w:szCs w:val="28"/>
          <w:highlight w:val="none"/>
          <w:u w:val="single"/>
        </w:rPr>
      </w:r>
      <w:r/>
    </w:p>
    <w:p>
      <w:pPr>
        <w:pStyle w:val="1738"/>
        <w:ind w:left="0" w:firstLine="0"/>
        <w:spacing w:line="480" w:lineRule="auto"/>
        <w:rPr>
          <w:sz w:val="28"/>
          <w:szCs w:val="28"/>
          <w:highlight w:val="none"/>
        </w:rPr>
      </w:pPr>
      <w:r>
        <w:rPr>
          <w:sz w:val="28"/>
          <w:szCs w:val="28"/>
          <w:highlight w:val="none"/>
        </w:rPr>
      </w:r>
      <w:r/>
    </w:p>
    <w:p>
      <w:pPr>
        <w:pStyle w:val="1714"/>
        <w:ind w:firstLine="560"/>
        <w:spacing w:line="480" w:lineRule="auto"/>
        <w:rPr>
          <w:sz w:val="28"/>
          <w:szCs w:val="28"/>
          <w:highlight w:val="none"/>
          <w:u w:val="single"/>
        </w:rPr>
      </w:pPr>
      <w:r>
        <w:rPr>
          <w:rFonts w:hint="eastAsia"/>
          <w:sz w:val="28"/>
          <w:szCs w:val="28"/>
          <w:highlight w:val="none"/>
        </w:rPr>
        <w:t xml:space="preserve">你单位负责养护的</w:t>
      </w:r>
      <w:r>
        <w:rPr>
          <w:rFonts w:hint="eastAsia"/>
          <w:sz w:val="28"/>
          <w:szCs w:val="28"/>
          <w:highlight w:val="none"/>
          <w:u w:val="single"/>
        </w:rPr>
        <w:t xml:space="preserve"> </w:t>
      </w:r>
      <w:r>
        <w:rPr>
          <w:sz w:val="28"/>
          <w:szCs w:val="28"/>
          <w:highlight w:val="none"/>
          <w:u w:val="single"/>
        </w:rPr>
        <w:t xml:space="preserve">                                  </w:t>
      </w:r>
      <w:r>
        <w:rPr>
          <w:sz w:val="28"/>
          <w:szCs w:val="28"/>
          <w:highlight w:val="none"/>
        </w:rPr>
        <w:t xml:space="preserve"> </w:t>
      </w:r>
      <w:r>
        <w:rPr>
          <w:rFonts w:hint="eastAsia"/>
          <w:sz w:val="28"/>
          <w:szCs w:val="28"/>
          <w:highlight w:val="none"/>
        </w:rPr>
        <w:t xml:space="preserve">项目存在如下问题：</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lang w:val="en-US" w:eastAsia="zh-CN"/>
        </w:rPr>
        <w:t xml:space="preserve">  </w:t>
      </w:r>
      <w:r>
        <w:rPr>
          <w:sz w:val="28"/>
          <w:szCs w:val="28"/>
          <w:highlight w:val="none"/>
          <w:u w:val="single"/>
        </w:rPr>
        <w:t xml:space="preserve">                               </w:t>
      </w:r>
      <w:r>
        <w:rPr>
          <w:sz w:val="28"/>
          <w:szCs w:val="28"/>
          <w:highlight w:val="none"/>
          <w:u w:val="single"/>
        </w:rPr>
      </w:r>
      <w:r/>
    </w:p>
    <w:p>
      <w:pPr>
        <w:pStyle w:val="1738"/>
        <w:ind w:left="0" w:firstLine="0"/>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714"/>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738"/>
        <w:ind w:left="0" w:firstLine="0"/>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714"/>
        <w:spacing w:line="480" w:lineRule="auto"/>
        <w:rPr>
          <w:sz w:val="28"/>
          <w:szCs w:val="28"/>
          <w:highlight w:val="none"/>
        </w:rPr>
      </w:pPr>
      <w:r>
        <w:rPr>
          <w:rFonts w:hint="eastAsia"/>
          <w:sz w:val="28"/>
          <w:szCs w:val="28"/>
          <w:highlight w:val="none"/>
        </w:rPr>
        <w:t xml:space="preserve">现要求你单位按照养护的等级标准执行，并于</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rPr>
        <w:t xml:space="preserve">天内完成整改，以达到绿化养护技术标准，如未进行落实，我单位将严格执行养护考核办法，逾期造成的后果将由贵单位自负。</w:t>
      </w:r>
      <w:r>
        <w:rPr>
          <w:sz w:val="28"/>
          <w:szCs w:val="28"/>
          <w:highlight w:val="none"/>
        </w:rPr>
      </w:r>
      <w:r/>
    </w:p>
    <w:p>
      <w:pPr>
        <w:pStyle w:val="1738"/>
        <w:ind w:left="0" w:firstLine="0"/>
        <w:spacing w:line="480" w:lineRule="auto"/>
        <w:rPr>
          <w:sz w:val="28"/>
          <w:szCs w:val="28"/>
          <w:highlight w:val="none"/>
        </w:rPr>
      </w:pPr>
      <w:r>
        <w:rPr>
          <w:rFonts w:hint="eastAsia"/>
          <w:sz w:val="28"/>
          <w:szCs w:val="28"/>
          <w:highlight w:val="none"/>
        </w:rPr>
        <w:t xml:space="preserve">注：对整改内容理解不明白、不清楚的请及时联系养护部。如发现在要求、规定的天数里未进行整改的，则按照养护合同规定执行质量扣款等处罚方式进行处理。</w:t>
      </w:r>
      <w:r>
        <w:rPr>
          <w:sz w:val="28"/>
          <w:szCs w:val="28"/>
          <w:highlight w:val="none"/>
        </w:rPr>
      </w:r>
      <w:r/>
    </w:p>
    <w:p>
      <w:pPr>
        <w:pStyle w:val="1714"/>
        <w:rPr>
          <w:sz w:val="30"/>
          <w:szCs w:val="30"/>
          <w:highlight w:val="none"/>
        </w:rPr>
      </w:pPr>
      <w:r>
        <w:rPr>
          <w:sz w:val="30"/>
          <w:szCs w:val="30"/>
          <w:highlight w:val="none"/>
        </w:rPr>
      </w:r>
      <w:r/>
    </w:p>
    <w:p>
      <w:pPr>
        <w:pStyle w:val="1714"/>
        <w:rPr>
          <w:rFonts w:hint="eastAsia" w:eastAsia="宋体"/>
          <w:sz w:val="28"/>
          <w:szCs w:val="28"/>
          <w:highlight w:val="none"/>
          <w:lang w:eastAsia="zh-CN"/>
        </w:rPr>
      </w:pPr>
      <w:r>
        <w:rPr>
          <w:sz w:val="28"/>
          <w:szCs w:val="28"/>
          <w:highlight w:val="none"/>
        </w:rPr>
        <w:t xml:space="preserve">养护方代表（签收）       </w:t>
      </w:r>
      <w:r>
        <w:rPr>
          <w:rFonts w:hint="eastAsia"/>
          <w:sz w:val="28"/>
          <w:szCs w:val="28"/>
          <w:highlight w:val="none"/>
          <w:lang w:val="en-US" w:eastAsia="zh-CN"/>
        </w:rPr>
        <w:t xml:space="preserve">   </w:t>
      </w:r>
      <w:r>
        <w:rPr>
          <w:sz w:val="28"/>
          <w:szCs w:val="28"/>
          <w:highlight w:val="none"/>
        </w:rPr>
        <w:t xml:space="preserve">  </w:t>
      </w:r>
      <w:r>
        <w:rPr>
          <w:rFonts w:hint="eastAsia"/>
          <w:sz w:val="28"/>
          <w:szCs w:val="28"/>
          <w:highlight w:val="none"/>
          <w:lang w:eastAsia="zh-CN"/>
        </w:rPr>
        <w:t xml:space="preserve">无锡市锡山区人民政府厚桥街道办事处</w:t>
      </w:r>
      <w:r>
        <w:rPr>
          <w:rFonts w:hint="eastAsia" w:eastAsia="宋体"/>
          <w:sz w:val="28"/>
          <w:szCs w:val="28"/>
          <w:highlight w:val="none"/>
          <w:lang w:eastAsia="zh-CN"/>
        </w:rPr>
      </w:r>
      <w:r/>
    </w:p>
    <w:p>
      <w:pPr>
        <w:pStyle w:val="1714"/>
        <w:rPr>
          <w:sz w:val="28"/>
          <w:szCs w:val="28"/>
          <w:highlight w:val="none"/>
        </w:rPr>
      </w:pPr>
      <w:r>
        <w:rPr>
          <w:sz w:val="28"/>
          <w:szCs w:val="28"/>
          <w:highlight w:val="none"/>
        </w:rPr>
      </w:r>
      <w:r/>
    </w:p>
    <w:p>
      <w:pPr>
        <w:pStyle w:val="1714"/>
        <w:rPr>
          <w:sz w:val="28"/>
          <w:szCs w:val="28"/>
          <w:highlight w:val="none"/>
        </w:rPr>
      </w:pPr>
      <w:r>
        <w:rPr>
          <w:sz w:val="28"/>
          <w:szCs w:val="28"/>
          <w:highlight w:val="none"/>
        </w:rPr>
        <w:t xml:space="preserve">                                              （盖章）</w:t>
      </w:r>
      <w:r>
        <w:rPr>
          <w:sz w:val="28"/>
          <w:szCs w:val="28"/>
          <w:highlight w:val="none"/>
        </w:rPr>
      </w:r>
      <w:r/>
    </w:p>
    <w:p>
      <w:pPr>
        <w:pStyle w:val="1714"/>
        <w:rPr>
          <w:sz w:val="28"/>
          <w:szCs w:val="28"/>
          <w:highlight w:val="none"/>
        </w:rPr>
      </w:pPr>
      <w:r>
        <w:rPr>
          <w:sz w:val="28"/>
          <w:szCs w:val="28"/>
          <w:highlight w:val="none"/>
        </w:rPr>
      </w:r>
      <w:r/>
    </w:p>
    <w:p>
      <w:pPr>
        <w:pStyle w:val="1714"/>
        <w:rPr>
          <w:sz w:val="28"/>
          <w:szCs w:val="28"/>
          <w:highlight w:val="none"/>
        </w:rPr>
      </w:pPr>
      <w:r>
        <w:rPr>
          <w:sz w:val="28"/>
          <w:szCs w:val="28"/>
          <w:highlight w:val="none"/>
        </w:rPr>
        <w:t xml:space="preserve">    年   月   日                             年   月   日</w:t>
      </w:r>
      <w:r>
        <w:rPr>
          <w:sz w:val="28"/>
          <w:szCs w:val="28"/>
          <w:highlight w:val="none"/>
        </w:rPr>
      </w:r>
      <w:r/>
    </w:p>
    <w:p>
      <w:pPr>
        <w:pStyle w:val="1714"/>
        <w:rPr>
          <w:highlight w:val="none"/>
        </w:rPr>
      </w:pPr>
      <w:r>
        <w:rPr>
          <w:highlight w:val="none"/>
        </w:rPr>
      </w:r>
      <w:r/>
    </w:p>
    <w:p>
      <w:pPr>
        <w:pStyle w:val="1738"/>
        <w:ind w:left="1260"/>
        <w:rPr>
          <w:highlight w:val="none"/>
        </w:rPr>
        <w:sectPr>
          <w:footerReference w:type="default" r:id="rId25"/>
          <w:footnotePr/>
          <w:endnotePr/>
          <w:type w:val="nextPage"/>
          <w:pgSz w:w="11907" w:h="16840" w:orient="portrait"/>
          <w:pgMar w:top="1361" w:right="1418" w:bottom="1361" w:left="1418" w:header="851" w:footer="992" w:gutter="0"/>
          <w:cols w:num="1" w:sep="0" w:space="1701" w:equalWidth="1"/>
          <w:docGrid w:linePitch="360"/>
        </w:sectPr>
      </w:pPr>
      <w:r>
        <w:rPr>
          <w:highlight w:val="none"/>
        </w:rPr>
      </w:r>
      <w:r/>
    </w:p>
    <w:p>
      <w:pPr>
        <w:pStyle w:val="1714"/>
        <w:jc w:val="left"/>
        <w:spacing w:line="360" w:lineRule="auto"/>
        <w:rPr>
          <w:rFonts w:hint="eastAsia" w:ascii="Times New Roman" w:hAnsi="Times New Roman" w:eastAsia="宋体" w:cs="Times New Roman"/>
          <w:b/>
          <w:bCs/>
          <w:sz w:val="28"/>
          <w:szCs w:val="28"/>
          <w:highlight w:val="none"/>
          <w:lang w:val="en-US" w:eastAsia="zh-CN"/>
        </w:rPr>
        <w:outlineLvl w:val="9"/>
      </w:pPr>
      <w:r>
        <w:rPr>
          <w:rFonts w:hint="eastAsia" w:ascii="Times New Roman" w:hAnsi="Times New Roman" w:eastAsia="宋体" w:cs="Times New Roman"/>
          <w:b/>
          <w:bCs/>
          <w:sz w:val="28"/>
          <w:szCs w:val="28"/>
          <w:highlight w:val="none"/>
          <w:lang w:val="en-US" w:eastAsia="zh-CN"/>
        </w:rPr>
        <w:t xml:space="preserve">附</w:t>
      </w:r>
      <w:r>
        <w:rPr>
          <w:rFonts w:hint="eastAsia" w:cs="Times New Roman"/>
          <w:b/>
          <w:bCs/>
          <w:sz w:val="28"/>
          <w:szCs w:val="28"/>
          <w:highlight w:val="none"/>
          <w:lang w:val="en-US" w:eastAsia="zh-CN"/>
        </w:rPr>
        <w:t xml:space="preserve">件4</w:t>
      </w:r>
      <w:r>
        <w:rPr>
          <w:rFonts w:hint="eastAsia" w:ascii="Times New Roman" w:hAnsi="Times New Roman" w:eastAsia="宋体" w:cs="Times New Roman"/>
          <w:b/>
          <w:bCs/>
          <w:sz w:val="28"/>
          <w:szCs w:val="28"/>
          <w:highlight w:val="none"/>
          <w:lang w:val="en-US" w:eastAsia="zh-CN"/>
        </w:rPr>
        <w:t xml:space="preserve">：项目经理自查表</w:t>
      </w:r>
      <w:r>
        <w:rPr>
          <w:rFonts w:hint="eastAsia" w:ascii="Times New Roman" w:hAnsi="Times New Roman" w:eastAsia="宋体" w:cs="Times New Roman"/>
          <w:b/>
          <w:bCs/>
          <w:sz w:val="28"/>
          <w:szCs w:val="28"/>
          <w:highlight w:val="none"/>
          <w:lang w:val="en-US" w:eastAsia="zh-CN"/>
        </w:rPr>
      </w:r>
      <w:r/>
    </w:p>
    <w:p>
      <w:pPr>
        <w:pStyle w:val="1714"/>
        <w:ind w:firstLine="120"/>
        <w:rPr>
          <w:rFonts w:ascii="宋体" w:hAnsi="宋体"/>
          <w:sz w:val="24"/>
          <w:szCs w:val="24"/>
          <w:highlight w:val="none"/>
          <w:u w:val="single"/>
        </w:rPr>
        <w:outlineLvl w:val="9"/>
      </w:pP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         星期</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天气：</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r>
      <w:r/>
    </w:p>
    <w:tbl>
      <w:tblPr>
        <w:tblW w:w="90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6"/>
        <w:gridCol w:w="7473"/>
      </w:tblGrid>
      <w:tr>
        <w:trPr>
          <w:trHeight w:val="1372"/>
        </w:trPr>
        <w:tc>
          <w:tcPr>
            <w:tcW w:w="1586" w:type="dxa"/>
            <w:vAlign w:val="center"/>
            <w:textDirection w:val="lrTb"/>
            <w:noWrap w:val="false"/>
          </w:tcPr>
          <w:p>
            <w:pPr>
              <w:pStyle w:val="1714"/>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作业路段</w:t>
            </w:r>
            <w:r>
              <w:rPr>
                <w:rFonts w:ascii="宋体" w:hAnsi="宋体"/>
                <w:sz w:val="24"/>
                <w:szCs w:val="24"/>
                <w:highlight w:val="none"/>
              </w:rPr>
            </w:r>
            <w:r/>
          </w:p>
        </w:tc>
        <w:tc>
          <w:tcPr>
            <w:tcW w:w="7473" w:type="dxa"/>
            <w:vAlign w:val="center"/>
            <w:textDirection w:val="lrTb"/>
            <w:noWrap w:val="false"/>
          </w:tcPr>
          <w:p>
            <w:pPr>
              <w:pStyle w:val="1714"/>
              <w:ind w:firstLine="1680"/>
              <w:rPr>
                <w:rFonts w:ascii="宋体" w:hAnsi="宋体"/>
                <w:sz w:val="24"/>
                <w:szCs w:val="24"/>
                <w:highlight w:val="none"/>
              </w:rPr>
              <w:outlineLvl w:val="9"/>
            </w:pPr>
            <w:r>
              <w:rPr>
                <w:rFonts w:hint="eastAsia" w:ascii="宋体" w:hAnsi="宋体"/>
                <w:sz w:val="24"/>
                <w:szCs w:val="24"/>
                <w:highlight w:val="none"/>
              </w:rPr>
              <w:t xml:space="preserve">（按养护计划填报）</w:t>
            </w:r>
            <w:r>
              <w:rPr>
                <w:rFonts w:ascii="宋体" w:hAnsi="宋体"/>
                <w:sz w:val="24"/>
                <w:szCs w:val="24"/>
                <w:highlight w:val="none"/>
              </w:rPr>
            </w:r>
            <w:r/>
          </w:p>
        </w:tc>
      </w:tr>
      <w:tr>
        <w:trPr>
          <w:trHeight w:val="2777"/>
        </w:trPr>
        <w:tc>
          <w:tcPr>
            <w:tcW w:w="1586" w:type="dxa"/>
            <w:vAlign w:val="center"/>
            <w:textDirection w:val="lrTb"/>
            <w:noWrap w:val="false"/>
          </w:tcPr>
          <w:p>
            <w:pPr>
              <w:pStyle w:val="1714"/>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作业内容</w:t>
            </w:r>
            <w:r>
              <w:rPr>
                <w:rFonts w:ascii="宋体" w:hAnsi="宋体"/>
                <w:sz w:val="24"/>
                <w:szCs w:val="24"/>
                <w:highlight w:val="none"/>
              </w:rPr>
            </w:r>
            <w:r/>
          </w:p>
        </w:tc>
        <w:tc>
          <w:tcPr>
            <w:tcW w:w="7473" w:type="dxa"/>
            <w:vAlign w:val="center"/>
            <w:textDirection w:val="lrTb"/>
            <w:noWrap w:val="false"/>
          </w:tcPr>
          <w:p>
            <w:pPr>
              <w:pStyle w:val="1714"/>
              <w:jc w:val="left"/>
              <w:rPr>
                <w:rFonts w:ascii="宋体" w:hAnsi="宋体"/>
                <w:sz w:val="24"/>
                <w:szCs w:val="24"/>
                <w:highlight w:val="none"/>
              </w:rPr>
              <w:outlineLvl w:val="9"/>
            </w:pPr>
            <w:r>
              <w:rPr>
                <w:rFonts w:hint="eastAsia" w:ascii="宋体" w:hAnsi="宋体"/>
                <w:sz w:val="24"/>
                <w:szCs w:val="24"/>
                <w:highlight w:val="none"/>
              </w:rPr>
              <w:t xml:space="preserve">（按养护计划填报，应包含作业工人数量、领班绿化工姓名、工作内容和工作量、使用机械设备数量等）</w:t>
            </w:r>
            <w:r>
              <w:rPr>
                <w:rFonts w:ascii="宋体" w:hAnsi="宋体"/>
                <w:sz w:val="24"/>
                <w:szCs w:val="24"/>
                <w:highlight w:val="none"/>
              </w:rPr>
            </w:r>
            <w:r/>
          </w:p>
        </w:tc>
      </w:tr>
      <w:tr>
        <w:trPr>
          <w:trHeight w:val="2523"/>
        </w:trPr>
        <w:tc>
          <w:tcPr>
            <w:tcW w:w="1586" w:type="dxa"/>
            <w:vAlign w:val="center"/>
            <w:textDirection w:val="lrTb"/>
            <w:noWrap w:val="false"/>
          </w:tcPr>
          <w:p>
            <w:pPr>
              <w:pStyle w:val="1714"/>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存在问题</w:t>
            </w:r>
            <w:r>
              <w:rPr>
                <w:rFonts w:ascii="宋体" w:hAnsi="宋体"/>
                <w:sz w:val="24"/>
                <w:szCs w:val="24"/>
                <w:highlight w:val="none"/>
              </w:rPr>
            </w:r>
            <w:r/>
          </w:p>
        </w:tc>
        <w:tc>
          <w:tcPr>
            <w:tcW w:w="7473" w:type="dxa"/>
            <w:vAlign w:val="center"/>
            <w:textDirection w:val="lrTb"/>
            <w:noWrap w:val="false"/>
          </w:tcPr>
          <w:p>
            <w:pPr>
              <w:pStyle w:val="1714"/>
              <w:jc w:val="left"/>
              <w:rPr>
                <w:rFonts w:ascii="宋体" w:hAnsi="宋体"/>
                <w:sz w:val="24"/>
                <w:szCs w:val="24"/>
                <w:highlight w:val="none"/>
              </w:rPr>
              <w:outlineLvl w:val="9"/>
            </w:pPr>
            <w:r>
              <w:rPr>
                <w:rFonts w:hint="eastAsia" w:ascii="宋体" w:hAnsi="宋体"/>
                <w:sz w:val="24"/>
                <w:szCs w:val="24"/>
                <w:highlight w:val="none"/>
              </w:rPr>
              <w:t xml:space="preserve">（项目经理须对所有养护路段进行巡查，发现问题应写明具体路段地点及问题类型，附问题照片。）</w:t>
            </w:r>
            <w:r>
              <w:rPr>
                <w:rFonts w:ascii="宋体" w:hAnsi="宋体"/>
                <w:sz w:val="24"/>
                <w:szCs w:val="24"/>
                <w:highlight w:val="none"/>
              </w:rPr>
            </w:r>
            <w:r/>
          </w:p>
        </w:tc>
      </w:tr>
      <w:tr>
        <w:trPr>
          <w:trHeight w:val="1838"/>
        </w:trPr>
        <w:tc>
          <w:tcPr>
            <w:tcW w:w="1586" w:type="dxa"/>
            <w:vAlign w:val="center"/>
            <w:textDirection w:val="lrTb"/>
            <w:noWrap w:val="false"/>
          </w:tcPr>
          <w:p>
            <w:pPr>
              <w:pStyle w:val="1714"/>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整改安排</w:t>
            </w:r>
            <w:r>
              <w:rPr>
                <w:rFonts w:ascii="宋体" w:hAnsi="宋体"/>
                <w:sz w:val="24"/>
                <w:szCs w:val="24"/>
                <w:highlight w:val="none"/>
              </w:rPr>
            </w:r>
            <w:r/>
          </w:p>
        </w:tc>
        <w:tc>
          <w:tcPr>
            <w:tcW w:w="7473" w:type="dxa"/>
            <w:vAlign w:val="center"/>
            <w:textDirection w:val="lrTb"/>
            <w:noWrap w:val="false"/>
          </w:tcPr>
          <w:p>
            <w:pPr>
              <w:pStyle w:val="1714"/>
              <w:ind w:left="0" w:right="0" w:firstLine="0"/>
              <w:jc w:val="left"/>
              <w:rPr>
                <w:rFonts w:ascii="宋体" w:hAnsi="宋体"/>
                <w:sz w:val="24"/>
                <w:szCs w:val="24"/>
                <w:highlight w:val="none"/>
              </w:rPr>
              <w:outlineLvl w:val="9"/>
            </w:pPr>
            <w:r>
              <w:rPr>
                <w:rFonts w:hint="eastAsia" w:ascii="宋体" w:hAnsi="宋体"/>
                <w:sz w:val="24"/>
                <w:szCs w:val="24"/>
                <w:highlight w:val="none"/>
              </w:rPr>
              <w:t xml:space="preserve">（项目经理对当日巡查发现的问题的整改处置安排）</w:t>
            </w:r>
            <w:r>
              <w:rPr>
                <w:rFonts w:ascii="宋体" w:hAnsi="宋体"/>
                <w:sz w:val="24"/>
                <w:szCs w:val="24"/>
                <w:highlight w:val="none"/>
              </w:rPr>
            </w:r>
            <w:r/>
          </w:p>
        </w:tc>
      </w:tr>
      <w:tr>
        <w:trPr>
          <w:trHeight w:val="2533"/>
        </w:trPr>
        <w:tc>
          <w:tcPr>
            <w:tcW w:w="1586" w:type="dxa"/>
            <w:vAlign w:val="center"/>
            <w:textDirection w:val="lrTb"/>
            <w:noWrap w:val="false"/>
          </w:tcPr>
          <w:p>
            <w:pPr>
              <w:pStyle w:val="1714"/>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整改复查</w:t>
            </w:r>
            <w:r>
              <w:rPr>
                <w:rFonts w:ascii="宋体" w:hAnsi="宋体"/>
                <w:sz w:val="24"/>
                <w:szCs w:val="24"/>
                <w:highlight w:val="none"/>
              </w:rPr>
            </w:r>
            <w:r/>
          </w:p>
        </w:tc>
        <w:tc>
          <w:tcPr>
            <w:tcW w:w="7473" w:type="dxa"/>
            <w:vAlign w:val="center"/>
            <w:textDirection w:val="lrTb"/>
            <w:noWrap w:val="false"/>
          </w:tcPr>
          <w:p>
            <w:pPr>
              <w:pStyle w:val="1714"/>
              <w:ind w:left="0" w:right="0" w:firstLine="0"/>
              <w:jc w:val="left"/>
              <w:rPr>
                <w:rFonts w:ascii="宋体" w:hAnsi="宋体"/>
                <w:sz w:val="24"/>
                <w:szCs w:val="24"/>
                <w:highlight w:val="none"/>
              </w:rPr>
              <w:outlineLvl w:val="9"/>
            </w:pPr>
            <w:r>
              <w:rPr>
                <w:rFonts w:hint="eastAsia" w:ascii="宋体" w:hAnsi="宋体"/>
                <w:sz w:val="24"/>
                <w:szCs w:val="24"/>
                <w:highlight w:val="none"/>
              </w:rPr>
              <w:t xml:space="preserve">（该栏由第二日值班经理填写，应写明整改复查情况）</w:t>
            </w:r>
            <w:r>
              <w:rPr>
                <w:rFonts w:ascii="宋体" w:hAnsi="宋体"/>
                <w:sz w:val="24"/>
                <w:szCs w:val="24"/>
                <w:highlight w:val="none"/>
              </w:rPr>
            </w:r>
            <w:r/>
          </w:p>
          <w:p>
            <w:pPr>
              <w:pStyle w:val="1714"/>
              <w:rPr>
                <w:rFonts w:ascii="宋体" w:hAnsi="宋体"/>
                <w:sz w:val="24"/>
                <w:szCs w:val="24"/>
                <w:highlight w:val="none"/>
              </w:rPr>
              <w:outlineLvl w:val="9"/>
            </w:pPr>
            <w:r>
              <w:rPr>
                <w:rFonts w:ascii="宋体" w:hAnsi="宋体"/>
                <w:sz w:val="24"/>
                <w:szCs w:val="24"/>
                <w:highlight w:val="none"/>
              </w:rPr>
            </w:r>
            <w:r/>
          </w:p>
          <w:p>
            <w:pPr>
              <w:pStyle w:val="1714"/>
              <w:ind w:firstLine="4804"/>
              <w:jc w:val="both"/>
              <w:rPr>
                <w:rFonts w:ascii="宋体" w:hAnsi="宋体"/>
                <w:sz w:val="24"/>
                <w:szCs w:val="24"/>
                <w:highlight w:val="none"/>
              </w:rPr>
              <w:outlineLvl w:val="9"/>
            </w:pPr>
            <w:r>
              <w:rPr>
                <w:rFonts w:hint="eastAsia" w:ascii="宋体" w:hAnsi="宋体"/>
                <w:sz w:val="24"/>
                <w:szCs w:val="24"/>
                <w:highlight w:val="none"/>
              </w:rPr>
              <w:t xml:space="preserve">值班经理：</w:t>
            </w:r>
            <w:r>
              <w:rPr>
                <w:rFonts w:ascii="宋体" w:hAnsi="宋体"/>
                <w:sz w:val="24"/>
                <w:szCs w:val="24"/>
                <w:highlight w:val="none"/>
              </w:rPr>
            </w:r>
            <w:r/>
          </w:p>
        </w:tc>
      </w:tr>
    </w:tbl>
    <w:p>
      <w:pPr>
        <w:pStyle w:val="1714"/>
        <w:rPr>
          <w:rFonts w:ascii="宋体" w:hAnsi="宋体"/>
          <w:sz w:val="24"/>
          <w:szCs w:val="24"/>
          <w:highlight w:val="none"/>
        </w:rPr>
        <w:outlineLvl w:val="9"/>
      </w:pPr>
      <w:r>
        <w:rPr>
          <w:rFonts w:hint="eastAsia" w:ascii="宋体" w:hAnsi="宋体"/>
          <w:sz w:val="24"/>
          <w:szCs w:val="24"/>
          <w:highlight w:val="none"/>
        </w:rPr>
        <w:t xml:space="preserve">项目经理：                            审核人：</w:t>
      </w:r>
      <w:r>
        <w:rPr>
          <w:rFonts w:ascii="宋体" w:hAnsi="宋体"/>
          <w:sz w:val="24"/>
          <w:szCs w:val="24"/>
          <w:highlight w:val="none"/>
        </w:rPr>
      </w:r>
      <w:r/>
    </w:p>
    <w:p>
      <w:pPr>
        <w:pStyle w:val="1714"/>
        <w:jc w:val="both"/>
        <w:spacing w:line="520" w:lineRule="exact"/>
        <w:rPr>
          <w:rFonts w:ascii="宋体" w:hAnsi="宋体"/>
          <w:b/>
          <w:sz w:val="24"/>
          <w:szCs w:val="24"/>
          <w:highlight w:val="none"/>
        </w:rPr>
        <w:outlineLvl w:val="9"/>
      </w:pPr>
      <w:r>
        <w:rPr>
          <w:rFonts w:ascii="宋体" w:hAnsi="宋体"/>
          <w:b/>
          <w:sz w:val="24"/>
          <w:szCs w:val="24"/>
          <w:highlight w:val="none"/>
        </w:rPr>
      </w:r>
      <w:r/>
    </w:p>
    <w:p>
      <w:pPr>
        <w:pStyle w:val="1714"/>
        <w:jc w:val="center"/>
        <w:rPr>
          <w:rFonts w:hint="eastAsia" w:ascii="宋体" w:hAnsi="宋体"/>
          <w:sz w:val="24"/>
          <w:szCs w:val="24"/>
          <w:highlight w:val="none"/>
        </w:rPr>
        <w:sectPr>
          <w:footnotePr/>
          <w:endnotePr/>
          <w:type w:val="nextPage"/>
          <w:pgSz w:w="11906" w:h="16838" w:orient="portrait"/>
          <w:pgMar w:top="1440" w:right="1633" w:bottom="1440" w:left="1633" w:header="851" w:footer="992" w:gutter="0"/>
          <w:cols w:num="1" w:sep="0" w:space="1701" w:equalWidth="1"/>
          <w:docGrid w:linePitch="360"/>
        </w:sectPr>
        <w:outlineLvl w:val="9"/>
      </w:pPr>
      <w:r>
        <w:rPr>
          <w:rFonts w:hint="eastAsia" w:ascii="宋体" w:hAnsi="宋体"/>
          <w:sz w:val="24"/>
          <w:szCs w:val="24"/>
          <w:highlight w:val="none"/>
        </w:rPr>
      </w:r>
      <w:r/>
    </w:p>
    <w:p>
      <w:pPr>
        <w:pStyle w:val="1714"/>
        <w:rPr>
          <w:rFonts w:hint="eastAsia"/>
          <w:lang w:eastAsia="zh-CN"/>
        </w:rPr>
      </w:pPr>
      <w:r>
        <w:rPr>
          <w:rFonts w:hint="eastAsia"/>
          <w:lang w:eastAsia="zh-CN"/>
        </w:rPr>
      </w:r>
      <w:r/>
    </w:p>
    <w:p>
      <w:pPr>
        <w:pStyle w:val="1714"/>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五、附件</w:t>
      </w:r>
      <w:bookmarkEnd w:id="34"/>
      <w:r/>
      <w:bookmarkEnd w:id="35"/>
      <w:r/>
      <w:bookmarkEnd w:id="36"/>
      <w:r>
        <w:rPr>
          <w:rFonts w:hint="eastAsia" w:ascii="Times New Roman" w:hAnsi="宋体" w:eastAsia="宋体" w:cs="宋体"/>
          <w:b/>
          <w:bCs/>
          <w:sz w:val="32"/>
          <w:szCs w:val="32"/>
          <w:highlight w:val="none"/>
          <w:lang w:val="en-US" w:eastAsia="zh-CN"/>
        </w:rPr>
      </w:r>
      <w:r/>
    </w:p>
    <w:p>
      <w:pPr>
        <w:pStyle w:val="1714"/>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714"/>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71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71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714"/>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60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714"/>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763"/>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714"/>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763"/>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lang w:val="zh-CN" w:eastAsia="zh-CN" w:bidi="ar-SA"/>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w:t>
      </w:r>
      <w:r>
        <w:rPr>
          <w:rFonts w:hint="eastAsia" w:ascii="宋体" w:hAnsi="宋体" w:eastAsia="宋体" w:cs="宋体"/>
          <w:b/>
          <w:color w:val="000000"/>
          <w:sz w:val="24"/>
          <w:szCs w:val="24"/>
          <w:highlight w:val="none"/>
          <w:lang w:val="zh-CN" w:eastAsia="zh-CN" w:bidi="ar-SA"/>
        </w:rPr>
        <w:t xml:space="preserve">合情况（</w:t>
      </w:r>
      <w:r>
        <w:rPr>
          <w:rFonts w:hint="eastAsia" w:ascii="宋体" w:hAnsi="宋体" w:eastAsia="宋体" w:cs="宋体"/>
          <w:b/>
          <w:color w:val="000000"/>
          <w:sz w:val="24"/>
          <w:szCs w:val="24"/>
          <w:highlight w:val="none"/>
          <w:lang w:val="en-US" w:eastAsia="zh-CN" w:bidi="ar-SA"/>
        </w:rPr>
        <w:t xml:space="preserve">20</w:t>
      </w:r>
      <w:r>
        <w:rPr>
          <w:rFonts w:hint="eastAsia" w:ascii="宋体" w:hAnsi="宋体" w:eastAsia="宋体" w:cs="宋体"/>
          <w:b/>
          <w:color w:val="000000"/>
          <w:sz w:val="24"/>
          <w:szCs w:val="24"/>
          <w:highlight w:val="none"/>
          <w:lang w:val="zh-CN" w:eastAsia="zh-CN" w:bidi="ar-SA"/>
        </w:rPr>
        <w:t xml:space="preserve">分）</w:t>
      </w:r>
      <w:r>
        <w:rPr>
          <w:rFonts w:hint="eastAsia" w:ascii="宋体" w:hAnsi="宋体" w:eastAsia="宋体" w:cs="宋体"/>
          <w:b/>
          <w:color w:val="000000"/>
          <w:sz w:val="24"/>
          <w:szCs w:val="24"/>
          <w:highlight w:val="none"/>
          <w:lang w:val="zh-CN" w:eastAsia="zh-CN" w:bidi="ar-SA"/>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企业业绩（2分）</w:t>
      </w:r>
      <w:r>
        <w:rPr>
          <w:rFonts w:hint="eastAsia" w:ascii="宋体" w:hAnsi="宋体" w:eastAsia="宋体" w:cs="宋体"/>
          <w:b/>
          <w:color w:val="000000"/>
          <w:sz w:val="24"/>
          <w:szCs w:val="24"/>
          <w:highlight w:val="none"/>
          <w:lang w:val="en-US" w:eastAsia="zh-CN" w:bidi="ar-SA"/>
        </w:rPr>
      </w:r>
      <w:r/>
    </w:p>
    <w:p>
      <w:pPr>
        <w:pStyle w:val="1734"/>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投标人自2020年1月1日（以合同签订时间为准，无签订时间的以合同开始履行日期为准）至今承担过类似项目的，提供一个业绩得1分，本项最高得2分。</w:t>
      </w:r>
      <w:r>
        <w:rPr>
          <w:rFonts w:hint="eastAsia" w:ascii="宋体" w:hAnsi="宋体" w:eastAsia="宋体" w:cs="宋体"/>
          <w:b w:val="0"/>
          <w:bCs w:val="0"/>
          <w:color w:val="000000"/>
          <w:sz w:val="24"/>
          <w:szCs w:val="24"/>
          <w:highlight w:val="none"/>
          <w:lang w:val="en-US" w:eastAsia="zh-CN" w:bidi="ar-SA"/>
        </w:rPr>
      </w:r>
      <w:r/>
    </w:p>
    <w:p>
      <w:pPr>
        <w:pStyle w:val="1734"/>
        <w:ind w:firstLine="480"/>
        <w:spacing w:line="360" w:lineRule="auto"/>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注：提供合同、验收证明（能够证明本项目已完成的证明材料）扫描件上传至投标文件并电子签章，不提供或提供不全本项不得分。</w:t>
      </w:r>
      <w:r>
        <w:rPr>
          <w:rFonts w:ascii="宋体" w:hAnsi="宋体" w:eastAsia="宋体" w:cs="宋体"/>
          <w:b/>
          <w:color w:val="000000"/>
          <w:sz w:val="24"/>
          <w:szCs w:val="24"/>
          <w:highlight w:val="none"/>
          <w:lang w:val="en-US" w:eastAsia="zh-CN" w:bidi="ar-SA"/>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zh-CN" w:eastAsia="zh-CN"/>
        </w:rPr>
        <w:t xml:space="preserve">专业证书</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分）</w:t>
      </w:r>
      <w:r>
        <w:rPr>
          <w:rFonts w:hint="eastAsia" w:ascii="宋体" w:hAnsi="宋体" w:eastAsia="宋体" w:cs="宋体"/>
          <w:b/>
          <w:bCs w:val="0"/>
          <w:color w:val="000000"/>
          <w:sz w:val="24"/>
          <w:szCs w:val="24"/>
          <w:highlight w:val="none"/>
          <w:lang w:val="zh-CN"/>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具备</w:t>
      </w:r>
      <w:r>
        <w:rPr>
          <w:rFonts w:hint="eastAsia" w:ascii="宋体" w:hAnsi="宋体" w:eastAsia="宋体" w:cs="宋体"/>
          <w:bCs/>
          <w:color w:val="000000"/>
          <w:sz w:val="24"/>
          <w:szCs w:val="24"/>
          <w:highlight w:val="none"/>
          <w:lang w:eastAsia="zh-CN"/>
        </w:rPr>
        <w:t xml:space="preserve">有效期内的有害生物防治服务资质证书的，得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注：提供相关证书扫描件上传至投标文件并电子签章，不提供或提供不全本项不得分。</w:t>
      </w:r>
      <w:r>
        <w:rPr>
          <w:rFonts w:hint="eastAsia" w:ascii="宋体" w:hAnsi="宋体" w:eastAsia="宋体" w:cs="宋体"/>
          <w:b/>
          <w:bCs w:val="0"/>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（3）企业荣誉（2分）</w:t>
      </w:r>
      <w:r>
        <w:rPr>
          <w:rFonts w:hint="eastAsia" w:ascii="宋体" w:hAnsi="宋体" w:eastAsia="宋体" w:cs="宋体"/>
          <w:b/>
          <w:bCs w:val="0"/>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投标人自2021年1月1日（以获奖证书落款日期为准）以来承担的类似项目获得过省辖市（含）以上行政主管部门颁发的相关</w:t>
      </w:r>
      <w:r>
        <w:rPr>
          <w:rFonts w:hint="eastAsia" w:ascii="宋体" w:hAnsi="宋体" w:eastAsia="宋体" w:cs="宋体"/>
          <w:bCs/>
          <w:color w:val="000000"/>
          <w:sz w:val="24"/>
          <w:szCs w:val="24"/>
          <w:highlight w:val="none"/>
          <w:lang w:val="en-US" w:eastAsia="zh-CN"/>
        </w:rPr>
        <w:t xml:space="preserve">荣誉</w:t>
      </w:r>
      <w:r>
        <w:rPr>
          <w:rFonts w:hint="eastAsia" w:ascii="宋体" w:hAnsi="宋体" w:eastAsia="宋体" w:cs="宋体"/>
          <w:bCs/>
          <w:color w:val="000000"/>
          <w:sz w:val="24"/>
          <w:szCs w:val="24"/>
          <w:highlight w:val="none"/>
        </w:rPr>
        <w:t xml:space="preserve">，有1个得2分，</w:t>
      </w:r>
      <w:r>
        <w:rPr>
          <w:rFonts w:hint="eastAsia" w:ascii="宋体" w:hAnsi="宋体" w:eastAsia="宋体" w:cs="宋体"/>
          <w:bCs/>
          <w:color w:val="000000"/>
          <w:sz w:val="24"/>
          <w:szCs w:val="24"/>
          <w:highlight w:val="none"/>
          <w:lang w:val="en-US" w:eastAsia="zh-CN"/>
        </w:rPr>
        <w:t xml:space="preserve">本项最高得</w:t>
      </w:r>
      <w:r>
        <w:rPr>
          <w:rFonts w:hint="eastAsia" w:ascii="宋体" w:hAnsi="宋体" w:eastAsia="宋体" w:cs="宋体"/>
          <w:bCs/>
          <w:color w:val="000000"/>
          <w:sz w:val="24"/>
          <w:szCs w:val="24"/>
          <w:highlight w:val="none"/>
        </w:rPr>
        <w:t xml:space="preserve">2分。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rPr>
        <w:outlineLvl w:val="9"/>
      </w:pPr>
      <w:r>
        <w:rPr>
          <w:rFonts w:hint="eastAsia" w:ascii="宋体" w:hAnsi="宋体" w:eastAsia="宋体" w:cs="宋体"/>
          <w:b/>
          <w:bCs w:val="0"/>
          <w:color w:val="000000"/>
          <w:sz w:val="24"/>
          <w:szCs w:val="24"/>
          <w:highlight w:val="none"/>
          <w:lang w:val="en-US" w:eastAsia="zh-CN"/>
        </w:rPr>
        <w:t xml:space="preserve">注：提供有效期内的相关证书扫描件上传至投标文件并电子签章，不提供或提供不全本项不得分。</w:t>
      </w:r>
      <w:r>
        <w:rPr>
          <w:rFonts w:hint="eastAsia"/>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）机械设备配备（6分）</w:t>
      </w:r>
      <w:r>
        <w:rPr>
          <w:rFonts w:hint="eastAsia" w:ascii="宋体" w:hAnsi="宋体" w:eastAsia="宋体" w:cs="宋体"/>
          <w:b/>
          <w:bCs w:val="0"/>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在满足本项目设备基本要求的基础上：</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①投标供应商拟投入制式标准制式水车（核定载质量≥10吨），有1辆得1分，本项最高得1分；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②投标供应商拟投入运输车（核定载质量≥5吨）（用于运输材料），有1辆得1分，本项最高得1分；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③投标供应商拟投入客车（15座及以上，用于接送养护工人及应急作业），有1辆得1分，本项最高得1分；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④投标供应商拟投入多功能抑尘车（核定载质量≥9吨），有1辆得1分，本项最高得1分；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⑤投标供应商拟投入吊车（汽车起重机）（核定载质量或额定起重量≥</w:t>
      </w:r>
      <w:r>
        <w:rPr>
          <w:rFonts w:hint="eastAsia" w:ascii="宋体" w:hAnsi="宋体" w:eastAsia="宋体" w:cs="宋体"/>
          <w:bCs/>
          <w:color w:val="000000"/>
          <w:sz w:val="24"/>
          <w:szCs w:val="24"/>
          <w:highlight w:val="none"/>
          <w:lang w:val="en-US" w:eastAsia="zh-CN"/>
        </w:rPr>
        <w:t xml:space="preserve">16</w:t>
      </w:r>
      <w:r>
        <w:rPr>
          <w:rFonts w:hint="eastAsia" w:ascii="宋体" w:hAnsi="宋体" w:eastAsia="宋体" w:cs="宋体"/>
          <w:bCs/>
          <w:color w:val="000000"/>
          <w:sz w:val="24"/>
          <w:szCs w:val="24"/>
          <w:highlight w:val="none"/>
        </w:rPr>
        <w:t xml:space="preserve">吨），有1辆得1分，本项最高得1分；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⑥投标供应商拟投入高空作业车（最大起重高度≥14m），有1辆得1分，本项最高得1分。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标准制式水车、运输车、客车、多功能抑尘车、吊车（汽车起重机）、高空作业车等机械车辆自有的，提供车辆购置发票（发票抬头与投标人一致的发票）、车辆行驶证、车辆实景图片等相关证明材料扫描件上传至投标文件并电子签章；若是租赁车辆需提供租赁协议（有效期需满足本项目养护期）、租赁发票、车辆购置发票、车辆行驶证以及含车牌的车辆实景图片等相关证明材料扫描件上传至投标文</w:t>
      </w:r>
      <w:r>
        <w:rPr>
          <w:rFonts w:hint="eastAsia" w:ascii="宋体" w:hAnsi="宋体" w:eastAsia="宋体" w:cs="宋体"/>
          <w:b/>
          <w:bCs w:val="0"/>
          <w:color w:val="000000"/>
          <w:sz w:val="24"/>
          <w:szCs w:val="24"/>
          <w:highlight w:val="none"/>
          <w:lang w:val="en-US" w:eastAsia="zh-CN"/>
        </w:rPr>
        <w:t xml:space="preserve">件并电子签章，或提供承诺书（承诺中标后签订合同前提供以上所有设备，并上传至投标文件并电子签章，格式自拟），不提供或提供不全者不得分。采购人根据招标文件、中标方的投标文件会同行业主管部门在进场作业前进行现场验收，确认后签订合同。中标方最迟于自中标公告发布之日起20天内按要求配齐作业车辆，将作业车辆集中至采购人指定的车辆停放场所现场核查，达到可规范使用状态，包括但不限于车辆设备的通行、作业。如中标方所配备的作业车辆没有达到招标文件规定要求，导致项目无法正常运行，采购人有权取消其中标资格，一切损失由中标单位负责。</w:t>
      </w:r>
      <w:r>
        <w:rPr>
          <w:rFonts w:hint="eastAsia" w:ascii="宋体" w:hAnsi="宋体" w:eastAsia="宋体" w:cs="宋体"/>
          <w:b/>
          <w:bCs w:val="0"/>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）人员配置（8分）</w:t>
      </w:r>
      <w:r>
        <w:rPr>
          <w:rFonts w:hint="eastAsia" w:ascii="宋体" w:hAnsi="宋体" w:eastAsia="宋体" w:cs="宋体"/>
          <w:b/>
          <w:bCs w:val="0"/>
          <w:color w:val="000000"/>
          <w:sz w:val="24"/>
          <w:szCs w:val="24"/>
          <w:highlight w:val="none"/>
          <w:lang w:eastAsia="zh-CN"/>
        </w:rPr>
      </w:r>
      <w:r/>
    </w:p>
    <w:p>
      <w:pPr>
        <w:pStyle w:val="1714"/>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①养护作业基本人员（项目负责人除外）（4分）：</w:t>
      </w:r>
      <w:r>
        <w:rPr>
          <w:rFonts w:hint="eastAsia" w:ascii="宋体" w:hAnsi="宋体" w:eastAsia="宋体" w:cs="宋体"/>
          <w:bCs/>
          <w:color w:val="000000"/>
          <w:sz w:val="24"/>
          <w:szCs w:val="24"/>
          <w:highlight w:val="none"/>
          <w:lang w:val="en-US" w:eastAsia="zh-CN"/>
        </w:rPr>
        <w:t xml:space="preserve">具备</w:t>
      </w:r>
      <w:r>
        <w:rPr>
          <w:rFonts w:ascii="宋体" w:hAnsi="宋体" w:eastAsia="宋体" w:cs="宋体"/>
          <w:bCs/>
          <w:color w:val="000000"/>
          <w:sz w:val="24"/>
          <w:szCs w:val="24"/>
          <w:highlight w:val="none"/>
          <w:lang w:val="en-US" w:eastAsia="zh-CN"/>
        </w:rPr>
        <w:t xml:space="preserve">园林绿化相关专业中级及以上职称证书同时具备中级及以上绿化工证书的，每人得1分，本项最高得4分。</w:t>
      </w:r>
      <w:r>
        <w:rPr>
          <w:rFonts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②养护作业专业技术人员（项目负责人除外）（4分）：</w:t>
      </w:r>
      <w:r>
        <w:rPr>
          <w:rFonts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a.具备园林绿化相关专业中级及以上职称证书同时具备花卉工或盆景工中级及以上技能等级证书的，每人得1分，本项最高得2分；</w:t>
      </w:r>
      <w:r>
        <w:rPr>
          <w:rFonts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b.具备特种作业人员中具有高处作业或升降机相关专业特种工证书的，每人得1分，本项最高2分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714"/>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w:t>
      </w:r>
      <w:r>
        <w:rPr>
          <w:rFonts w:ascii="宋体" w:hAnsi="宋体" w:eastAsia="宋体" w:cs="宋体"/>
          <w:b/>
          <w:bCs w:val="0"/>
          <w:color w:val="000000"/>
          <w:sz w:val="24"/>
          <w:szCs w:val="24"/>
          <w:highlight w:val="none"/>
          <w:lang w:val="en-US" w:eastAsia="zh-CN"/>
        </w:rPr>
        <w:t xml:space="preserve">提供</w:t>
      </w:r>
      <w:r>
        <w:rPr>
          <w:rFonts w:ascii="宋体" w:hAnsi="宋体" w:eastAsia="宋体" w:cs="宋体"/>
          <w:b/>
          <w:bCs w:val="0"/>
          <w:color w:val="000000"/>
          <w:sz w:val="24"/>
          <w:szCs w:val="24"/>
          <w:highlight w:val="none"/>
          <w:lang w:val="en-US" w:eastAsia="zh-CN"/>
        </w:rPr>
        <w:t xml:space="preserve">《主要人员配置表》</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
          <w:bCs w:val="0"/>
          <w:color w:val="000000"/>
          <w:sz w:val="24"/>
          <w:szCs w:val="24"/>
          <w:highlight w:val="none"/>
          <w:lang w:val="en-US" w:eastAsia="zh-CN"/>
        </w:rPr>
        <w:t xml:space="preserve">；①②配置</w:t>
      </w:r>
      <w:r>
        <w:rPr>
          <w:rFonts w:ascii="宋体" w:hAnsi="宋体" w:eastAsia="宋体" w:cs="宋体"/>
          <w:b/>
          <w:bCs w:val="0"/>
          <w:color w:val="000000"/>
          <w:sz w:val="24"/>
          <w:szCs w:val="24"/>
          <w:highlight w:val="none"/>
          <w:lang w:val="en-US" w:eastAsia="zh-CN"/>
        </w:rPr>
        <w:t xml:space="preserve">同一人不可重复得分</w:t>
      </w:r>
      <w:r>
        <w:rPr>
          <w:rFonts w:hint="eastAsia" w:ascii="宋体" w:hAnsi="宋体" w:eastAsia="宋体" w:cs="宋体"/>
          <w:b/>
          <w:bCs w:val="0"/>
          <w:color w:val="000000"/>
          <w:sz w:val="24"/>
          <w:szCs w:val="24"/>
          <w:highlight w:val="none"/>
          <w:lang w:val="en-US" w:eastAsia="zh-CN"/>
        </w:rPr>
        <w:t xml:space="preserve">；</w:t>
      </w:r>
      <w:r>
        <w:rPr>
          <w:rFonts w:ascii="宋体" w:hAnsi="宋体" w:eastAsia="宋体" w:cs="宋体"/>
          <w:b/>
          <w:bCs w:val="0"/>
          <w:color w:val="000000"/>
          <w:sz w:val="24"/>
          <w:szCs w:val="24"/>
          <w:highlight w:val="none"/>
          <w:lang w:val="en-US" w:eastAsia="zh-CN"/>
        </w:rPr>
        <w:t xml:space="preserve">返聘、临聘、已退休人员均</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已通过相关考试，但尚未拿到证书的，</w:t>
      </w:r>
      <w:r>
        <w:rPr>
          <w:rFonts w:hint="eastAsia" w:ascii="宋体" w:hAnsi="宋体" w:eastAsia="宋体" w:cs="宋体"/>
          <w:b/>
          <w:bCs w:val="0"/>
          <w:color w:val="000000"/>
          <w:sz w:val="24"/>
          <w:szCs w:val="24"/>
          <w:highlight w:val="none"/>
          <w:lang w:val="en-US" w:eastAsia="zh-CN"/>
        </w:rPr>
        <w:t xml:space="preserve">不得分</w:t>
      </w:r>
      <w:r>
        <w:rPr>
          <w:rFonts w:ascii="宋体" w:hAnsi="宋体" w:eastAsia="宋体" w:cs="宋体"/>
          <w:b/>
          <w:bCs w:val="0"/>
          <w:color w:val="000000"/>
          <w:sz w:val="24"/>
          <w:szCs w:val="24"/>
          <w:highlight w:val="none"/>
          <w:lang w:val="en-US" w:eastAsia="zh-CN"/>
        </w:rPr>
        <w:t xml:space="preserve">；延续或换证提供换证前老的关于个人的注册和变更情况截图上传至投标文件并电子签章，否则对应项不得分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val="en-US" w:eastAsia="zh-CN"/>
        </w:rPr>
      </w:r>
      <w:r/>
    </w:p>
    <w:p>
      <w:pPr>
        <w:pStyle w:val="1714"/>
        <w:ind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以上成员</w:t>
      </w:r>
      <w:r>
        <w:rPr>
          <w:rFonts w:ascii="宋体" w:hAnsi="宋体" w:eastAsia="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技能等级证书、</w:t>
      </w:r>
      <w:r>
        <w:rPr>
          <w:rFonts w:ascii="宋体" w:hAnsi="宋体" w:eastAsia="宋体" w:cs="宋体"/>
          <w:b/>
          <w:bCs w:val="0"/>
          <w:color w:val="000000"/>
          <w:sz w:val="24"/>
          <w:szCs w:val="24"/>
          <w:highlight w:val="none"/>
          <w:lang w:val="en-US" w:eastAsia="zh-CN"/>
        </w:rPr>
        <w:t xml:space="preserve">职称证书</w:t>
      </w:r>
      <w:r>
        <w:rPr>
          <w:rFonts w:hint="eastAsia" w:ascii="宋体" w:hAnsi="宋体" w:eastAsia="宋体" w:cs="宋体"/>
          <w:b/>
          <w:bCs w:val="0"/>
          <w:color w:val="000000"/>
          <w:sz w:val="24"/>
          <w:szCs w:val="24"/>
          <w:highlight w:val="none"/>
          <w:lang w:val="en-US" w:eastAsia="zh-CN"/>
        </w:rPr>
        <w:t xml:space="preserve">、有专业要求的提供相关证明文件扫描件上传至投标文件并电子签章，同时提供</w:t>
      </w:r>
      <w:r>
        <w:rPr>
          <w:rFonts w:ascii="宋体" w:hAnsi="宋体" w:eastAsia="宋体" w:cs="宋体"/>
          <w:b/>
          <w:bCs w:val="0"/>
          <w:color w:val="000000"/>
          <w:sz w:val="24"/>
          <w:szCs w:val="24"/>
          <w:highlight w:val="none"/>
          <w:lang w:val="en-US" w:eastAsia="zh-CN"/>
        </w:rPr>
        <w:t xml:space="preserve">由</w:t>
      </w:r>
      <w:r>
        <w:rPr>
          <w:rFonts w:hint="eastAsia" w:ascii="宋体" w:hAnsi="宋体" w:eastAsia="宋体" w:cs="宋体"/>
          <w:b/>
          <w:bCs/>
          <w:color w:val="000000"/>
          <w:sz w:val="24"/>
          <w:szCs w:val="24"/>
          <w:highlight w:val="none"/>
          <w:lang w:val="en-US" w:eastAsia="zh-CN"/>
        </w:rPr>
        <w:t xml:space="preserve">供应商近三个月中任意一个月（不含开标当月）连续三个月为其缴纳社保的缴费证明（需提供带有清晰二维码的官网扫描件）</w:t>
      </w:r>
      <w:r>
        <w:rPr>
          <w:rFonts w:hint="eastAsia" w:ascii="宋体" w:hAnsi="宋体" w:eastAsia="宋体" w:cs="宋体"/>
          <w:b/>
          <w:bCs w:val="0"/>
          <w:color w:val="000000"/>
          <w:sz w:val="24"/>
          <w:szCs w:val="24"/>
          <w:highlight w:val="none"/>
          <w:lang w:val="en-US" w:eastAsia="zh-CN"/>
        </w:rPr>
        <w:t xml:space="preserve">扫描件上传至投标文件并电子签章</w:t>
      </w:r>
      <w:r>
        <w:rPr>
          <w:rFonts w:ascii="宋体" w:hAnsi="宋体" w:eastAsia="宋体" w:cs="宋体"/>
          <w:b/>
          <w:bCs w:val="0"/>
          <w:color w:val="000000"/>
          <w:sz w:val="24"/>
          <w:szCs w:val="24"/>
          <w:highlight w:val="none"/>
          <w:lang w:val="en-US" w:eastAsia="zh-CN"/>
        </w:rPr>
        <w:t xml:space="preserve">，不提供或提供不全本项不得分。</w:t>
      </w:r>
      <w:r>
        <w:rPr>
          <w:rFonts w:ascii="宋体" w:hAnsi="宋体" w:eastAsia="宋体" w:cs="宋体"/>
          <w:b/>
          <w:bCs w:val="0"/>
          <w:color w:val="000000"/>
          <w:sz w:val="24"/>
          <w:szCs w:val="24"/>
          <w:highlight w:val="none"/>
          <w:lang w:val="en-US" w:eastAsia="zh-CN"/>
        </w:rPr>
      </w:r>
      <w:r/>
    </w:p>
    <w:p>
      <w:pPr>
        <w:pStyle w:val="1714"/>
        <w:ind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
          <w:bCs w:val="0"/>
          <w:color w:val="000000"/>
          <w:sz w:val="24"/>
          <w:szCs w:val="24"/>
          <w:highlight w:val="none"/>
          <w:lang w:val="en-US" w:eastAsia="zh-CN"/>
        </w:rPr>
        <w:outlineLvl w:val="9"/>
      </w:pPr>
      <w:r>
        <w:rPr>
          <w:rFonts w:ascii="宋体" w:hAnsi="宋体" w:eastAsia="宋体" w:cs="宋体"/>
          <w:b/>
          <w:bCs w:val="0"/>
          <w:color w:val="000000"/>
          <w:sz w:val="24"/>
          <w:szCs w:val="24"/>
          <w:highlight w:val="none"/>
          <w:lang w:val="en-US" w:eastAsia="zh-CN"/>
        </w:rPr>
        <w:t xml:space="preserve">园林绿化相关专业职称证书是指：与园林绿化工程规划、设计、施工及养护管理相关的专业，包括园林（含园林规划设计、园林植物、风景园林、园林绿化等）、园艺、城市规划、景观、植物（含植保、森保等）的职称证书。</w:t>
      </w:r>
      <w:r>
        <w:rPr>
          <w:rFonts w:ascii="宋体" w:hAnsi="宋体" w:eastAsia="宋体" w:cs="宋体"/>
          <w:b/>
          <w:bCs w:val="0"/>
          <w:color w:val="000000"/>
          <w:sz w:val="24"/>
          <w:szCs w:val="24"/>
          <w:highlight w:val="none"/>
          <w:lang w:val="en-US" w:eastAsia="zh-CN"/>
        </w:rPr>
      </w:r>
      <w:r/>
    </w:p>
    <w:p>
      <w:pPr>
        <w:pStyle w:val="1763"/>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绿化养护作业方案（</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包括：①养护计划、作业规范（3分）；②养护管理制度和养护管理档案（3分）；③专项养护方案（3分）；④园林绿化废弃物处置方案（3分）</w:t>
      </w:r>
      <w:r>
        <w:rPr>
          <w:rFonts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sz w:val="24"/>
          <w:szCs w:val="24"/>
          <w:highlight w:val="none"/>
          <w:lang w:eastAsia="zh-CN"/>
        </w:rPr>
        <w:outlineLvl w:val="9"/>
      </w:pPr>
      <w:r>
        <w:rPr>
          <w:rFonts w:hint="eastAsia" w:ascii="宋体" w:hAnsi="宋体" w:cs="宋体"/>
          <w:b/>
          <w:bCs w:val="0"/>
          <w:sz w:val="24"/>
          <w:szCs w:val="24"/>
          <w:highlight w:val="none"/>
          <w:lang w:eastAsia="zh-CN"/>
        </w:rPr>
        <w:t xml:space="preserve">（2）本项目实施的重点难点及解决方案（</w:t>
      </w:r>
      <w:r>
        <w:rPr>
          <w:rFonts w:hint="eastAsia" w:ascii="宋体" w:hAnsi="宋体" w:cs="宋体"/>
          <w:b/>
          <w:bCs w:val="0"/>
          <w:sz w:val="24"/>
          <w:szCs w:val="24"/>
          <w:highlight w:val="none"/>
          <w:lang w:val="en-US" w:eastAsia="zh-CN"/>
        </w:rPr>
        <w:t xml:space="preserve">6</w:t>
      </w:r>
      <w:r>
        <w:rPr>
          <w:rFonts w:hint="eastAsia" w:ascii="宋体" w:hAnsi="宋体" w:cs="宋体"/>
          <w:b/>
          <w:bCs w:val="0"/>
          <w:sz w:val="24"/>
          <w:szCs w:val="24"/>
          <w:highlight w:val="none"/>
          <w:lang w:eastAsia="zh-CN"/>
        </w:rPr>
        <w:t xml:space="preserve">分）</w:t>
      </w:r>
      <w:r>
        <w:rPr>
          <w:rFonts w:hint="eastAsia" w:ascii="宋体" w:hAnsi="宋体" w:eastAsia="宋体" w:cs="宋体"/>
          <w:b/>
          <w:bCs w:val="0"/>
          <w:sz w:val="24"/>
          <w:szCs w:val="24"/>
          <w:highlight w:val="none"/>
          <w:lang w:eastAsia="zh-CN"/>
        </w:rPr>
      </w:r>
      <w:r/>
    </w:p>
    <w:p>
      <w:pPr>
        <w:pStyle w:val="1714"/>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包括：①本项目重难点分析及解决方案</w:t>
      </w:r>
      <w:r>
        <w:rPr>
          <w:rFonts w:hint="eastAsia" w:ascii="宋体" w:hAnsi="宋体" w:eastAsia="宋体" w:cs="宋体"/>
          <w:bCs/>
          <w:color w:val="000000"/>
          <w:sz w:val="24"/>
          <w:szCs w:val="24"/>
          <w:highlight w:val="none"/>
          <w:lang w:val="en-US" w:eastAsia="zh-CN"/>
        </w:rPr>
        <w:t xml:space="preserve">（3分）</w:t>
      </w:r>
      <w:r>
        <w:rPr>
          <w:rFonts w:hint="eastAsia" w:ascii="宋体" w:hAnsi="宋体" w:cs="宋体"/>
          <w:bCs/>
          <w:sz w:val="24"/>
          <w:szCs w:val="24"/>
          <w:highlight w:val="none"/>
        </w:rPr>
        <w:t xml:space="preserve">；②本项目重点路段人员保障、技术保障方案</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sz w:val="24"/>
          <w:szCs w:val="24"/>
          <w:highlight w:val="none"/>
          <w:lang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精细化管理提升方案（</w:t>
      </w:r>
      <w:r>
        <w:rPr>
          <w:rFonts w:hint="eastAsia" w:ascii="宋体" w:hAnsi="宋体" w:eastAsia="宋体" w:cs="宋体"/>
          <w:b/>
          <w:bCs w:val="0"/>
          <w:color w:val="000000"/>
          <w:sz w:val="24"/>
          <w:szCs w:val="24"/>
          <w:highlight w:val="none"/>
          <w:lang w:val="en-US" w:eastAsia="zh-CN"/>
        </w:rPr>
        <w:t xml:space="preserve">12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包括：①提升原则（3分）；②提升目标（3分）；③提升方法（3分）；④实施步骤（3分）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安全文明保障措施方案（</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包括：①安全养护指导思想</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t xml:space="preserve">；②各类安全防护措施</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t xml:space="preserve">；③安全文明制度、安全教育制度</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）快速保障应急措施方案</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ascii="宋体" w:hAnsi="宋体" w:eastAsia="宋体" w:cs="宋体"/>
          <w:bCs/>
          <w:color w:val="000000"/>
          <w:sz w:val="24"/>
          <w:szCs w:val="24"/>
          <w:highlight w:val="none"/>
          <w:lang w:val="en-US" w:eastAsia="zh-CN"/>
        </w:rPr>
        <w:t xml:space="preserve">包括：①灾害性天气（防汛、防冻、防雪）、养护防护应急措施、交通应急措施</w:t>
      </w:r>
      <w:r>
        <w:rPr>
          <w:rFonts w:hint="eastAsia" w:ascii="宋体" w:hAnsi="宋体" w:eastAsia="宋体" w:cs="宋体"/>
          <w:bCs/>
          <w:color w:val="000000"/>
          <w:sz w:val="24"/>
          <w:szCs w:val="24"/>
          <w:highlight w:val="none"/>
          <w:lang w:val="en-US" w:eastAsia="zh-CN"/>
        </w:rPr>
        <w:t xml:space="preserve">（3分）</w:t>
      </w:r>
      <w:r>
        <w:rPr>
          <w:rFonts w:ascii="宋体" w:hAnsi="宋体" w:eastAsia="宋体" w:cs="宋体"/>
          <w:bCs/>
          <w:color w:val="000000"/>
          <w:sz w:val="24"/>
          <w:szCs w:val="24"/>
          <w:highlight w:val="none"/>
          <w:lang w:val="en-US" w:eastAsia="zh-CN"/>
        </w:rPr>
        <w:t xml:space="preserve">；②重大活动、各类创建活动、重大事故的快速处理预案</w:t>
      </w:r>
      <w:r>
        <w:rPr>
          <w:rFonts w:hint="eastAsia" w:ascii="宋体" w:hAnsi="宋体" w:eastAsia="宋体" w:cs="宋体"/>
          <w:bCs/>
          <w:color w:val="000000"/>
          <w:sz w:val="24"/>
          <w:szCs w:val="24"/>
          <w:highlight w:val="none"/>
          <w:lang w:val="en-US" w:eastAsia="zh-CN"/>
        </w:rPr>
        <w:t xml:space="preserve">（3分）</w:t>
      </w:r>
      <w:r>
        <w:rPr>
          <w:rFonts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养护管理制度和养护台账管理</w:t>
      </w:r>
      <w:r>
        <w:rPr>
          <w:rFonts w:hint="eastAsia" w:ascii="宋体" w:hAnsi="宋体" w:eastAsia="宋体" w:cs="宋体"/>
          <w:b/>
          <w:bCs w:val="0"/>
          <w:color w:val="000000"/>
          <w:sz w:val="24"/>
          <w:szCs w:val="24"/>
          <w:highlight w:val="none"/>
          <w:lang w:val="en-US" w:eastAsia="zh-CN"/>
        </w:rPr>
        <w:t xml:space="preserve">方案（8</w:t>
      </w:r>
      <w:r>
        <w:rPr>
          <w:rFonts w:hint="eastAsia" w:ascii="宋体" w:hAnsi="宋体" w:eastAsia="宋体" w:cs="宋体"/>
          <w:b/>
          <w:bCs w:val="0"/>
          <w:color w:val="000000"/>
          <w:sz w:val="24"/>
          <w:szCs w:val="24"/>
          <w:highlight w:val="none"/>
          <w:lang w:eastAsia="zh-CN"/>
        </w:rPr>
        <w:t xml:space="preserve">分</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lang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包括：①公司管理体系（2分）；②养护管理制度及考核制度（2分）；③日常养护管理方案（2分）；④养护台账管理体系（2分）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（7）常见病害养护技术方案（10分）</w:t>
      </w:r>
      <w:r>
        <w:rPr>
          <w:rFonts w:hint="eastAsia" w:ascii="宋体" w:hAnsi="宋体" w:eastAsia="宋体" w:cs="宋体"/>
          <w:b/>
          <w:bCs w:val="0"/>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包括：①常见病害分析阐述（5分）；②常见病害对应解决方案（5分）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5分；以上内容存在1处瑕疵的该条得3分；以上内容存在2处瑕疵的该条得1分；未进行阐述或不满足采购需求或内容存在3处及以上瑕疵的该条得0分；本项最高得10分。</w:t>
      </w:r>
      <w:r>
        <w:rPr>
          <w:rFonts w:hint="eastAsia" w:ascii="宋体" w:hAnsi="宋体" w:eastAsia="宋体" w:cs="宋体"/>
          <w:bCs/>
          <w:color w:val="000000"/>
          <w:sz w:val="24"/>
          <w:szCs w:val="24"/>
          <w:highlight w:val="none"/>
          <w:lang w:val="en-US"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714"/>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714"/>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3"/>
          <w:footerReference w:type="default" r:id="rId26"/>
          <w:footerReference w:type="first" r:id="rId27"/>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714"/>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714"/>
        <w:rPr>
          <w:rFonts w:ascii="黑体" w:eastAsia="黑体"/>
          <w:bCs/>
          <w:color w:val="000000"/>
          <w:sz w:val="32"/>
          <w:highlight w:val="none"/>
        </w:rPr>
        <w:outlineLvl w:val="9"/>
      </w:pPr>
      <w:r>
        <w:rPr>
          <w:rFonts w:ascii="黑体" w:eastAsia="黑体"/>
          <w:bCs/>
          <w:color w:val="000000"/>
          <w:sz w:val="32"/>
          <w:highlight w:val="none"/>
        </w:rPr>
      </w:r>
      <w:r/>
    </w:p>
    <w:p>
      <w:pPr>
        <w:pStyle w:val="1714"/>
        <w:rPr>
          <w:rFonts w:ascii="黑体" w:eastAsia="黑体"/>
          <w:bCs/>
          <w:color w:val="000000"/>
          <w:sz w:val="32"/>
          <w:highlight w:val="none"/>
        </w:rPr>
        <w:outlineLvl w:val="9"/>
      </w:pPr>
      <w:r>
        <w:rPr>
          <w:rFonts w:ascii="黑体" w:eastAsia="黑体"/>
          <w:bCs/>
          <w:color w:val="000000"/>
          <w:sz w:val="32"/>
          <w:highlight w:val="none"/>
        </w:rPr>
      </w:r>
      <w:r/>
    </w:p>
    <w:p>
      <w:pPr>
        <w:pStyle w:val="171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714"/>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71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714"/>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71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71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714"/>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747"/>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714"/>
        <w:rPr>
          <w:rFonts w:hint="eastAsia" w:ascii="宋体" w:hAnsi="宋体" w:cs="宋体"/>
          <w:color w:val="000000"/>
          <w:highlight w:val="none"/>
        </w:rPr>
        <w:outlineLvl w:val="9"/>
      </w:pPr>
      <w:r>
        <w:rPr>
          <w:rFonts w:hint="eastAsia" w:ascii="宋体" w:hAnsi="宋体" w:cs="宋体"/>
          <w:color w:val="000000"/>
          <w:highlight w:val="none"/>
        </w:rPr>
      </w:r>
      <w:r/>
    </w:p>
    <w:p>
      <w:pPr>
        <w:pStyle w:val="1714"/>
        <w:spacing w:line="360" w:lineRule="auto"/>
        <w:rPr>
          <w:rFonts w:hint="eastAsia" w:ascii="宋体" w:hAnsi="宋体" w:eastAsia="宋体" w:cs="宋体"/>
          <w:bCs/>
          <w:color w:val="000000"/>
          <w:sz w:val="30"/>
          <w:szCs w:val="30"/>
          <w:highlight w:val="none"/>
          <w:lang w:eastAsia="zh-CN"/>
        </w:rPr>
        <w:outlineLvl w:val="9"/>
      </w:pPr>
      <w:r/>
      <w:bookmarkStart w:id="39" w:name="_Toc3725"/>
      <w:r/>
      <w:bookmarkStart w:id="40" w:name="_Toc31708"/>
      <w:r>
        <w:rPr>
          <w:rFonts w:hint="eastAsia" w:ascii="宋体" w:hAnsi="宋体" w:cs="宋体"/>
          <w:bCs/>
          <w:color w:val="000000"/>
          <w:sz w:val="30"/>
          <w:szCs w:val="30"/>
          <w:highlight w:val="none"/>
        </w:rPr>
        <w:t xml:space="preserve">采购项目编号：</w:t>
      </w:r>
      <w:bookmarkEnd w:id="39"/>
      <w:r/>
      <w:bookmarkEnd w:id="40"/>
      <w:r>
        <w:rPr>
          <w:rFonts w:hint="eastAsia" w:ascii="宋体" w:hAnsi="宋体" w:cs="宋体"/>
          <w:color w:val="000000"/>
          <w:sz w:val="30"/>
          <w:szCs w:val="30"/>
          <w:highlight w:val="none"/>
          <w:lang w:eastAsia="zh-CN"/>
        </w:rPr>
        <w:t xml:space="preserve">JSZC-320205-WXXG-G2024-0018</w:t>
      </w:r>
      <w:r>
        <w:rPr>
          <w:rFonts w:hint="eastAsia" w:ascii="宋体" w:hAnsi="宋体" w:eastAsia="宋体" w:cs="宋体"/>
          <w:bCs/>
          <w:color w:val="000000"/>
          <w:sz w:val="30"/>
          <w:szCs w:val="30"/>
          <w:highlight w:val="none"/>
          <w:lang w:eastAsia="zh-CN"/>
        </w:rPr>
      </w:r>
      <w:r/>
    </w:p>
    <w:p>
      <w:pPr>
        <w:pStyle w:val="1714"/>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厚桥街道绿化养护K标段</w:t>
      </w:r>
      <w:r>
        <w:rPr>
          <w:rFonts w:hint="eastAsia" w:ascii="宋体" w:hAnsi="宋体" w:eastAsia="宋体" w:cs="Times New Roman"/>
          <w:b w:val="0"/>
          <w:bCs/>
          <w:color w:val="000000"/>
          <w:sz w:val="30"/>
          <w:szCs w:val="30"/>
          <w:highlight w:val="none"/>
          <w:lang w:eastAsia="zh-CN"/>
        </w:rPr>
      </w:r>
      <w:r/>
    </w:p>
    <w:p>
      <w:pPr>
        <w:pStyle w:val="1714"/>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714"/>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714"/>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41" w:name="一．报价函（格式）"/>
      <w:r/>
      <w:bookmarkEnd w:id="41"/>
      <w:r>
        <w:rPr>
          <w:rFonts w:hint="eastAsia" w:ascii="宋体" w:hAnsi="宋体" w:cs="宋体"/>
          <w:bCs/>
          <w:color w:val="000000"/>
          <w:sz w:val="28"/>
          <w:szCs w:val="28"/>
          <w:highlight w:val="none"/>
        </w:rPr>
      </w:r>
      <w:r/>
    </w:p>
    <w:p>
      <w:pPr>
        <w:pStyle w:val="1714"/>
        <w:jc w:val="center"/>
        <w:rPr>
          <w:rFonts w:hint="eastAsia" w:ascii="宋体" w:hAnsi="宋体" w:cs="宋体"/>
          <w:bCs/>
          <w:color w:val="000000"/>
          <w:sz w:val="28"/>
          <w:szCs w:val="28"/>
          <w:highlight w:val="none"/>
        </w:rPr>
        <w:sectPr>
          <w:headerReference w:type="default" r:id="rId14"/>
          <w:footerReference w:type="default" r:id="rId28"/>
          <w:footerReference w:type="first" r:id="rId29"/>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714"/>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714"/>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714"/>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714"/>
        <w:spacing w:line="360" w:lineRule="auto"/>
        <w:rPr>
          <w:rFonts w:hint="eastAsia" w:ascii="宋体" w:hAnsi="宋体" w:eastAsia="宋体" w:cs="宋体"/>
          <w:bCs/>
          <w:color w:val="000000"/>
          <w:sz w:val="24"/>
          <w:szCs w:val="24"/>
          <w:highlight w:val="none"/>
          <w:u w:val="single"/>
          <w:lang w:eastAsia="zh-CN"/>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lang w:eastAsia="zh-CN"/>
        </w:rPr>
        <w:t xml:space="preserve">江苏新桂工程咨询有限公司</w:t>
      </w:r>
      <w:r>
        <w:rPr>
          <w:rFonts w:hint="eastAsia" w:ascii="宋体" w:hAnsi="宋体" w:eastAsia="宋体" w:cs="宋体"/>
          <w:bCs/>
          <w:color w:val="000000"/>
          <w:sz w:val="24"/>
          <w:szCs w:val="24"/>
          <w:highlight w:val="none"/>
          <w:u w:val="single"/>
          <w:lang w:eastAsia="zh-CN"/>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我方收到贵方采购项目编号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714"/>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770"/>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770"/>
          <w:rFonts w:hint="eastAsia"/>
          <w:bCs/>
          <w:color w:val="000000"/>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714"/>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714"/>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71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71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714"/>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71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jc w:val="center"/>
        <w:rPr>
          <w:rFonts w:hint="eastAsia" w:ascii="宋体" w:hAnsi="宋体" w:cs="宋体"/>
          <w:bCs/>
          <w:color w:val="000000"/>
          <w:sz w:val="24"/>
          <w:szCs w:val="24"/>
          <w:highlight w:val="none"/>
        </w:rPr>
        <w:outlineLvl w:val="9"/>
      </w:pPr>
      <w:r/>
      <w:bookmarkStart w:id="42" w:name="报价方关于资格的声明函（格式）"/>
      <w:r/>
      <w:bookmarkEnd w:id="42"/>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714"/>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71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71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71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71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714"/>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71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714"/>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714"/>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38"/>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714"/>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cs="宋体"/>
          <w:bCs/>
          <w:color w:val="000000"/>
          <w:sz w:val="24"/>
          <w:szCs w:val="24"/>
          <w:highlight w:val="none"/>
          <w:lang w:eastAsia="zh-CN"/>
        </w:rPr>
        <w:t xml:space="preserve">〔2022〕3号</w:t>
      </w:r>
      <w:r>
        <w:rPr>
          <w:rFonts w:hint="eastAsia" w:ascii="宋体" w:hAnsi="宋体" w:cs="宋体"/>
          <w:bCs/>
          <w:color w:val="000000"/>
          <w:sz w:val="24"/>
          <w:szCs w:val="24"/>
          <w:highlight w:val="none"/>
        </w:rPr>
        <w:t xml:space="preserve">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714"/>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714"/>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43" w:name="_Toc2444"/>
      <w:r/>
      <w:bookmarkStart w:id="44" w:name="_Toc32348"/>
      <w:r>
        <w:rPr>
          <w:rFonts w:hint="eastAsia" w:ascii="宋体" w:hAnsi="宋体" w:cs="宋体"/>
          <w:bCs/>
          <w:color w:val="000000"/>
          <w:sz w:val="24"/>
          <w:szCs w:val="24"/>
          <w:highlight w:val="none"/>
        </w:rPr>
      </w:r>
      <w:r/>
    </w:p>
    <w:p>
      <w:pPr>
        <w:pStyle w:val="1714"/>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43"/>
      <w:r/>
      <w:bookmarkEnd w:id="44"/>
      <w:r>
        <w:rPr>
          <w:rFonts w:hint="eastAsia" w:ascii="宋体" w:hAnsi="宋体" w:cs="宋体"/>
          <w:bCs/>
          <w:color w:val="000000"/>
          <w:sz w:val="24"/>
          <w:szCs w:val="24"/>
          <w:highlight w:val="none"/>
        </w:rPr>
      </w:r>
      <w:r/>
    </w:p>
    <w:p>
      <w:pPr>
        <w:pStyle w:val="1714"/>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714"/>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江苏新桂工程咨询有限公司</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714"/>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714"/>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714"/>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714"/>
        <w:rPr>
          <w:rFonts w:hint="eastAsia" w:ascii="宋体" w:hAnsi="宋体" w:cs="宋体"/>
          <w:b/>
          <w:bCs w:val="0"/>
          <w:color w:val="000000"/>
          <w:sz w:val="28"/>
          <w:szCs w:val="28"/>
          <w:highlight w:val="none"/>
        </w:rPr>
        <w:outlineLvl w:val="9"/>
      </w:pPr>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2"/>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22"/>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22"/>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22"/>
        <w:rPr>
          <w:rFonts w:hint="eastAsia"/>
        </w:rPr>
      </w:pPr>
      <w:r>
        <w:rPr>
          <w:rFonts w:hint="eastAsia"/>
        </w:rPr>
      </w:r>
      <w:r/>
    </w:p>
    <w:p>
      <w:pPr>
        <w:pStyle w:val="1714"/>
        <w:rPr>
          <w:rFonts w:hint="eastAsia"/>
          <w:b/>
          <w:bCs w:val="0"/>
          <w:color w:val="000000"/>
          <w:sz w:val="22"/>
          <w:szCs w:val="21"/>
          <w:highlight w:val="none"/>
        </w:rPr>
        <w:outlineLvl w:val="9"/>
      </w:pPr>
      <w:r>
        <w:rPr>
          <w:rFonts w:hint="eastAsia" w:ascii="宋体" w:hAnsi="宋体" w:cs="宋体"/>
          <w:b/>
          <w:bCs w:val="0"/>
          <w:color w:val="000000"/>
          <w:sz w:val="28"/>
          <w:szCs w:val="28"/>
          <w:highlight w:val="none"/>
        </w:rPr>
        <w:t xml:space="preserve">法定代表人授权代表身份证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扫描件：（法定代表人亲自参与投标的除外）</w:t>
      </w:r>
      <w:r>
        <w:rPr>
          <w:rFonts w:hint="eastAsia"/>
          <w:b/>
          <w:bCs w:val="0"/>
          <w:color w:val="000000"/>
          <w:sz w:val="22"/>
          <w:szCs w:val="21"/>
          <w:highlight w:val="none"/>
        </w:rPr>
      </w:r>
      <w:r/>
    </w:p>
    <w:p>
      <w:pPr>
        <w:pStyle w:val="1714"/>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722"/>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71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72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714"/>
        <w:rPr>
          <w:rFonts w:hint="eastAsia"/>
        </w:rPr>
      </w:pPr>
      <w:r>
        <w:rPr>
          <w:rFonts w:hint="eastAsia"/>
        </w:rPr>
      </w:r>
      <w:r/>
    </w:p>
    <w:p>
      <w:pPr>
        <w:pStyle w:val="1714"/>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714"/>
        <w:jc w:val="center"/>
        <w:spacing w:line="360" w:lineRule="auto"/>
        <w:rPr>
          <w:rFonts w:ascii="宋体" w:hAnsi="宋体"/>
          <w:b/>
          <w:sz w:val="28"/>
          <w:szCs w:val="28"/>
          <w:highlight w:val="none"/>
        </w:rPr>
      </w:pPr>
      <w:r>
        <w:rPr>
          <w:rFonts w:ascii="宋体" w:hAnsi="宋体"/>
          <w:b/>
          <w:sz w:val="28"/>
          <w:szCs w:val="28"/>
          <w:highlight w:val="none"/>
        </w:rPr>
      </w:r>
      <w:r/>
    </w:p>
    <w:p>
      <w:pPr>
        <w:pStyle w:val="1714"/>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714"/>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714"/>
        <w:ind w:firstLine="612"/>
        <w:spacing w:line="360" w:lineRule="auto"/>
        <w:rPr>
          <w:rFonts w:ascii="宋体" w:hAnsi="宋体"/>
          <w:sz w:val="24"/>
          <w:szCs w:val="24"/>
          <w:highlight w:val="none"/>
        </w:rPr>
      </w:pPr>
      <w:r>
        <w:rPr>
          <w:rFonts w:ascii="宋体" w:hAnsi="宋体"/>
          <w:sz w:val="24"/>
          <w:szCs w:val="24"/>
          <w:highlight w:val="none"/>
        </w:rPr>
      </w:r>
      <w:r/>
    </w:p>
    <w:p>
      <w:pPr>
        <w:pStyle w:val="171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714"/>
        <w:ind w:firstLine="610"/>
        <w:spacing w:line="360" w:lineRule="auto"/>
        <w:rPr>
          <w:rFonts w:ascii="宋体" w:hAnsi="宋体"/>
          <w:sz w:val="24"/>
          <w:szCs w:val="24"/>
          <w:highlight w:val="none"/>
        </w:rPr>
      </w:pPr>
      <w:r>
        <w:rPr>
          <w:rFonts w:ascii="宋体" w:hAnsi="宋体"/>
          <w:sz w:val="24"/>
          <w:szCs w:val="24"/>
          <w:highlight w:val="none"/>
        </w:rPr>
      </w:r>
      <w:r/>
    </w:p>
    <w:p>
      <w:pPr>
        <w:pStyle w:val="171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714"/>
        <w:ind w:firstLine="610"/>
        <w:spacing w:line="360" w:lineRule="auto"/>
        <w:rPr>
          <w:rFonts w:ascii="宋体" w:hAnsi="宋体"/>
          <w:sz w:val="24"/>
          <w:szCs w:val="24"/>
          <w:highlight w:val="none"/>
        </w:rPr>
      </w:pPr>
      <w:r>
        <w:rPr>
          <w:rFonts w:ascii="宋体" w:hAnsi="宋体"/>
          <w:sz w:val="24"/>
          <w:szCs w:val="24"/>
          <w:highlight w:val="none"/>
        </w:rPr>
      </w:r>
      <w:r/>
    </w:p>
    <w:p>
      <w:pPr>
        <w:pStyle w:val="1714"/>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714"/>
        <w:ind w:firstLine="610"/>
        <w:spacing w:line="360" w:lineRule="auto"/>
        <w:rPr>
          <w:rFonts w:ascii="宋体" w:hAnsi="宋体"/>
          <w:sz w:val="24"/>
          <w:szCs w:val="24"/>
          <w:highlight w:val="none"/>
        </w:rPr>
      </w:pPr>
      <w:r>
        <w:rPr>
          <w:rFonts w:ascii="宋体" w:hAnsi="宋体"/>
          <w:sz w:val="24"/>
          <w:szCs w:val="24"/>
          <w:highlight w:val="none"/>
        </w:rPr>
      </w:r>
      <w:r/>
    </w:p>
    <w:p>
      <w:pPr>
        <w:pStyle w:val="171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714"/>
        <w:ind w:firstLine="610"/>
        <w:spacing w:line="360" w:lineRule="auto"/>
        <w:rPr>
          <w:rFonts w:ascii="宋体" w:hAnsi="宋体"/>
          <w:sz w:val="24"/>
          <w:szCs w:val="24"/>
          <w:highlight w:val="none"/>
        </w:rPr>
      </w:pPr>
      <w:r>
        <w:rPr>
          <w:rFonts w:ascii="宋体" w:hAnsi="宋体"/>
          <w:sz w:val="24"/>
          <w:szCs w:val="24"/>
          <w:highlight w:val="none"/>
        </w:rPr>
      </w:r>
      <w:r/>
    </w:p>
    <w:p>
      <w:pPr>
        <w:pStyle w:val="1714"/>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714"/>
        <w:ind w:firstLine="610"/>
        <w:spacing w:line="360" w:lineRule="auto"/>
        <w:rPr>
          <w:rFonts w:ascii="宋体" w:hAnsi="宋体"/>
          <w:sz w:val="24"/>
          <w:szCs w:val="24"/>
          <w:highlight w:val="none"/>
        </w:rPr>
      </w:pPr>
      <w:r>
        <w:rPr>
          <w:rFonts w:ascii="宋体" w:hAnsi="宋体"/>
          <w:sz w:val="24"/>
          <w:szCs w:val="24"/>
          <w:highlight w:val="none"/>
        </w:rPr>
      </w:r>
      <w:r/>
    </w:p>
    <w:p>
      <w:pPr>
        <w:pStyle w:val="1714"/>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714"/>
        <w:ind w:firstLine="610"/>
        <w:spacing w:line="360" w:lineRule="auto"/>
        <w:rPr>
          <w:rFonts w:ascii="宋体" w:hAnsi="宋体"/>
          <w:sz w:val="24"/>
          <w:szCs w:val="24"/>
          <w:highlight w:val="none"/>
        </w:rPr>
      </w:pPr>
      <w:r>
        <w:rPr>
          <w:rFonts w:ascii="宋体" w:hAnsi="宋体"/>
          <w:sz w:val="24"/>
          <w:szCs w:val="24"/>
          <w:highlight w:val="none"/>
        </w:rPr>
      </w:r>
      <w:r/>
    </w:p>
    <w:p>
      <w:pPr>
        <w:pStyle w:val="1714"/>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714"/>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714"/>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rPr>
          <w:rFonts w:hint="eastAsia" w:ascii="宋体" w:hAnsi="宋体" w:cs="宋体"/>
          <w:b/>
          <w:bCs w:val="0"/>
          <w:color w:val="000000"/>
          <w:sz w:val="28"/>
          <w:szCs w:val="28"/>
          <w:highlight w:val="none"/>
        </w:rPr>
        <w:outlineLvl w:val="9"/>
      </w:pPr>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22"/>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722"/>
        <w:rPr>
          <w:rFonts w:hint="eastAsia"/>
        </w:rPr>
      </w:pPr>
      <w:r>
        <w:rPr>
          <w:rFonts w:hint="eastAsia"/>
        </w:rPr>
      </w:r>
      <w:r/>
    </w:p>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bookmarkStart w:id="45" w:name="_Toc19047"/>
      <w:r/>
      <w:bookmarkStart w:id="46" w:name="_Toc7396"/>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714"/>
        <w:ind w:left="0" w:right="0" w:firstLine="0"/>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highlight w:val="none"/>
        </w:rPr>
      </w:pPr>
      <w:r>
        <w:rPr>
          <w:rFonts w:hint="eastAsia" w:ascii="宋体" w:hAnsi="宋体"/>
          <w:b/>
          <w:bCs/>
          <w:sz w:val="24"/>
          <w:highlight w:val="none"/>
        </w:rPr>
        <w:t xml:space="preserve">承诺书</w:t>
      </w:r>
      <w:r>
        <w:rPr>
          <w:rFonts w:hint="eastAsia" w:ascii="宋体" w:hAnsi="宋体"/>
          <w:b/>
          <w:bCs/>
          <w:sz w:val="24"/>
          <w:highlight w:val="none"/>
        </w:rPr>
      </w:r>
      <w:r/>
    </w:p>
    <w:p>
      <w:pPr>
        <w:pStyle w:val="1714"/>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714"/>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171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71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1．本公司（单位）对本项目（       ）提供符合采购要求的产品和服务；</w:t>
      </w:r>
      <w:r>
        <w:rPr>
          <w:rFonts w:hint="eastAsia" w:ascii="宋体" w:hAnsi="宋体"/>
          <w:bCs/>
          <w:color w:val="000000"/>
          <w:sz w:val="24"/>
          <w:highlight w:val="none"/>
        </w:rPr>
      </w:r>
      <w:r/>
    </w:p>
    <w:p>
      <w:pPr>
        <w:pStyle w:val="171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rPr>
          <w:rFonts w:hint="eastAsia" w:ascii="宋体" w:hAnsi="宋体"/>
          <w:bCs/>
          <w:color w:val="000000"/>
          <w:sz w:val="24"/>
          <w:highlight w:val="none"/>
        </w:rPr>
      </w:r>
      <w:r/>
    </w:p>
    <w:p>
      <w:pPr>
        <w:pStyle w:val="171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bCs/>
          <w:color w:val="000000"/>
          <w:sz w:val="24"/>
          <w:highlight w:val="none"/>
        </w:rPr>
      </w:r>
      <w:r/>
    </w:p>
    <w:p>
      <w:pPr>
        <w:pStyle w:val="1714"/>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rPr>
          <w:rFonts w:hint="eastAsia" w:ascii="宋体" w:hAnsi="宋体"/>
          <w:bCs/>
          <w:color w:val="000000"/>
          <w:sz w:val="24"/>
          <w:highlight w:val="none"/>
        </w:rPr>
      </w:r>
      <w:r/>
    </w:p>
    <w:p>
      <w:pPr>
        <w:pStyle w:val="171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714"/>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714"/>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714"/>
        <w:ind w:firstLine="480"/>
        <w:spacing w:line="480" w:lineRule="auto"/>
        <w:rPr>
          <w:rFonts w:hint="eastAsia" w:ascii="宋体" w:hAnsi="宋体" w:eastAsia="宋体" w:cs="宋体"/>
          <w:color w:val="000000"/>
          <w:sz w:val="21"/>
          <w:szCs w:val="22"/>
          <w:highlight w:val="none"/>
        </w:rPr>
        <w:sectPr>
          <w:headerReference w:type="default" r:id="rId15"/>
          <w:headerReference w:type="first" r:id="rId16"/>
          <w:footerReference w:type="default" r:id="rId30"/>
          <w:footerReference w:type="first" r:id="rId31"/>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color w:val="000000"/>
          <w:sz w:val="21"/>
          <w:szCs w:val="22"/>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734"/>
        <w:rPr>
          <w:rFonts w:hint="eastAsia"/>
          <w:color w:val="000000"/>
          <w:highlight w:val="none"/>
        </w:rPr>
        <w:outlineLvl w:val="9"/>
      </w:pPr>
      <w:r>
        <w:rPr>
          <w:rFonts w:hint="eastAsia"/>
          <w:color w:val="000000"/>
          <w:highlight w:val="none"/>
        </w:rPr>
      </w:r>
      <w:r/>
    </w:p>
    <w:p>
      <w:pPr>
        <w:pStyle w:val="171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JSZC-320205-WXXG-G2024-0018</w:t>
      </w:r>
      <w:r>
        <w:rPr>
          <w:rFonts w:hint="eastAsia" w:ascii="宋体" w:hAnsi="宋体" w:eastAsia="宋体" w:cs="宋体"/>
          <w:b w:val="0"/>
          <w:bCs/>
          <w:color w:val="000000"/>
          <w:sz w:val="24"/>
          <w:szCs w:val="24"/>
          <w:highlight w:val="none"/>
          <w:u w:val="none"/>
          <w:lang w:val="en-US" w:eastAsia="zh-CN"/>
        </w:rPr>
      </w:r>
      <w:r/>
    </w:p>
    <w:p>
      <w:pPr>
        <w:pStyle w:val="1714"/>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71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714"/>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71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714"/>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714"/>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71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714"/>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71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71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71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714"/>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71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71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71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714"/>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lang w:eastAsia="zh-CN"/>
        </w:rPr>
        <w:t xml:space="preserve">江苏新桂工程咨询有限公司</w:t>
      </w:r>
      <w:r>
        <w:rPr>
          <w:rFonts w:hint="eastAsia" w:ascii="宋体" w:hAnsi="宋体" w:cs="宋体"/>
          <w:b/>
          <w:color w:val="000000"/>
          <w:sz w:val="24"/>
          <w:szCs w:val="24"/>
          <w:highlight w:val="none"/>
          <w:u w:val="single"/>
        </w:rPr>
        <w:t xml:space="preserve">有权将相关内容进行公示。</w:t>
      </w:r>
      <w:r>
        <w:rPr>
          <w:rFonts w:hint="eastAsia" w:ascii="宋体" w:hAnsi="宋体" w:cs="宋体"/>
          <w:b/>
          <w:color w:val="000000"/>
          <w:sz w:val="24"/>
          <w:szCs w:val="24"/>
          <w:highlight w:val="none"/>
          <w:u w:val="single"/>
        </w:rPr>
      </w:r>
      <w:r/>
    </w:p>
    <w:p>
      <w:pPr>
        <w:pStyle w:val="1714"/>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left="720" w:hanging="720"/>
        <w:spacing w:line="400" w:lineRule="exact"/>
        <w:rPr>
          <w:rFonts w:hint="eastAsia" w:ascii="宋体" w:hAnsi="宋体" w:cs="宋体"/>
          <w:bCs/>
          <w:color w:val="000000"/>
          <w:sz w:val="24"/>
          <w:szCs w:val="24"/>
          <w:highlight w:val="none"/>
        </w:rPr>
        <w:sectPr>
          <w:footerReference w:type="default" r:id="rId32"/>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714"/>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报价明细表</w:t>
      </w:r>
      <w:r>
        <w:rPr>
          <w:rFonts w:hint="eastAsia" w:ascii="宋体" w:hAnsi="宋体" w:eastAsia="宋体" w:cs="宋体"/>
          <w:bCs/>
          <w:color w:val="000000"/>
          <w:sz w:val="24"/>
          <w:szCs w:val="24"/>
          <w:highlight w:val="none"/>
        </w:rPr>
      </w:r>
      <w:r/>
    </w:p>
    <w:p>
      <w:pPr>
        <w:pStyle w:val="1714"/>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t xml:space="preserve">项目名称：</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 xml:space="preserve">采购项目编号：</w:t>
      </w:r>
      <w:r>
        <w:rPr>
          <w:rFonts w:hint="eastAsia" w:ascii="宋体" w:hAnsi="宋体" w:eastAsia="宋体" w:cs="Times New Roman"/>
          <w:bCs/>
          <w:sz w:val="24"/>
          <w:szCs w:val="24"/>
          <w:highlight w:val="none"/>
        </w:rPr>
      </w:r>
      <w:r/>
    </w:p>
    <w:tbl>
      <w:tblPr>
        <w:tblW w:w="5289"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91"/>
        <w:gridCol w:w="3754"/>
        <w:gridCol w:w="764"/>
        <w:gridCol w:w="985"/>
        <w:gridCol w:w="920"/>
        <w:gridCol w:w="901"/>
      </w:tblGrid>
      <w:tr>
        <w:trPr>
          <w:trHeight w:val="981"/>
        </w:trPr>
        <w:tc>
          <w:tcPr>
            <w:shd w:val="clear" w:color="auto" w:fill="ffffff"/>
            <w:tcW w:w="937" w:type="dxa"/>
            <w:vAlign w:val="center"/>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rPr>
                <w:rFonts w:hint="eastAsia" w:ascii="黑体" w:hAnsi="宋体" w:eastAsia="黑体" w:cs="黑体"/>
                <w:i w:val="0"/>
                <w:iCs w:val="0"/>
                <w:color w:val="000000"/>
                <w:sz w:val="21"/>
                <w:szCs w:val="21"/>
                <w:u w:val="none"/>
              </w:rPr>
            </w:r>
            <w:r/>
          </w:p>
        </w:tc>
        <w:tc>
          <w:tcPr>
            <w:shd w:val="clear" w:color="auto" w:fill="ffffff"/>
            <w:tcW w:w="2082" w:type="dxa"/>
            <w:vAlign w:val="center"/>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rPr>
                <w:rFonts w:hint="eastAsia" w:ascii="黑体" w:hAnsi="宋体" w:eastAsia="黑体" w:cs="黑体"/>
                <w:i w:val="0"/>
                <w:iCs w:val="0"/>
                <w:color w:val="000000"/>
                <w:sz w:val="21"/>
                <w:szCs w:val="21"/>
                <w:u w:val="none"/>
              </w:rPr>
            </w:r>
            <w:r/>
          </w:p>
        </w:tc>
        <w:tc>
          <w:tcPr>
            <w:shd w:val="clear" w:color="auto" w:fill="ffffff"/>
            <w:tcW w:w="423" w:type="dxa"/>
            <w:vAlign w:val="center"/>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type="textWrapping" w:clear="all"/>
            </w:r>
            <w:r>
              <w:rPr>
                <w:rFonts w:hint="eastAsia" w:ascii="黑体" w:hAnsi="宋体" w:eastAsia="黑体" w:cs="黑体"/>
                <w:i w:val="0"/>
                <w:iCs w:val="0"/>
                <w:color w:val="000000"/>
                <w:sz w:val="21"/>
                <w:szCs w:val="21"/>
                <w:u w:val="none"/>
                <w:lang w:val="en-US" w:eastAsia="zh-CN" w:bidi="ar"/>
              </w:rPr>
              <w:t xml:space="preserve">单位</w:t>
            </w:r>
            <w:r>
              <w:rPr>
                <w:rFonts w:hint="eastAsia" w:ascii="黑体" w:hAnsi="宋体" w:eastAsia="黑体" w:cs="黑体"/>
                <w:i w:val="0"/>
                <w:iCs w:val="0"/>
                <w:color w:val="000000"/>
                <w:sz w:val="21"/>
                <w:szCs w:val="21"/>
                <w:u w:val="none"/>
              </w:rPr>
            </w:r>
            <w:r/>
          </w:p>
        </w:tc>
        <w:tc>
          <w:tcPr>
            <w:shd w:val="clear" w:color="auto" w:fill="ffffff"/>
            <w:tcW w:w="546" w:type="dxa"/>
            <w:vAlign w:val="center"/>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rPr>
                <w:rFonts w:hint="eastAsia" w:ascii="黑体" w:hAnsi="宋体" w:eastAsia="黑体" w:cs="黑体"/>
                <w:i w:val="0"/>
                <w:iCs w:val="0"/>
                <w:color w:val="000000"/>
                <w:sz w:val="21"/>
                <w:szCs w:val="21"/>
                <w:u w:val="none"/>
              </w:rPr>
            </w:r>
            <w:r/>
          </w:p>
        </w:tc>
        <w:tc>
          <w:tcPr>
            <w:shd w:val="clear" w:color="auto" w:fill="ffffff"/>
            <w:tcW w:w="510" w:type="dxa"/>
            <w:vAlign w:val="center"/>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综合</w:t>
            </w:r>
            <w:r>
              <w:rPr>
                <w:rFonts w:hint="eastAsia" w:ascii="黑体" w:hAnsi="宋体" w:eastAsia="黑体" w:cs="黑体"/>
                <w:i w:val="0"/>
                <w:iCs w:val="0"/>
                <w:color w:val="000000"/>
                <w:sz w:val="21"/>
                <w:szCs w:val="21"/>
                <w:u w:val="none"/>
                <w:lang w:val="en-US" w:eastAsia="zh-CN" w:bidi="ar"/>
              </w:rPr>
            </w:r>
            <w:r/>
          </w:p>
          <w:p>
            <w:pPr>
              <w:pStyle w:val="1714"/>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单价</w:t>
            </w:r>
            <w:r>
              <w:rPr>
                <w:rFonts w:hint="eastAsia" w:ascii="黑体" w:hAnsi="宋体" w:eastAsia="黑体" w:cs="黑体"/>
                <w:i w:val="0"/>
                <w:iCs w:val="0"/>
                <w:color w:val="000000"/>
                <w:sz w:val="21"/>
                <w:szCs w:val="21"/>
                <w:u w:val="none"/>
                <w:lang w:val="en-US" w:eastAsia="zh-CN" w:bidi="ar"/>
              </w:rPr>
            </w:r>
            <w:r/>
          </w:p>
        </w:tc>
        <w:tc>
          <w:tcPr>
            <w:shd w:val="clear" w:color="auto" w:fill="ffffff"/>
            <w:tcW w:w="499" w:type="dxa"/>
            <w:vAlign w:val="center"/>
            <w:textDirection w:val="lrTb"/>
            <w:noWrap w:val="false"/>
          </w:tcPr>
          <w:p>
            <w:pPr>
              <w:pStyle w:val="1714"/>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合价</w:t>
            </w:r>
            <w:r>
              <w:rPr>
                <w:rFonts w:hint="eastAsia" w:ascii="黑体" w:hAnsi="宋体" w:eastAsia="黑体" w:cs="黑体"/>
                <w:i w:val="0"/>
                <w:iCs w:val="0"/>
                <w:color w:val="000000"/>
                <w:sz w:val="21"/>
                <w:szCs w:val="21"/>
                <w:u w:val="none"/>
                <w:lang w:val="en-US" w:eastAsia="zh-CN" w:bidi="ar"/>
              </w:rPr>
            </w:r>
            <w:r/>
          </w:p>
        </w:tc>
      </w:tr>
      <w:tr>
        <w:trPr>
          <w:trHeight w:val="1805"/>
        </w:trPr>
        <w:tc>
          <w:tcPr>
            <w:tcW w:w="937"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走马塘东路东侧</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（厚泽街-厚桥河）</w:t>
            </w:r>
            <w:r>
              <w:rPr>
                <w:rFonts w:hint="eastAsia" w:ascii="宋体" w:hAnsi="宋体" w:eastAsia="宋体" w:cs="宋体"/>
                <w:i w:val="0"/>
                <w:iCs w:val="0"/>
                <w:color w:val="000000"/>
                <w:sz w:val="21"/>
                <w:szCs w:val="21"/>
                <w:u w:val="none"/>
              </w:rPr>
            </w:r>
            <w:r/>
          </w:p>
        </w:tc>
        <w:tc>
          <w:tcPr>
            <w:tcW w:w="2082"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5、含秋季追播黑麦草</w:t>
            </w:r>
            <w:r>
              <w:rPr>
                <w:rFonts w:hint="eastAsia" w:ascii="宋体" w:hAnsi="宋体" w:eastAsia="宋体" w:cs="宋体"/>
                <w:i w:val="0"/>
                <w:iCs w:val="0"/>
                <w:color w:val="000000"/>
                <w:sz w:val="21"/>
                <w:szCs w:val="21"/>
                <w:u w:val="none"/>
              </w:rPr>
            </w:r>
            <w:r/>
          </w:p>
        </w:tc>
        <w:tc>
          <w:tcPr>
            <w:tcW w:w="423" w:type="dxa"/>
            <w:vAlign w:val="center"/>
            <w:textDirection w:val="lrTb"/>
            <w:noWrap w:val="false"/>
          </w:tcPr>
          <w:p>
            <w:pPr>
              <w:pStyle w:val="1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13656</w:t>
            </w:r>
            <w:r>
              <w:rPr>
                <w:rFonts w:hint="eastAsia" w:ascii="宋体" w:hAnsi="宋体" w:eastAsia="宋体" w:cs="宋体"/>
                <w:i w:val="0"/>
                <w:iCs w:val="0"/>
                <w:color w:val="000000"/>
                <w:sz w:val="21"/>
                <w:szCs w:val="21"/>
                <w:u w:val="none"/>
              </w:rPr>
            </w:r>
            <w:r/>
          </w:p>
        </w:tc>
        <w:tc>
          <w:tcPr>
            <w:tcW w:w="510"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499"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155"/>
        </w:trPr>
        <w:tc>
          <w:tcPr>
            <w:tcW w:w="937"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走马塘东路西侧、高铁线西侧</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（厚嵩路-厚桥河）</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嵩山桥北侧走马塘河两侧</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（嵩山桥往北段，厂区北-锡山大道南）</w:t>
            </w:r>
            <w:r>
              <w:rPr>
                <w:rFonts w:hint="eastAsia" w:ascii="宋体" w:hAnsi="宋体" w:eastAsia="宋体" w:cs="宋体"/>
                <w:i w:val="0"/>
                <w:iCs w:val="0"/>
                <w:color w:val="000000"/>
                <w:sz w:val="21"/>
                <w:szCs w:val="21"/>
                <w:u w:val="none"/>
              </w:rPr>
            </w:r>
            <w:r/>
          </w:p>
        </w:tc>
        <w:tc>
          <w:tcPr>
            <w:tcW w:w="2082"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423" w:type="dxa"/>
            <w:vAlign w:val="center"/>
            <w:textDirection w:val="lrTb"/>
            <w:noWrap w:val="false"/>
          </w:tcPr>
          <w:p>
            <w:pPr>
              <w:pStyle w:val="1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84882</w:t>
            </w:r>
            <w:r>
              <w:rPr>
                <w:rFonts w:hint="eastAsia" w:ascii="宋体" w:hAnsi="宋体" w:eastAsia="宋体" w:cs="宋体"/>
                <w:i w:val="0"/>
                <w:iCs w:val="0"/>
                <w:color w:val="000000"/>
                <w:sz w:val="21"/>
                <w:szCs w:val="21"/>
                <w:u w:val="none"/>
              </w:rPr>
            </w:r>
            <w:r/>
          </w:p>
        </w:tc>
        <w:tc>
          <w:tcPr>
            <w:tcW w:w="510"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499"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2325"/>
        </w:trPr>
        <w:tc>
          <w:tcPr>
            <w:tcW w:w="937"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锡太路南绿化</w:t>
            </w:r>
            <w:r>
              <w:rPr>
                <w:rFonts w:hint="eastAsia" w:ascii="宋体" w:hAnsi="宋体" w:eastAsia="宋体" w:cs="宋体"/>
                <w:i w:val="0"/>
                <w:iCs w:val="0"/>
                <w:color w:val="000000"/>
                <w:sz w:val="21"/>
                <w:szCs w:val="21"/>
                <w:u w:val="none"/>
                <w:lang w:val="en-US" w:eastAsia="zh-CN" w:bidi="ar"/>
              </w:rPr>
            </w:r>
            <w:r/>
          </w:p>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（锡太路往南-鸿山河往北）</w:t>
            </w:r>
            <w:r>
              <w:rPr>
                <w:rFonts w:hint="eastAsia" w:ascii="宋体" w:hAnsi="宋体" w:eastAsia="宋体" w:cs="宋体"/>
                <w:i w:val="0"/>
                <w:iCs w:val="0"/>
                <w:color w:val="000000"/>
                <w:sz w:val="21"/>
                <w:szCs w:val="21"/>
                <w:u w:val="none"/>
              </w:rPr>
            </w:r>
            <w:r/>
          </w:p>
        </w:tc>
        <w:tc>
          <w:tcPr>
            <w:tcW w:w="2082" w:type="dxa"/>
            <w:vAlign w:val="center"/>
            <w:textDirection w:val="lrTb"/>
            <w:noWrap w:val="false"/>
          </w:tcPr>
          <w:p>
            <w:pPr>
              <w:pStyle w:val="1714"/>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1、绿化养护，含上木类、色块绿篱类、草本地被类、草坪类、竹类、水生植物、立体绿化、草花等全部植物；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2、养护期：二级养护三年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3、绿化养护具体内容详见《锡山经济技术开发区绿化养护作业导则》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4、包含涉及养护产生的垃圾清运以及一定的风险费用</w:t>
            </w:r>
            <w:r>
              <w:rPr>
                <w:rFonts w:hint="eastAsia" w:ascii="宋体" w:hAnsi="宋体" w:eastAsia="宋体" w:cs="宋体"/>
                <w:i w:val="0"/>
                <w:iCs w:val="0"/>
                <w:color w:val="000000"/>
                <w:sz w:val="21"/>
                <w:szCs w:val="21"/>
                <w:u w:val="none"/>
              </w:rPr>
            </w:r>
            <w:r/>
          </w:p>
        </w:tc>
        <w:tc>
          <w:tcPr>
            <w:tcW w:w="423" w:type="dxa"/>
            <w:vAlign w:val="center"/>
            <w:textDirection w:val="lrTb"/>
            <w:noWrap w:val="false"/>
          </w:tcPr>
          <w:p>
            <w:pPr>
              <w:pStyle w:val="1714"/>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546"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95424.5</w:t>
            </w:r>
            <w:r>
              <w:rPr>
                <w:rFonts w:hint="eastAsia" w:ascii="宋体" w:hAnsi="宋体" w:eastAsia="宋体" w:cs="宋体"/>
                <w:i w:val="0"/>
                <w:iCs w:val="0"/>
                <w:color w:val="000000"/>
                <w:sz w:val="21"/>
                <w:szCs w:val="21"/>
                <w:u w:val="none"/>
              </w:rPr>
            </w:r>
            <w:r/>
          </w:p>
        </w:tc>
        <w:tc>
          <w:tcPr>
            <w:tcW w:w="510"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499"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17"/>
        </w:trPr>
        <w:tc>
          <w:tcPr>
            <w:gridSpan w:val="5"/>
            <w:tcW w:w="8114" w:type="dxa"/>
            <w:vAlign w:val="center"/>
            <w:textDirection w:val="lrTb"/>
            <w:noWrap w:val="false"/>
          </w:tcPr>
          <w:p>
            <w:pPr>
              <w:pStyle w:val="1714"/>
              <w:ind w:left="0" w:right="0" w:firstLine="0"/>
              <w:jc w:val="center"/>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合计</w:t>
            </w:r>
            <w:r>
              <w:rPr>
                <w:rFonts w:ascii="宋体" w:hAnsi="宋体" w:eastAsia="宋体" w:cs="宋体"/>
                <w:i w:val="0"/>
                <w:iCs w:val="0"/>
                <w:color w:val="000000"/>
                <w:sz w:val="21"/>
                <w:szCs w:val="21"/>
                <w:u w:val="none"/>
                <w:lang w:val="en-US" w:eastAsia="zh-CN" w:bidi="ar"/>
              </w:rPr>
            </w:r>
            <w:r/>
          </w:p>
        </w:tc>
        <w:tc>
          <w:tcPr>
            <w:tcW w:w="499" w:type="dxa"/>
            <w:vAlign w:val="center"/>
            <w:textDirection w:val="lrTb"/>
            <w:noWrap w:val="false"/>
          </w:tcPr>
          <w:p>
            <w:pPr>
              <w:pStyle w:val="1714"/>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1714"/>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714"/>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714"/>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714"/>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rPr>
          <w:rFonts w:hint="eastAsia" w:ascii="宋体" w:hAnsi="宋体" w:cs="宋体"/>
          <w:b/>
          <w:color w:val="000000"/>
          <w:sz w:val="24"/>
          <w:szCs w:val="24"/>
          <w:highlight w:val="none"/>
        </w:rPr>
      </w:r>
      <w:r/>
    </w:p>
    <w:p>
      <w:pPr>
        <w:pStyle w:val="1734"/>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734"/>
        <w:rPr>
          <w:rFonts w:hint="eastAsia" w:ascii="宋体" w:hAnsi="宋体" w:cs="宋体"/>
          <w:b/>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bookmarkStart w:id="47" w:name="_Toc11575"/>
      <w:r/>
      <w:bookmarkStart w:id="48" w:name="_Toc17818"/>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7"/>
      <w:r/>
      <w:bookmarkEnd w:id="48"/>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714"/>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714"/>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5、本公司承诺中标之后人员配置按工种及人数不低于最低要求配置到位。</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rPr>
      </w:r>
      <w:r/>
    </w:p>
    <w:p>
      <w:pPr>
        <w:pStyle w:val="1714"/>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714"/>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714"/>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714"/>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734"/>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714"/>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734"/>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763"/>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763"/>
        <w:ind w:firstLine="241"/>
        <w:rPr>
          <w:rFonts w:hint="eastAsia" w:ascii="宋体" w:hAnsi="宋体" w:cs="宋体"/>
          <w:b/>
          <w:color w:val="000000"/>
          <w:sz w:val="24"/>
          <w:highlight w:val="none"/>
        </w:rPr>
        <w:sectPr>
          <w:footerReference w:type="default" r:id="rId33"/>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bookmarkStart w:id="49" w:name="_Toc28479"/>
      <w:r/>
      <w:bookmarkStart w:id="50" w:name="_Toc437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9"/>
      <w:r/>
      <w:bookmarkEnd w:id="50"/>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714"/>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20"/>
        <w:jc w:val="center"/>
        <w:rPr>
          <w:rFonts w:hint="eastAsia" w:ascii="宋体" w:hAnsi="宋体" w:cs="宋体"/>
          <w:bCs/>
          <w:color w:val="000000"/>
          <w:sz w:val="24"/>
          <w:szCs w:val="24"/>
          <w:highlight w:val="none"/>
        </w:rPr>
        <w:outlineLvl w:val="9"/>
      </w:pPr>
      <w:r/>
      <w:bookmarkStart w:id="51" w:name="_Toc27971"/>
      <w:r/>
      <w:bookmarkStart w:id="52" w:name="_Toc25155"/>
      <w:r>
        <w:rPr>
          <w:rFonts w:hint="eastAsia" w:ascii="宋体" w:hAnsi="宋体" w:cs="宋体"/>
          <w:bCs/>
          <w:color w:val="000000"/>
          <w:sz w:val="24"/>
          <w:szCs w:val="24"/>
          <w:highlight w:val="none"/>
        </w:rPr>
        <w:t xml:space="preserve">投标偏离表</w:t>
      </w:r>
      <w:bookmarkEnd w:id="51"/>
      <w:r/>
      <w:bookmarkEnd w:id="52"/>
      <w:r>
        <w:rPr>
          <w:rFonts w:hint="eastAsia" w:ascii="宋体" w:hAnsi="宋体" w:cs="宋体"/>
          <w:bCs/>
          <w:color w:val="000000"/>
          <w:sz w:val="24"/>
          <w:szCs w:val="24"/>
          <w:highlight w:val="none"/>
        </w:rPr>
      </w:r>
      <w:r/>
    </w:p>
    <w:p>
      <w:pPr>
        <w:pStyle w:val="1714"/>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供应商名称（盖章）                       采购项目编号：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714"/>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714"/>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rPr>
          <w:rFonts w:hint="eastAsia" w:ascii="宋体" w:hAnsi="宋体" w:cs="宋体"/>
          <w:bCs/>
          <w:color w:val="000000"/>
          <w:sz w:val="24"/>
          <w:szCs w:val="24"/>
          <w:highlight w:val="none"/>
        </w:rPr>
        <w:outlineLvl w:val="9"/>
      </w:pPr>
      <w:r/>
      <w:bookmarkStart w:id="53" w:name="_Toc2067"/>
      <w:r/>
      <w:bookmarkStart w:id="54" w:name="_Toc8176"/>
      <w:r>
        <w:rPr>
          <w:rFonts w:hint="eastAsia" w:ascii="宋体" w:hAnsi="宋体" w:cs="宋体"/>
          <w:bCs/>
          <w:color w:val="000000"/>
          <w:sz w:val="24"/>
          <w:szCs w:val="24"/>
          <w:highlight w:val="none"/>
        </w:rPr>
        <w:t xml:space="preserve">注：（1）本表不得删除，可自行延长；</w:t>
      </w:r>
      <w:bookmarkEnd w:id="53"/>
      <w:r/>
      <w:bookmarkEnd w:id="54"/>
      <w:r>
        <w:rPr>
          <w:rFonts w:hint="eastAsia" w:ascii="宋体" w:hAnsi="宋体" w:cs="宋体"/>
          <w:bCs/>
          <w:color w:val="000000"/>
          <w:sz w:val="24"/>
          <w:szCs w:val="24"/>
          <w:highlight w:val="none"/>
        </w:rPr>
      </w:r>
      <w:r/>
    </w:p>
    <w:p>
      <w:pPr>
        <w:pStyle w:val="1714"/>
        <w:ind w:left="-214" w:firstLine="720"/>
        <w:rPr>
          <w:rFonts w:hint="eastAsia" w:ascii="宋体" w:hAnsi="宋体" w:cs="宋体"/>
          <w:bCs/>
          <w:color w:val="000000"/>
          <w:sz w:val="24"/>
          <w:szCs w:val="24"/>
          <w:highlight w:val="none"/>
        </w:rPr>
        <w:outlineLvl w:val="9"/>
      </w:pPr>
      <w:r/>
      <w:bookmarkStart w:id="55" w:name="_Toc511"/>
      <w:r/>
      <w:bookmarkStart w:id="56" w:name="_Toc22220"/>
      <w:r>
        <w:rPr>
          <w:rFonts w:hint="eastAsia" w:ascii="宋体" w:hAnsi="宋体" w:cs="宋体"/>
          <w:bCs/>
          <w:color w:val="000000"/>
          <w:sz w:val="24"/>
          <w:szCs w:val="24"/>
          <w:highlight w:val="none"/>
        </w:rPr>
        <w:t xml:space="preserve">（2）如无任何服务偏离，请于本表“偏离说明”中注明“无偏离”；</w:t>
      </w:r>
      <w:bookmarkEnd w:id="55"/>
      <w:r/>
      <w:bookmarkEnd w:id="56"/>
      <w:r>
        <w:rPr>
          <w:rFonts w:hint="eastAsia" w:ascii="宋体" w:hAnsi="宋体" w:cs="宋体"/>
          <w:bCs/>
          <w:color w:val="000000"/>
          <w:sz w:val="24"/>
          <w:szCs w:val="24"/>
          <w:highlight w:val="none"/>
        </w:rPr>
      </w:r>
      <w:r/>
    </w:p>
    <w:p>
      <w:pPr>
        <w:pStyle w:val="1714"/>
        <w:ind w:firstLine="480"/>
        <w:rPr>
          <w:rFonts w:hint="eastAsia" w:ascii="宋体" w:hAnsi="宋体" w:cs="宋体"/>
          <w:bCs/>
          <w:color w:val="000000"/>
          <w:sz w:val="24"/>
          <w:szCs w:val="24"/>
          <w:highlight w:val="none"/>
        </w:rPr>
        <w:outlineLvl w:val="9"/>
      </w:pPr>
      <w:r/>
      <w:bookmarkStart w:id="57" w:name="_Toc9412"/>
      <w:r/>
      <w:bookmarkStart w:id="58" w:name="_Toc10188"/>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7"/>
      <w:r/>
      <w:bookmarkEnd w:id="58"/>
      <w:r>
        <w:rPr>
          <w:rFonts w:hint="eastAsia" w:ascii="宋体" w:hAnsi="宋体" w:cs="宋体"/>
          <w:bCs/>
          <w:color w:val="000000"/>
          <w:sz w:val="24"/>
          <w:szCs w:val="24"/>
          <w:highlight w:val="none"/>
        </w:rPr>
      </w:r>
      <w:r/>
    </w:p>
    <w:p>
      <w:pPr>
        <w:pStyle w:val="1797"/>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97"/>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97"/>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eastAsia="宋体" w:cs="宋体"/>
          <w:b/>
          <w:color w:val="000000"/>
          <w:sz w:val="24"/>
          <w:szCs w:val="24"/>
          <w:highlight w:val="none"/>
          <w:lang w:eastAsia="zh-CN"/>
        </w:rPr>
      </w:r>
      <w:r/>
    </w:p>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Cs/>
          <w:color w:val="000000"/>
          <w:sz w:val="24"/>
          <w:szCs w:val="24"/>
          <w:highlight w:val="none"/>
        </w:rPr>
      </w:r>
      <w:r/>
    </w:p>
    <w:p>
      <w:pPr>
        <w:pStyle w:val="1714"/>
        <w:spacing w:line="400" w:lineRule="exact"/>
        <w:rPr>
          <w:rFonts w:hint="eastAsia"/>
          <w:highlight w:val="none"/>
        </w:rPr>
        <w:outlineLvl w:val="9"/>
      </w:pPr>
      <w:r>
        <w:rPr>
          <w:rFonts w:hint="eastAsia" w:ascii="宋体" w:hAnsi="宋体"/>
          <w:bCs/>
          <w:sz w:val="24"/>
          <w:szCs w:val="24"/>
          <w:highlight w:val="none"/>
        </w:rPr>
        <w:t xml:space="preserve">供应商名称（盖章）                        采购项目编号：</w:t>
      </w:r>
      <w:r>
        <w:rPr>
          <w:rFonts w:hint="eastAsia"/>
          <w:highlight w:val="none"/>
        </w:rPr>
      </w:r>
      <w:r/>
    </w:p>
    <w:tbl>
      <w:tblPr>
        <w:tblW w:w="959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trHeight w:val="565"/>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714"/>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center"/>
            <w:textDirection w:val="lrTb"/>
            <w:noWrap w:val="false"/>
          </w:tcPr>
          <w:p>
            <w:pPr>
              <w:pStyle w:val="171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71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71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71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682" w:type="dxa"/>
            <w:vAlign w:val="center"/>
            <w:textDirection w:val="lrTb"/>
            <w:noWrap w:val="false"/>
          </w:tcPr>
          <w:p>
            <w:pPr>
              <w:pStyle w:val="171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71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71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714"/>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714"/>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682"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714"/>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714"/>
        <w:jc w:val="lef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1802"/>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人员配置表及项目</w:t>
      </w:r>
      <w:r>
        <w:rPr>
          <w:rFonts w:hint="eastAsia" w:ascii="宋体" w:hAnsi="宋体" w:eastAsia="宋体" w:cs="宋体"/>
          <w:b/>
          <w:bCs w:val="0"/>
          <w:color w:val="000000"/>
          <w:sz w:val="24"/>
          <w:szCs w:val="24"/>
          <w:highlight w:val="none"/>
          <w:lang w:val="en-US" w:eastAsia="zh-CN"/>
        </w:rPr>
        <w:t xml:space="preserve">负责人</w:t>
      </w:r>
      <w:r>
        <w:rPr>
          <w:rFonts w:hint="eastAsia" w:ascii="宋体" w:hAnsi="宋体" w:eastAsia="宋体" w:cs="宋体"/>
          <w:b/>
          <w:bCs w:val="0"/>
          <w:color w:val="000000"/>
          <w:sz w:val="24"/>
          <w:szCs w:val="24"/>
          <w:highlight w:val="none"/>
        </w:rPr>
        <w:t xml:space="preserve">简历表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714"/>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714"/>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rPr>
          <w:rFonts w:hint="eastAsia" w:ascii="宋体" w:hAnsi="宋体" w:eastAsia="宋体" w:cs="宋体"/>
          <w:bCs/>
          <w:color w:val="000000"/>
          <w:sz w:val="24"/>
          <w:szCs w:val="24"/>
          <w:highlight w:val="none"/>
        </w:rPr>
      </w:r>
      <w:r/>
    </w:p>
    <w:p>
      <w:pPr>
        <w:pStyle w:val="1714"/>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采购项目编号：</w:t>
      </w:r>
      <w:r>
        <w:rPr>
          <w:rFonts w:ascii="宋体" w:hAnsi="宋体" w:eastAsia="宋体" w:cs="宋体"/>
          <w:bCs/>
          <w:color w:val="000000"/>
          <w:sz w:val="24"/>
          <w:szCs w:val="24"/>
          <w:highlight w:val="none"/>
          <w:lang w:val="en-US" w:eastAsia="zh-CN"/>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trHeight w:val="947"/>
        </w:trPr>
        <w:tc>
          <w:tcPr>
            <w:tcW w:w="662" w:type="dxa"/>
            <w:vAlign w:val="center"/>
            <w:textDirection w:val="lrTb"/>
            <w:noWrap w:val="false"/>
          </w:tcPr>
          <w:p>
            <w:pPr>
              <w:pStyle w:val="1714"/>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rPr>
                <w:rFonts w:hint="eastAsia" w:ascii="宋体" w:hAnsi="宋体" w:eastAsia="宋体" w:cs="宋体"/>
                <w:b/>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rPr>
                <w:rFonts w:hint="eastAsia" w:ascii="宋体" w:hAnsi="宋体" w:eastAsia="宋体" w:cs="宋体"/>
                <w:b/>
                <w:color w:val="000000"/>
                <w:sz w:val="21"/>
                <w:szCs w:val="22"/>
                <w:highlight w:val="none"/>
              </w:rPr>
            </w:r>
            <w:r/>
          </w:p>
        </w:tc>
        <w:tc>
          <w:tcPr>
            <w:tcW w:w="652" w:type="dxa"/>
            <w:vAlign w:val="center"/>
            <w:textDirection w:val="lrTb"/>
            <w:noWrap w:val="false"/>
          </w:tcPr>
          <w:p>
            <w:pPr>
              <w:pStyle w:val="1714"/>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rPr>
                <w:rFonts w:hint="eastAsia" w:ascii="宋体" w:hAnsi="宋体" w:eastAsia="宋体" w:cs="宋体"/>
                <w:b/>
                <w:color w:val="000000"/>
                <w:sz w:val="21"/>
                <w:szCs w:val="22"/>
                <w:highlight w:val="none"/>
              </w:rPr>
            </w:r>
            <w:r/>
          </w:p>
        </w:tc>
        <w:tc>
          <w:tcPr>
            <w:tcW w:w="634" w:type="dxa"/>
            <w:vAlign w:val="center"/>
            <w:textDirection w:val="lrTb"/>
            <w:noWrap w:val="false"/>
          </w:tcPr>
          <w:p>
            <w:pPr>
              <w:pStyle w:val="1714"/>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rPr>
                <w:rFonts w:hint="eastAsia" w:ascii="宋体" w:hAnsi="宋体" w:eastAsia="宋体" w:cs="宋体"/>
                <w:b/>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rPr>
                <w:rFonts w:hint="eastAsia" w:ascii="宋体" w:hAnsi="宋体" w:eastAsia="宋体" w:cs="宋体"/>
                <w:b/>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rPr>
                <w:rFonts w:hint="eastAsia" w:ascii="宋体" w:hAnsi="宋体" w:eastAsia="宋体" w:cs="宋体"/>
                <w:b/>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rPr>
                <w:rFonts w:hint="eastAsia" w:ascii="宋体" w:hAnsi="宋体" w:eastAsia="宋体" w:cs="宋体"/>
                <w:b/>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rPr>
                <w:rFonts w:hint="eastAsia" w:ascii="宋体" w:hAnsi="宋体" w:eastAsia="宋体" w:cs="宋体"/>
                <w:b/>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trHeight w:val="621"/>
        </w:trPr>
        <w:tc>
          <w:tcPr>
            <w:tcW w:w="66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714"/>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pStyle w:val="171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71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714"/>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rPr>
          <w:rFonts w:hint="eastAsia" w:ascii="宋体" w:hAnsi="宋体" w:eastAsia="宋体" w:cs="宋体"/>
          <w:bCs/>
          <w:color w:val="000000"/>
          <w:sz w:val="22"/>
          <w:szCs w:val="22"/>
          <w:highlight w:val="none"/>
          <w:lang w:eastAsia="zh-CN"/>
        </w:rPr>
      </w:r>
      <w:r/>
    </w:p>
    <w:p>
      <w:pPr>
        <w:pStyle w:val="1714"/>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rPr>
          <w:rFonts w:hint="eastAsia" w:ascii="宋体" w:hAnsi="宋体" w:eastAsia="宋体" w:cs="宋体"/>
          <w:bCs/>
          <w:color w:val="000000"/>
          <w:sz w:val="22"/>
          <w:szCs w:val="22"/>
          <w:highlight w:val="none"/>
        </w:rPr>
      </w:r>
      <w:r/>
    </w:p>
    <w:p>
      <w:pPr>
        <w:pStyle w:val="1714"/>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714"/>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714"/>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714"/>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714"/>
        <w:ind w:left="120"/>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Cs/>
          <w:color w:val="000000"/>
          <w:sz w:val="24"/>
          <w:szCs w:val="24"/>
          <w:highlight w:val="none"/>
        </w:rPr>
      </w:r>
      <w:r/>
    </w:p>
    <w:p>
      <w:pPr>
        <w:pStyle w:val="1714"/>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项目负责人简历表</w:t>
      </w:r>
      <w:r>
        <w:rPr>
          <w:rFonts w:hint="eastAsia" w:ascii="宋体" w:hAnsi="宋体" w:eastAsia="宋体" w:cs="宋体"/>
          <w:bCs/>
          <w:color w:val="000000"/>
          <w:sz w:val="24"/>
          <w:szCs w:val="24"/>
          <w:highlight w:val="none"/>
          <w:lang w:val="en-US" w:eastAsia="zh-CN"/>
        </w:rPr>
      </w:r>
      <w:r/>
    </w:p>
    <w:p>
      <w:pPr>
        <w:pStyle w:val="1714"/>
        <w:spacing w:line="360" w:lineRule="auto"/>
        <w:rPr>
          <w:rFonts w:ascii="黑体" w:hAnsi="宋体" w:eastAsia="黑体"/>
          <w:color w:val="000000"/>
          <w:sz w:val="24"/>
          <w:szCs w:val="24"/>
          <w:highlight w:val="none"/>
        </w:rPr>
      </w:pPr>
      <w:r>
        <w:rPr>
          <w:rFonts w:hint="eastAsia" w:ascii="黑体" w:hAnsi="宋体" w:eastAsia="黑体"/>
          <w:color w:val="000000"/>
          <w:sz w:val="24"/>
          <w:szCs w:val="24"/>
          <w:highlight w:val="none"/>
          <w:lang w:val="en-US" w:eastAsia="zh-CN"/>
        </w:rPr>
        <w:t xml:space="preserve">供应商</w:t>
      </w:r>
      <w:r>
        <w:rPr>
          <w:rFonts w:hint="eastAsia" w:ascii="黑体" w:hAnsi="宋体" w:eastAsia="黑体"/>
          <w:color w:val="000000"/>
          <w:sz w:val="24"/>
          <w:szCs w:val="24"/>
          <w:highlight w:val="none"/>
        </w:rPr>
        <w:t xml:space="preserve">名称（盖章）                              采购项目编号：</w:t>
      </w:r>
      <w:r>
        <w:rPr>
          <w:rFonts w:ascii="黑体" w:hAnsi="宋体" w:eastAsia="黑体"/>
          <w:color w:val="000000"/>
          <w:sz w:val="24"/>
          <w:szCs w:val="24"/>
          <w:highlight w:val="none"/>
        </w:rPr>
      </w:r>
      <w:r/>
    </w:p>
    <w:tbl>
      <w:tblPr>
        <w:tblW w:w="9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351"/>
        <w:gridCol w:w="1090"/>
        <w:gridCol w:w="998"/>
        <w:gridCol w:w="229"/>
        <w:gridCol w:w="1227"/>
      </w:tblGrid>
      <w:tr>
        <w:trPr>
          <w:cantSplit/>
          <w:trHeight w:val="551"/>
        </w:trPr>
        <w:tc>
          <w:tcPr>
            <w:tcW w:w="1108"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姓  名</w:t>
            </w:r>
            <w:r>
              <w:rPr>
                <w:rFonts w:ascii="宋体" w:hAnsi="宋体"/>
                <w:color w:val="000000"/>
                <w:highlight w:val="none"/>
              </w:rPr>
            </w:r>
            <w:r/>
          </w:p>
        </w:tc>
        <w:tc>
          <w:tcPr>
            <w:tcW w:w="1227"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性别</w:t>
            </w:r>
            <w:r>
              <w:rPr>
                <w:rFonts w:ascii="宋体" w:hAnsi="宋体"/>
                <w:color w:val="000000"/>
                <w:highlight w:val="none"/>
              </w:rPr>
            </w:r>
            <w:r/>
          </w:p>
        </w:tc>
        <w:tc>
          <w:tcPr>
            <w:tcW w:w="1227"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年  龄</w:t>
            </w:r>
            <w:r>
              <w:rPr>
                <w:rFonts w:ascii="宋体" w:hAnsi="宋体"/>
                <w:color w:val="000000"/>
                <w:highlight w:val="none"/>
              </w:rPr>
            </w:r>
            <w:r/>
          </w:p>
        </w:tc>
        <w:tc>
          <w:tcPr>
            <w:tcW w:w="1090"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学  历</w:t>
            </w:r>
            <w:r>
              <w:rPr>
                <w:rFonts w:ascii="宋体" w:hAnsi="宋体"/>
                <w:color w:val="000000"/>
                <w:highlight w:val="none"/>
              </w:rPr>
            </w:r>
            <w:r/>
          </w:p>
        </w:tc>
        <w:tc>
          <w:tcPr>
            <w:tcW w:w="1227"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r>
      <w:tr>
        <w:trPr>
          <w:cantSplit/>
          <w:trHeight w:val="448"/>
        </w:trPr>
        <w:tc>
          <w:tcPr>
            <w:tcW w:w="1108"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1227"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职  称</w:t>
            </w:r>
            <w:r>
              <w:rPr>
                <w:rFonts w:ascii="宋体" w:hAnsi="宋体"/>
                <w:color w:val="000000"/>
                <w:highlight w:val="none"/>
              </w:rPr>
            </w:r>
            <w:r/>
          </w:p>
        </w:tc>
        <w:tc>
          <w:tcPr>
            <w:tcW w:w="1227"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资格证书号</w:t>
            </w:r>
            <w:r>
              <w:rPr>
                <w:rFonts w:ascii="宋体" w:hAnsi="宋体"/>
                <w:color w:val="000000"/>
                <w:highlight w:val="none"/>
              </w:rPr>
            </w:r>
            <w:r/>
          </w:p>
        </w:tc>
        <w:tc>
          <w:tcPr>
            <w:tcW w:w="1090"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参加工作时间</w:t>
            </w:r>
            <w:r>
              <w:rPr>
                <w:rFonts w:ascii="宋体" w:hAnsi="宋体"/>
                <w:color w:val="000000"/>
                <w:highlight w:val="none"/>
              </w:rPr>
            </w:r>
            <w:r/>
          </w:p>
        </w:tc>
        <w:tc>
          <w:tcPr>
            <w:tcW w:w="1227" w:type="dxa"/>
            <w:vAlign w:val="center"/>
            <w:textDirection w:val="lrTb"/>
            <w:noWrap w:val="false"/>
          </w:tcPr>
          <w:p>
            <w:pPr>
              <w:pStyle w:val="1714"/>
              <w:jc w:val="center"/>
              <w:rPr>
                <w:rFonts w:ascii="宋体" w:hAnsi="宋体"/>
                <w:color w:val="000000"/>
                <w:highlight w:val="none"/>
              </w:rPr>
            </w:pPr>
            <w:r>
              <w:rPr>
                <w:rFonts w:ascii="宋体" w:hAnsi="宋体"/>
                <w:color w:val="000000"/>
                <w:highlight w:val="none"/>
              </w:rPr>
            </w:r>
            <w:r/>
          </w:p>
        </w:tc>
      </w:tr>
      <w:tr>
        <w:trPr>
          <w:cantSplit/>
          <w:trHeight w:val="2565"/>
        </w:trPr>
        <w:tc>
          <w:tcPr>
            <w:tcW w:w="1108"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以往工作经历</w:t>
            </w:r>
            <w:r>
              <w:rPr>
                <w:rFonts w:ascii="宋体" w:hAnsi="宋体"/>
                <w:color w:val="000000"/>
                <w:highlight w:val="none"/>
              </w:rPr>
            </w:r>
            <w:r/>
          </w:p>
        </w:tc>
        <w:tc>
          <w:tcPr>
            <w:gridSpan w:val="10"/>
            <w:tcW w:w="8589" w:type="dxa"/>
            <w:vAlign w:val="top"/>
            <w:textDirection w:val="lrTb"/>
            <w:noWrap w:val="false"/>
          </w:tcPr>
          <w:p>
            <w:pPr>
              <w:pStyle w:val="1714"/>
              <w:rPr>
                <w:rFonts w:ascii="宋体" w:hAnsi="宋体"/>
                <w:color w:val="000000"/>
                <w:highlight w:val="none"/>
              </w:rPr>
            </w:pPr>
            <w:r>
              <w:rPr>
                <w:rFonts w:ascii="宋体" w:hAnsi="宋体"/>
                <w:color w:val="000000"/>
                <w:highlight w:val="none"/>
              </w:rPr>
            </w:r>
            <w:r/>
          </w:p>
          <w:p>
            <w:pPr>
              <w:pStyle w:val="1714"/>
              <w:rPr>
                <w:rFonts w:ascii="宋体" w:hAnsi="宋体"/>
                <w:color w:val="000000"/>
                <w:highlight w:val="none"/>
              </w:rPr>
            </w:pPr>
            <w:r>
              <w:rPr>
                <w:rFonts w:ascii="宋体" w:hAnsi="宋体"/>
                <w:color w:val="000000"/>
                <w:highlight w:val="none"/>
              </w:rPr>
            </w:r>
            <w:r/>
          </w:p>
        </w:tc>
      </w:tr>
      <w:tr>
        <w:trPr>
          <w:cantSplit/>
          <w:trHeight w:val="606"/>
        </w:trPr>
        <w:tc>
          <w:tcPr>
            <w:gridSpan w:val="11"/>
            <w:tcW w:w="9697"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已完成服务项目情况</w:t>
            </w:r>
            <w:r>
              <w:rPr>
                <w:rFonts w:ascii="宋体" w:hAnsi="宋体"/>
                <w:color w:val="000000"/>
                <w:highlight w:val="none"/>
              </w:rPr>
            </w:r>
            <w:r/>
          </w:p>
        </w:tc>
      </w:tr>
      <w:tr>
        <w:trPr>
          <w:cantSplit/>
          <w:trHeight w:val="553"/>
        </w:trPr>
        <w:tc>
          <w:tcPr>
            <w:gridSpan w:val="3"/>
            <w:tcW w:w="2593"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被服务单位</w:t>
            </w:r>
            <w:r>
              <w:rPr>
                <w:rFonts w:ascii="宋体" w:hAnsi="宋体"/>
                <w:color w:val="000000"/>
                <w:highlight w:val="none"/>
              </w:rPr>
            </w:r>
            <w:r/>
          </w:p>
        </w:tc>
        <w:tc>
          <w:tcPr>
            <w:gridSpan w:val="3"/>
            <w:tcW w:w="2209"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项目名称</w:t>
            </w:r>
            <w:r>
              <w:rPr>
                <w:rFonts w:ascii="宋体" w:hAnsi="宋体"/>
                <w:color w:val="000000"/>
                <w:highlight w:val="none"/>
              </w:rPr>
            </w:r>
            <w:r/>
          </w:p>
        </w:tc>
        <w:tc>
          <w:tcPr>
            <w:tcW w:w="1351"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规模面积</w:t>
            </w:r>
            <w:r>
              <w:rPr>
                <w:rFonts w:ascii="宋体" w:hAnsi="宋体"/>
                <w:color w:val="000000"/>
                <w:highlight w:val="none"/>
              </w:rPr>
            </w:r>
            <w:r/>
          </w:p>
        </w:tc>
        <w:tc>
          <w:tcPr>
            <w:gridSpan w:val="2"/>
            <w:tcW w:w="2088"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服务期限</w:t>
            </w:r>
            <w:r>
              <w:rPr>
                <w:rFonts w:ascii="宋体" w:hAnsi="宋体"/>
                <w:color w:val="000000"/>
                <w:highlight w:val="none"/>
              </w:rPr>
            </w:r>
            <w:r/>
          </w:p>
        </w:tc>
        <w:tc>
          <w:tcPr>
            <w:gridSpan w:val="2"/>
            <w:tcW w:w="1456" w:type="dxa"/>
            <w:vAlign w:val="center"/>
            <w:textDirection w:val="lrTb"/>
            <w:noWrap w:val="false"/>
          </w:tcPr>
          <w:p>
            <w:pPr>
              <w:pStyle w:val="1714"/>
              <w:jc w:val="center"/>
              <w:rPr>
                <w:rFonts w:ascii="宋体" w:hAnsi="宋体"/>
                <w:color w:val="000000"/>
                <w:highlight w:val="none"/>
              </w:rPr>
            </w:pPr>
            <w:r>
              <w:rPr>
                <w:rFonts w:hint="eastAsia" w:ascii="宋体" w:hAnsi="宋体"/>
                <w:color w:val="000000"/>
                <w:highlight w:val="none"/>
              </w:rPr>
              <w:t xml:space="preserve">管理质量</w:t>
            </w: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714"/>
              <w:spacing w:line="440" w:lineRule="exact"/>
              <w:rPr>
                <w:rFonts w:ascii="宋体" w:hAnsi="宋体"/>
                <w:color w:val="000000"/>
                <w:highlight w:val="none"/>
              </w:rPr>
            </w:pPr>
            <w:r>
              <w:rPr>
                <w:rFonts w:ascii="宋体" w:hAnsi="宋体"/>
                <w:color w:val="000000"/>
                <w:highlight w:val="none"/>
              </w:rPr>
            </w:r>
            <w:r/>
          </w:p>
        </w:tc>
      </w:tr>
    </w:tbl>
    <w:p>
      <w:pPr>
        <w:pStyle w:val="1714"/>
        <w:rPr>
          <w:b/>
          <w:bCs/>
          <w:color w:val="000000"/>
          <w:sz w:val="24"/>
          <w:szCs w:val="24"/>
          <w:highlight w:val="none"/>
        </w:rPr>
      </w:pPr>
      <w:r>
        <w:rPr>
          <w:b/>
          <w:bCs/>
          <w:color w:val="000000"/>
          <w:sz w:val="24"/>
          <w:szCs w:val="24"/>
          <w:highlight w:val="none"/>
        </w:rPr>
      </w:r>
      <w:r/>
    </w:p>
    <w:p>
      <w:pPr>
        <w:pStyle w:val="1714"/>
        <w:rPr>
          <w:b/>
          <w:bCs/>
          <w:color w:val="000000"/>
          <w:sz w:val="24"/>
          <w:szCs w:val="24"/>
          <w:highlight w:val="none"/>
        </w:rPr>
      </w:pPr>
      <w:r>
        <w:rPr>
          <w:b/>
          <w:bCs/>
          <w:color w:val="000000"/>
          <w:sz w:val="24"/>
          <w:szCs w:val="24"/>
          <w:highlight w:val="none"/>
        </w:rPr>
      </w:r>
      <w:r/>
    </w:p>
    <w:p>
      <w:pPr>
        <w:pStyle w:val="1714"/>
        <w:rPr>
          <w:rFonts w:ascii="宋体"/>
          <w:bCs/>
          <w:color w:val="000000"/>
          <w:szCs w:val="21"/>
          <w:highlight w:val="none"/>
        </w:rPr>
      </w:pPr>
      <w:r>
        <w:rPr>
          <w:rFonts w:hint="eastAsia"/>
          <w:b/>
          <w:bCs/>
          <w:color w:val="000000"/>
          <w:sz w:val="24"/>
          <w:szCs w:val="24"/>
          <w:highlight w:val="none"/>
        </w:rPr>
        <w:t xml:space="preserve">法定代表人或法定代表人授权代表签字或盖章：</w:t>
      </w:r>
      <w:r>
        <w:rPr>
          <w:rFonts w:ascii="宋体"/>
          <w:bCs/>
          <w:color w:val="000000"/>
          <w:szCs w:val="21"/>
          <w:highlight w:val="none"/>
        </w:rPr>
      </w:r>
      <w:r/>
    </w:p>
    <w:p>
      <w:pPr>
        <w:pStyle w:val="1714"/>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714"/>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714"/>
        <w:numPr>
          <w:ilvl w:val="0"/>
          <w:numId w:val="0"/>
        </w:numPr>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rPr>
        <w:t xml:space="preserve">注：1.上表可自行延长</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但不得改变文本格式。</w:t>
      </w:r>
      <w:r>
        <w:rPr>
          <w:rFonts w:hint="eastAsia" w:ascii="宋体" w:hAnsi="宋体" w:eastAsia="宋体" w:cs="Times New Roman"/>
          <w:bCs/>
          <w:color w:val="000000"/>
          <w:szCs w:val="21"/>
          <w:highlight w:val="none"/>
          <w:lang w:val="en-US" w:eastAsia="zh-CN"/>
        </w:rPr>
      </w:r>
      <w:r/>
    </w:p>
    <w:p>
      <w:pPr>
        <w:pStyle w:val="1714"/>
        <w:numPr>
          <w:ilvl w:val="0"/>
          <w:numId w:val="0"/>
        </w:numPr>
        <w:ind w:firstLine="420"/>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lang w:val="en-US" w:eastAsia="zh-CN"/>
        </w:rPr>
        <w:t xml:space="preserve">2.人员相关证明材料应按招标文件要求提供，并附在本表之后。</w:t>
      </w:r>
      <w:r>
        <w:rPr>
          <w:rFonts w:hint="eastAsia" w:ascii="宋体" w:hAnsi="宋体" w:eastAsia="宋体" w:cs="Times New Roman"/>
          <w:bCs/>
          <w:color w:val="000000"/>
          <w:szCs w:val="21"/>
          <w:highlight w:val="none"/>
          <w:lang w:val="en-US" w:eastAsia="zh-CN"/>
        </w:rPr>
      </w:r>
      <w:r/>
    </w:p>
    <w:p>
      <w:pPr>
        <w:pStyle w:val="1714"/>
        <w:numPr>
          <w:ilvl w:val="0"/>
          <w:numId w:val="0"/>
        </w:numPr>
        <w:jc w:val="lef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38"/>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714"/>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14"/>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714"/>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714"/>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747"/>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71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71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714"/>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声明函必须提供，未提供视为无效投标文件。 </w:t>
      </w:r>
      <w:r>
        <w:rPr>
          <w:rFonts w:hint="eastAsia" w:ascii="宋体" w:hAnsi="宋体" w:cs="宋体"/>
          <w:color w:val="000000"/>
          <w:sz w:val="24"/>
          <w:highlight w:val="none"/>
        </w:rPr>
      </w:r>
      <w:r/>
    </w:p>
    <w:p>
      <w:pPr>
        <w:pStyle w:val="1714"/>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t xml:space="preserve">4.供应商提供的声明函与事实不符的，依照《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rPr>
          <w:rFonts w:hint="eastAsia" w:ascii="宋体" w:hAnsi="宋体" w:cs="宋体"/>
          <w:color w:val="000000"/>
          <w:sz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bookmarkStart w:id="59" w:name="OLE_LINK13"/>
      <w:r/>
      <w:bookmarkStart w:id="60" w:name="OLE_LINK14"/>
      <w:r/>
      <w:bookmarkStart w:id="61"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714"/>
        <w:spacing w:line="588" w:lineRule="exact"/>
        <w:rPr>
          <w:rFonts w:hint="eastAsia" w:ascii="宋体" w:hAnsi="宋体" w:cs="宋体"/>
          <w:b/>
          <w:color w:val="000000"/>
          <w:spacing w:val="6"/>
          <w:sz w:val="24"/>
          <w:szCs w:val="24"/>
          <w:highlight w:val="none"/>
        </w:rPr>
        <w:outlineLvl w:val="9"/>
      </w:pPr>
      <w:r/>
      <w:bookmarkEnd w:id="59"/>
      <w:r/>
      <w:bookmarkEnd w:id="60"/>
      <w:r>
        <w:rPr>
          <w:rFonts w:hint="eastAsia" w:ascii="宋体" w:hAnsi="宋体" w:cs="宋体"/>
          <w:b/>
          <w:color w:val="000000"/>
          <w:spacing w:val="6"/>
          <w:sz w:val="24"/>
          <w:szCs w:val="24"/>
          <w:highlight w:val="none"/>
        </w:rPr>
      </w:r>
      <w:r/>
    </w:p>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714"/>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14"/>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714"/>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797"/>
        <w:ind w:firstLine="480"/>
        <w:rPr>
          <w:rFonts w:hint="eastAsia" w:ascii="宋体" w:hAnsi="宋体" w:cs="宋体"/>
          <w:color w:val="000000"/>
          <w:sz w:val="24"/>
          <w:szCs w:val="24"/>
          <w:highlight w:val="none"/>
        </w:rPr>
        <w:outlineLvl w:val="9"/>
      </w:pPr>
      <w:r/>
      <w:bookmarkEnd w:id="61"/>
      <w:r>
        <w:rPr>
          <w:rFonts w:hint="eastAsia" w:ascii="宋体" w:hAnsi="宋体" w:cs="宋体"/>
          <w:color w:val="000000"/>
          <w:sz w:val="24"/>
          <w:szCs w:val="24"/>
          <w:highlight w:val="none"/>
        </w:rPr>
      </w:r>
      <w:r/>
    </w:p>
    <w:p>
      <w:pPr>
        <w:pStyle w:val="1797"/>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97"/>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797"/>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714"/>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797"/>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97"/>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97"/>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797"/>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797"/>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714"/>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714"/>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34"/>
      <w:footerReference w:type="even" r:id="rId35"/>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libri">
    <w:panose1 w:val="020F0502020204030204"/>
  </w:font>
  <w:font w:name="等线">
    <w:panose1 w:val="02010600030101010101"/>
  </w:font>
  <w:font w:name="仿宋">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14"/>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1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tabs>
        <w:tab w:val="center" w:pos="4153" w:leader="none"/>
        <w:tab w:val="right" w:pos="8306" w:leader="none"/>
      </w:tabs>
      <w:rPr>
        <w:rStyle w:val="1768"/>
      </w:rPr>
      <w:framePr w:wrap="around" w:vAnchor="text" w:hAnchor="margin" w:xAlign="center" w:y="1"/>
    </w:pPr>
    <w:r>
      <w:fldChar w:fldCharType="begin"/>
    </w:r>
    <w:r>
      <w:rPr>
        <w:rStyle w:val="1768"/>
      </w:rPr>
      <w:instrText xml:space="preserve">PAGE  </w:instrText>
    </w:r>
    <w:r>
      <w:fldChar w:fldCharType="separate"/>
    </w:r>
    <w:r>
      <w:rPr>
        <w:rStyle w:val="1768"/>
      </w:rPr>
      <w:t xml:space="preserve">1</w:t>
    </w:r>
    <w:r>
      <w:fldChar w:fldCharType="end"/>
    </w:r>
    <w:r>
      <w:rPr>
        <w:rStyle w:val="1768"/>
      </w:rPr>
    </w:r>
    <w:r/>
  </w:p>
  <w:p>
    <w:pPr>
      <w:pStyle w:val="1747"/>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14"/>
                          </w:pPr>
                          <w:r/>
                          <w:r/>
                        </w:p>
                      </w:txbxContent>
                    </wps:txbx>
                    <wps:bodyPr wrap="none" lIns="0" tIns="0" rIns="0" bIns="0" upright="1">
                      <a:spAutoFit/>
                    </wps:bodyPr>
                  </wps:wsp>
                </a:graphicData>
              </a:graphic>
            </wp:anchor>
          </w:drawing>
        </mc:Choice>
        <mc:Fallback>
          <w:pict>
            <v:shape id="shape 1" o:spid="_x0000_s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1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714"/>
                          </w:pPr>
                          <w:r/>
                          <w:r/>
                        </w:p>
                      </w:txbxContent>
                    </wps:txbx>
                    <wps:bodyPr wrap="none" lIns="0" tIns="0" rIns="0" bIns="0" upright="1">
                      <a:spAutoFit/>
                    </wps:bodyPr>
                  </wps:wsp>
                </a:graphicData>
              </a:graphic>
            </wp:anchor>
          </w:drawing>
        </mc:Choice>
        <mc:Fallback>
          <w:pict>
            <v:shape id="shape 2" o:spid="_x0000_s2" o:spt="202" type="#_x0000_t202" style="position:absolute;z-index:25165825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71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714"/>
                          </w:pPr>
                          <w:r/>
                          <w:r/>
                        </w:p>
                      </w:txbxContent>
                    </wps:txbx>
                    <wps:bodyPr wrap="none" lIns="0" tIns="0" rIns="0" bIns="0" upright="1">
                      <a:spAutoFit/>
                    </wps:bodyPr>
                  </wps:wsp>
                </a:graphicData>
              </a:graphic>
            </wp:anchor>
          </w:drawing>
        </mc:Choice>
        <mc:Fallback>
          <w:pict>
            <v:shape id="shape 3" o:spid="_x0000_s3"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71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714"/>
                          </w:pPr>
                          <w:r/>
                          <w:r/>
                        </w:p>
                      </w:txbxContent>
                    </wps:txbx>
                    <wps:bodyPr wrap="none" lIns="0" tIns="0" rIns="0" bIns="0" upright="1">
                      <a:spAutoFit/>
                    </wps:bodyPr>
                  </wps:wsp>
                </a:graphicData>
              </a:graphic>
            </wp:anchor>
          </w:drawing>
        </mc:Choice>
        <mc:Fallback>
          <w:pict>
            <v:shape id="shape 4" o:spid="_x0000_s4"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4"/>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71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center"/>
      <w:tabs>
        <w:tab w:val="center" w:pos="4153" w:leader="none"/>
        <w:tab w:val="right" w:pos="8306" w:leader="none"/>
      </w:tabs>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rPr>
        <w:sz w:val="24"/>
        <w:szCs w:val="24"/>
      </w:rPr>
    </w:r>
    <w:r/>
  </w:p>
  <w:p>
    <w:pPr>
      <w:pStyle w:val="1714"/>
      <w:rPr>
        <w:sz w:val="24"/>
        <w:szCs w:val="24"/>
      </w:rPr>
    </w:pPr>
    <w:r>
      <w:rPr>
        <w:sz w:val="24"/>
        <w:szCs w:val="24"/>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714"/>
                          </w:pPr>
                          <w:r/>
                          <w:r/>
                        </w:p>
                      </w:txbxContent>
                    </wps:txbx>
                    <wps:bodyPr wrap="none" lIns="0" tIns="0" rIns="0" bIns="0" upright="1">
                      <a:spAutoFit/>
                    </wps:bodyPr>
                  </wps:wsp>
                </a:graphicData>
              </a:graphic>
            </wp:anchor>
          </w:drawing>
        </mc:Choice>
        <mc:Fallback>
          <w:pict>
            <v:shape id="shape 5" o:spid="_x0000_s5" o:spt="202" type="#_x0000_t202" style="position:absolute;z-index:2516582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71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14"/>
                          </w:pPr>
                          <w:r/>
                          <w:r/>
                        </w:p>
                      </w:txbxContent>
                    </wps:txbx>
                    <wps:bodyPr wrap="none" lIns="0" tIns="0" rIns="0" bIns="0" upright="1">
                      <a:spAutoFit/>
                    </wps:bodyPr>
                  </wps:wsp>
                </a:graphicData>
              </a:graphic>
            </wp:anchor>
          </w:drawing>
        </mc:Choice>
        <mc:Fallback>
          <w:pict>
            <v:shape id="shape 6" o:spid="_x0000_s6" o:spt="202" type="#_x0000_t202" style="position:absolute;z-index:25165826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1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7" o:spid="_x0000_s7"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8" o:spid="_x0000_s8"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714"/>
                          </w:pPr>
                          <w:r/>
                          <w:r/>
                        </w:p>
                      </w:txbxContent>
                    </wps:txbx>
                    <wps:bodyPr wrap="none" lIns="0" tIns="0" rIns="0" bIns="0" upright="1">
                      <a:spAutoFit/>
                    </wps:bodyPr>
                  </wps:wsp>
                </a:graphicData>
              </a:graphic>
            </wp:anchor>
          </w:drawing>
        </mc:Choice>
        <mc:Fallback>
          <w:pict>
            <v:shape id="shape 11" o:spid="_x0000_s11"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71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14"/>
                          </w:pPr>
                          <w:r/>
                          <w:r/>
                        </w:p>
                      </w:txbxContent>
                    </wps:txbx>
                    <wps:bodyPr wrap="none" lIns="0" tIns="0" rIns="0" bIns="0" upright="1">
                      <a:spAutoFit/>
                    </wps:bodyPr>
                  </wps:wsp>
                </a:graphicData>
              </a:graphic>
            </wp:anchor>
          </w:drawing>
        </mc:Choice>
        <mc:Fallback>
          <w:pict>
            <v:shape id="shape 12" o:spid="_x0000_s12"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71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13" o:spid="_x0000_s1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14" o:spid="_x0000_s1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15" o:spid="_x0000_s15"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14"/>
                          </w:pPr>
                          <w:r/>
                          <w:r/>
                        </w:p>
                        <w:p>
                          <w:pPr>
                            <w:pStyle w:val="1714"/>
                          </w:pPr>
                          <w:r/>
                          <w:r/>
                        </w:p>
                      </w:txbxContent>
                    </wps:txbx>
                    <wps:bodyPr wrap="none" lIns="0" tIns="0" rIns="0" bIns="0" upright="1">
                      <a:spAutoFit/>
                    </wps:bodyPr>
                  </wps:wsp>
                </a:graphicData>
              </a:graphic>
            </wp:anchor>
          </w:drawing>
        </mc:Choice>
        <mc:Fallback>
          <w:pict>
            <v:shape id="shape 16" o:spid="_x0000_s1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14"/>
                    </w:pPr>
                    <w:r/>
                    <w:r/>
                  </w:p>
                  <w:p>
                    <w:pPr>
                      <w:pStyle w:val="171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714"/>
                          </w:pPr>
                          <w:r/>
                          <w:r/>
                        </w:p>
                        <w:p>
                          <w:pPr>
                            <w:pStyle w:val="1714"/>
                          </w:pPr>
                          <w:r/>
                          <w:r/>
                        </w:p>
                      </w:txbxContent>
                    </wps:txbx>
                    <wps:bodyPr wrap="none" lIns="0" tIns="0" rIns="0" bIns="0" upright="1">
                      <a:spAutoFit/>
                    </wps:bodyPr>
                  </wps:wsp>
                </a:graphicData>
              </a:graphic>
            </wp:anchor>
          </w:drawing>
        </mc:Choice>
        <mc:Fallback>
          <w:pict>
            <v:shape id="shape 17" o:spid="_x0000_s1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0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714"/>
                    </w:pPr>
                    <w:r/>
                    <w:r/>
                  </w:p>
                  <w:p>
                    <w:pPr>
                      <w:pStyle w:val="171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0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714"/>
                          </w:pPr>
                          <w:r/>
                          <w:r/>
                        </w:p>
                        <w:p>
                          <w:pPr>
                            <w:pStyle w:val="1714"/>
                          </w:pPr>
                          <w:r/>
                          <w:r/>
                        </w:p>
                      </w:txbxContent>
                    </wps:txbx>
                    <wps:bodyPr wrap="none" lIns="0" tIns="0" rIns="0" bIns="0" upright="1">
                      <a:spAutoFit/>
                    </wps:bodyPr>
                  </wps:wsp>
                </a:graphicData>
              </a:graphic>
            </wp:anchor>
          </w:drawing>
        </mc:Choice>
        <mc:Fallback>
          <w:pict>
            <v:shape id="shape 18" o:spid="_x0000_s18"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04"/>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714"/>
                    </w:pPr>
                    <w:r/>
                    <w:r/>
                  </w:p>
                  <w:p>
                    <w:pPr>
                      <w:pStyle w:val="1714"/>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14"/>
                          </w:pPr>
                          <w:r/>
                          <w:r/>
                        </w:p>
                      </w:txbxContent>
                    </wps:txbx>
                    <wps:bodyPr wrap="none" lIns="0" tIns="0" rIns="0" bIns="0" upright="1">
                      <a:spAutoFit/>
                    </wps:bodyPr>
                  </wps:wsp>
                </a:graphicData>
              </a:graphic>
            </wp:anchor>
          </w:drawing>
        </mc:Choice>
        <mc:Fallback>
          <w:pict>
            <v:shape id="shape 19" o:spid="_x0000_s19"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714"/>
                    </w:pPr>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714"/>
                          </w:pPr>
                          <w:r/>
                          <w:r/>
                        </w:p>
                      </w:txbxContent>
                    </wps:txbx>
                    <wps:bodyPr wrap="none" lIns="0" tIns="0" rIns="0" bIns="0" upright="1">
                      <a:spAutoFit/>
                    </wps:bodyPr>
                  </wps:wsp>
                </a:graphicData>
              </a:graphic>
            </wp:anchor>
          </w:drawing>
        </mc:Choice>
        <mc:Fallback>
          <w:pict>
            <v:shape id="shape 20" o:spid="_x0000_s20"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714"/>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714"/>
                          </w:pPr>
                          <w:r/>
                          <w:r/>
                        </w:p>
                      </w:txbxContent>
                    </wps:txbx>
                    <wps:bodyPr wrap="none" lIns="0" tIns="0" rIns="0" bIns="0" upright="1">
                      <a:spAutoFit/>
                    </wps:bodyPr>
                  </wps:wsp>
                </a:graphicData>
              </a:graphic>
            </wp:anchor>
          </w:drawing>
        </mc:Choice>
        <mc:Fallback>
          <w:pict>
            <v:shape id="shape 21" o:spid="_x0000_s21" o:spt="202" type="#_x0000_t202" style="position:absolute;z-index:25165825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74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714"/>
                    </w:pPr>
                    <w:r/>
                    <w:r/>
                  </w:p>
                </w:txbxContent>
              </v:textbox>
            </v:shape>
          </w:pict>
        </mc:Fallback>
      </mc:AlternateContent>
    </w:r>
    <w:r>
      <w:rPr>
        <w:rFonts w:hint="eastAsia"/>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47"/>
      <w:spacing w:after="240"/>
      <w:tabs>
        <w:tab w:val="center" w:pos="4153" w:leader="none"/>
        <w:tab w:val="right" w:pos="8306" w:leader="none"/>
      </w:tabs>
      <w:rPr>
        <w:rStyle w:val="1768"/>
      </w:rPr>
      <w:framePr w:wrap="around" w:vAnchor="text" w:hAnchor="margin" w:xAlign="center" w:y="1"/>
    </w:pPr>
    <w:r>
      <w:fldChar w:fldCharType="begin"/>
    </w:r>
    <w:r>
      <w:rPr>
        <w:rStyle w:val="1768"/>
      </w:rPr>
      <w:instrText xml:space="preserve">PAGE  </w:instrText>
    </w:r>
    <w:r>
      <w:fldChar w:fldCharType="end"/>
    </w:r>
    <w:r>
      <w:rPr>
        <w:rStyle w:val="1768"/>
      </w:rPr>
    </w:r>
    <w:r/>
  </w:p>
  <w:p>
    <w:pPr>
      <w:pStyle w:val="1747"/>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1"/>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1"/>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1"/>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1"/>
      <w:jc w:val="both"/>
      <w:tabs>
        <w:tab w:val="center" w:pos="4153" w:leader="none"/>
        <w:tab w:val="right" w:pos="8306" w:leader="none"/>
      </w:tabs>
      <w:rPr>
        <w:rFonts w:ascii="宋体" w:hAnsi="宋体" w:cs="宋体"/>
        <w:szCs w:val="18"/>
      </w:rPr>
      <w:pBdr>
        <w:top w:val="none" w:color="000000" w:sz="0" w:space="0"/>
        <w:left w:val="none" w:color="000000" w:sz="0" w:space="0"/>
        <w:bottom w:val="none" w:color="000000" w:sz="0" w:space="1"/>
        <w:right w:val="none" w:color="000000" w:sz="0" w:space="0"/>
        <w:between w:val="none" w:color="000000" w:sz="0" w:space="0"/>
      </w:pBdr>
    </w:pPr>
    <w:r>
      <w:rPr>
        <w:rFonts w:ascii="宋体" w:hAnsi="宋体" w:cs="宋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1"/>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51"/>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3"/>
      <w:jc w:val="both"/>
      <w:tabs>
        <w:tab w:val="center" w:pos="4153" w:leader="none"/>
        <w:tab w:val="right" w:pos="8306" w:leader="none"/>
      </w:tabs>
      <w:rPr>
        <w:rFonts w:hint="eastAsia" w:ascii="宋体" w:hAnsi="宋体" w:eastAsia="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eastAsia="宋体" w:cs="宋体"/>
        <w:sz w:val="15"/>
        <w:szCs w:val="15"/>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03"/>
      <w:jc w:val="both"/>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714"/>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714"/>
        <w:ind w:left="840" w:hanging="420"/>
        <w:tabs>
          <w:tab w:val="num" w:pos="840" w:leader="none"/>
        </w:tabs>
      </w:pPr>
      <w:rPr>
        <w:rFonts w:cs="Times New Roman"/>
      </w:rPr>
    </w:lvl>
    <w:lvl w:ilvl="2">
      <w:start w:val="10"/>
      <w:numFmt w:val="decimal"/>
      <w:isLgl w:val="false"/>
      <w:suff w:val="tab"/>
      <w:lvlText w:val="%3."/>
      <w:lvlJc w:val="left"/>
      <w:pPr>
        <w:pStyle w:val="1714"/>
        <w:ind w:left="1200" w:hanging="360"/>
        <w:tabs>
          <w:tab w:val="num" w:pos="1200" w:leader="none"/>
        </w:tabs>
      </w:pPr>
      <w:rPr>
        <w:rFonts w:cs="Times New Roman"/>
      </w:rPr>
    </w:lvl>
    <w:lvl w:ilvl="3">
      <w:start w:val="1"/>
      <w:numFmt w:val="decimal"/>
      <w:isLgl w:val="false"/>
      <w:suff w:val="tab"/>
      <w:lvlText w:val="%4."/>
      <w:lvlJc w:val="left"/>
      <w:pPr>
        <w:pStyle w:val="1714"/>
        <w:ind w:left="1680" w:hanging="420"/>
        <w:tabs>
          <w:tab w:val="num" w:pos="1680" w:leader="none"/>
        </w:tabs>
      </w:pPr>
      <w:rPr>
        <w:rFonts w:cs="Times New Roman"/>
      </w:rPr>
    </w:lvl>
    <w:lvl w:ilvl="4">
      <w:start w:val="1"/>
      <w:numFmt w:val="lowerLetter"/>
      <w:isLgl w:val="false"/>
      <w:suff w:val="tab"/>
      <w:lvlText w:val="%5)"/>
      <w:lvlJc w:val="left"/>
      <w:pPr>
        <w:pStyle w:val="1714"/>
        <w:ind w:left="2100" w:hanging="420"/>
        <w:tabs>
          <w:tab w:val="num" w:pos="2100" w:leader="none"/>
        </w:tabs>
      </w:pPr>
      <w:rPr>
        <w:rFonts w:cs="Times New Roman"/>
      </w:rPr>
    </w:lvl>
    <w:lvl w:ilvl="5">
      <w:start w:val="1"/>
      <w:numFmt w:val="lowerRoman"/>
      <w:isLgl w:val="false"/>
      <w:suff w:val="tab"/>
      <w:lvlText w:val="%6."/>
      <w:lvlJc w:val="right"/>
      <w:pPr>
        <w:pStyle w:val="1714"/>
        <w:ind w:left="2520" w:hanging="420"/>
        <w:tabs>
          <w:tab w:val="num" w:pos="2520" w:leader="none"/>
        </w:tabs>
      </w:pPr>
      <w:rPr>
        <w:rFonts w:cs="Times New Roman"/>
      </w:rPr>
    </w:lvl>
    <w:lvl w:ilvl="6">
      <w:start w:val="1"/>
      <w:numFmt w:val="decimal"/>
      <w:isLgl w:val="false"/>
      <w:suff w:val="tab"/>
      <w:lvlText w:val="%7."/>
      <w:lvlJc w:val="left"/>
      <w:pPr>
        <w:pStyle w:val="1714"/>
        <w:ind w:left="2940" w:hanging="420"/>
        <w:tabs>
          <w:tab w:val="num" w:pos="2940" w:leader="none"/>
        </w:tabs>
      </w:pPr>
      <w:rPr>
        <w:rFonts w:cs="Times New Roman"/>
      </w:rPr>
    </w:lvl>
    <w:lvl w:ilvl="7">
      <w:start w:val="1"/>
      <w:numFmt w:val="lowerLetter"/>
      <w:isLgl w:val="false"/>
      <w:suff w:val="tab"/>
      <w:lvlText w:val="%8)"/>
      <w:lvlJc w:val="left"/>
      <w:pPr>
        <w:pStyle w:val="1714"/>
        <w:ind w:left="3360" w:hanging="420"/>
        <w:tabs>
          <w:tab w:val="num" w:pos="3360" w:leader="none"/>
        </w:tabs>
      </w:pPr>
      <w:rPr>
        <w:rFonts w:cs="Times New Roman"/>
      </w:rPr>
    </w:lvl>
    <w:lvl w:ilvl="8">
      <w:start w:val="1"/>
      <w:numFmt w:val="lowerRoman"/>
      <w:isLgl w:val="false"/>
      <w:suff w:val="tab"/>
      <w:lvlText w:val="%9."/>
      <w:lvlJc w:val="right"/>
      <w:pPr>
        <w:pStyle w:val="1714"/>
        <w:ind w:left="3780" w:hanging="420"/>
        <w:tabs>
          <w:tab w:val="num" w:pos="3780" w:leader="none"/>
        </w:tabs>
      </w:pPr>
      <w:rPr>
        <w:rFonts w:cs="Times New Roman"/>
      </w:rPr>
    </w:lvl>
  </w:abstractNum>
  <w:abstractNum w:abstractNumId="1">
    <w:multiLevelType w:val="hybridMultilevel"/>
    <w:lvl w:ilvl="0">
      <w:start w:val="1"/>
      <w:numFmt w:val="upperLetter"/>
      <w:pStyle w:val="1719"/>
      <w:isLgl w:val="false"/>
      <w:suff w:val="tab"/>
      <w:lvlText w:val="%1."/>
      <w:lvlJc w:val="left"/>
      <w:pPr>
        <w:pStyle w:val="1714"/>
        <w:ind w:left="360" w:hanging="360"/>
        <w:tabs>
          <w:tab w:val="num" w:pos="360" w:leader="none"/>
        </w:tabs>
      </w:pPr>
      <w:rPr>
        <w:rFonts w:cs="Times New Roman"/>
      </w:rPr>
    </w:lvl>
    <w:lvl w:ilvl="1">
      <w:start w:val="1"/>
      <w:numFmt w:val="lowerLetter"/>
      <w:isLgl w:val="false"/>
      <w:suff w:val="tab"/>
      <w:lvlText w:val="%2)"/>
      <w:lvlJc w:val="left"/>
      <w:pPr>
        <w:pStyle w:val="1714"/>
        <w:ind w:left="840" w:hanging="420"/>
        <w:tabs>
          <w:tab w:val="num" w:pos="840" w:leader="none"/>
        </w:tabs>
      </w:pPr>
      <w:rPr>
        <w:rFonts w:cs="Times New Roman"/>
      </w:rPr>
    </w:lvl>
    <w:lvl w:ilvl="2">
      <w:start w:val="1"/>
      <w:numFmt w:val="lowerRoman"/>
      <w:isLgl w:val="false"/>
      <w:suff w:val="tab"/>
      <w:lvlText w:val="%3."/>
      <w:lvlJc w:val="right"/>
      <w:pPr>
        <w:pStyle w:val="1714"/>
        <w:ind w:left="1260" w:hanging="420"/>
        <w:tabs>
          <w:tab w:val="num" w:pos="1260" w:leader="none"/>
        </w:tabs>
      </w:pPr>
      <w:rPr>
        <w:rFonts w:cs="Times New Roman"/>
      </w:rPr>
    </w:lvl>
    <w:lvl w:ilvl="3">
      <w:start w:val="1"/>
      <w:numFmt w:val="decimal"/>
      <w:isLgl w:val="false"/>
      <w:suff w:val="tab"/>
      <w:lvlText w:val="%4."/>
      <w:lvlJc w:val="left"/>
      <w:pPr>
        <w:pStyle w:val="1714"/>
        <w:ind w:left="1680" w:hanging="420"/>
        <w:tabs>
          <w:tab w:val="num" w:pos="1680" w:leader="none"/>
        </w:tabs>
      </w:pPr>
      <w:rPr>
        <w:rFonts w:cs="Times New Roman"/>
      </w:rPr>
    </w:lvl>
    <w:lvl w:ilvl="4">
      <w:start w:val="1"/>
      <w:numFmt w:val="lowerLetter"/>
      <w:isLgl w:val="false"/>
      <w:suff w:val="tab"/>
      <w:lvlText w:val="%5)"/>
      <w:lvlJc w:val="left"/>
      <w:pPr>
        <w:pStyle w:val="1714"/>
        <w:ind w:left="2100" w:hanging="420"/>
        <w:tabs>
          <w:tab w:val="num" w:pos="2100" w:leader="none"/>
        </w:tabs>
      </w:pPr>
      <w:rPr>
        <w:rFonts w:cs="Times New Roman"/>
      </w:rPr>
    </w:lvl>
    <w:lvl w:ilvl="5">
      <w:start w:val="1"/>
      <w:numFmt w:val="lowerRoman"/>
      <w:isLgl w:val="false"/>
      <w:suff w:val="tab"/>
      <w:lvlText w:val="%6."/>
      <w:lvlJc w:val="right"/>
      <w:pPr>
        <w:pStyle w:val="1714"/>
        <w:ind w:left="2520" w:hanging="420"/>
        <w:tabs>
          <w:tab w:val="num" w:pos="2520" w:leader="none"/>
        </w:tabs>
      </w:pPr>
      <w:rPr>
        <w:rFonts w:cs="Times New Roman"/>
      </w:rPr>
    </w:lvl>
    <w:lvl w:ilvl="6">
      <w:start w:val="1"/>
      <w:numFmt w:val="decimal"/>
      <w:isLgl w:val="false"/>
      <w:suff w:val="tab"/>
      <w:lvlText w:val="%7."/>
      <w:lvlJc w:val="left"/>
      <w:pPr>
        <w:pStyle w:val="1714"/>
        <w:ind w:left="2940" w:hanging="420"/>
        <w:tabs>
          <w:tab w:val="num" w:pos="2940" w:leader="none"/>
        </w:tabs>
      </w:pPr>
      <w:rPr>
        <w:rFonts w:cs="Times New Roman"/>
      </w:rPr>
    </w:lvl>
    <w:lvl w:ilvl="7">
      <w:start w:val="1"/>
      <w:numFmt w:val="lowerLetter"/>
      <w:isLgl w:val="false"/>
      <w:suff w:val="tab"/>
      <w:lvlText w:val="%8)"/>
      <w:lvlJc w:val="left"/>
      <w:pPr>
        <w:pStyle w:val="1714"/>
        <w:ind w:left="3360" w:hanging="420"/>
        <w:tabs>
          <w:tab w:val="num" w:pos="3360" w:leader="none"/>
        </w:tabs>
      </w:pPr>
      <w:rPr>
        <w:rFonts w:cs="Times New Roman"/>
      </w:rPr>
    </w:lvl>
    <w:lvl w:ilvl="8">
      <w:start w:val="1"/>
      <w:numFmt w:val="lowerRoman"/>
      <w:isLgl w:val="false"/>
      <w:suff w:val="tab"/>
      <w:lvlText w:val="%9."/>
      <w:lvlJc w:val="right"/>
      <w:pPr>
        <w:pStyle w:val="1714"/>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37">
    <w:name w:val="Heading 1"/>
    <w:basedOn w:val="1714"/>
    <w:next w:val="1714"/>
    <w:link w:val="1538"/>
    <w:uiPriority w:val="9"/>
    <w:qFormat/>
    <w:pPr>
      <w:keepLines/>
      <w:keepNext/>
      <w:spacing w:before="480" w:after="200"/>
      <w:outlineLvl w:val="0"/>
    </w:pPr>
    <w:rPr>
      <w:rFonts w:ascii="Arial" w:hAnsi="Arial" w:eastAsia="Arial" w:cs="Arial"/>
      <w:sz w:val="40"/>
      <w:szCs w:val="40"/>
    </w:rPr>
  </w:style>
  <w:style w:type="character" w:styleId="1538">
    <w:name w:val="Heading 1 Char"/>
    <w:link w:val="1537"/>
    <w:uiPriority w:val="9"/>
    <w:rPr>
      <w:rFonts w:ascii="Arial" w:hAnsi="Arial" w:eastAsia="Arial" w:cs="Arial"/>
      <w:sz w:val="40"/>
      <w:szCs w:val="40"/>
    </w:rPr>
  </w:style>
  <w:style w:type="paragraph" w:styleId="1539">
    <w:name w:val="Heading 2"/>
    <w:basedOn w:val="1714"/>
    <w:next w:val="1714"/>
    <w:link w:val="1540"/>
    <w:uiPriority w:val="9"/>
    <w:unhideWhenUsed/>
    <w:qFormat/>
    <w:pPr>
      <w:keepLines/>
      <w:keepNext/>
      <w:spacing w:before="360" w:after="200"/>
      <w:outlineLvl w:val="1"/>
    </w:pPr>
    <w:rPr>
      <w:rFonts w:ascii="Arial" w:hAnsi="Arial" w:eastAsia="Arial" w:cs="Arial"/>
      <w:sz w:val="34"/>
    </w:rPr>
  </w:style>
  <w:style w:type="character" w:styleId="1540">
    <w:name w:val="Heading 2 Char"/>
    <w:link w:val="1539"/>
    <w:uiPriority w:val="9"/>
    <w:rPr>
      <w:rFonts w:ascii="Arial" w:hAnsi="Arial" w:eastAsia="Arial" w:cs="Arial"/>
      <w:sz w:val="34"/>
    </w:rPr>
  </w:style>
  <w:style w:type="paragraph" w:styleId="1541">
    <w:name w:val="Heading 3"/>
    <w:basedOn w:val="1714"/>
    <w:next w:val="1714"/>
    <w:link w:val="1542"/>
    <w:uiPriority w:val="9"/>
    <w:unhideWhenUsed/>
    <w:qFormat/>
    <w:pPr>
      <w:keepLines/>
      <w:keepNext/>
      <w:spacing w:before="320" w:after="200"/>
      <w:outlineLvl w:val="2"/>
    </w:pPr>
    <w:rPr>
      <w:rFonts w:ascii="Arial" w:hAnsi="Arial" w:eastAsia="Arial" w:cs="Arial"/>
      <w:sz w:val="30"/>
      <w:szCs w:val="30"/>
    </w:rPr>
  </w:style>
  <w:style w:type="character" w:styleId="1542">
    <w:name w:val="Heading 3 Char"/>
    <w:link w:val="1541"/>
    <w:uiPriority w:val="9"/>
    <w:rPr>
      <w:rFonts w:ascii="Arial" w:hAnsi="Arial" w:eastAsia="Arial" w:cs="Arial"/>
      <w:sz w:val="30"/>
      <w:szCs w:val="30"/>
    </w:rPr>
  </w:style>
  <w:style w:type="paragraph" w:styleId="1543">
    <w:name w:val="Heading 4"/>
    <w:basedOn w:val="1714"/>
    <w:next w:val="1714"/>
    <w:link w:val="1544"/>
    <w:uiPriority w:val="9"/>
    <w:unhideWhenUsed/>
    <w:qFormat/>
    <w:pPr>
      <w:keepLines/>
      <w:keepNext/>
      <w:spacing w:before="320" w:after="200"/>
      <w:outlineLvl w:val="3"/>
    </w:pPr>
    <w:rPr>
      <w:rFonts w:ascii="Arial" w:hAnsi="Arial" w:eastAsia="Arial" w:cs="Arial"/>
      <w:b/>
      <w:bCs/>
      <w:sz w:val="26"/>
      <w:szCs w:val="26"/>
    </w:rPr>
  </w:style>
  <w:style w:type="character" w:styleId="1544">
    <w:name w:val="Heading 4 Char"/>
    <w:link w:val="1543"/>
    <w:uiPriority w:val="9"/>
    <w:rPr>
      <w:rFonts w:ascii="Arial" w:hAnsi="Arial" w:eastAsia="Arial" w:cs="Arial"/>
      <w:b/>
      <w:bCs/>
      <w:sz w:val="26"/>
      <w:szCs w:val="26"/>
    </w:rPr>
  </w:style>
  <w:style w:type="paragraph" w:styleId="1545">
    <w:name w:val="Heading 5"/>
    <w:basedOn w:val="1714"/>
    <w:next w:val="1714"/>
    <w:link w:val="1546"/>
    <w:uiPriority w:val="9"/>
    <w:unhideWhenUsed/>
    <w:qFormat/>
    <w:pPr>
      <w:keepLines/>
      <w:keepNext/>
      <w:spacing w:before="320" w:after="200"/>
      <w:outlineLvl w:val="4"/>
    </w:pPr>
    <w:rPr>
      <w:rFonts w:ascii="Arial" w:hAnsi="Arial" w:eastAsia="Arial" w:cs="Arial"/>
      <w:b/>
      <w:bCs/>
      <w:sz w:val="24"/>
      <w:szCs w:val="24"/>
    </w:rPr>
  </w:style>
  <w:style w:type="character" w:styleId="1546">
    <w:name w:val="Heading 5 Char"/>
    <w:link w:val="1545"/>
    <w:uiPriority w:val="9"/>
    <w:rPr>
      <w:rFonts w:ascii="Arial" w:hAnsi="Arial" w:eastAsia="Arial" w:cs="Arial"/>
      <w:b/>
      <w:bCs/>
      <w:sz w:val="24"/>
      <w:szCs w:val="24"/>
    </w:rPr>
  </w:style>
  <w:style w:type="paragraph" w:styleId="1547">
    <w:name w:val="Heading 6"/>
    <w:basedOn w:val="1714"/>
    <w:next w:val="1714"/>
    <w:link w:val="1548"/>
    <w:uiPriority w:val="9"/>
    <w:unhideWhenUsed/>
    <w:qFormat/>
    <w:pPr>
      <w:keepLines/>
      <w:keepNext/>
      <w:spacing w:before="320" w:after="200"/>
      <w:outlineLvl w:val="5"/>
    </w:pPr>
    <w:rPr>
      <w:rFonts w:ascii="Arial" w:hAnsi="Arial" w:eastAsia="Arial" w:cs="Arial"/>
      <w:b/>
      <w:bCs/>
      <w:sz w:val="22"/>
      <w:szCs w:val="22"/>
    </w:rPr>
  </w:style>
  <w:style w:type="character" w:styleId="1548">
    <w:name w:val="Heading 6 Char"/>
    <w:link w:val="1547"/>
    <w:uiPriority w:val="9"/>
    <w:rPr>
      <w:rFonts w:ascii="Arial" w:hAnsi="Arial" w:eastAsia="Arial" w:cs="Arial"/>
      <w:b/>
      <w:bCs/>
      <w:sz w:val="22"/>
      <w:szCs w:val="22"/>
    </w:rPr>
  </w:style>
  <w:style w:type="paragraph" w:styleId="1549">
    <w:name w:val="Heading 7"/>
    <w:basedOn w:val="1714"/>
    <w:next w:val="1714"/>
    <w:link w:val="1550"/>
    <w:uiPriority w:val="9"/>
    <w:unhideWhenUsed/>
    <w:qFormat/>
    <w:pPr>
      <w:keepLines/>
      <w:keepNext/>
      <w:spacing w:before="320" w:after="200"/>
      <w:outlineLvl w:val="6"/>
    </w:pPr>
    <w:rPr>
      <w:rFonts w:ascii="Arial" w:hAnsi="Arial" w:eastAsia="Arial" w:cs="Arial"/>
      <w:b/>
      <w:bCs/>
      <w:i/>
      <w:iCs/>
      <w:sz w:val="22"/>
      <w:szCs w:val="22"/>
    </w:rPr>
  </w:style>
  <w:style w:type="character" w:styleId="1550">
    <w:name w:val="Heading 7 Char"/>
    <w:link w:val="1549"/>
    <w:uiPriority w:val="9"/>
    <w:rPr>
      <w:rFonts w:ascii="Arial" w:hAnsi="Arial" w:eastAsia="Arial" w:cs="Arial"/>
      <w:b/>
      <w:bCs/>
      <w:i/>
      <w:iCs/>
      <w:sz w:val="22"/>
      <w:szCs w:val="22"/>
    </w:rPr>
  </w:style>
  <w:style w:type="paragraph" w:styleId="1551">
    <w:name w:val="Heading 8"/>
    <w:basedOn w:val="1714"/>
    <w:next w:val="1714"/>
    <w:link w:val="1552"/>
    <w:uiPriority w:val="9"/>
    <w:unhideWhenUsed/>
    <w:qFormat/>
    <w:pPr>
      <w:keepLines/>
      <w:keepNext/>
      <w:spacing w:before="320" w:after="200"/>
      <w:outlineLvl w:val="7"/>
    </w:pPr>
    <w:rPr>
      <w:rFonts w:ascii="Arial" w:hAnsi="Arial" w:eastAsia="Arial" w:cs="Arial"/>
      <w:i/>
      <w:iCs/>
      <w:sz w:val="22"/>
      <w:szCs w:val="22"/>
    </w:rPr>
  </w:style>
  <w:style w:type="character" w:styleId="1552">
    <w:name w:val="Heading 8 Char"/>
    <w:link w:val="1551"/>
    <w:uiPriority w:val="9"/>
    <w:rPr>
      <w:rFonts w:ascii="Arial" w:hAnsi="Arial" w:eastAsia="Arial" w:cs="Arial"/>
      <w:i/>
      <w:iCs/>
      <w:sz w:val="22"/>
      <w:szCs w:val="22"/>
    </w:rPr>
  </w:style>
  <w:style w:type="paragraph" w:styleId="1553">
    <w:name w:val="Heading 9"/>
    <w:basedOn w:val="1714"/>
    <w:next w:val="1714"/>
    <w:link w:val="1554"/>
    <w:uiPriority w:val="9"/>
    <w:unhideWhenUsed/>
    <w:qFormat/>
    <w:pPr>
      <w:keepLines/>
      <w:keepNext/>
      <w:spacing w:before="320" w:after="200"/>
      <w:outlineLvl w:val="8"/>
    </w:pPr>
    <w:rPr>
      <w:rFonts w:ascii="Arial" w:hAnsi="Arial" w:eastAsia="Arial" w:cs="Arial"/>
      <w:i/>
      <w:iCs/>
      <w:sz w:val="21"/>
      <w:szCs w:val="21"/>
    </w:rPr>
  </w:style>
  <w:style w:type="character" w:styleId="1554">
    <w:name w:val="Heading 9 Char"/>
    <w:link w:val="1553"/>
    <w:uiPriority w:val="9"/>
    <w:rPr>
      <w:rFonts w:ascii="Arial" w:hAnsi="Arial" w:eastAsia="Arial" w:cs="Arial"/>
      <w:i/>
      <w:iCs/>
      <w:sz w:val="21"/>
      <w:szCs w:val="21"/>
    </w:rPr>
  </w:style>
  <w:style w:type="paragraph" w:styleId="1555">
    <w:name w:val="No Spacing"/>
    <w:uiPriority w:val="1"/>
    <w:qFormat/>
    <w:pPr>
      <w:spacing w:before="0" w:after="0" w:line="240" w:lineRule="auto"/>
    </w:pPr>
  </w:style>
  <w:style w:type="paragraph" w:styleId="1556">
    <w:name w:val="Title"/>
    <w:basedOn w:val="1714"/>
    <w:next w:val="1714"/>
    <w:link w:val="1557"/>
    <w:uiPriority w:val="10"/>
    <w:qFormat/>
    <w:pPr>
      <w:contextualSpacing/>
      <w:spacing w:before="300" w:after="200"/>
    </w:pPr>
    <w:rPr>
      <w:sz w:val="48"/>
      <w:szCs w:val="48"/>
    </w:rPr>
  </w:style>
  <w:style w:type="character" w:styleId="1557">
    <w:name w:val="Title Char"/>
    <w:link w:val="1556"/>
    <w:uiPriority w:val="10"/>
    <w:rPr>
      <w:sz w:val="48"/>
      <w:szCs w:val="48"/>
    </w:rPr>
  </w:style>
  <w:style w:type="paragraph" w:styleId="1558">
    <w:name w:val="Subtitle"/>
    <w:basedOn w:val="1714"/>
    <w:next w:val="1714"/>
    <w:link w:val="1559"/>
    <w:uiPriority w:val="11"/>
    <w:qFormat/>
    <w:pPr>
      <w:spacing w:before="200" w:after="200"/>
    </w:pPr>
    <w:rPr>
      <w:sz w:val="24"/>
      <w:szCs w:val="24"/>
    </w:rPr>
  </w:style>
  <w:style w:type="character" w:styleId="1559">
    <w:name w:val="Subtitle Char"/>
    <w:link w:val="1558"/>
    <w:uiPriority w:val="11"/>
    <w:rPr>
      <w:sz w:val="24"/>
      <w:szCs w:val="24"/>
    </w:rPr>
  </w:style>
  <w:style w:type="paragraph" w:styleId="1560">
    <w:name w:val="Quote"/>
    <w:basedOn w:val="1714"/>
    <w:next w:val="1714"/>
    <w:link w:val="1561"/>
    <w:uiPriority w:val="29"/>
    <w:qFormat/>
    <w:pPr>
      <w:ind w:left="720" w:right="720"/>
    </w:pPr>
    <w:rPr>
      <w:i/>
    </w:rPr>
  </w:style>
  <w:style w:type="character" w:styleId="1561">
    <w:name w:val="Quote Char"/>
    <w:link w:val="1560"/>
    <w:uiPriority w:val="29"/>
    <w:rPr>
      <w:i/>
    </w:rPr>
  </w:style>
  <w:style w:type="paragraph" w:styleId="1562">
    <w:name w:val="Intense Quote"/>
    <w:basedOn w:val="1714"/>
    <w:next w:val="1714"/>
    <w:link w:val="15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63">
    <w:name w:val="Intense Quote Char"/>
    <w:link w:val="1562"/>
    <w:uiPriority w:val="30"/>
    <w:rPr>
      <w:i/>
    </w:rPr>
  </w:style>
  <w:style w:type="paragraph" w:styleId="1564">
    <w:name w:val="Header"/>
    <w:basedOn w:val="1714"/>
    <w:link w:val="1565"/>
    <w:uiPriority w:val="99"/>
    <w:unhideWhenUsed/>
    <w:pPr>
      <w:spacing w:after="0" w:line="240" w:lineRule="auto"/>
      <w:tabs>
        <w:tab w:val="center" w:pos="7143" w:leader="none"/>
        <w:tab w:val="right" w:pos="14287" w:leader="none"/>
      </w:tabs>
    </w:pPr>
  </w:style>
  <w:style w:type="character" w:styleId="1565">
    <w:name w:val="Header Char"/>
    <w:link w:val="1564"/>
    <w:uiPriority w:val="99"/>
  </w:style>
  <w:style w:type="paragraph" w:styleId="1566">
    <w:name w:val="Footer"/>
    <w:basedOn w:val="1714"/>
    <w:link w:val="1569"/>
    <w:uiPriority w:val="99"/>
    <w:unhideWhenUsed/>
    <w:pPr>
      <w:spacing w:after="0" w:line="240" w:lineRule="auto"/>
      <w:tabs>
        <w:tab w:val="center" w:pos="7143" w:leader="none"/>
        <w:tab w:val="right" w:pos="14287" w:leader="none"/>
      </w:tabs>
    </w:pPr>
  </w:style>
  <w:style w:type="character" w:styleId="1567">
    <w:name w:val="Footer Char"/>
    <w:link w:val="1566"/>
    <w:uiPriority w:val="99"/>
  </w:style>
  <w:style w:type="paragraph" w:styleId="1568">
    <w:name w:val="Caption"/>
    <w:basedOn w:val="1714"/>
    <w:next w:val="1714"/>
    <w:uiPriority w:val="35"/>
    <w:semiHidden/>
    <w:unhideWhenUsed/>
    <w:qFormat/>
    <w:pPr>
      <w:spacing w:line="276" w:lineRule="auto"/>
    </w:pPr>
    <w:rPr>
      <w:b/>
      <w:bCs/>
      <w:color w:val="4f81bd" w:themeColor="accent1"/>
      <w:sz w:val="18"/>
      <w:szCs w:val="18"/>
    </w:rPr>
  </w:style>
  <w:style w:type="character" w:styleId="1569">
    <w:name w:val="Caption Char"/>
    <w:basedOn w:val="1568"/>
    <w:link w:val="1566"/>
    <w:uiPriority w:val="99"/>
  </w:style>
  <w:style w:type="table" w:styleId="15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6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6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6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6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6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6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6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6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6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6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6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6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6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6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6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6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6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6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6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6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6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6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6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96">
    <w:name w:val="Hyperlink"/>
    <w:uiPriority w:val="99"/>
    <w:unhideWhenUsed/>
    <w:rPr>
      <w:color w:val="0000ff" w:themeColor="hyperlink"/>
      <w:u w:val="single"/>
    </w:rPr>
  </w:style>
  <w:style w:type="paragraph" w:styleId="1697">
    <w:name w:val="footnote text"/>
    <w:basedOn w:val="1714"/>
    <w:link w:val="1698"/>
    <w:uiPriority w:val="99"/>
    <w:semiHidden/>
    <w:unhideWhenUsed/>
    <w:pPr>
      <w:spacing w:after="40" w:line="240" w:lineRule="auto"/>
    </w:pPr>
    <w:rPr>
      <w:sz w:val="18"/>
    </w:rPr>
  </w:style>
  <w:style w:type="character" w:styleId="1698">
    <w:name w:val="Footnote Text Char"/>
    <w:link w:val="1697"/>
    <w:uiPriority w:val="99"/>
    <w:rPr>
      <w:sz w:val="18"/>
    </w:rPr>
  </w:style>
  <w:style w:type="character" w:styleId="1699">
    <w:name w:val="footnote reference"/>
    <w:uiPriority w:val="99"/>
    <w:unhideWhenUsed/>
    <w:rPr>
      <w:vertAlign w:val="superscript"/>
    </w:rPr>
  </w:style>
  <w:style w:type="paragraph" w:styleId="1700">
    <w:name w:val="endnote text"/>
    <w:basedOn w:val="1714"/>
    <w:link w:val="1701"/>
    <w:uiPriority w:val="99"/>
    <w:semiHidden/>
    <w:unhideWhenUsed/>
    <w:pPr>
      <w:spacing w:after="0" w:line="240" w:lineRule="auto"/>
    </w:pPr>
    <w:rPr>
      <w:sz w:val="20"/>
    </w:rPr>
  </w:style>
  <w:style w:type="character" w:styleId="1701">
    <w:name w:val="Endnote Text Char"/>
    <w:link w:val="1700"/>
    <w:uiPriority w:val="99"/>
    <w:rPr>
      <w:sz w:val="20"/>
    </w:rPr>
  </w:style>
  <w:style w:type="character" w:styleId="1702">
    <w:name w:val="endnote reference"/>
    <w:uiPriority w:val="99"/>
    <w:semiHidden/>
    <w:unhideWhenUsed/>
    <w:rPr>
      <w:vertAlign w:val="superscript"/>
    </w:rPr>
  </w:style>
  <w:style w:type="paragraph" w:styleId="1703">
    <w:name w:val="toc 1"/>
    <w:basedOn w:val="1714"/>
    <w:next w:val="1714"/>
    <w:uiPriority w:val="39"/>
    <w:unhideWhenUsed/>
    <w:pPr>
      <w:ind w:left="0" w:right="0" w:firstLine="0"/>
      <w:spacing w:after="57"/>
    </w:pPr>
  </w:style>
  <w:style w:type="paragraph" w:styleId="1704">
    <w:name w:val="toc 2"/>
    <w:basedOn w:val="1714"/>
    <w:next w:val="1714"/>
    <w:uiPriority w:val="39"/>
    <w:unhideWhenUsed/>
    <w:pPr>
      <w:ind w:left="283" w:right="0" w:firstLine="0"/>
      <w:spacing w:after="57"/>
    </w:pPr>
  </w:style>
  <w:style w:type="paragraph" w:styleId="1705">
    <w:name w:val="toc 3"/>
    <w:basedOn w:val="1714"/>
    <w:next w:val="1714"/>
    <w:uiPriority w:val="39"/>
    <w:unhideWhenUsed/>
    <w:pPr>
      <w:ind w:left="567" w:right="0" w:firstLine="0"/>
      <w:spacing w:after="57"/>
    </w:pPr>
  </w:style>
  <w:style w:type="paragraph" w:styleId="1706">
    <w:name w:val="toc 4"/>
    <w:basedOn w:val="1714"/>
    <w:next w:val="1714"/>
    <w:uiPriority w:val="39"/>
    <w:unhideWhenUsed/>
    <w:pPr>
      <w:ind w:left="850" w:right="0" w:firstLine="0"/>
      <w:spacing w:after="57"/>
    </w:pPr>
  </w:style>
  <w:style w:type="paragraph" w:styleId="1707">
    <w:name w:val="toc 5"/>
    <w:basedOn w:val="1714"/>
    <w:next w:val="1714"/>
    <w:uiPriority w:val="39"/>
    <w:unhideWhenUsed/>
    <w:pPr>
      <w:ind w:left="1134" w:right="0" w:firstLine="0"/>
      <w:spacing w:after="57"/>
    </w:pPr>
  </w:style>
  <w:style w:type="paragraph" w:styleId="1708">
    <w:name w:val="toc 6"/>
    <w:basedOn w:val="1714"/>
    <w:next w:val="1714"/>
    <w:uiPriority w:val="39"/>
    <w:unhideWhenUsed/>
    <w:pPr>
      <w:ind w:left="1417" w:right="0" w:firstLine="0"/>
      <w:spacing w:after="57"/>
    </w:pPr>
  </w:style>
  <w:style w:type="paragraph" w:styleId="1709">
    <w:name w:val="toc 7"/>
    <w:basedOn w:val="1714"/>
    <w:next w:val="1714"/>
    <w:uiPriority w:val="39"/>
    <w:unhideWhenUsed/>
    <w:pPr>
      <w:ind w:left="1701" w:right="0" w:firstLine="0"/>
      <w:spacing w:after="57"/>
    </w:pPr>
  </w:style>
  <w:style w:type="paragraph" w:styleId="1710">
    <w:name w:val="toc 8"/>
    <w:basedOn w:val="1714"/>
    <w:next w:val="1714"/>
    <w:uiPriority w:val="39"/>
    <w:unhideWhenUsed/>
    <w:pPr>
      <w:ind w:left="1984" w:right="0" w:firstLine="0"/>
      <w:spacing w:after="57"/>
    </w:pPr>
  </w:style>
  <w:style w:type="paragraph" w:styleId="1711">
    <w:name w:val="toc 9"/>
    <w:basedOn w:val="1714"/>
    <w:next w:val="1714"/>
    <w:uiPriority w:val="39"/>
    <w:unhideWhenUsed/>
    <w:pPr>
      <w:ind w:left="2268" w:right="0" w:firstLine="0"/>
      <w:spacing w:after="57"/>
    </w:pPr>
  </w:style>
  <w:style w:type="paragraph" w:styleId="1712">
    <w:name w:val="TOC Heading"/>
    <w:uiPriority w:val="39"/>
    <w:unhideWhenUsed/>
  </w:style>
  <w:style w:type="paragraph" w:styleId="1713">
    <w:name w:val="table of figures"/>
    <w:basedOn w:val="1714"/>
    <w:next w:val="1714"/>
    <w:uiPriority w:val="99"/>
    <w:unhideWhenUsed/>
    <w:pPr>
      <w:spacing w:after="0" w:afterAutospacing="0"/>
    </w:pPr>
  </w:style>
  <w:style w:type="paragraph" w:styleId="1714" w:default="1">
    <w:name w:val="Normal"/>
    <w:next w:val="1722"/>
    <w:link w:val="1714"/>
    <w:qFormat/>
    <w:pPr>
      <w:jc w:val="both"/>
      <w:widowControl w:val="off"/>
    </w:pPr>
    <w:rPr>
      <w:sz w:val="21"/>
      <w:lang w:val="en-US" w:eastAsia="zh-CN" w:bidi="ar-SA"/>
    </w:rPr>
  </w:style>
  <w:style w:type="paragraph" w:styleId="1715">
    <w:name w:val="标题 1"/>
    <w:basedOn w:val="1714"/>
    <w:next w:val="1714"/>
    <w:link w:val="1723"/>
    <w:qFormat/>
    <w:pPr>
      <w:jc w:val="center"/>
      <w:keepNext/>
      <w:outlineLvl w:val="0"/>
    </w:pPr>
    <w:rPr>
      <w:rFonts w:ascii="楷体_GB2312" w:hAnsi="楷体_GB2312" w:eastAsia="宋体"/>
      <w:b/>
      <w:sz w:val="28"/>
      <w:szCs w:val="32"/>
    </w:rPr>
  </w:style>
  <w:style w:type="paragraph" w:styleId="1716">
    <w:name w:val="标题 2"/>
    <w:basedOn w:val="1714"/>
    <w:next w:val="1714"/>
    <w:link w:val="1724"/>
    <w:qFormat/>
    <w:pPr>
      <w:jc w:val="center"/>
      <w:keepNext/>
      <w:outlineLvl w:val="1"/>
    </w:pPr>
    <w:rPr>
      <w:rFonts w:ascii="楷体_GB2312" w:eastAsia="楷体_GB2312"/>
      <w:b/>
      <w:bCs/>
      <w:sz w:val="18"/>
    </w:rPr>
  </w:style>
  <w:style w:type="paragraph" w:styleId="1717">
    <w:name w:val="标题 3"/>
    <w:basedOn w:val="1714"/>
    <w:next w:val="1714"/>
    <w:link w:val="1725"/>
    <w:qFormat/>
    <w:pPr>
      <w:jc w:val="center"/>
      <w:keepNext/>
      <w:outlineLvl w:val="2"/>
    </w:pPr>
    <w:rPr>
      <w:rFonts w:eastAsia="楷体_GB2312"/>
      <w:b/>
      <w:bCs/>
      <w:sz w:val="15"/>
    </w:rPr>
  </w:style>
  <w:style w:type="paragraph" w:styleId="1718">
    <w:name w:val="标题 4"/>
    <w:basedOn w:val="1714"/>
    <w:next w:val="1714"/>
    <w:link w:val="1726"/>
    <w:qFormat/>
    <w:pPr>
      <w:jc w:val="center"/>
      <w:keepNext/>
      <w:outlineLvl w:val="3"/>
    </w:pPr>
    <w:rPr>
      <w:rFonts w:eastAsia="楷体_GB2312"/>
      <w:b/>
      <w:bCs/>
      <w:sz w:val="13"/>
    </w:rPr>
  </w:style>
  <w:style w:type="paragraph" w:styleId="1719">
    <w:name w:val="标题 5"/>
    <w:basedOn w:val="1714"/>
    <w:next w:val="1714"/>
    <w:link w:val="1727"/>
    <w:qFormat/>
    <w:pPr>
      <w:numPr>
        <w:ilvl w:val="0"/>
        <w:numId w:val="1"/>
      </w:numPr>
      <w:keepNext/>
      <w:tabs>
        <w:tab w:val="left" w:pos="360" w:leader="none"/>
      </w:tabs>
      <w:outlineLvl w:val="4"/>
    </w:pPr>
    <w:rPr>
      <w:rFonts w:ascii="楷体_GB2312" w:eastAsia="楷体_GB2312"/>
      <w:bCs/>
      <w:sz w:val="28"/>
    </w:rPr>
  </w:style>
  <w:style w:type="character" w:styleId="1720">
    <w:name w:val="默认段落字体"/>
    <w:next w:val="1720"/>
    <w:link w:val="1714"/>
    <w:uiPriority w:val="1"/>
    <w:unhideWhenUsed/>
  </w:style>
  <w:style w:type="table" w:styleId="1721">
    <w:name w:val="普通表格"/>
    <w:next w:val="1721"/>
    <w:link w:val="1714"/>
    <w:uiPriority w:val="99"/>
    <w:unhideWhenUsed/>
    <w:qFormat/>
    <w:tblPr/>
  </w:style>
  <w:style w:type="paragraph" w:styleId="1722">
    <w:name w:val="段"/>
    <w:next w:val="1714"/>
    <w:link w:val="1714"/>
    <w:qFormat/>
    <w:pPr>
      <w:ind w:firstLine="200"/>
      <w:jc w:val="both"/>
    </w:pPr>
    <w:rPr>
      <w:rFonts w:ascii="宋体" w:hAnsi="Times New Roman" w:eastAsia="宋体" w:cs="Times New Roman"/>
      <w:sz w:val="21"/>
      <w:lang w:val="en-US" w:eastAsia="zh-CN" w:bidi="ar-SA"/>
    </w:rPr>
  </w:style>
  <w:style w:type="character" w:styleId="1723">
    <w:name w:val="标题 1 字符"/>
    <w:next w:val="1723"/>
    <w:link w:val="1715"/>
    <w:qFormat/>
    <w:rPr>
      <w:rFonts w:ascii="楷体_GB2312" w:hAnsi="楷体_GB2312" w:eastAsia="宋体" w:cs="Times New Roman"/>
      <w:b/>
      <w:sz w:val="28"/>
      <w:szCs w:val="32"/>
    </w:rPr>
  </w:style>
  <w:style w:type="character" w:styleId="1724">
    <w:name w:val="标题 2 字符"/>
    <w:next w:val="1724"/>
    <w:link w:val="1716"/>
    <w:qFormat/>
    <w:rPr>
      <w:rFonts w:ascii="楷体_GB2312" w:hAnsi="Times New Roman" w:eastAsia="楷体_GB2312" w:cs="Times New Roman"/>
      <w:b/>
      <w:bCs/>
      <w:sz w:val="18"/>
      <w:szCs w:val="20"/>
    </w:rPr>
  </w:style>
  <w:style w:type="character" w:styleId="1725">
    <w:name w:val="标题 3 字符"/>
    <w:next w:val="1725"/>
    <w:link w:val="1717"/>
    <w:qFormat/>
    <w:rPr>
      <w:rFonts w:ascii="Times New Roman" w:hAnsi="Times New Roman" w:eastAsia="楷体_GB2312" w:cs="Times New Roman"/>
      <w:b/>
      <w:bCs/>
      <w:sz w:val="15"/>
      <w:szCs w:val="20"/>
    </w:rPr>
  </w:style>
  <w:style w:type="character" w:styleId="1726">
    <w:name w:val="标题 4 字符"/>
    <w:next w:val="1726"/>
    <w:link w:val="1718"/>
    <w:qFormat/>
    <w:rPr>
      <w:rFonts w:ascii="Times New Roman" w:hAnsi="Times New Roman" w:eastAsia="楷体_GB2312" w:cs="Times New Roman"/>
      <w:b/>
      <w:bCs/>
      <w:sz w:val="13"/>
      <w:szCs w:val="20"/>
    </w:rPr>
  </w:style>
  <w:style w:type="character" w:styleId="1727">
    <w:name w:val="标题 5 字符"/>
    <w:next w:val="1727"/>
    <w:link w:val="1719"/>
    <w:qFormat/>
    <w:rPr>
      <w:rFonts w:ascii="楷体_GB2312" w:hAnsi="Times New Roman" w:eastAsia="楷体_GB2312" w:cs="Times New Roman"/>
      <w:bCs/>
      <w:sz w:val="28"/>
      <w:szCs w:val="20"/>
    </w:rPr>
  </w:style>
  <w:style w:type="paragraph" w:styleId="1728">
    <w:name w:val="正文缩进"/>
    <w:basedOn w:val="1714"/>
    <w:next w:val="1728"/>
    <w:link w:val="1729"/>
    <w:unhideWhenUsed/>
    <w:qFormat/>
    <w:pPr>
      <w:ind w:firstLine="420"/>
    </w:pPr>
  </w:style>
  <w:style w:type="character" w:styleId="1729">
    <w:name w:val="正文缩进 字符"/>
    <w:next w:val="1729"/>
    <w:link w:val="1728"/>
    <w:semiHidden/>
    <w:qFormat/>
    <w:rPr>
      <w:rFonts w:ascii="Times New Roman" w:hAnsi="Times New Roman"/>
      <w:sz w:val="21"/>
    </w:rPr>
  </w:style>
  <w:style w:type="paragraph" w:styleId="1730">
    <w:name w:val="文档结构图"/>
    <w:basedOn w:val="1714"/>
    <w:next w:val="1730"/>
    <w:link w:val="1731"/>
    <w:semiHidden/>
    <w:qFormat/>
    <w:pPr>
      <w:shd w:val="clear" w:color="auto" w:fill="000080"/>
    </w:pPr>
    <w:rPr>
      <w:sz w:val="20"/>
    </w:rPr>
  </w:style>
  <w:style w:type="character" w:styleId="1731">
    <w:name w:val="文档结构图 字符"/>
    <w:next w:val="1731"/>
    <w:link w:val="1730"/>
    <w:semiHidden/>
    <w:qFormat/>
    <w:rPr>
      <w:rFonts w:ascii="Times New Roman" w:hAnsi="Times New Roman" w:eastAsia="宋体" w:cs="Times New Roman"/>
      <w:szCs w:val="20"/>
      <w:shd w:val="clear" w:color="auto" w:fill="000080"/>
    </w:rPr>
  </w:style>
  <w:style w:type="paragraph" w:styleId="1732">
    <w:name w:val="批注文字"/>
    <w:basedOn w:val="1714"/>
    <w:next w:val="1732"/>
    <w:link w:val="1733"/>
    <w:uiPriority w:val="99"/>
    <w:semiHidden/>
    <w:qFormat/>
    <w:pPr>
      <w:jc w:val="left"/>
    </w:pPr>
    <w:rPr>
      <w:sz w:val="20"/>
      <w:szCs w:val="24"/>
    </w:rPr>
  </w:style>
  <w:style w:type="character" w:styleId="1733">
    <w:name w:val="批注文字 字符"/>
    <w:next w:val="1733"/>
    <w:link w:val="1732"/>
    <w:uiPriority w:val="99"/>
    <w:semiHidden/>
    <w:qFormat/>
    <w:rPr>
      <w:rFonts w:ascii="Times New Roman" w:hAnsi="Times New Roman" w:eastAsia="宋体" w:cs="Times New Roman"/>
      <w:szCs w:val="24"/>
    </w:rPr>
  </w:style>
  <w:style w:type="paragraph" w:styleId="1734">
    <w:name w:val="正文文本"/>
    <w:basedOn w:val="1714"/>
    <w:next w:val="1734"/>
    <w:link w:val="1735"/>
    <w:uiPriority w:val="99"/>
    <w:qFormat/>
    <w:rPr>
      <w:rFonts w:ascii="华文中宋" w:eastAsia="华文中宋"/>
      <w:bCs/>
      <w:sz w:val="28"/>
    </w:rPr>
  </w:style>
  <w:style w:type="character" w:styleId="1735">
    <w:name w:val="正文文本 字符"/>
    <w:next w:val="1735"/>
    <w:link w:val="1734"/>
    <w:uiPriority w:val="99"/>
    <w:qFormat/>
    <w:rPr>
      <w:rFonts w:ascii="华文中宋" w:hAnsi="Times New Roman" w:eastAsia="华文中宋" w:cs="Times New Roman"/>
      <w:bCs/>
      <w:sz w:val="28"/>
      <w:szCs w:val="20"/>
    </w:rPr>
  </w:style>
  <w:style w:type="paragraph" w:styleId="1736">
    <w:name w:val="正文文本缩进"/>
    <w:basedOn w:val="1714"/>
    <w:next w:val="1714"/>
    <w:link w:val="1737"/>
    <w:qFormat/>
    <w:pPr>
      <w:ind w:firstLine="576"/>
    </w:pPr>
    <w:rPr>
      <w:b/>
      <w:sz w:val="30"/>
    </w:rPr>
  </w:style>
  <w:style w:type="character" w:styleId="1737">
    <w:name w:val="正文文本缩进 字符"/>
    <w:next w:val="1737"/>
    <w:link w:val="1736"/>
    <w:qFormat/>
    <w:rPr>
      <w:rFonts w:ascii="Times New Roman" w:hAnsi="Times New Roman" w:eastAsia="宋体" w:cs="Times New Roman"/>
      <w:b/>
      <w:sz w:val="30"/>
      <w:szCs w:val="20"/>
    </w:rPr>
  </w:style>
  <w:style w:type="paragraph" w:styleId="1738">
    <w:name w:val="索引 4"/>
    <w:basedOn w:val="1714"/>
    <w:next w:val="1714"/>
    <w:link w:val="1714"/>
    <w:uiPriority w:val="99"/>
    <w:qFormat/>
    <w:pPr>
      <w:ind w:left="600"/>
    </w:pPr>
    <w:rPr>
      <w:szCs w:val="24"/>
    </w:rPr>
  </w:style>
  <w:style w:type="paragraph" w:styleId="1739">
    <w:name w:val="纯文本"/>
    <w:basedOn w:val="1714"/>
    <w:next w:val="1739"/>
    <w:link w:val="1740"/>
    <w:qFormat/>
    <w:rPr>
      <w:rFonts w:ascii="宋体" w:hAnsi="Courier New"/>
    </w:rPr>
  </w:style>
  <w:style w:type="character" w:styleId="1740">
    <w:name w:val="纯文本 字符"/>
    <w:next w:val="1740"/>
    <w:link w:val="1739"/>
    <w:rPr>
      <w:rFonts w:ascii="宋体" w:hAnsi="Courier New"/>
      <w:sz w:val="21"/>
    </w:rPr>
  </w:style>
  <w:style w:type="paragraph" w:styleId="1741">
    <w:name w:val="日期"/>
    <w:basedOn w:val="1714"/>
    <w:next w:val="1714"/>
    <w:link w:val="1742"/>
    <w:qFormat/>
    <w:rPr>
      <w:rFonts w:eastAsia="黑体"/>
      <w:b/>
      <w:sz w:val="36"/>
    </w:rPr>
  </w:style>
  <w:style w:type="character" w:styleId="1742">
    <w:name w:val="日期 字符"/>
    <w:next w:val="1742"/>
    <w:link w:val="1741"/>
    <w:qFormat/>
    <w:rPr>
      <w:rFonts w:ascii="Times New Roman" w:hAnsi="Times New Roman" w:eastAsia="黑体" w:cs="Times New Roman"/>
      <w:b/>
      <w:sz w:val="36"/>
      <w:szCs w:val="20"/>
    </w:rPr>
  </w:style>
  <w:style w:type="paragraph" w:styleId="1743">
    <w:name w:val="正文文本缩进 2"/>
    <w:basedOn w:val="1714"/>
    <w:next w:val="1743"/>
    <w:link w:val="1744"/>
    <w:qFormat/>
    <w:pPr>
      <w:ind w:left="900"/>
    </w:pPr>
    <w:rPr>
      <w:rFonts w:ascii="楷体_GB2312" w:eastAsia="楷体_GB2312"/>
      <w:b/>
      <w:sz w:val="28"/>
    </w:rPr>
  </w:style>
  <w:style w:type="character" w:styleId="1744">
    <w:name w:val="正文文本缩进 2 字符"/>
    <w:next w:val="1744"/>
    <w:link w:val="1743"/>
    <w:qFormat/>
    <w:rPr>
      <w:rFonts w:ascii="楷体_GB2312" w:hAnsi="Times New Roman" w:eastAsia="楷体_GB2312" w:cs="Times New Roman"/>
      <w:b/>
      <w:sz w:val="28"/>
      <w:szCs w:val="20"/>
    </w:rPr>
  </w:style>
  <w:style w:type="paragraph" w:styleId="1745">
    <w:name w:val="批注框文本"/>
    <w:basedOn w:val="1714"/>
    <w:next w:val="1745"/>
    <w:link w:val="1746"/>
    <w:uiPriority w:val="99"/>
    <w:unhideWhenUsed/>
    <w:qFormat/>
    <w:rPr>
      <w:sz w:val="18"/>
      <w:szCs w:val="18"/>
    </w:rPr>
  </w:style>
  <w:style w:type="character" w:styleId="1746">
    <w:name w:val="批注框文本 字符"/>
    <w:next w:val="1746"/>
    <w:link w:val="1745"/>
    <w:uiPriority w:val="99"/>
    <w:semiHidden/>
    <w:qFormat/>
    <w:rPr>
      <w:rFonts w:ascii="Times New Roman" w:hAnsi="Times New Roman" w:eastAsia="宋体" w:cs="Times New Roman"/>
      <w:sz w:val="18"/>
      <w:szCs w:val="18"/>
    </w:rPr>
  </w:style>
  <w:style w:type="paragraph" w:styleId="1747">
    <w:name w:val="页脚"/>
    <w:basedOn w:val="1714"/>
    <w:next w:val="1749"/>
    <w:link w:val="1748"/>
    <w:unhideWhenUsed/>
    <w:qFormat/>
    <w:pPr>
      <w:jc w:val="left"/>
      <w:tabs>
        <w:tab w:val="center" w:pos="4153" w:leader="none"/>
        <w:tab w:val="right" w:pos="8306" w:leader="none"/>
      </w:tabs>
    </w:pPr>
    <w:rPr>
      <w:sz w:val="18"/>
      <w:szCs w:val="18"/>
    </w:rPr>
  </w:style>
  <w:style w:type="character" w:styleId="1748">
    <w:name w:val="页脚 字符"/>
    <w:next w:val="1748"/>
    <w:link w:val="1747"/>
    <w:qFormat/>
    <w:rPr>
      <w:sz w:val="18"/>
      <w:szCs w:val="18"/>
    </w:rPr>
  </w:style>
  <w:style w:type="paragraph" w:styleId="1749">
    <w:name w:val="TOC Heading1"/>
    <w:next w:val="1714"/>
    <w:link w:val="1714"/>
    <w:qFormat/>
    <w:rPr>
      <w:sz w:val="32"/>
      <w:lang w:val="en-US" w:eastAsia="zh-CN" w:bidi="ar-SA"/>
    </w:rPr>
  </w:style>
  <w:style w:type="paragraph" w:styleId="1750">
    <w:name w:val="寄信人地址"/>
    <w:basedOn w:val="1714"/>
    <w:next w:val="1750"/>
    <w:link w:val="1714"/>
    <w:qFormat/>
    <w:rPr>
      <w:rFonts w:ascii="Arial" w:hAnsi="Arial"/>
    </w:rPr>
  </w:style>
  <w:style w:type="paragraph" w:styleId="1751">
    <w:name w:val="页眉"/>
    <w:basedOn w:val="1714"/>
    <w:next w:val="1751"/>
    <w:link w:val="1752"/>
    <w:unhideWhenUsed/>
    <w:qFormat/>
    <w:pPr>
      <w:jc w:val="center"/>
      <w:tabs>
        <w:tab w:val="center" w:pos="4153" w:leader="none"/>
        <w:tab w:val="right" w:pos="8306" w:leader="none"/>
      </w:tabs>
      <w:pBdr>
        <w:bottom w:val="single" w:color="000000" w:sz="6" w:space="1"/>
      </w:pBdr>
    </w:pPr>
    <w:rPr>
      <w:sz w:val="18"/>
      <w:szCs w:val="18"/>
    </w:rPr>
  </w:style>
  <w:style w:type="character" w:styleId="1752">
    <w:name w:val="页眉 字符"/>
    <w:next w:val="1752"/>
    <w:link w:val="1751"/>
    <w:qFormat/>
    <w:rPr>
      <w:sz w:val="18"/>
      <w:szCs w:val="18"/>
    </w:rPr>
  </w:style>
  <w:style w:type="paragraph" w:styleId="1753">
    <w:name w:val="目录 1"/>
    <w:basedOn w:val="1714"/>
    <w:next w:val="1714"/>
    <w:link w:val="1714"/>
    <w:uiPriority w:val="39"/>
    <w:unhideWhenUsed/>
  </w:style>
  <w:style w:type="paragraph" w:styleId="1754">
    <w:name w:val="列表"/>
    <w:basedOn w:val="1714"/>
    <w:next w:val="1754"/>
    <w:link w:val="1714"/>
    <w:qFormat/>
    <w:pPr>
      <w:ind w:left="420" w:hanging="420"/>
      <w:spacing w:after="20" w:line="288" w:lineRule="auto"/>
      <w:tabs>
        <w:tab w:val="left" w:pos="420" w:leader="none"/>
      </w:tabs>
    </w:pPr>
    <w:rPr>
      <w:szCs w:val="20"/>
      <w:lang w:val="en-GB"/>
    </w:rPr>
  </w:style>
  <w:style w:type="paragraph" w:styleId="1755">
    <w:name w:val="正文文本缩进 3"/>
    <w:basedOn w:val="1714"/>
    <w:next w:val="1755"/>
    <w:link w:val="1756"/>
    <w:qFormat/>
    <w:pPr>
      <w:ind w:left="359" w:firstLine="359"/>
    </w:pPr>
    <w:rPr>
      <w:sz w:val="20"/>
    </w:rPr>
  </w:style>
  <w:style w:type="character" w:styleId="1756">
    <w:name w:val="正文文本缩进 3 字符"/>
    <w:next w:val="1756"/>
    <w:link w:val="1755"/>
    <w:qFormat/>
    <w:rPr>
      <w:rFonts w:ascii="Times New Roman" w:hAnsi="Times New Roman" w:eastAsia="宋体" w:cs="Times New Roman"/>
      <w:szCs w:val="20"/>
    </w:rPr>
  </w:style>
  <w:style w:type="paragraph" w:styleId="1757">
    <w:name w:val="目录 2"/>
    <w:basedOn w:val="1714"/>
    <w:next w:val="1714"/>
    <w:link w:val="1714"/>
    <w:uiPriority w:val="39"/>
    <w:qFormat/>
    <w:pPr>
      <w:ind w:left="210" w:firstLine="150"/>
      <w:jc w:val="left"/>
      <w:tabs>
        <w:tab w:val="right" w:pos="9170" w:leader="dot"/>
      </w:tabs>
    </w:pPr>
    <w:rPr>
      <w:smallCaps/>
      <w:sz w:val="20"/>
    </w:rPr>
  </w:style>
  <w:style w:type="paragraph" w:styleId="1758">
    <w:name w:val="正文文本 2"/>
    <w:basedOn w:val="1714"/>
    <w:next w:val="1758"/>
    <w:link w:val="1759"/>
    <w:qFormat/>
    <w:pPr>
      <w:spacing w:after="120" w:line="480" w:lineRule="auto"/>
    </w:pPr>
    <w:rPr>
      <w:sz w:val="20"/>
    </w:rPr>
  </w:style>
  <w:style w:type="character" w:styleId="1759">
    <w:name w:val="正文文本 2 字符"/>
    <w:next w:val="1759"/>
    <w:link w:val="1758"/>
    <w:qFormat/>
    <w:rPr>
      <w:rFonts w:ascii="Times New Roman" w:hAnsi="Times New Roman" w:eastAsia="宋体" w:cs="Times New Roman"/>
      <w:szCs w:val="20"/>
    </w:rPr>
  </w:style>
  <w:style w:type="paragraph" w:styleId="1760">
    <w:name w:val="普通(网站)"/>
    <w:basedOn w:val="1714"/>
    <w:next w:val="1760"/>
    <w:link w:val="1714"/>
    <w:uiPriority w:val="99"/>
    <w:qFormat/>
    <w:pPr>
      <w:jc w:val="left"/>
      <w:spacing w:before="100" w:beforeAutospacing="1" w:after="100" w:afterAutospacing="1"/>
      <w:widowControl/>
    </w:pPr>
    <w:rPr>
      <w:rFonts w:ascii="宋体" w:hAnsi="宋体" w:cs="宋体"/>
      <w:sz w:val="24"/>
      <w:szCs w:val="24"/>
    </w:rPr>
  </w:style>
  <w:style w:type="paragraph" w:styleId="1761">
    <w:name w:val="批注主题"/>
    <w:basedOn w:val="1732"/>
    <w:next w:val="1732"/>
    <w:link w:val="1762"/>
    <w:uiPriority w:val="99"/>
    <w:semiHidden/>
    <w:qFormat/>
    <w:rPr>
      <w:b/>
      <w:bCs/>
    </w:rPr>
  </w:style>
  <w:style w:type="character" w:styleId="1762">
    <w:name w:val="批注主题 字符"/>
    <w:next w:val="1762"/>
    <w:link w:val="1761"/>
    <w:uiPriority w:val="99"/>
    <w:semiHidden/>
    <w:qFormat/>
    <w:rPr>
      <w:rFonts w:ascii="Times New Roman" w:hAnsi="Times New Roman" w:eastAsia="宋体" w:cs="Times New Roman"/>
      <w:b/>
      <w:bCs/>
      <w:szCs w:val="24"/>
    </w:rPr>
  </w:style>
  <w:style w:type="paragraph" w:styleId="1763">
    <w:name w:val="正文首行缩进"/>
    <w:basedOn w:val="1734"/>
    <w:next w:val="1763"/>
    <w:link w:val="1764"/>
    <w:pPr>
      <w:ind w:firstLine="420"/>
      <w:spacing w:after="120"/>
    </w:pPr>
    <w:rPr>
      <w:rFonts w:ascii="Times New Roman" w:eastAsia="宋体"/>
      <w:sz w:val="21"/>
      <w:szCs w:val="24"/>
    </w:rPr>
  </w:style>
  <w:style w:type="character" w:styleId="1764">
    <w:name w:val="正文首行缩进 字符"/>
    <w:next w:val="1764"/>
    <w:link w:val="1763"/>
    <w:qFormat/>
    <w:rPr>
      <w:rFonts w:ascii="Times New Roman" w:eastAsia="宋体"/>
      <w:sz w:val="21"/>
      <w:szCs w:val="24"/>
    </w:rPr>
  </w:style>
  <w:style w:type="paragraph" w:styleId="1765">
    <w:name w:val="正文首行缩进 2"/>
    <w:basedOn w:val="1736"/>
    <w:next w:val="1714"/>
    <w:link w:val="171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766">
    <w:name w:val="网格型"/>
    <w:basedOn w:val="1721"/>
    <w:next w:val="1766"/>
    <w:link w:val="1714"/>
    <w:qFormat/>
    <w:pPr>
      <w:jc w:val="both"/>
      <w:widowControl w:val="off"/>
    </w:pPr>
    <w:tblPr/>
  </w:style>
  <w:style w:type="character" w:styleId="1767">
    <w:name w:val="要点"/>
    <w:next w:val="1767"/>
    <w:link w:val="1714"/>
    <w:uiPriority w:val="99"/>
    <w:qFormat/>
    <w:rPr>
      <w:rFonts w:cs="Times New Roman"/>
      <w:b/>
      <w:bCs/>
    </w:rPr>
  </w:style>
  <w:style w:type="character" w:styleId="1768">
    <w:name w:val="页码"/>
    <w:basedOn w:val="1720"/>
    <w:next w:val="1768"/>
    <w:link w:val="1714"/>
    <w:rPr>
      <w:rFonts w:cs="Times New Roman"/>
    </w:rPr>
  </w:style>
  <w:style w:type="character" w:styleId="1769">
    <w:name w:val="已访问的超链接"/>
    <w:next w:val="1769"/>
    <w:link w:val="1714"/>
    <w:uiPriority w:val="99"/>
    <w:qFormat/>
    <w:rPr>
      <w:rFonts w:cs="Times New Roman"/>
      <w:color w:val="000000"/>
      <w:u w:val="none"/>
    </w:rPr>
  </w:style>
  <w:style w:type="character" w:styleId="1770">
    <w:name w:val="HTML 打字机"/>
    <w:next w:val="1770"/>
    <w:link w:val="1714"/>
    <w:uiPriority w:val="99"/>
    <w:qFormat/>
    <w:rPr>
      <w:rFonts w:ascii="宋体" w:hAnsi="宋体" w:eastAsia="宋体" w:cs="宋体"/>
      <w:sz w:val="24"/>
      <w:szCs w:val="24"/>
    </w:rPr>
  </w:style>
  <w:style w:type="character" w:styleId="1771">
    <w:name w:val="超链接"/>
    <w:next w:val="1771"/>
    <w:link w:val="1714"/>
    <w:qFormat/>
    <w:rPr>
      <w:color w:val="000000"/>
      <w:u w:val="none"/>
    </w:rPr>
  </w:style>
  <w:style w:type="character" w:styleId="1772">
    <w:name w:val="NormalCharacter1"/>
    <w:next w:val="1772"/>
    <w:link w:val="1773"/>
    <w:uiPriority w:val="99"/>
    <w:qFormat/>
    <w:rPr>
      <w:sz w:val="20"/>
    </w:rPr>
  </w:style>
  <w:style w:type="paragraph" w:styleId="1773">
    <w:name w:val="UserStyle_4"/>
    <w:basedOn w:val="1714"/>
    <w:next w:val="1773"/>
    <w:link w:val="1772"/>
    <w:uiPriority w:val="99"/>
    <w:qFormat/>
    <w:pPr>
      <w:widowControl/>
    </w:pPr>
    <w:rPr>
      <w:sz w:val="20"/>
    </w:rPr>
  </w:style>
  <w:style w:type="character" w:styleId="1774">
    <w:name w:val="font31"/>
    <w:next w:val="1774"/>
    <w:link w:val="1714"/>
    <w:qFormat/>
    <w:rPr>
      <w:rFonts w:hint="eastAsia" w:ascii="仿宋" w:hAnsi="仿宋" w:eastAsia="仿宋" w:cs="仿宋"/>
      <w:color w:val="000000"/>
      <w:sz w:val="24"/>
      <w:szCs w:val="24"/>
      <w:u w:val="none"/>
    </w:rPr>
  </w:style>
  <w:style w:type="character" w:styleId="1775">
    <w:name w:val="正文文本缩进 Char1"/>
    <w:next w:val="1775"/>
    <w:link w:val="1714"/>
    <w:semiHidden/>
    <w:qFormat/>
    <w:rPr>
      <w:rFonts w:ascii="Times New Roman" w:hAnsi="Times New Roman" w:eastAsia="宋体" w:cs="Times New Roman"/>
      <w:szCs w:val="20"/>
    </w:rPr>
  </w:style>
  <w:style w:type="character" w:styleId="1776">
    <w:name w:val="font11"/>
    <w:next w:val="1776"/>
    <w:link w:val="1714"/>
    <w:rPr>
      <w:rFonts w:hint="eastAsia" w:ascii="宋体" w:hAnsi="宋体" w:eastAsia="宋体" w:cs="宋体"/>
      <w:color w:val="000000"/>
      <w:sz w:val="20"/>
      <w:szCs w:val="20"/>
      <w:u w:val="none"/>
    </w:rPr>
  </w:style>
  <w:style w:type="character" w:styleId="1777">
    <w:name w:val="正文首行缩进两字 Char"/>
    <w:next w:val="1777"/>
    <w:link w:val="1778"/>
    <w:qFormat/>
    <w:rPr>
      <w:sz w:val="24"/>
      <w:szCs w:val="24"/>
      <w:lang w:val="en-US" w:eastAsia="zh-CN" w:bidi="ar-SA"/>
    </w:rPr>
  </w:style>
  <w:style w:type="paragraph" w:styleId="1778">
    <w:name w:val="正文首行缩进两字"/>
    <w:next w:val="1778"/>
    <w:link w:val="1777"/>
    <w:qFormat/>
    <w:pPr>
      <w:ind w:left="240" w:right="240" w:firstLine="480"/>
      <w:spacing w:line="300" w:lineRule="auto"/>
    </w:pPr>
    <w:rPr>
      <w:sz w:val="24"/>
      <w:szCs w:val="24"/>
      <w:lang w:val="en-US" w:eastAsia="zh-CN" w:bidi="ar-SA"/>
    </w:rPr>
  </w:style>
  <w:style w:type="character" w:styleId="1779">
    <w:name w:val="日期 Char1"/>
    <w:next w:val="1779"/>
    <w:link w:val="1714"/>
    <w:semiHidden/>
    <w:qFormat/>
    <w:rPr>
      <w:rFonts w:ascii="Times New Roman" w:hAnsi="Times New Roman" w:eastAsia="宋体" w:cs="Times New Roman"/>
      <w:szCs w:val="20"/>
    </w:rPr>
  </w:style>
  <w:style w:type="character" w:styleId="1780">
    <w:name w:val="正文文本 2 Char1"/>
    <w:next w:val="1780"/>
    <w:link w:val="1714"/>
    <w:semiHidden/>
    <w:qFormat/>
    <w:rPr>
      <w:rFonts w:ascii="Times New Roman" w:hAnsi="Times New Roman" w:eastAsia="宋体" w:cs="Times New Roman"/>
      <w:szCs w:val="20"/>
    </w:rPr>
  </w:style>
  <w:style w:type="character" w:styleId="1781">
    <w:name w:val="文档结构图 Char1"/>
    <w:next w:val="1781"/>
    <w:link w:val="1714"/>
    <w:semiHidden/>
    <w:qFormat/>
    <w:rPr>
      <w:rFonts w:ascii="宋体" w:hAnsi="Times New Roman" w:eastAsia="宋体" w:cs="Times New Roman"/>
      <w:sz w:val="18"/>
      <w:szCs w:val="18"/>
    </w:rPr>
  </w:style>
  <w:style w:type="character" w:styleId="1782">
    <w:name w:val="正文文本缩进 2 Char1"/>
    <w:next w:val="1782"/>
    <w:link w:val="1714"/>
    <w:semiHidden/>
    <w:qFormat/>
    <w:rPr>
      <w:rFonts w:ascii="Times New Roman" w:hAnsi="Times New Roman" w:eastAsia="宋体" w:cs="Times New Roman"/>
      <w:szCs w:val="20"/>
    </w:rPr>
  </w:style>
  <w:style w:type="character" w:styleId="1783">
    <w:name w:val="正文文本缩进 3 Char1"/>
    <w:next w:val="1783"/>
    <w:link w:val="1714"/>
    <w:semiHidden/>
    <w:qFormat/>
    <w:rPr>
      <w:rFonts w:ascii="Times New Roman" w:hAnsi="Times New Roman" w:eastAsia="宋体" w:cs="Times New Roman"/>
      <w:sz w:val="16"/>
      <w:szCs w:val="16"/>
    </w:rPr>
  </w:style>
  <w:style w:type="character" w:styleId="1784">
    <w:name w:val="批注框文本 Char1"/>
    <w:next w:val="1784"/>
    <w:link w:val="1714"/>
    <w:uiPriority w:val="99"/>
    <w:semiHidden/>
    <w:rPr>
      <w:rFonts w:ascii="Times New Roman" w:hAnsi="Times New Roman" w:eastAsia="宋体" w:cs="Times New Roman"/>
      <w:sz w:val="18"/>
      <w:szCs w:val="18"/>
    </w:rPr>
  </w:style>
  <w:style w:type="character" w:styleId="1785">
    <w:name w:val="case31"/>
    <w:next w:val="1785"/>
    <w:link w:val="1714"/>
    <w:qFormat/>
    <w:rPr>
      <w:spacing w:val="390"/>
      <w:sz w:val="21"/>
      <w:szCs w:val="21"/>
    </w:rPr>
  </w:style>
  <w:style w:type="character" w:styleId="1786">
    <w:name w:val="font21"/>
    <w:next w:val="1786"/>
    <w:link w:val="1714"/>
    <w:qFormat/>
    <w:rPr>
      <w:rFonts w:hint="eastAsia" w:ascii="仿宋" w:hAnsi="仿宋" w:eastAsia="仿宋" w:cs="仿宋"/>
      <w:color w:val="000000"/>
      <w:sz w:val="24"/>
      <w:szCs w:val="24"/>
      <w:u w:val="none"/>
    </w:rPr>
  </w:style>
  <w:style w:type="paragraph" w:styleId="1787">
    <w:name w:val="_Style 1"/>
    <w:basedOn w:val="1714"/>
    <w:next w:val="1787"/>
    <w:link w:val="1714"/>
    <w:uiPriority w:val="99"/>
    <w:qFormat/>
    <w:pPr>
      <w:ind w:firstLine="420"/>
    </w:pPr>
    <w:rPr>
      <w:rFonts w:ascii="Calibri" w:hAnsi="Calibri" w:eastAsia="宋体" w:cs="Calibri"/>
      <w:sz w:val="34"/>
      <w:szCs w:val="34"/>
    </w:rPr>
  </w:style>
  <w:style w:type="paragraph" w:styleId="1788">
    <w:name w:val="p0 paragraphindent"/>
    <w:basedOn w:val="1714"/>
    <w:next w:val="1788"/>
    <w:link w:val="1714"/>
    <w:qFormat/>
    <w:pPr>
      <w:jc w:val="left"/>
      <w:spacing w:before="100" w:beforeAutospacing="1" w:after="100" w:afterAutospacing="1"/>
      <w:widowControl/>
    </w:pPr>
    <w:rPr>
      <w:rFonts w:ascii="宋体" w:hAnsi="宋体" w:cs="宋体"/>
      <w:sz w:val="24"/>
      <w:szCs w:val="24"/>
    </w:rPr>
  </w:style>
  <w:style w:type="paragraph" w:styleId="1789">
    <w:name w:val="二级无"/>
    <w:basedOn w:val="1714"/>
    <w:next w:val="1789"/>
    <w:link w:val="1714"/>
    <w:qFormat/>
    <w:pPr>
      <w:ind w:left="552" w:hanging="420"/>
      <w:jc w:val="left"/>
      <w:widowControl/>
      <w:tabs>
        <w:tab w:val="left" w:pos="552" w:leader="none"/>
      </w:tabs>
      <w:outlineLvl w:val="3"/>
    </w:pPr>
    <w:rPr>
      <w:rFonts w:ascii="宋体"/>
      <w:szCs w:val="21"/>
    </w:rPr>
  </w:style>
  <w:style w:type="paragraph" w:styleId="1790">
    <w:name w:val="List Paragraph"/>
    <w:basedOn w:val="1714"/>
    <w:next w:val="1790"/>
    <w:link w:val="1714"/>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791">
    <w:name w:val="正文文本1"/>
    <w:basedOn w:val="1714"/>
    <w:next w:val="1792"/>
    <w:link w:val="1714"/>
    <w:qFormat/>
    <w:rPr>
      <w:rFonts w:ascii="仿宋_GB2312" w:hAnsi="Times New Roman" w:eastAsia="仿宋_GB2312"/>
      <w:sz w:val="28"/>
      <w:szCs w:val="20"/>
    </w:rPr>
  </w:style>
  <w:style w:type="paragraph" w:styleId="1792">
    <w:name w:val="列表1"/>
    <w:basedOn w:val="1714"/>
    <w:next w:val="1792"/>
    <w:link w:val="1714"/>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793">
    <w:name w:val="标题 41"/>
    <w:basedOn w:val="1714"/>
    <w:next w:val="1714"/>
    <w:link w:val="1714"/>
    <w:qFormat/>
    <w:pPr>
      <w:jc w:val="center"/>
      <w:keepNext/>
      <w:outlineLvl w:val="3"/>
    </w:pPr>
    <w:rPr>
      <w:rFonts w:eastAsia="楷体_GB2312"/>
      <w:b/>
      <w:bCs/>
      <w:sz w:val="13"/>
    </w:rPr>
  </w:style>
  <w:style w:type="paragraph" w:styleId="1794">
    <w:name w:val="普通文字"/>
    <w:basedOn w:val="1714"/>
    <w:next w:val="1714"/>
    <w:link w:val="1714"/>
    <w:rPr>
      <w:rFonts w:ascii="宋体"/>
      <w:sz w:val="24"/>
    </w:rPr>
  </w:style>
  <w:style w:type="paragraph" w:styleId="1795">
    <w:name w:val="字母编号列项（一级）"/>
    <w:next w:val="1795"/>
    <w:link w:val="1714"/>
    <w:qFormat/>
    <w:pPr>
      <w:ind w:left="552" w:hanging="420"/>
      <w:jc w:val="both"/>
      <w:tabs>
        <w:tab w:val="left" w:pos="552" w:leader="none"/>
        <w:tab w:val="left" w:pos="840" w:leader="none"/>
      </w:tabs>
    </w:pPr>
    <w:rPr>
      <w:rFonts w:ascii="宋体"/>
      <w:sz w:val="21"/>
      <w:lang w:val="en-US" w:eastAsia="zh-CN" w:bidi="ar-SA"/>
    </w:rPr>
  </w:style>
  <w:style w:type="paragraph" w:styleId="1796">
    <w:name w:val="样式 小四 段前: 5 磅 段后: 5 磅 首行缩进:  2 字符"/>
    <w:basedOn w:val="1714"/>
    <w:next w:val="1796"/>
    <w:link w:val="1714"/>
    <w:qFormat/>
    <w:pPr>
      <w:jc w:val="center"/>
      <w:spacing w:line="360" w:lineRule="auto"/>
    </w:pPr>
    <w:rPr>
      <w:rFonts w:ascii="宋体" w:hAnsi="宋体"/>
      <w:bCs/>
      <w:color w:val="ff0000"/>
      <w:sz w:val="24"/>
      <w:szCs w:val="24"/>
    </w:rPr>
  </w:style>
  <w:style w:type="paragraph" w:styleId="1797">
    <w:name w:val="List Paragraph1"/>
    <w:basedOn w:val="1714"/>
    <w:next w:val="1797"/>
    <w:link w:val="1714"/>
    <w:qFormat/>
    <w:pPr>
      <w:ind w:firstLine="420"/>
    </w:pPr>
    <w:rPr>
      <w:szCs w:val="21"/>
    </w:rPr>
  </w:style>
  <w:style w:type="paragraph" w:styleId="1798">
    <w:name w:val="首行缩进"/>
    <w:basedOn w:val="1714"/>
    <w:next w:val="1798"/>
    <w:link w:val="1714"/>
    <w:qFormat/>
    <w:pPr>
      <w:ind w:firstLine="480"/>
    </w:pPr>
    <w:rPr>
      <w:szCs w:val="20"/>
      <w:lang w:val="zh-CN"/>
    </w:rPr>
  </w:style>
  <w:style w:type="paragraph" w:styleId="1799">
    <w:name w:val="列出段落"/>
    <w:basedOn w:val="1714"/>
    <w:next w:val="1799"/>
    <w:link w:val="1714"/>
    <w:uiPriority w:val="34"/>
    <w:qFormat/>
    <w:pPr>
      <w:ind w:firstLine="420"/>
    </w:pPr>
  </w:style>
  <w:style w:type="paragraph" w:styleId="1800">
    <w:name w:val="一级条标题"/>
    <w:next w:val="1714"/>
    <w:link w:val="1714"/>
    <w:qFormat/>
    <w:pPr>
      <w:ind w:left="552" w:hanging="420"/>
      <w:tabs>
        <w:tab w:val="left" w:pos="552" w:leader="none"/>
      </w:tabs>
      <w:outlineLvl w:val="2"/>
    </w:pPr>
    <w:rPr>
      <w:rFonts w:ascii="黑体" w:eastAsia="黑体"/>
      <w:sz w:val="21"/>
      <w:szCs w:val="21"/>
      <w:lang w:val="en-US" w:eastAsia="zh-CN" w:bidi="ar-SA"/>
    </w:rPr>
  </w:style>
  <w:style w:type="paragraph" w:styleId="1801">
    <w:name w:val="正文缩进1"/>
    <w:basedOn w:val="1714"/>
    <w:next w:val="1714"/>
    <w:link w:val="1714"/>
    <w:qFormat/>
    <w:pPr>
      <w:ind w:firstLine="420"/>
    </w:pPr>
    <w:rPr>
      <w:rFonts w:ascii="Times New Roman" w:hAnsi="Times New Roman" w:eastAsia="宋体" w:cs="Times New Roman"/>
      <w:szCs w:val="20"/>
    </w:rPr>
  </w:style>
  <w:style w:type="paragraph" w:styleId="1802">
    <w:name w:val="正文首行缩进1"/>
    <w:basedOn w:val="1791"/>
    <w:next w:val="1802"/>
    <w:link w:val="1714"/>
    <w:uiPriority w:val="99"/>
    <w:unhideWhenUsed/>
    <w:qFormat/>
    <w:pPr>
      <w:ind w:firstLine="420"/>
      <w:spacing w:after="120"/>
    </w:pPr>
    <w:rPr>
      <w:rFonts w:ascii="等线" w:hAnsi="等线" w:eastAsia="等线" w:cs="Times New Roman"/>
      <w:bCs w:val="0"/>
      <w:sz w:val="21"/>
      <w:szCs w:val="22"/>
    </w:rPr>
  </w:style>
  <w:style w:type="paragraph" w:styleId="1803">
    <w:name w:val="页眉1"/>
    <w:basedOn w:val="1714"/>
    <w:next w:val="1803"/>
    <w:link w:val="171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804">
    <w:name w:val="页脚1"/>
    <w:basedOn w:val="1714"/>
    <w:next w:val="1749"/>
    <w:link w:val="1714"/>
    <w:uiPriority w:val="99"/>
    <w:unhideWhenUsed/>
    <w:qFormat/>
    <w:pPr>
      <w:jc w:val="left"/>
      <w:tabs>
        <w:tab w:val="center" w:pos="4153" w:leader="none"/>
        <w:tab w:val="right" w:pos="8306" w:leader="none"/>
      </w:tabs>
    </w:pPr>
    <w:rPr>
      <w:sz w:val="18"/>
      <w:szCs w:val="18"/>
    </w:rPr>
  </w:style>
  <w:style w:type="character" w:styleId="1805" w:default="1">
    <w:name w:val="Default Paragraph Font"/>
    <w:uiPriority w:val="1"/>
    <w:semiHidden/>
    <w:unhideWhenUsed/>
  </w:style>
  <w:style w:type="numbering" w:styleId="1806" w:default="1">
    <w:name w:val="No List"/>
    <w:uiPriority w:val="99"/>
    <w:semiHidden/>
    <w:unhideWhenUsed/>
  </w:style>
  <w:style w:type="table" w:styleId="18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 Id="rId30" Type="http://schemas.openxmlformats.org/officeDocument/2006/relationships/footer" Target="footer14.xml" /><Relationship Id="rId31" Type="http://schemas.openxmlformats.org/officeDocument/2006/relationships/footer" Target="footer15.xml" /><Relationship Id="rId32" Type="http://schemas.openxmlformats.org/officeDocument/2006/relationships/footer" Target="footer16.xml" /><Relationship Id="rId33" Type="http://schemas.openxmlformats.org/officeDocument/2006/relationships/footer" Target="footer17.xml" /><Relationship Id="rId34" Type="http://schemas.openxmlformats.org/officeDocument/2006/relationships/footer" Target="footer18.xml" /><Relationship Id="rId35" Type="http://schemas.openxmlformats.org/officeDocument/2006/relationships/footer" Target="footer1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张旻燕</cp:lastModifiedBy>
  <cp:revision>4</cp:revision>
  <dcterms:created xsi:type="dcterms:W3CDTF">2023-03-28T06:55:00Z</dcterms:created>
  <dcterms:modified xsi:type="dcterms:W3CDTF">2024-12-19T09:20:44Z</dcterms:modified>
</cp:coreProperties>
</file>