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采购编号：JSZC-320591-PMJS-G2025-0007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采购名称：娄葑街道动迁小区（多层）楼道智能AI</w:t>
      </w:r>
      <w:r/>
    </w:p>
    <w:p>
      <w:pPr>
        <w:ind w:left="0" w:right="0" w:firstLine="2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监控租聘项目</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采购人：苏州工业园区娄葑街道办事处</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3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2025年03月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2" w:tooltip="http://jszfcg.jsczt.cn/jszc/onlyoffice/7.2.1-34/web-apps/apps/documenteditor/main/index_loader.html?_dc=7.2.1-34&amp;lang=zh&amp;customer=%20&amp;logo=%20&amp;headerlogo=%2Ffavicon.ico&amp;frameEditorId=iframePage&amp;compact=true&amp;parentOrigin=http://jszfcg.jsczt.cn#_Toc30543" w:history="1">
        <w:r>
          <w:rPr>
            <w:rFonts w:ascii="SimHei" w:hAnsi="SimHei" w:eastAsia="SimHei" w:cs="SimHei"/>
            <w:sz w:val="28"/>
            <w:szCs w:val="28"/>
          </w:rPr>
          <w:t xml:space="preserve">前附表</w:t>
        </w:r>
        <w:r>
          <w:rPr>
            <w:rFonts w:ascii="SimHei" w:hAnsi="SimHei" w:eastAsia="SimHei" w:cs="SimHei"/>
            <w:sz w:val="28"/>
            <w:szCs w:val="28"/>
          </w:rPr>
          <w:tab/>
        </w:r>
      </w:hyperlink>
      <w:r>
        <w:rPr>
          <w:rFonts w:ascii="SimHei" w:hAnsi="SimHei" w:eastAsia="SimHei" w:cs="SimHei"/>
          <w:sz w:val="28"/>
          <w:szCs w:val="28"/>
        </w:rPr>
      </w:r>
      <w:r>
        <w:rPr>
          <w:rFonts w:ascii="SimHei" w:hAnsi="SimHei" w:eastAsia="SimHei" w:cs="SimHei"/>
          <w:sz w:val="28"/>
          <w:szCs w:val="28"/>
        </w:rP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3" w:tooltip="http://jszfcg.jsczt.cn/jszc/onlyoffice/7.2.1-34/web-apps/apps/documenteditor/main/index_loader.html?_dc=7.2.1-34&amp;lang=zh&amp;customer=%20&amp;logo=%20&amp;headerlogo=%2Ffavicon.ico&amp;frameEditorId=iframePage&amp;compact=true&amp;parentOrigin=http://jszfcg.jsczt.cn#_Toc23103" w:history="1">
        <w:r>
          <w:rPr>
            <w:rFonts w:ascii="SimHei" w:hAnsi="SimHei" w:eastAsia="SimHei" w:cs="SimHei"/>
            <w:sz w:val="28"/>
            <w:szCs w:val="28"/>
          </w:rPr>
          <w:t xml:space="preserve">招标公告</w:t>
        </w:r>
        <w:r>
          <w:rPr>
            <w:rFonts w:ascii="SimHei" w:hAnsi="SimHei" w:eastAsia="SimHei" w:cs="SimHei"/>
            <w:sz w:val="28"/>
            <w:szCs w:val="28"/>
          </w:rPr>
          <w:tab/>
        </w:r>
      </w:hyperlink>
      <w:r>
        <w:rPr>
          <w:rFonts w:ascii="SimHei" w:hAnsi="SimHei" w:eastAsia="SimHei" w:cs="SimHei"/>
          <w:sz w:val="28"/>
          <w:szCs w:val="28"/>
        </w:rPr>
      </w:r>
      <w:r>
        <w:rPr>
          <w:rFonts w:ascii="SimHei" w:hAnsi="SimHei" w:eastAsia="SimHei" w:cs="SimHei"/>
          <w:sz w:val="28"/>
          <w:szCs w:val="28"/>
        </w:rP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4" w:tooltip="http://jszfcg.jsczt.cn/jszc/onlyoffice/7.2.1-34/web-apps/apps/documenteditor/main/index_loader.html?_dc=7.2.1-34&amp;lang=zh&amp;customer=%20&amp;logo=%20&amp;headerlogo=%2Ffavicon.ico&amp;frameEditorId=iframePage&amp;compact=true&amp;parentOrigin=http://jszfcg.jsczt.cn#_Toc13879" w:history="1">
        <w:r>
          <w:rPr>
            <w:rFonts w:ascii="SimHei" w:hAnsi="SimHei" w:eastAsia="SimHei" w:cs="SimHei"/>
            <w:sz w:val="28"/>
            <w:szCs w:val="28"/>
          </w:rPr>
          <w:t xml:space="preserve">第一章</w:t>
        </w:r>
        <w:r>
          <w:rPr>
            <w:rFonts w:ascii="SimHei" w:hAnsi="SimHei" w:eastAsia="SimHei" w:cs="SimHei"/>
            <w:sz w:val="28"/>
            <w:szCs w:val="28"/>
          </w:rPr>
          <w:t xml:space="preserve">  </w:t>
        </w:r>
        <w:r>
          <w:rPr>
            <w:rFonts w:ascii="SimHei" w:hAnsi="SimHei" w:eastAsia="SimHei" w:cs="SimHei"/>
            <w:sz w:val="28"/>
            <w:szCs w:val="28"/>
          </w:rPr>
          <w:t xml:space="preserve">投标邀请函</w:t>
        </w:r>
        <w:r>
          <w:rPr>
            <w:rFonts w:ascii="SimHei" w:hAnsi="SimHei" w:eastAsia="SimHei" w:cs="SimHei"/>
            <w:sz w:val="28"/>
            <w:szCs w:val="28"/>
          </w:rPr>
          <w:tab/>
        </w:r>
      </w:hyperlink>
      <w:r>
        <w:rPr>
          <w:rFonts w:ascii="SimHei" w:hAnsi="SimHei" w:eastAsia="SimHei" w:cs="SimHei"/>
          <w:sz w:val="28"/>
          <w:szCs w:val="28"/>
        </w:rPr>
      </w:r>
      <w:r>
        <w:rPr>
          <w:rFonts w:ascii="SimHei" w:hAnsi="SimHei" w:eastAsia="SimHei" w:cs="SimHei"/>
          <w:sz w:val="28"/>
          <w:szCs w:val="28"/>
        </w:rP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5" w:tooltip="http://jszfcg.jsczt.cn/jszc/onlyoffice/7.2.1-34/web-apps/apps/documenteditor/main/index_loader.html?_dc=7.2.1-34&amp;lang=zh&amp;customer=%20&amp;logo=%20&amp;headerlogo=%2Ffavicon.ico&amp;frameEditorId=iframePage&amp;compact=true&amp;parentOrigin=http://jszfcg.jsczt.cn#_Toc9316" w:history="1">
        <w:r>
          <w:rPr>
            <w:rFonts w:ascii="SimHei" w:hAnsi="SimHei" w:eastAsia="SimHei" w:cs="SimHei"/>
            <w:sz w:val="28"/>
            <w:szCs w:val="28"/>
          </w:rPr>
          <w:t xml:space="preserve">第二章</w:t>
        </w:r>
        <w:r>
          <w:rPr>
            <w:rFonts w:ascii="SimHei" w:hAnsi="SimHei" w:eastAsia="SimHei" w:cs="SimHei"/>
            <w:sz w:val="28"/>
            <w:szCs w:val="28"/>
          </w:rPr>
          <w:t xml:space="preserve">  </w:t>
        </w:r>
        <w:r>
          <w:rPr>
            <w:rFonts w:ascii="SimHei" w:hAnsi="SimHei" w:eastAsia="SimHei" w:cs="SimHei"/>
            <w:sz w:val="28"/>
            <w:szCs w:val="28"/>
          </w:rPr>
          <w:t xml:space="preserve">投标人须知</w:t>
        </w:r>
        <w:r>
          <w:rPr>
            <w:rFonts w:ascii="SimHei" w:hAnsi="SimHei" w:eastAsia="SimHei" w:cs="SimHei"/>
            <w:sz w:val="28"/>
            <w:szCs w:val="28"/>
          </w:rPr>
          <w:tab/>
        </w:r>
      </w:hyperlink>
      <w:r>
        <w:rPr>
          <w:rFonts w:ascii="SimHei" w:hAnsi="SimHei" w:eastAsia="SimHei" w:cs="SimHei"/>
          <w:sz w:val="28"/>
          <w:szCs w:val="28"/>
        </w:rPr>
      </w:r>
      <w:r>
        <w:rPr>
          <w:rFonts w:ascii="SimHei" w:hAnsi="SimHei" w:eastAsia="SimHei" w:cs="SimHei"/>
          <w:sz w:val="28"/>
          <w:szCs w:val="28"/>
        </w:rP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6" w:tooltip="http://jszfcg.jsczt.cn/jszc/onlyoffice/7.2.1-34/web-apps/apps/documenteditor/main/index_loader.html?_dc=7.2.1-34&amp;lang=zh&amp;customer=%20&amp;logo=%20&amp;headerlogo=%2Ffavicon.ico&amp;frameEditorId=iframePage&amp;compact=true&amp;parentOrigin=http://jszfcg.jsczt.cn#_Toc25170" w:history="1">
        <w:r>
          <w:rPr>
            <w:rFonts w:ascii="SimHei" w:hAnsi="SimHei" w:eastAsia="SimHei" w:cs="SimHei"/>
            <w:sz w:val="28"/>
            <w:szCs w:val="28"/>
          </w:rPr>
          <w:t xml:space="preserve">第三章</w:t>
        </w:r>
        <w:r>
          <w:rPr>
            <w:rFonts w:ascii="SimHei" w:hAnsi="SimHei" w:eastAsia="SimHei" w:cs="SimHei"/>
            <w:sz w:val="28"/>
            <w:szCs w:val="28"/>
          </w:rPr>
          <w:t xml:space="preserve">  </w:t>
        </w:r>
        <w:r>
          <w:rPr>
            <w:rFonts w:ascii="SimHei" w:hAnsi="SimHei" w:eastAsia="SimHei" w:cs="SimHei"/>
            <w:sz w:val="28"/>
            <w:szCs w:val="28"/>
          </w:rPr>
          <w:t xml:space="preserve">投标文件格式</w:t>
        </w:r>
        <w:r>
          <w:rPr>
            <w:rFonts w:ascii="SimHei" w:hAnsi="SimHei" w:eastAsia="SimHei" w:cs="SimHei"/>
            <w:sz w:val="28"/>
            <w:szCs w:val="28"/>
          </w:rPr>
          <w:tab/>
        </w:r>
      </w:hyperlink>
      <w:r>
        <w:rPr>
          <w:rFonts w:ascii="SimHei" w:hAnsi="SimHei" w:eastAsia="SimHei" w:cs="SimHei"/>
          <w:sz w:val="28"/>
          <w:szCs w:val="28"/>
        </w:rPr>
      </w:r>
      <w:r>
        <w:rPr>
          <w:rFonts w:ascii="SimHei" w:hAnsi="SimHei" w:eastAsia="SimHei" w:cs="SimHei"/>
          <w:sz w:val="28"/>
          <w:szCs w:val="28"/>
        </w:rP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7" w:tooltip="http://jszfcg.jsczt.cn/jszc/onlyoffice/7.2.1-34/web-apps/apps/documenteditor/main/index_loader.html?_dc=7.2.1-34&amp;lang=zh&amp;customer=%20&amp;logo=%20&amp;headerlogo=%2Ffavicon.ico&amp;frameEditorId=iframePage&amp;compact=true&amp;parentOrigin=http://jszfcg.jsczt.cn#_Toc8987" w:history="1">
        <w:r>
          <w:rPr>
            <w:rFonts w:ascii="SimHei" w:hAnsi="SimHei" w:eastAsia="SimHei" w:cs="SimHei"/>
            <w:sz w:val="28"/>
            <w:szCs w:val="28"/>
          </w:rPr>
          <w:t xml:space="preserve">第四章</w:t>
        </w:r>
        <w:r>
          <w:rPr>
            <w:rFonts w:ascii="SimHei" w:hAnsi="SimHei" w:eastAsia="SimHei" w:cs="SimHei"/>
            <w:sz w:val="28"/>
            <w:szCs w:val="28"/>
          </w:rPr>
          <w:t xml:space="preserve"> </w:t>
        </w:r>
        <w:r>
          <w:rPr>
            <w:rFonts w:ascii="SimHei" w:hAnsi="SimHei" w:eastAsia="SimHei" w:cs="SimHei"/>
            <w:sz w:val="28"/>
            <w:szCs w:val="28"/>
          </w:rPr>
          <w:t xml:space="preserve">招标书</w:t>
        </w:r>
        <w:r>
          <w:rPr>
            <w:rFonts w:ascii="SimHei" w:hAnsi="SimHei" w:eastAsia="SimHei" w:cs="SimHei"/>
            <w:sz w:val="28"/>
            <w:szCs w:val="28"/>
          </w:rPr>
          <w:tab/>
        </w:r>
      </w:hyperlink>
      <w:r>
        <w:rPr>
          <w:rFonts w:ascii="SimHei" w:hAnsi="SimHei" w:eastAsia="SimHei" w:cs="SimHei"/>
          <w:sz w:val="28"/>
          <w:szCs w:val="28"/>
        </w:rPr>
      </w:r>
      <w:r>
        <w:rPr>
          <w:rFonts w:ascii="SimHei" w:hAnsi="SimHei" w:eastAsia="SimHei" w:cs="SimHei"/>
          <w:sz w:val="28"/>
          <w:szCs w:val="28"/>
        </w:rP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8" w:tooltip="http://jszfcg.jsczt.cn/jszc/onlyoffice/7.2.1-34/web-apps/apps/documenteditor/main/index_loader.html?_dc=7.2.1-34&amp;lang=zh&amp;customer=%20&amp;logo=%20&amp;headerlogo=%2Ffavicon.ico&amp;frameEditorId=iframePage&amp;compact=true&amp;parentOrigin=http://jszfcg.jsczt.cn#_Toc30006" w:history="1">
        <w:r>
          <w:rPr>
            <w:rFonts w:ascii="SimHei" w:hAnsi="SimHei" w:eastAsia="SimHei" w:cs="SimHei"/>
            <w:sz w:val="28"/>
            <w:szCs w:val="28"/>
          </w:rPr>
          <w:t xml:space="preserve">第五章</w:t>
        </w:r>
        <w:r>
          <w:rPr>
            <w:rFonts w:ascii="SimHei" w:hAnsi="SimHei" w:eastAsia="SimHei" w:cs="SimHei"/>
            <w:sz w:val="28"/>
            <w:szCs w:val="28"/>
          </w:rPr>
          <w:t xml:space="preserve"> </w:t>
        </w:r>
        <w:r>
          <w:rPr>
            <w:rFonts w:ascii="SimHei" w:hAnsi="SimHei" w:eastAsia="SimHei" w:cs="SimHei"/>
            <w:sz w:val="28"/>
            <w:szCs w:val="28"/>
          </w:rPr>
          <w:t xml:space="preserve">合同主要条款</w:t>
        </w:r>
        <w:r>
          <w:rPr>
            <w:rFonts w:ascii="SimHei" w:hAnsi="SimHei" w:eastAsia="SimHei" w:cs="SimHei"/>
            <w:sz w:val="28"/>
            <w:szCs w:val="28"/>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r>
        <w:rPr>
          <w:rFonts w:ascii="SimHei" w:hAnsi="SimHei" w:eastAsia="SimHei" w:cs="SimHei"/>
          <w:sz w:val="28"/>
        </w:rPr>
        <w:t xml:space="preserve">第六章</w:t>
      </w:r>
      <w:r>
        <w:rPr>
          <w:rFonts w:ascii="SimHei" w:hAnsi="SimHei" w:eastAsia="SimHei" w:cs="SimHei"/>
          <w:sz w:val="28"/>
        </w:rPr>
        <w:t xml:space="preserve"> </w:t>
      </w:r>
      <w:r>
        <w:rPr>
          <w:rFonts w:ascii="SimHei" w:hAnsi="SimHei" w:eastAsia="SimHei" w:cs="SimHei"/>
          <w:sz w:val="28"/>
        </w:rPr>
        <w:t xml:space="preserve">评分标准</w:t>
      </w:r>
      <w:r>
        <w:rPr>
          <w:rFonts w:ascii="Times New Roman" w:hAnsi="Times New Roman" w:eastAsia="Times New Roman" w:cs="Times New Roman"/>
          <w:sz w:val="28"/>
        </w:rPr>
        <w:tab/>
      </w:r>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前附表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822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采购内容：娄葑街道动迁小区（多层）楼道智能AI监控租聘项目</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采购内容：见第四章采购需求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投标有效期：90日历天</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投标保证金：不提交，本项目招标文件内关于投标保证金的相关规定均不适用。</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签订合同：中标通知书发出之日起30日内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投标文件：应使用“苏采云”系统制作并提交电子版投标文件，未按要求线上递交电子投标文件将被拒收。供应商中标后须提供4套投标文件。</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履约保证金：本项目无需递交履约保证金，涉及的相关条款均不适用。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电子投标文件上传截止时间：2025年04月16日09:30（北京时间）</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询问：获取招标文件成功的投标供应商在下载招标文件后，对招标文件有疑问的，可通过邮件（1214506206@qq.com）进行询问。采购代理机构通过邮件予以解答，询问人自行在邮件中查看解答信息。</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招标文件、采购过程、中标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未依照采购公告要求依法获取招标文件的投标人，视为未参加该项政府采购活动，不具备对该政府采购项目提出质疑的法定权利。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预算金额500万元（含）-1000万元部分，费率为该部分预算金额的0.8%；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该费用由中标单位在领取中标通知书时一次性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本项目招标代理费金额：87428.80元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评标办法：详见第六章</w:t>
            </w:r>
            <w:r/>
          </w:p>
        </w:tc>
      </w:tr>
    </w:tbl>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招标公告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娄葑街道动迁小区（多层）楼道智能AI监控租聘项目的潜在投标人应在“苏采云政府采购一体化平台”网站自行免费下载招标文件，并于2025年04月16日09点30分（北京时间）前提交投标文件。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采购编号：JSZC-320591-PMJS-G2025-0007号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采购内容：娄葑街道动迁小区（多层）楼道智能AI监控租聘项目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预算金额：人民币：陆佰捌拾陆万捌仟陆佰伍拾陆元（¥6868656.00元）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采购需求：本项目主要涉及</w:t>
      </w:r>
      <w:r>
        <w:rPr>
          <w:rFonts w:ascii="SimSun" w:hAnsi="SimSun" w:eastAsia="SimSun" w:cs="SimSun"/>
          <w:color w:val="000000"/>
          <w:spacing w:val="-3"/>
          <w:sz w:val="24"/>
        </w:rPr>
        <w:t xml:space="preserve">娄葑街道动迁社区10个，小区24个，楼道1909个，3818路监控。提供项目所需的设备和软件投入（包含摄像机安装调试、平台功能、4种AI算法能力、云存功能、传输链路搭建等）</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合同履行期限：三年，具体以甲方确认安装完成使用之日为准。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时间：公告之日起5个工作日。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3、获取采购（磋商/谈判）文件及信息获取方式：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供应商登录苏州市政府采购网站首页下侧 “苏采云-已参与项目”中，根据提示，下载招标（采购）文件。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4、招标文件售价：免费；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市姑苏区平泷路251号政务服务中心4楼公共交易中心窗口，咨询电话</w:t>
      </w:r>
      <w:r>
        <w:rPr>
          <w:rFonts w:ascii="SimSun" w:hAnsi="SimSun" w:eastAsia="SimSun" w:cs="SimSun"/>
          <w:color w:val="000000"/>
          <w:sz w:val="24"/>
        </w:rPr>
        <w:t xml:space="preserve">：0512-69820834。</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投标文件。供应商可在采购系统中下载《苏采云系统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6、考虑到熟悉苏采云系统操作需要一定的时间，请提早准备以免耽误采购活动。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8、投标人（供应商）应自行在苏采云政府采购一体化平台上下载/获取招标（采购）文件及其澄清（答疑）等相关招标（采购）资料，恕不另行通知。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1、截止时间：2025年04月16日09：30（北京时间）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2、地点：苏州市政府采购网站-苏采云系统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1、时间：2025年04月16日09：30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本项目支持网上不见面开标，</w:t>
      </w:r>
      <w:r>
        <w:rPr>
          <w:rFonts w:ascii="SimSun" w:hAnsi="SimSun" w:eastAsia="SimSun" w:cs="SimSun"/>
          <w:b/>
          <w:color w:val="000000"/>
          <w:sz w:val="24"/>
        </w:rPr>
        <w:t xml:space="preserve">供应商不需到现场参加开标会。</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3、本项目为不见面开标项目，开标阶段供应商在【供应商解密】环节必须使用 CA证书解密电子投标（响应）文件，如在系统规定的解密时间内未能完成解密的视为放弃投标（响应）。</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4、请供应商确保电脑、系统及其他设备（视频输入输出设备等）无误，且开标直至项目结束始终保持系统在线状态。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1、评审结果会在开标结束后通过苏采云政府采购一体化平台告知供应商。供应商应及时登陆苏采云政府采购一体化平台进行查看，否则导致的对供应商不利的后果由供应商自行承担。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4、请贵单位领取本次采购文件后，认真阅读各项内容，进行必要的投标准备，按文件的要求详细填写和编制投标文件。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5、苏州工业园区财政审计局电话：0512-66681110，0512-62520127。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名称：苏州工业园区娄葑街道办事处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地址：苏州工业园区通园路28号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联系方式：0512-62873317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联系人：庄燕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项目联系人：俞莉、孙燕金、周东星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第一章</w:t>
      </w:r>
      <w:r>
        <w:rPr>
          <w:rFonts w:ascii="SimHei" w:hAnsi="SimHei" w:eastAsia="SimHei" w:cs="SimHei"/>
          <w:b/>
          <w:color w:val="000000"/>
          <w:sz w:val="48"/>
        </w:rPr>
        <w:t xml:space="preserve">  投标邀请函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江苏京苏项目管理咨询有限公司受苏州工业园区娄葑街道办事处的委托，就其所需的娄葑街道动迁小区（多层）楼道智能AI监控租聘项目进行国内公开招标。欢迎有条件的单位前来参加投标。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1、采购编号：</w:t>
      </w:r>
      <w:r>
        <w:rPr>
          <w:rFonts w:ascii="SimSun" w:hAnsi="SimSun" w:eastAsia="SimSun" w:cs="SimSun"/>
          <w:color w:val="000000"/>
          <w:sz w:val="24"/>
        </w:rPr>
        <w:t xml:space="preserve">JSZC-320591-PMJS-G2025-0007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2.1项目名称：</w:t>
      </w:r>
      <w:r>
        <w:rPr>
          <w:rFonts w:ascii="SimSun" w:hAnsi="SimSun" w:eastAsia="SimSun" w:cs="SimSun"/>
          <w:color w:val="000000"/>
          <w:sz w:val="24"/>
        </w:rPr>
        <w:t xml:space="preserve">娄葑街道动迁小区（多层）楼道智能AI监控租聘项目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2.2预算金额：人民币：陆佰捌拾陆万捌仟陆佰伍拾陆元（¥6868656.00元）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2.3服务范围：详见招标文件第四章《招标书》。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2.4采购需求：详见招标文件第四章《招标书》。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2.5合同履行期限：服务时间为三年，具体以甲方确认安装完成使用之日为准。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3.1投标文件上传截止时间：2025年04月16日09:30（北京时间）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3.2投标文件递交地点：苏州市政府采购网站-苏采云系统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3.3时间：2025年04月16日09：30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3.4本项目支持网上不见面开标，</w:t>
      </w:r>
      <w:r>
        <w:rPr>
          <w:rFonts w:ascii="SimSun" w:hAnsi="SimSun" w:eastAsia="SimSun" w:cs="SimSun"/>
          <w:b/>
          <w:color w:val="000000"/>
          <w:sz w:val="24"/>
        </w:rPr>
        <w:t xml:space="preserve">供应商不需到现场参加开标会。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3.5本项目为不见面开标项目，开标阶段供应商在【供应商解密】环节必须使用 CA证书解密电子投标（响应）文件，如在系统规定的解密时间内未能完成解密的视为放弃投标（响应）。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3.6请供应商确保电脑、系统及其他设备（视频输入输出设备等）无误，且开标直至项目结束始终保持系统在线状态。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4、联系单位：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名称：苏州工业园区娄葑街道办事处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地址：苏州工业园区通园路28号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联系方式：0512-62873317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联系人：庄燕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（2）</w:t>
      </w:r>
      <w:r>
        <w:rPr>
          <w:rFonts w:ascii="SimSun" w:hAnsi="SimSun" w:eastAsia="SimSun" w:cs="SimSun"/>
          <w:color w:val="000000"/>
          <w:sz w:val="24"/>
        </w:rPr>
        <w:t xml:space="preserve">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项目联系人：俞莉、孙燕金、周东星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2025年03月25日</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1.1本招标文件仅适用于江苏京苏项目管理咨询有限公司组织的招标活动。</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2.7乙方（投标人）：合同中规定的向采购人提供货物和服务的法人或其他组织和自然人。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2.10服务地点：合同中明确约定的乙方服务的最终地点。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2.12实质性响应：满足有关本次采购标的、数量、质量、价款或者报酬、服务要求、履行期限、履行地点和方式、违约责任和解决争议方法等要求。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2.15扫描件：指原件的各种彩色复制件，包括扫描、照片等。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合格投标人的一般条件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5.1指全权代表投标人参加投标活动并签署投标文件的人，如果投标人代表不是法定代表人，须持有《法定代表人授权委托书》（详见统一格式）。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7.1如接受联合体参加投标的，由两个或两个以上法人组成一个联合体以一个投标人的身份共同响应时，联合体各方均应当符合政府采购法第二十二条规定的条件。同时还应符合以下要求：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7.1.3以联合体形式参加政府采购活动的，联合体各方不得再单独参加或者与其他投标人另外组成联合体参加同一合同项下的政府采购活动。出现上述情况者，其投标和与其有关的联合体的投标均做无效投标处理。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7.2除非另有规定或说明，本采购文件中“投标人”一词亦指联合体各成员。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阅读招标文件中所有的事项、格式、条款和规范要求等，若投标人的投标文件没有按招标文件要求提交全部资料，或投标文件没有对招标文件做出实质性响应，其风险由投标人自行承担，并根据有关条款规定，该电子投标文件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招标文件及其更正（补充）文件不是直接从苏采云系统获得的，采购代理机构对招标文件及其更正（补充）文件的真实性、完整性不承担任何责任。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招标文件的询问</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9.1投标人在收到招标文件后，若有问题需要询问，应按照前附表要求及时提出，采购代理机构将予以解答，但答复内容不得涉及商业秘密。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前，采购人、采购代理机构无论出于自己的考虑，还是出于对投标人提问的澄清，均可对招标文件用更正（补充）文件的方式在原公告发布媒体上对招标文件进行澄清或修改，澄清或修改不得改变采购标的和资格条件。更正（补充）文件将作为招标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10.2为使投标人有足够的时间按招标文件的修改要求考虑修正投标文件，或出于其它原因，采购人、采购代理机构有权推迟投标截止日期和开标日期。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10.3投标人应及时关注采购信息发布媒体上发布的更正（补充）公告，如有遗漏（包括但不限于文件未下载或下载不完整），所造成的投标失败或损失由投标人自行负责。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10.4招标文件的澄清、修改、补充等内容均以原公告发布媒体上发布的内容为准。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11.1根据自身投标需要，投标人对有关现场和周围环境进行考察，以获取编制投标文件和签署合同所需的信息。考察现场所发生的费用由投标人自己承担。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经采购人允许，投标人可为考察目的进入采购人的项目现场，但投标人不得因此使采购人承担有关的责任和蒙受损失。投标人应承担考察现场的责任和风险。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12.1投标人应仔细阅读招标文件的所有内容，按招标文件的要求提供投标文件，并保证所提供的全部数据的真实性，以使其投标对招标文件作出实质性响应，否则，其投标可能被拒绝。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12.2无论是否提交投标文件，投标人都应将招标文件及以后的所有通知、文件等视为保密文件。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投标文件计量单位和使用文字</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递交中文证明资料，投标文件中必须使用其它文字的，必须附有中文译本。对于未附有中文译本和中文译本不准确的投标文件可能引起的对投标人不利的后果，采购人或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14.1投标书一（报价部分） (格式见第三章)：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14.1.4《投标报价明细表》；(格式见第三章)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14.1.5投标（响应）保证承诺书；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投标书二（技术及资格证明部分）：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14.2.1关于资格文件的声明函（格式见第三章）；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14.2.2投标人情况表（格式见第三章）；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14.2.3供应商与其他单位存在控股、管理关系情况表（格式见第三章）；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14.2.4投标人企业法定代表人身份证扫描件；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14.2.5代理人身份证扫描件（如有授权）；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14.2.6投标人证明其满足合格投标人资格基本条件的证明材料: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（2）具有良好的商业信誉和健全的财务会计制度证明：包括但不限于最近一期经审计的财务报告，其他组织、自然人及成立未满一年的法人应提供银行出具的资信证明；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（3）履行合同所必备的设备和专业技术能力的证明材料或承诺函；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投标人参加本次政府采购活动前半年（至少一个月）依法缴纳税收和社会保障资金（专用收据或社会保险缴纳清单）的证明材料；如为依法免税或不需要缴纳的，投标人则须提供对应证明资料，否则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14.2.7服务要求对照偏离表（见格式）；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14.2.8商务条款偏离表（见格式）；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14.2.9中小企业声明函（格式见第三章）或残疾人福利性单位声明函（格式见第三章）或监狱企业证明文件；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14.2.10针对本项目的人员配置表（见格式）；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14.2.11 拟投入本项目的负责人简历表；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14.2.12投标人针对本项目人员配备方案，服务团队人员详细介绍；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14.2.13投标人针对本项目的详细服务方案；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14.2.14服务承诺及优惠条件书面说明；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14.2.15《类似业绩一览表》（格式见第三章）；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14.2.16其他可以证明投标人资信、资质和货物、服务质量的证书、文件、推荐信等资料；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14.2.17招标文件及评分标准中所涉及须提供的其他资料。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注：1、投标书二（技术及资格证明部分）中不得出现价格。</w:t>
      </w:r>
      <w:r/>
    </w:p>
    <w:p>
      <w:pPr>
        <w:ind w:left="0" w:right="0" w:firstLine="9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2、投标人必须提交上述14.1.1—14.2.8款规定的资料。否则，投标文件将因未实质响应招标文件而被拒绝。</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14.3投标文件由14.1、14.2款规定的内容共同组成。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电子投标文件编制及提交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15.4投标（响应）文件制作完成后导出投标（响应）文件，在“参与详情”页面上传已制作完成的投标（响应）文件。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15.5投标（响应）文件提交后，供应商可通过模拟解密操作检测投标（响应）文件是否可以正常解密。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w:t>
      </w:r>
      <w:r>
        <w:rPr>
          <w:rFonts w:ascii="SimSun" w:hAnsi="SimSun" w:eastAsia="SimSun" w:cs="SimSun"/>
          <w:b/>
          <w:color w:val="000000"/>
          <w:sz w:val="24"/>
          <w:u w:val="single"/>
        </w:rPr>
        <w:t xml:space="preserve">因本章“14.投标文件的组成”要求的中小企业声明函、残疾人福利性单位声明函要求的文件需在中标公告时对外公示，故投标供应商如涉及需要提供“14.投标文件的组成”要求的中小企业声明函、残疾人福利性单位声明函的文件时，必须将签章上传至电子投标文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15.7供应商应在采购系统中选择已制作好的投标文件进行上传，上传必须在投标（响应）截止时间前完成。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15.8在投标文件递交截止时间止采购人收到的投标文件递交份数少于三份，采购人有权宣布本次采购失败。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15.9联合体投标：本项目不涉及。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备注：投标文件中的CA证书签章为有效签名章。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分项报价表》中的报价应包括但不限于完成本项目所需全部人工费（包括人员工资、保险等）、机械、管理、维护、保险、利润、税金、通讯器材、办公设备、器材、政策性文件规定及合同包含的所有风险、责任等各项应有费用。投标人应对所投项目的全部内容进行报价，只投其中部分内容者，其标书将被拒绝。投标报价为最终报价，除非因特殊原因并经双方协商同意，投标人不得再要求追加任何费用。同时，除非合同条款中另有规定，否则，投标人所报价格在合同实施期间不因市场变化因素而变动,政策性条款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16.2投标报价编制要求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16.2.1根据提供的投标文件及有关资料单独编制相关的投标报价并汇总填入《分项报价表》；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按《分项报价表》中的全部服务计算单价和总价。《分项报价表》中的每一单项均应计算并填写单价和总价。如发现投标报价中有错算、漏算现象，一旦中标，投标人自行承担错算、漏算这部分的经济损失，视为包含在总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应对招标文件内所要采购的全部内容进行报价，只投其中部分内容者，其投标文件将被拒绝。但如果采购文件要求分标段投标的，则投标人可以有选择地只投其中一个或几个标段，也可以投全部标段，但各标段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16.5一项内容只允许一个报价，采购人不接受任何有选择性的报价。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投标投标金（本项目无需提交投标保证金，本招标文件内投标保证金相关规定均不适用）。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18.1投标文件的有效期见前附表，在此期间内，投标文件应保持有效。有效期短于这个规定期限的响应，将被拒绝。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18.2在特殊情况下，采购单位可与投标人协商延长投标文件的有效期。这种要求和答复都应以书面的形式进行。同意延长有效期的投标人不能修改投标文件。拒绝接受延期要求的投标人的投标将被拒绝。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19.1投标人在提交投标文件后开启前可在系统中对其投标文件进行修改或撤销。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开启后投标人不得撤回投标文件。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21.1本项目支持网上不见面开标，</w:t>
      </w:r>
      <w:r>
        <w:rPr>
          <w:rFonts w:ascii="SimSun" w:hAnsi="SimSun" w:eastAsia="SimSun" w:cs="SimSun"/>
          <w:b/>
          <w:color w:val="000000"/>
          <w:sz w:val="24"/>
        </w:rPr>
        <w:t xml:space="preserve">供应商不需到现场参加开标会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rPr>
          <w:rFonts w:ascii="SimSun" w:hAnsi="SimSun" w:eastAsia="SimSun" w:cs="SimSun"/>
          <w:b/>
          <w:color w:val="000000"/>
          <w:sz w:val="24"/>
        </w:rPr>
        <w:t xml:space="preserve">开标阶段供应商在【供应商解密】环节必须使用 CA证书解密电子投标（响应）文件，如在系统规定的解密时间内未能完成解密的视为放弃投标（响应）。</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21.4开评审结果会在评标结束后通过采购系统告知投标人，请投标人及时查看，否则导致的对投标人不利的后果由投标人自行承担。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21.7本项目采用线上澄清：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评审中需要投标人进行澄清的通知会通过苏采云系统发出，投标人应及时登录采购系统查看澄清要求并在规定的时间内按要求进行线上答复。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评审结束后系统公告中会提示评审流程结束，投标人可离开电脑。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21.8由于开标现场监控传输路径与开标信息传输路径不同，会造成网页显示时间与监控图像显示时间不同。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系统使用指导与咨询：联系电话：10512-69820854、0519-86722802、18261002950、13914088964；QQ：3048755361、1315179389、895706745。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22.1公开招标采购项目开标结束后，采购人或者采购代理机构应当依法对投标人的资格进行审查，</w:t>
      </w:r>
      <w:r>
        <w:rPr>
          <w:rFonts w:ascii="SimSun" w:hAnsi="SimSun" w:eastAsia="SimSun" w:cs="SimSun"/>
          <w:b/>
          <w:color w:val="000000"/>
          <w:sz w:val="24"/>
        </w:rPr>
        <w:t xml:space="preserve">未通过资格审查的投标无效。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22.2根据政府采购法及相关法规，以及苏州市财政局《关于印发苏州市市级政府采购信用记录查询和使用工作试行办法的通知》（苏财购（2017）11号）的规定，将对投标人进行信用查询。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22.2.1查询时间：投标文件递交截止时间。</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22.2.2查询渠道：在中国政府采购网（http://www.ccgp.gov.cn）、信用中国（www.creditchina.gov.cn）的网站输入投标人全称或统一社会信用代码查询信用记录，并将查询结果递交评审小组。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22.3经采购人或者采购代理机构审查供应商存在失信行为的，投标无效。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22.4合格投标人不足3家的，不得评标。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评标委员会或评标小组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23.1评标委员会或评标小组（以下简称评委会）成员依法组建，负责具体评标事务，并独立履行职责；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23.2评标委员会或评标小组与参加采购活动的投标人存在下列利害关系之一的，应当回避：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评标委员会或评标小组发现本人与参加采购活动的投标人有利害关系的，应当主动提出回避。采购人或采购代理机构发现评审专家与参加采购活动的投标人有利害关系的，应当要求其回避。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23.3评标委员会将对符合资格的投标人的投标文件进行符合性审查，以确定其是否满足招标文件的实质性要求。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23.4评委会组负责具体的评标事务，并独立履行以下职责：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23.4.1审查、评价投标文件是否符合招标文件的商务、技术等实质性要求；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23.4.2要求投标人对投标文件有关事项作出澄清或者说明；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23.4.3对投标文件进行比较和评价；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23.4.4确定中标候选人名单，以及根据采购人委托直接确定中标人；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23.4.5向采购人、采购代理机构或者有关部门报告评标中发现的违法行为。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23.5评委会成员应当履行下列义务：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23.5.2按照招标文件规定的评标办法和评标标准进行评标，对评审意见承担个人责任；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23.5.3对评标过程和结果，以及投标人的商业秘密保密；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23.5.4参与评标报告的起草；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23.5.5配合采购人、采购代理机构答复投标人提出的质疑；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评标内容的保密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24.1公开开标后，直到宣布授予中标单位合同为止，凡属于审查、澄清、评价和比较投标的所有数据，有关授予合同的信息都不应向投标人或与评标无关的其它人泄露。</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24.2在投标文件的审查、澄清、评价和比较以及授予合同的过程中，投标人对采购人、采购代理机构和评标委员会成员施加影响的任何行为，都将取消其中标资格。</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24.3在评标期间，采购人、采购代理机构将通过指定联络人与投标人进行联系。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对投标文件初审</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25.1.1投标文件未按照本招标文件规定对投标文件进行签章；</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25.1.2投标人拒绝修正错误；</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25.1.3投标人的报价是选择性的；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25.1.4投标人的报价只投了同一标段中部分内容；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25.1.5投标人的投标文件中出现评委会认为不应雷同的；</w:t>
      </w:r>
      <w:r/>
    </w:p>
    <w:p>
      <w:pPr>
        <w:ind w:left="0" w:right="0" w:firstLine="5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25.1.6不同投标人的“机器码一致”的情形；</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25.1.7其它被评委会认定无效的情况。</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实质性响应的投标应该是与招标文件要求的标的、数量、质量、价款或者报酬、履行期限、履行地点和方式、违约责任和解决争议方法等条款相符。不得限制合同中买方的权利或投标人的义务，也不得对其它实质性回应的投标人的竞争地位产生不公正影响。</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招标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25.4对于投标文件中含义不明确、同类问题表述不一致或者有明显文字和计算错误的内容，评标委员会应当以书面形式要求投标人作出必要的澄清、说明或者补正。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25.5投标文件报价出现前后不一致的，除招标文件另有规定外，按照下列规定修正：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25.5.1投标文件中开标一览表（报价表）内容与投标文件中相应内容不一致的，以开标一览表（报价表）为准；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25.5.2大写金额和小写金额不一致的，以大写金额为准；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25.5.3单价金额小数点或者百分比有明显错位的，以开标一览表的总价为准，并修改单价；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25.5.4总价金额与按单价汇总金额不一致的，以单价金额计算结果为准。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25.6除上述情形外，对投标文件的判定，只依据投标文件本身，不依靠开标后的任何外来证明。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25.7采购代理机构将拒绝被确定为非实质性响应的投标，投标人不能通过修正或撤销不符之处而使其投标成为实质性响应的投标。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投标的澄清、说明或纠正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26.2投标人对投标文件的澄清不得改变投标的价格（校核时发现的算术错误除外）及实质内容。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26.3评审中需要供应商进行澄清的通知会通过苏采云系统发出，供应商应及时登录采购系统查看澄清要求并在规定的时间内按要求进行线上答复，否则视为未实质性响应。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0"/>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评标小组认为供应商的报价明显低于其他通过符合性审查供应商的报价，有可能影响产品质量或者不能诚信履约的，有权其要求供应商在评审现场合理的时间内提供书面说明，必要时可要求提交相关证明材料；供应商不能证明其报价合理性的，评审小组应当将其作为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 在招标过程中，出现下列情况之一的，应予废标：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28.1.1符合专业条件的投标人或者对招标文件作实质响应的供应商不足三家的；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28.1.2出现影响采购公正的违法、违规行为的；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28.1.3投标人的报价均超过了采购预算的，采购方不能支付的；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28.1.4因重大变故，采购任务取消的；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28.2 废标后，采购人将把废标的理由通知所有投标人。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投标文件的评价和比较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29.1评标委员会将仅对按照本须知有关规定确定为实质性响应招标文件要求的投标文件进行评价和比较。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评价和比较采用综合评分法，评委会严格按照招标文件的规定要求、条件、评分标准，对投标人所提供货物或服务的先进性、可靠性、售后服务承诺、质量保证承诺等实质性响应内容进行比较评价。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中标单位的确认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30.1中标人的数量：1个。</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30.2评标委员会根据投标人资格审查情况，对投标文件进行评价和比较，按照评标办法和标准进行评标推荐中标候选人。评标委员会有权评定中标人，同时也有权拒绝任何或所有投标人中标。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评标结果按评审后得分由高到低顺序排列。得分相同的，按投标报价由低到高顺序排列。得分且投标报价相同的并列，则由公证机构组织以抽签方式确定中标候选人。投标文件满足招标文件全部实质性要求，且按照评审因素的量化指标评审得分最高的投标人为排名第一的中标候选人。</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30.4采购人或者采购代理机构应当自中标人确定之日起2个工作日内，在政府采购信息媒体上发布中标公告，中标公告期限为1个工作日。</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在公告中标结果的同时，采购人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31.1中标通知书将成为合同的组成部分。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32.2如果乙方未能履行合同规定的任何义务，或因乙方责任应由乙方承担的赔偿或违约金支付未完成，甲方有权从履约保证金中取得补偿。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32.3履约保证金（无息）将在乙方履行完合同义务一个月内，凭乙方的收款收据退还余款给乙方。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31.4甲方逾期退还履约保证金的，乙方有权要求甲方自约定的退还期限届满次日起，每逾期一日，按应退还的履约保证金款项的0.03%支付违约金，直至实际退还之日为止。</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31.5乙方擅自解除合同，或因乙方违约导致甲方解除合同，或因乙方违约给甲方造成重大损失时，履约保证金不予退还。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32.1采购人应当自中标通知书发出之日起15日内，按照招标文件和中标人投标文件的规定，与中标人签订书面合同。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政府采购合同的双方当事人不得擅自变更、中止或者终止合同。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32.3政府采购合同继续履行将损害国家利益和社会公共利益的，双方当事人应当变更、中止或者终止合同。有过错的一方应当承担赔偿责任，双方都有过错的，各自承担相应的责任。</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32.4采购人在合同签订后，可以增加与合同标的相同的服务，在不改变合同其他条款的前提下，可以与投标人协商签订补充合同，但所有补充合同的采购金额不得超过原合同采购金额的百分之十。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33.4供应商提出质疑应当提交质疑函、交易文件下载确认单和必要的证明材料。质疑函应当包括下列内容：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33.11质疑联系方式详见采购公告。</w:t>
      </w:r>
      <w:r/>
    </w:p>
    <w:p>
      <w:pPr>
        <w:ind w:left="17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 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（1）针对中小型企业的评审：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的相关规定，供应商认定本企业提供的货物、工程或服务符合上述文件规定情形，供应商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服务由中小企业承接。如供应商属于小型或微型企业，对小型和微型企业的价格给予20%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w:t>
      </w:r>
      <w:r>
        <w:rPr>
          <w:rFonts w:ascii="SimSun" w:hAnsi="SimSun" w:eastAsia="SimSun" w:cs="SimSun"/>
          <w:color w:val="0000ff"/>
          <w:sz w:val="24"/>
          <w:u w:val="single"/>
        </w:rPr>
        <w:t xml:space="preserve">1</w:t>
      </w:r>
      <w:r>
        <w:rPr>
          <w:rFonts w:ascii="SimSun" w:hAnsi="SimSun" w:eastAsia="SimSun" w:cs="SimSun"/>
          <w:color w:val="000000"/>
          <w:sz w:val="24"/>
        </w:rPr>
        <w:t xml:space="preserve">查询截止时点：投标文件递交截止时间。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34.3.2查询渠道：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信用记录使用规则：对投标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中标服务费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35.1中标单位须按前附表的规定计算并支付中标服务费，该费用应在中标通知书发出时付清。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35.2中标单位如果未按规定缴纳中标服务费，采购人或采购代理机构保留诉讼的权利。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按《中华人民共和国政府采购法》及其它有关的法律法规的规定执行。</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，投标方可根据自身情况进行补充和修改，但补充和修改不得造成与本格式内容有实质性的违背。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号采购文件，经仔细阅读和研究，我们决定参加投标，并承诺如下：</w:t>
      </w:r>
      <w:r/>
    </w:p>
    <w:p>
      <w:pPr>
        <w:ind w:left="0" w:right="0" w:firstLine="502"/>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招标项目的所有内容，我们的投标报价包括但不限于完成本项目所需全部人工费（包括人员工资、保险等）、设备租赁、运行维护、平台接入、机械、管理、维护、保险、利润、税金、通讯器材、办公设备、器材、政策性文件规定及合同包含的所有风险、责任等各项应有费用。我单位的投标报价为最终报价，除非因特殊原因并经双方协商同意，我单位不再要求追加任何费用。我单位所报价格在合同实施期间不因市场变化因素而变动,政策性条款例外。</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2、如果我们的投标书被接受，我们将严格履行招标文件中规定的每一项要求，严格履行合同的责任和义务，保证按期、按质履行合同，完成服务的全部工作。</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8、我们同意中标方若无法按约定条款履行义务等行为，招标方有权取消我们的中标资格，并可就因我方未能履约而导致采购方损失的向我方进行索赔。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9、如果我们中标，我们愿意按前附表规定的收费标准支付中标服务费，逾期按中国人民银行公布的同期人民币贷款最高利率计付利息；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1"/>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号的投标活动。授权代表在投标活动过程中所签署的一切文件和处理与这有关的一切事务，我均予以承认。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授权代表在授权委托书有效期内签署的所有文件不因授权委托的撤销而失效，除非有撤销授权委托的书面通知，本授权委托书自投标活动开始至合同履行完毕止。</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3"/>
        <w:gridCol w:w="4508"/>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投标总价(元)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26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投标单价(元)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大写：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格式四、分项报价表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rPr>
          <w:rFonts w:ascii="SimSun" w:hAnsi="SimSun" w:eastAsia="SimSun" w:cs="SimSun"/>
          <w:b/>
          <w:color w:val="000000"/>
          <w:sz w:val="24"/>
          <w:u w:val="single"/>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1979"/>
        <w:gridCol w:w="1791"/>
        <w:gridCol w:w="795"/>
        <w:gridCol w:w="795"/>
        <w:gridCol w:w="795"/>
        <w:gridCol w:w="1193"/>
        <w:gridCol w:w="1223"/>
      </w:tblGrid>
      <w:tr>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9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租赁期（月）</w:t>
            </w:r>
            <w:r/>
          </w:p>
        </w:tc>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注：1、分项报价明细表与开标一栏表不一致，以开标一栏表为准。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2、本项目数量为3818套，租赁期为36个月。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格式五、租赁设备详细情况</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租赁设备详细情况表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rPr>
          <w:rFonts w:ascii="SimSun" w:hAnsi="SimSun" w:eastAsia="SimSun" w:cs="SimSun"/>
          <w:b/>
          <w:color w:val="000000"/>
          <w:sz w:val="24"/>
          <w:u w:val="single"/>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3"/>
        <w:gridCol w:w="3015"/>
        <w:gridCol w:w="2467"/>
        <w:gridCol w:w="1470"/>
        <w:gridCol w:w="1209"/>
      </w:tblGrid>
      <w:tr>
        <w:trPr>
          <w:trHeight w:val="10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格式六、服务要求对照偏离表</w:t>
      </w:r>
      <w:r/>
    </w:p>
    <w:p>
      <w:pPr>
        <w:ind w:left="0" w:right="0" w:firstLine="0"/>
        <w:jc w:val="center"/>
        <w:spacing w:before="0" w:after="12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服务要求对照偏离表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rPr>
          <w:rFonts w:ascii="SimSun" w:hAnsi="SimSun" w:eastAsia="SimSun" w:cs="SimSun"/>
          <w:b/>
          <w:color w:val="000000"/>
          <w:sz w:val="24"/>
          <w:u w:val="single"/>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961"/>
        <w:gridCol w:w="1766"/>
        <w:gridCol w:w="1569"/>
        <w:gridCol w:w="1853"/>
        <w:gridCol w:w="98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格式七、商务条款偏离表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50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rPr>
          <w:rFonts w:ascii="SimSun" w:hAnsi="SimSun" w:eastAsia="SimSun" w:cs="SimSun"/>
          <w:color w:val="000000"/>
          <w:sz w:val="21"/>
        </w:rPr>
        <w:t xml:space="preserve">                                </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3243"/>
        <w:gridCol w:w="2154"/>
        <w:gridCol w:w="2026"/>
        <w:gridCol w:w="961"/>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格式八、针对本项目的人员配置表</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针对本项目的人员配置表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2149"/>
        <w:gridCol w:w="797"/>
        <w:gridCol w:w="1119"/>
        <w:gridCol w:w="940"/>
        <w:gridCol w:w="1726"/>
        <w:gridCol w:w="1263"/>
        <w:gridCol w:w="49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在本项目中负责的岗位（按照采购要求填写）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资质及从业资历(按照采购要求填写是否满足)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资质证书名称、等级、编号等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项目组人员”指投标人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中标单位必须及时更换。</w:t>
      </w:r>
      <w:r/>
    </w:p>
    <w:p>
      <w:pPr>
        <w:ind w:left="0" w:right="0" w:firstLine="8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2.投标人可参照上述格式自行设计表格投标。</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格式九、拟投入本项目的负责人简历表</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拟投入本项目的负责人简历表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投标人：</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 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18"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主  要  经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格式十、类似业绩一览表</w:t>
      </w:r>
      <w:r/>
    </w:p>
    <w:p>
      <w:pPr>
        <w:ind w:left="0" w:right="0" w:firstLine="3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类似业绩一览表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（采购机构名称）：</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我方参加贵单位组织的编号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项目采购活动，根据有关保密法规制度，知悉应当承担的保密义务和法律责任，承诺如下：</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一、严格遵守国家的保密法律法规和规章制度，履行保密义务。</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二、不以任何方式泄露或传播本次采购项目相关信息。</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三、不违规记录、存储、复制本次采购项目相关信息。</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四、招标文件以及相关技术文件专室放置、专盘存储、专人管理。</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五、未经采购单位审查批准，不得擅自在互联网、通讯媒体等发表涉及此次采购项目相关内容或资讯。</w:t>
      </w:r>
      <w:r/>
    </w:p>
    <w:p>
      <w:pPr>
        <w:ind w:left="0" w:right="0" w:firstLine="523"/>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违反上述承诺，愿承担一切法律责任，接受预算金额5%的处罚。</w:t>
      </w:r>
      <w:r/>
    </w:p>
    <w:p>
      <w:pPr>
        <w:ind w:left="0" w:right="0" w:firstLine="96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97"/>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pStyle w:val="73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70" w:right="0" w:firstLine="48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70" w:right="0" w:firstLine="48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70" w:right="0" w:firstLine="48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70" w:right="0" w:firstLine="48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570" w:right="0" w:firstLine="48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格式十二、资格证明文件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pStyle w:val="73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7"/>
        <w:gridCol w:w="1788"/>
        <w:gridCol w:w="1446"/>
        <w:gridCol w:w="2049"/>
        <w:gridCol w:w="1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21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注：投标单位应当按实填写所有与之有控股、管理关系的情况。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（4）投标（响应）保证承诺书（参考格式）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投标（响应）保证承诺书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  除不可抗力外，我单位如果发生以下行为，将在行为发生的10个工作日内，向贵方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支付本招标文件公布的预算金额（或最高限价）的2%作为违约赔偿金（数量不确定的单价采购须约定具体金额）。</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1.自投标（响应）截止时间至本项目发布中标（成交）公告为止，撤销投标（响应）；</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2.中标（成交）后不依法与采购人签订合同；</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3.中标（成交）后不按本招标文件规定向采购人提交履约保证金；</w:t>
      </w:r>
      <w:r/>
    </w:p>
    <w:p>
      <w:pPr>
        <w:ind w:left="0" w:right="0" w:firstLine="44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4.中标（成交）后不按本招标文件规定向贵方缴纳采购代理费。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  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124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；承建（承接）企业为  </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三者选一填写）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7、中标单位为中小微企业的，《中小企业声明函》将随中标结果同时公告。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注：提供的残疾人福利性单位声明函须加盖有公章的彩色扫描件上传至电子投标文件中（如属于）。否则不可享受相应扶持政策。</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第四章 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江苏京苏项目管理咨询有限公司作为招标代理机构，受苏州工业园区娄葑街道办事处的委托，就其所需的娄葑街道动迁小区（多层）楼道智能AI监控租聘项目进行国内公开招标。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一、采购编号：JSZC-320591-PMJS-G2025-0007号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二、招标项目：娄葑街道动迁小区（多层）楼道智能AI监控租聘项目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三、采购预算：人民币：陆佰捌拾陆万捌仟陆佰伍拾陆元（¥6868656.00元）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迁小区(多层)智能监控设施租赁采购项目，主要针对娄葑街道辖区内动迁小区(多层)一楼车库电瓶车违规停放、杂物乱推、煤气罐进楼道、火情等情况，通过AI算法的技术生成告警信息并产生工单，管理员接到工单去现场处理并回单，形成事件闭环。 对存在的安全隐患做到预判，有效加强小区安全防范、应急联动，提高全体业主安全、和谐的生活环境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本次项目建设共涉及娄葑街道的涉及动迁社区10个，小区24个，楼道1909个，3818路监控。需提供项目所需的设备和软件投入（包含摄像机安装调试、平台功能、4种AI算法能力、云存功能、传输链路搭建等）。</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pacing w:val="-3"/>
          <w:sz w:val="24"/>
        </w:rPr>
        <w:t xml:space="preserve">设备功能服务内容要求及参数</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2.1功能服务内容要求</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537"/>
        <w:gridCol w:w="4777"/>
        <w:gridCol w:w="1088"/>
      </w:tblGrid>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功能要求描述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8"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前端视频服务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视频采集（设备安装）、日常维护</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088" w:type="dxa"/>
            <w:vAlign w:val="top"/>
            <w:vMerge w:val="restart"/>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3818套</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视频接入，实时、云回看、ai告警查询、支持PC端、手机端APP等</w:t>
            </w:r>
            <w:r/>
          </w:p>
        </w:tc>
        <w:tc>
          <w:tcPr>
            <w:vMerge w:val="continue"/>
            <w:textDirection w:val="lrTb"/>
            <w:noWrap w:val="false"/>
          </w:tcPr>
          <w:p>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AI算法（电瓶车检测）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基于深度学习与图像识别等技术，检测画面中的电动车（摩托车），并标注出来</w:t>
            </w:r>
            <w:r/>
          </w:p>
        </w:tc>
        <w:tc>
          <w:tcPr>
            <w:vMerge w:val="continue"/>
            <w:textDirection w:val="lrTb"/>
            <w:noWrap w:val="false"/>
          </w:tcPr>
          <w:p>
            <w:r/>
            <w:r/>
          </w:p>
        </w:tc>
      </w:tr>
      <w:tr>
        <w:trPr>
          <w:trHeight w:val="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AI算法（煤气罐检测）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对监控区域内，检测到的煤气罐和类似于煤气罐的桶状物，产生告警信息</w:t>
            </w:r>
            <w:r/>
          </w:p>
        </w:tc>
        <w:tc>
          <w:tcPr>
            <w:vMerge w:val="continue"/>
            <w:textDirection w:val="lrTb"/>
            <w:noWrap w:val="false"/>
          </w:tcPr>
          <w:p>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AI算法（垃圾检测）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对路面是否有散落垃圾进行监测，依托图像处理、算法聚焦、硬件设计及嵌入式软件领域的技术积累实现对路面垃圾情况的检测</w:t>
            </w:r>
            <w:r/>
          </w:p>
        </w:tc>
        <w:tc>
          <w:tcPr>
            <w:vMerge w:val="continue"/>
            <w:textDirection w:val="lrTb"/>
            <w:noWrap w:val="false"/>
          </w:tcPr>
          <w:p>
            <w:r/>
            <w:r/>
          </w:p>
        </w:tc>
      </w:tr>
      <w:tr>
        <w:trPr>
          <w:trHeight w:val="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AI算法（火焰检测）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对监控区域内，检测到火焰以及浓度较高的黑色/白色烟雾，产生告警信息，主要包括火焰、烟雾两种目标检测</w:t>
            </w:r>
            <w:r/>
          </w:p>
        </w:tc>
        <w:tc>
          <w:tcPr>
            <w:vMerge w:val="continue"/>
            <w:textDirection w:val="lrTb"/>
            <w:noWrap w:val="false"/>
          </w:tcPr>
          <w:p>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30天云存储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30天云存储，提供云端存储与回看服务</w:t>
            </w:r>
            <w:r/>
          </w:p>
        </w:tc>
        <w:tc>
          <w:tcPr>
            <w:vMerge w:val="continue"/>
            <w:textDirection w:val="lrTb"/>
            <w:noWrap w:val="false"/>
          </w:tcPr>
          <w:p>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7"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数据传输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宽带</w:t>
            </w:r>
            <w:r/>
          </w:p>
        </w:tc>
        <w:tc>
          <w:tcPr>
            <w:vMerge w:val="continue"/>
            <w:textDirection w:val="lrTb"/>
            <w:noWrap w:val="false"/>
          </w:tcPr>
          <w:p>
            <w:r/>
            <w:r/>
          </w:p>
        </w:tc>
      </w:tr>
    </w:tbl>
    <w:p>
      <w:pPr>
        <w:ind w:left="52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3、服务支撑设施设备要求（服务支撑设施由中标单位提供，资产归中标单位所有）</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2519"/>
        <w:gridCol w:w="5671"/>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c>
      </w:tr>
      <w:tr>
        <w:trPr>
          <w:trHeight w:val="18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POE半球摄像机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200万网络摄像机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传感器类型：不小于1/2.7" Progressive Scan CMOS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最低照度：彩色：≤0.01 Lux @（F1.2，AGC ON），0 Lux with IR</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配备RJ45网口,可为POE受电设备提供供电和数据通讯</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国标</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拖线板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3位5孔，10A</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管线、辅材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网线、电源线、PVC管</w:t>
            </w: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1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300*200*160</w:t>
            </w:r>
            <w:r/>
          </w:p>
        </w:tc>
      </w:tr>
    </w:tbl>
    <w:p>
      <w:pPr>
        <w:ind w:left="0" w:right="0" w:firstLine="4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（1）POE半球摄像机</w:t>
      </w:r>
      <w:r/>
    </w:p>
    <w:p>
      <w:pPr>
        <w:ind w:left="52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200万网络摄像机</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传感器类型：不小于1/2.7" Progressive Scan CMOS</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最低照度：彩色：≤0.01 Lux @（F1.2，AGC ON），0 Lux with IR</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宽动态：数字宽动态</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补光灯类型：红外灯/白光灯</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补光距离：白光最远可达20 m，红外光最远可达30 m</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防补光过曝：支持</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红外波长范围：850 nm</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最大图像尺寸：1920 × 1080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视频压缩标准：主码流：H.265/H.264</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子码流：H.265/H.264</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网络：1个RJ45 10 M/100 M自适应以太网口</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音频：1个内置麦克风</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电流及功耗：DC：12 V，0.42 A，最大功耗：5 W</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PoE：IEEE802.3af ，CLASS 3，最大功耗：6.5 W</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供电方式：DC：12 V ± 25%，支持防反接保护</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PoE：IEEE802.3af，CLASS 3</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电源接口类型：Ø5.5 mm圆口</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防护：IP66</w:t>
      </w:r>
      <w:r/>
    </w:p>
    <w:p>
      <w:pPr>
        <w:ind w:left="52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（2）POE电源模块</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配备RJ45网口,可为POE受电设备提供供电和数据通讯</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输入:AC100-240V</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输出:DC48V 500MA</w:t>
      </w:r>
      <w:r/>
    </w:p>
    <w:p>
      <w:pPr>
        <w:ind w:left="52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4、平台基础功能</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实时视频：监控平台可以单独显示一路视频，同时还可以对多路视频进行分屏显示，方便客户进行多路同时查看。</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录像管理：支持前端录像查询和回看功能；支持以通道维度在中心节点进行录像并将生成的.mp4文件保存至云盘或指定硬盘，包含开通/关闭录像、查询/回看/拖放/下载录像等功能。</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历史视频：支持按照指定设备、通道、时间等要素检索前端录像文件以及录像回放和下载功能；支持历史视频点播本地缓存，视频点播关闭后自动清理；支持回放中抓图、录屏、全屏播放、音量调节等。</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远程集中管理：视频监控管理平台将实现摄像头的远程集中管理，包括摄像头的状态监控、配置调整、录像回放等功能。</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多协议接入：平台支持多种监控摄像头协议，确保能够接入各种品牌和型号的摄像头。</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用户管理：平台对用户数据进行统一登记与修改，用户数据采用统一数据库管理，供若干子业务调用，实现用户信息同步获取与更新。支持设备分组和多级管理关系设置，分组可分配给对应子账号，使子账号获取查看对应分组视频的权限。</w:t>
      </w:r>
      <w:r/>
    </w:p>
    <w:p>
      <w:pPr>
        <w:ind w:left="0" w:right="57"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一级帐号：拥有平台管理最高权限，可查看本项目所有设备的实时视频及历史视频，通过电子地图查看设备分布；支持分配AI设备、开通云存、管理设备信息；支持查看告警信息，可设置工单规则，将告警信息转化为工单；支持开通移动侦测、视图库等功能；支持对设备进行分组，授权客户子账号设备权限。</w:t>
      </w:r>
      <w:r/>
    </w:p>
    <w:p>
      <w:pPr>
        <w:ind w:left="0" w:right="57"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（2）二级帐号：可查看部分设备（由主账号授权）的实时视频及历史视频；支持查看告警信息；支持查看该部分设备的信息。</w:t>
      </w:r>
      <w:r/>
    </w:p>
    <w:p>
      <w:pPr>
        <w:ind w:left="0" w:right="57"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（3）三级帐号：可查看部分设备（由主账号授权）的实时视频及历史视频；支持查看告警信息；支持查看该部分设备的信息。</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日志管理：后台自动创建并记录重要的系统操作日志，如管理员日志、客户日志以及设备日志等，并可提供多种方式查询、浏览和导出日志信息。</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工单闭环：由主账号创建工单规则，可按单个设备单路告警分配到相关负责人，可开通短信通知。产生AI告警后，告警信息自动转化为工单，相关责任人收到工单短信，可线下核实告警情况，线上处理工单并记录处理结果，处理完成后工单自动存档形成历史记录，可供监管账号查询查看。</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41"/>
        <w:gridCol w:w="3041"/>
        <w:gridCol w:w="3041"/>
      </w:tblGrid>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租赁平台名称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智慧监控平台能力要求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不同协议标准的数据级联推送给上级平台；支持查看网关支持的协议标准，包括协议简称、协议编号、协议类型、发布日期和实施日期等；支持设置协议标准推送的机制参数，包括支持静态数据断线重连全量推送，动态数据推送的方式、频率、重推次数等；</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推送的数据包括采集系统数据、采集信息和动态业务数据，分类静态数据和动态数据两种类型；业务数据网关根据下级域的配置接收下级平台的注册连接，连接建立后接收数据推送，并将数据按数据类型入库存储管理，数据对象与作为下级向上级推送的数据对象对齐；</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1400视图库协议推送和接收的数据对象包括采集设备-设备对象、采集设备-设备状态对象、采集系统对象、图像对象、人脸对象、机动车对象、注册对象、保活对象、注销对象，其中设备子类包括人像抓拍相机、停车场出入口抓拍相机；作为下级1400级联时，支持图片级联推送给上级，支持按上级订阅方式进行推送人像和车辆抓拍设备；</w:t>
            </w:r>
            <w:r/>
          </w:p>
        </w:tc>
      </w:tr>
      <w:tr>
        <w:trPr>
          <w:trHeight w:val="3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业务数据网关作为下级往上级推送数据的失败记录查看，包括推送数据对象、数据标志码、推送时间、推送结果等；失败的日志记录支持查看推送的详细内容和手动重推操作；失败的日志记录支持按关键字查询检索及导出</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业务数据网关作为上级接收下级推送数据的失败记录查看，包括接收时间、级联域名称、数据对象、数据标志码、失败错误码、失败原因等；失败的日志记录支持按关键字查询检索及导出；成功级联日志开关打开后，支持数据推送成功日志记录存储及查询展示；支持数据接收成功日志记录存储及查询展示</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1)支持主流品牌的监控摄像头、NVR(网络视频录像机)、自建监控视频平台进行接入整合，实现统一管理，统一调度，平台融合</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2)支持网页端、CS客户端、APP端三种方式平台管理方式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WEB端：</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3)支持数据总览展示、显示系统当前设备总数、设备在线数据、设备离线数据、存储设备数据、AI设备数据、运维设备数据</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4)支持一周系统趋势分析，包括设备在线趋势、运维巡检趋势、AI告警趋势</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5)支持展示存储类型，包括系统存储的类型以及相应数量；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6)支持电子地图标点，精确定位平台所有设备具体的地图对应位置、展示区域内设备数量；支持点击视频定位图标实现实时视频播放、可自定义播放倍速、声音控制、全屏播放；</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7)电子地图支持区域内设备信息快速查询、显示设备平台编号、设备名称、设备详细地址；</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8)支持系统运维巡检日报，播报平台巡检数据；</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9)支持系统实时告警数据展示，包括告警时间、告警截图、告警设备位置名称，支持快捷跳转告警中心查看告警列表；</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10)支持1/4/6/8/12/16多分屏画面显示;</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11)支持设备树展示设备通道数量及设备详细信息；</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12)支持设备经纬度设置；</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13)支持自定义分组，支持新建分组、单独关联设备、批量移动关联设备；</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14)支持分权分域账号管理，支持创建下级子账号，可定义子账号账户名、所属人姓名、所属人手机号、授权子账号可监管分组；</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15)支持实时视频列表排序，包括按照设备离线/在线排列、时间升序/降序排列、设备名称搜索；</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16)支持多用户对同一图像资源的同时点播；</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17)支持实时视频列表按照自然分组、子级账号分组、自定义分组三种方式进行展示；</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18)支持历史视频列表排序，包括按照设备离线/在线排列、时间升序/降序排列、设备名称搜索；</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19)支持历史视频列表按照自然分组、子级账号分组、自定义分组三种方式进行展示；</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20)历史视频支持本地存储、云存储两种查询方式，历史视频播放支持页面截图以及全屏播放；</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21)支持云存储管理，支持1/3/7/15/30/60/90天云存类型，支持每类云存储的配额总数、未分配配额数、订购日期以及到期日期；</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22)支持云存储自定义分配；</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23)支持云存储列表按照设备名称、接入号名称进行筛选；</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24)支持接入AI相机，接收并展示AI相机上报的区域入侵、电动车报警、煤气罐告警、持刀持械告警、打架斗殴告警、并支持报警联动上墙、抓图、报警输出；</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25)支持平台AI任务管理，包括AI任务列表、AI任务新增分配、AI任务管理，支持AI任务设备触发时间间隔；</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26)支持告警中心集中展示AI智能识别告警、视频画面诊断告警、AI相机终端告警三种告警方式；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27)AI智能识别告警包括持刀持械、打架斗殴、燃气罐识别、电动车识别、车辆(含非机动)违停、区域入侵、翻墙检测、未穿厨师服、手提物品、垃圾检测、人员聚集、人员徘徊；（提供页面截图并加盖公章）</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28)视频画面诊断告警包括黑屏、条纹、偏亮、偏暗、抖动、遮挡、模糊、卡顿、雪花、色偏，短信推送巡检结果；</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29)支持国标T1400协议设备上报的结构化数据；</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30)支持人脸识别，支持国标设备通过T1400协议上报人脸结构化数据，采集人脸数据，进行告警消息查询，实现人脸布控高效管理。</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31)支持车辆识别，支持国标设备通过T1400协议上报车辆结构化数据，包含车辆颜色、车牌识别等，并进行告警消息查询，实现车辆布控高效管理</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32)平台支持设备自动运维巡检，展示巡检记录；</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33)平台支持与维保平台做数据打通，自动派单并展示运维派单记录；</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34)支持导出自动运维巡检明细表以及汇总表；</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CS客户端:</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35)支持客户端实时视频播放支持单分屏、4分屏、6分屏、8分屏、9分屏等分屏方式;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36)支持播放控制：支持视频播放、拍照、录屏、声音控制、全屏等功能；</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37)支持多用户对同一图像资源的同时点播；</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38)支持云台控制，控制云台转速调节；</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39)支持镜头控制，支持镜头的焦距控制，焦距的放大、缩小；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40)支持截图/录像：支持截图保存，支持按照用户的开始录制、停止录制指令进行控制的录像。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41)支持云端录像/本地录像的检索、回放、下载；</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42)支持重启设备；</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43)支持终端告警信息展示；</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44)支持用户信息的配置，支持存储路径的修改、分屏设置、分屏自动扩展、版本更新；</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APP端:APP端支持苹果客户端以及安卓客户端两种方式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45)支持视频资源检索；</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46)支持设备状态诊断，支持按照设备在线/离线进行排序；</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47)具有实时视频，实时视频截图、录像下载功能；</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48)具有按照指定设备、指定通道进行图像的实时点播，支持多用户对同一图像资源的同时点播。</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49)支持视频播放截图，截图统一管理；</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50)支持历史视频回看，历史视频支持云存储视频以及本地历史视频，支持历史视频下载；</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51）平台满足信息系统安全等级保护（三级）及以上要求。</w:t>
            </w:r>
            <w:r/>
          </w:p>
        </w:tc>
      </w:tr>
    </w:tbl>
    <w:p>
      <w:pPr>
        <w:ind w:left="52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5、算法能力</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（1）电瓶车检测：基于深度学习与图像识别等技术，检测画面中的电动车（摩托车），并标注出来</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（2）煤气罐检测：对监控区域内，检测到的煤气罐和类似于煤气罐的桶状物，产生告警信息</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（3）垃圾检测：对路面是否有散落垃圾进行监测，依托图像处理、算法聚焦、硬件设计及嵌入式软件领域的技术积累实现对路面垃圾情况的检测</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（4）火焰检测：对监控区域内，检测到火焰以及浓度较高的黑色/白色烟雾，产生告警信息，主要包括火焰、烟雾两种目标检测</w:t>
      </w:r>
      <w:r/>
    </w:p>
    <w:p>
      <w:pPr>
        <w:ind w:left="52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6、日常巡检服务内容</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5"/>
        <w:gridCol w:w="1825"/>
        <w:gridCol w:w="1825"/>
        <w:gridCol w:w="1825"/>
        <w:gridCol w:w="1825"/>
      </w:tblGrid>
      <w:tr>
        <w:trPr>
          <w:trHeight w:val="3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维护事项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巡查</w:t>
            </w:r>
            <w:r/>
          </w:p>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周期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感知设备清洁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使用干净的棉布对摄像机护罩镜头去除污迹或尘灰，检查摄像机的牢固情况，如摄像机镜头出现异物要一并清洁。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清洁明亮、安装牢固，没有遮挡物。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每季度一次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设备箱设备清洁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用毛扫轻轻的对设备箱及箱内设备进行清洁，对光纤头的清洁必须使用专用的清洁带。设备箱后控封堵是否完好，箱内是否有渗水痕迹，箱体外观清理、补漆、补字。风扇和风网清洁。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设备箱整洁。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每季度一次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异物遮挡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巡查发现有异物遮挡感知设备，立即进行处理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画面无遮挡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每季度一次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架体、螺栓、扣件及基础等完好性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画面稳定不晃动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每季度一次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巡检记录表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在IDF箱内的巡检记录表要求按时、准确填写完毕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填写维护内容及时间。</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巡查传输路由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发现在路由上其他单位需要改造、扩建等情况时，及时汇报甲方，并与相关单位协调迁改等事宜。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POE供电设备检查，指示灯是否正常，线路接口是否正常，电压是否稳定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设备运行正常</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检查网络质量、图像调度质量。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图像有无卡顿，是否流畅。对所有图像进行浏览，保证所有图像正常。</w:t>
            </w:r>
            <w:r/>
          </w:p>
        </w:tc>
        <w:tc>
          <w:tcPr>
            <w:vMerge w:val="continue"/>
            <w:textDirection w:val="lrTb"/>
            <w:noWrap w:val="false"/>
          </w:tcPr>
          <w:p>
            <w:r/>
            <w:r/>
          </w:p>
        </w:tc>
      </w:tr>
    </w:tbl>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中标单位对服务范围内所有设备进行定期巡检服务，及时发现设备的损坏或系统的功能异常。</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中标单位对服务范围内所有设备进行必要的定期保养服务。</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中标单位负责监控平台软件的功能维护及软件版本升级。</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中标单位对采购单位的重大事件和重大活动进行技术支持和现场保障服务。（如一年一度的“两会 ”保障、会议或群体性活动保障等需要配合主办方和公安部门做好相关工作，如保障活动现场监控点的正常运行、故障修复、调取录像等，保障活动的顺利进行）。具体要求如下：</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（1）保障任务所涉及到监控点位的前端及中心端须根据规模分别安排一定数量的专业工程技术人员进行保障。同时配备技术人员在甲方或组委会指定地点进行 24 小时值班，随时响应。</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（2）所有技术人员须做到实时响应、随时排除故障，并配合甲方或组委会完成交办的其他紧急任务。 同时必须保障所涉点位视频监控图像 100%的完好率，并做好增加临时点位、点位移位、摄像机角度调整等 工作的施工准备。</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（3）所有的保障任务涉及的费用包含在本次报价中。</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维修时限要求</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当设备及其承载的系统发生故障，中标单位需 2 小时内响应（即在接到采购单位的维修要求后，做出具体的维修安排），同时需满足下列要求：</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1、故障导致监控平台不能正常运行中标方应在4 小时内恢复系统；</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2、外场设备故障中标方应在 8 小时内恢复</w:t>
      </w:r>
      <w:r>
        <w:rPr>
          <w:rFonts w:ascii="SimSun" w:hAnsi="SimSun" w:eastAsia="SimSun" w:cs="SimSun"/>
          <w:color w:val="0000ff"/>
          <w:spacing w:val="-3"/>
          <w:sz w:val="24"/>
          <w:u w:val="single"/>
        </w:rPr>
        <w:t xml:space="preserve">，如不能在上述期限内恢复应重新更换设备</w:t>
      </w:r>
      <w:r>
        <w:rPr>
          <w:rFonts w:ascii="SimSun" w:hAnsi="SimSun" w:eastAsia="SimSun" w:cs="SimSun"/>
          <w:color w:val="000000"/>
          <w:spacing w:val="-3"/>
          <w:sz w:val="24"/>
        </w:rPr>
        <w:t xml:space="preserve">；</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3、故障不影响平台系统运行则中标方应在 24 小时内恢复系统；</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4、特殊原因导致的故障，如停电原因、道路施工、点位迁移、不可抗力（含极端天气）等因素向派 出所报备的，则对中标方响应时间从特殊原因解除后开始计算；</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5、中标方应承担因操作失误而造成故障扩大、数据损坏、误操作等的赔偿和安全责任。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五、综合说明及其它要求：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1、维保期间采购单位有权不定期进行安全检查，发现重大安全隐患，经采购单位发布 3 次以上整改通知的，采购单位有权终止合同，如果造成损失的可以向维保单位索赔。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服务人员按照国家劳动法规定的工作时间安排员工工作。中标单位须严格按照国家和政府规定给所有的员工缴纳各种社会保险（包括养老、医疗、工伤、生育险、失业保险等）。负责其招聘员工的一切工资、福利；如发生工伤、疾病乃至死亡的一切责任及费用由中标单位全部负责；应严格遵守国家有关的法律、法规及行业标准。投标单位在投标报价时应将在服务期限内最低工资标准和社保缴费标准进行调整的情况考虑在内，采购单位不再为此承担任何费用和责任。相关服务人员与采购单位无任何劳动人事关系，用工事宜由中标单位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3、本项目需配置项目负责人、技术负责人、现场负责人各1名。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4、采购单位与维护人员不发生任何劳动和雇佣关系，人员由中标单位自行管理，中标单位和维保人员应遵守安全操作规章制度，若发生人身伤害等工伤事故，由中标单位自负，与采购单位无涉。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5、各投标单位需根据采购单位的作息时间合理安排人员工作时间及实施方案，中标单位必须确保驻地有随时专人在现场。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6、供应商所提供的相关服务应符合根据国家标准和规范，提供详细的服务说明。如其中某些条款不能完全满足时，应在投标文件中逐条列出。同时在投标文件中提供详细的维护方案。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7、投标人应对招标文件提出的全部服务要求进行响应投标，如果其中某些条款不响应时，应在文件中逐条列出，未列出的视同响应。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8、采购单位提供的所有服务内容都应符合已颁布的现行中华人民共和国认可的（部颁、行业）标 准和国际标准化组织以及等效或更优的其他国家的权威性标准和规范的有关条文。如果这些标准内容有矛盾时，应按最高标准的条款执行。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9、投标单位应对所投标的全部内容进行报价，未按要求报价或报价中有漏项的，均按无效标处理。报价应包括改造部分全部货物以及所有合同期内日常维修、维护、保养、更换、人工费用、税收等 所需全部费用，包含设备故障已无法维修或维修意义不大需更换设备的服务费用、设备费用。更换设备的 原则是尽量使用原品牌型号，如果原品牌型号因停产等 特殊原因无法采购的可以使用造价、品牌、质量优于原型号的设备进行替换，保证系统完好率达标。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10、中标单位应接入主管部门的信息平台，并做好过程管控，服务期内向采购单位免费提供相关账户及接口。采购单位除支付本次采购项目的中标金额外不再承担其他任何费用。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单位应遵守安全生产的有关管理规定，严格按照安全标准组织施工，采取必要的安全防护措施，消除隐患。由于中标单位管理或安全措施不力造成周边环境破坏或事故的责任和因此发生的费用，由中标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13、中标单位对服务缺陷不予更正，采购人有权另请其他单位更正，所发生的费用在未付款中扣除。如遇服务范围内有大的调整等重大情况，采购人将提前告知中标单位，合同内容经双方协商调整。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134、本项目服务时间为三年，具体以甲方确认安装完成使用之日为准。本项目需于2025年6月底前至少安装完成总量的40%，2025年12月底全部完成。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15、如涉及分包：小型、微型企业不得分包或转包给大型、中型企业，中型企业不得分包或转包给大型企业。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16、凡涉及招标文件的补充说明和修改，均以苏州市政府采购网公示的补充通知为准。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          （以下简称甲方）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地址：</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联系人：</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联系方式：</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地址：</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联系人：</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根据《中华人民共和国民法典》有关规定，为明确采购人（甲方）和供应商（乙方）购销过程中的权利、义务和经济责任，经双方友好协商，甲乙双方就</w:t>
      </w:r>
      <w:r>
        <w:rPr>
          <w:rFonts w:ascii="SimSun" w:hAnsi="SimSun" w:eastAsia="SimSun" w:cs="SimSun"/>
          <w:color w:val="000000"/>
          <w:sz w:val="24"/>
          <w:u w:val="single"/>
        </w:rPr>
        <w:t xml:space="preserve">娄葑街道动迁小区（多层）楼道智能AI监控租聘项目</w:t>
      </w:r>
      <w:r>
        <w:rPr>
          <w:rFonts w:ascii="SimSun" w:hAnsi="SimSun" w:eastAsia="SimSun" w:cs="SimSun"/>
          <w:color w:val="000000"/>
          <w:sz w:val="24"/>
        </w:rPr>
        <w:t xml:space="preserve">事宜，签订本合同书。</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一、合同的标的物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娄葑街道动迁小区（多层）楼道智能AI监控租聘项目</w:t>
      </w:r>
      <w:r>
        <w:rPr>
          <w:rFonts w:ascii="SimSun" w:hAnsi="SimSun" w:eastAsia="SimSun" w:cs="SimSun"/>
          <w:color w:val="000000"/>
          <w:sz w:val="24"/>
        </w:rPr>
        <w:t xml:space="preserve">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2、服务期限：三年，以</w:t>
      </w:r>
      <w:r>
        <w:rPr>
          <w:rFonts w:ascii="SimSun" w:hAnsi="SimSun" w:eastAsia="SimSun" w:cs="SimSun"/>
          <w:color w:val="0000ff"/>
          <w:sz w:val="24"/>
          <w:u w:val="single"/>
        </w:rPr>
        <w:t xml:space="preserve">项目设备全部安装调试工作，经</w:t>
      </w:r>
      <w:r>
        <w:rPr>
          <w:rFonts w:ascii="SimSun" w:hAnsi="SimSun" w:eastAsia="SimSun" w:cs="SimSun"/>
          <w:color w:val="000000"/>
          <w:sz w:val="24"/>
        </w:rPr>
        <w:t xml:space="preserve">甲方确认安装完成使用之日</w:t>
      </w:r>
      <w:r>
        <w:rPr>
          <w:rFonts w:ascii="SimSun" w:hAnsi="SimSun" w:eastAsia="SimSun" w:cs="SimSun"/>
          <w:color w:val="0000ff"/>
          <w:sz w:val="24"/>
          <w:u w:val="single"/>
        </w:rPr>
        <w:t xml:space="preserve">起开始计算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3、本项目需于2025年6月底前至少安装完成总量的40%，2025年12月底全部完成</w:t>
      </w:r>
      <w:r>
        <w:rPr>
          <w:rFonts w:ascii="SimSun" w:hAnsi="SimSun" w:eastAsia="SimSun" w:cs="SimSun"/>
          <w:color w:val="0000ff"/>
          <w:sz w:val="24"/>
          <w:u w:val="single"/>
        </w:rPr>
        <w:t xml:space="preserve">安装调试并正常运行</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4、服务内容及要求：详见采购文件。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5、下列文件为本合同不可分割部分：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③乙方中标的投标书；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④乙方在招投标过程中所作的其它承诺、声明、书面澄清等。</w:t>
      </w:r>
      <w:r/>
    </w:p>
    <w:p>
      <w:pPr>
        <w:ind w:left="0" w:right="0" w:firstLine="48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二、合同价款与支付</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2.1本合同含税人民币（总价）（大写）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元)</w:t>
      </w:r>
      <w:r>
        <w:rPr>
          <w:rFonts w:ascii="SimSun" w:hAnsi="SimSun" w:eastAsia="SimSun" w:cs="SimSun"/>
          <w:color w:val="000000"/>
          <w:sz w:val="24"/>
        </w:rPr>
        <w:t xml:space="preserve">；本合同为固定单价合同，具体根据实际的租用数量及考评结果结算(租赁费用从甲方确认</w:t>
      </w:r>
      <w:r>
        <w:rPr>
          <w:rFonts w:ascii="SimSun" w:hAnsi="SimSun" w:eastAsia="SimSun" w:cs="SimSun"/>
          <w:color w:val="0000ff"/>
          <w:sz w:val="24"/>
          <w:u w:val="single"/>
        </w:rPr>
        <w:t xml:space="preserve">项目全部</w:t>
      </w:r>
      <w:r>
        <w:rPr>
          <w:rFonts w:ascii="SimSun" w:hAnsi="SimSun" w:eastAsia="SimSun" w:cs="SimSun"/>
          <w:color w:val="000000"/>
          <w:sz w:val="24"/>
        </w:rPr>
        <w:t xml:space="preserve">安装完成使用之日起计算)。合同价包含建设安装费、设备租赁费用、运行维护费用、平台接入费用、保险、利润、税金以及合同包含的各项应有费用。乙方需向甲方开具增值税专用发票，合同中不含税价款除合同另有约定外不因任何原因变化而变化，若在合同履行期间，遇到国家税收政策调整，则未开发票部分按照新税率重新计算税金，不含税价款不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2.2付款方式：</w:t>
      </w:r>
      <w:r>
        <w:rPr>
          <w:rFonts w:ascii="SimSun" w:hAnsi="SimSun" w:eastAsia="SimSun" w:cs="SimSun"/>
          <w:color w:val="000000"/>
          <w:spacing w:val="7"/>
          <w:sz w:val="24"/>
          <w:u w:val="none"/>
        </w:rPr>
        <w:t xml:space="preserve">按季度付款，每个季度结束后按考核结果支付上一季度的费用</w:t>
      </w:r>
      <w:r>
        <w:rPr>
          <w:rFonts w:ascii="SimSun" w:hAnsi="SimSun" w:eastAsia="SimSun" w:cs="SimSun"/>
          <w:color w:val="0000ff"/>
          <w:spacing w:val="7"/>
          <w:sz w:val="24"/>
          <w:u w:val="single"/>
        </w:rPr>
        <w:t xml:space="preserve">，每季度应付金额为合同总价的1/12，实际金额按照考评结果确定</w:t>
      </w:r>
      <w:r>
        <w:rPr>
          <w:rFonts w:ascii="SimSun" w:hAnsi="SimSun" w:eastAsia="SimSun" w:cs="SimSun"/>
          <w:color w:val="000000"/>
          <w:spacing w:val="5"/>
          <w:sz w:val="24"/>
        </w:rPr>
        <w:t xml:space="preserve">。</w:t>
      </w:r>
      <w:r>
        <w:rPr>
          <w:rFonts w:ascii="SimSun" w:hAnsi="SimSun" w:eastAsia="SimSun" w:cs="SimSun"/>
          <w:color w:val="0000ff"/>
          <w:spacing w:val="5"/>
          <w:sz w:val="24"/>
          <w:u w:val="single"/>
        </w:rPr>
        <w:t xml:space="preserve">甲方在满足上述付款条件，收到乙方相应的付款材料后【】日内付款。</w:t>
      </w:r>
      <w:r/>
    </w:p>
    <w:p>
      <w:pPr>
        <w:ind w:left="421" w:right="0" w:firstLine="0"/>
        <w:spacing w:before="13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2.3付款金额：合同总价-考核扣除费用=实际支付服务费用。</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1）考评结果≥90 分，实际付款金额=应付金额*100%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2）90 分＞考评结果≥80 分，实际付款金额=应付金额*90%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3）80 分＞考评结果≥70 分，实际付款金额=应付金额*70%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4）70 分＞考评结果≥60 分，实际付款金额=应付金额*50%</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考评结果＜60 分， 甲方有权拒绝付款。</w:t>
      </w:r>
      <w:r/>
    </w:p>
    <w:p>
      <w:pPr>
        <w:ind w:left="522" w:right="57"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pacing w:val="-3"/>
          <w:sz w:val="24"/>
          <w:u w:val="single"/>
        </w:rPr>
        <w:t xml:space="preserve">具体考核内容详见附件。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2.4根据现行税法对甲方征收的与本合同有关的一切税费均由甲方承担；根据现行税法对乙方征收的与本合同有关的一切税费均由乙方承担。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2.5支付方式：银行转账、银行汇票或转账支票，具体支付方式甲方有权根据财务安排自主选择。以</w:t>
      </w:r>
      <w:r>
        <w:rPr>
          <w:rFonts w:ascii="SimSun" w:hAnsi="SimSun" w:eastAsia="SimSun" w:cs="SimSun"/>
          <w:color w:val="0000ff"/>
          <w:sz w:val="24"/>
          <w:u w:val="single"/>
        </w:rPr>
        <w:t xml:space="preserve">甲方</w:t>
      </w:r>
      <w:r>
        <w:rPr>
          <w:rFonts w:ascii="SimSun" w:hAnsi="SimSun" w:eastAsia="SimSun" w:cs="SimSun"/>
          <w:color w:val="000000"/>
          <w:sz w:val="24"/>
        </w:rPr>
        <w:t xml:space="preserve">实际支付方式为准。付款前，乙方须先向甲方提供确认数量的核准凭证，以甲方具体要求为准。</w:t>
      </w:r>
      <w:r/>
    </w:p>
    <w:p>
      <w:pPr>
        <w:ind w:left="0" w:right="-161"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2.6付款前，乙方需先向甲方提供：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A、合格的发票。</w:t>
      </w:r>
      <w:r/>
    </w:p>
    <w:p>
      <w:pPr>
        <w:ind w:left="0" w:right="-161"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w:t>
      </w:r>
      <w:r>
        <w:rPr>
          <w:rFonts w:ascii="SimSun" w:hAnsi="SimSun" w:eastAsia="SimSun" w:cs="SimSun"/>
          <w:color w:val="0000ff"/>
          <w:sz w:val="24"/>
          <w:u w:val="single"/>
        </w:rPr>
        <w:t xml:space="preserve">全部完成，</w:t>
      </w:r>
      <w:r>
        <w:rPr>
          <w:rFonts w:ascii="SimSun" w:hAnsi="SimSun" w:eastAsia="SimSun" w:cs="SimSun"/>
          <w:color w:val="000000"/>
          <w:sz w:val="24"/>
        </w:rPr>
        <w:t xml:space="preserve">需方与供方双方验收合格的，</w:t>
      </w:r>
      <w:r>
        <w:rPr>
          <w:rFonts w:ascii="SimSun" w:hAnsi="SimSun" w:eastAsia="SimSun" w:cs="SimSun"/>
          <w:color w:val="0000ff"/>
          <w:sz w:val="24"/>
          <w:u w:val="single"/>
        </w:rPr>
        <w:t xml:space="preserve">签属</w:t>
      </w:r>
      <w:r>
        <w:rPr>
          <w:rFonts w:ascii="SimSun" w:hAnsi="SimSun" w:eastAsia="SimSun" w:cs="SimSun"/>
          <w:color w:val="000000"/>
          <w:sz w:val="24"/>
        </w:rPr>
        <w:t xml:space="preserve"> 《政府采购履约验收书（服务类）》。</w:t>
      </w:r>
      <w:r/>
    </w:p>
    <w:p>
      <w:pPr>
        <w:ind w:left="0" w:right="-161"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乙方未按约定提供上述资料的，甲方有权迟延付款且不承担迟延付款的违约责任。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w:t>
      </w:r>
      <w:r>
        <w:rPr>
          <w:rFonts w:ascii="SimSun" w:hAnsi="SimSun" w:eastAsia="SimSun" w:cs="SimSun"/>
          <w:color w:val="0000ff"/>
          <w:sz w:val="24"/>
          <w:u w:val="single"/>
        </w:rPr>
        <w:t xml:space="preserve">收款的</w:t>
      </w:r>
      <w:r>
        <w:rPr>
          <w:rFonts w:ascii="SimSun" w:hAnsi="SimSun" w:eastAsia="SimSun" w:cs="SimSun"/>
          <w:color w:val="000000"/>
          <w:sz w:val="24"/>
        </w:rPr>
        <w:t xml:space="preserve">开户银行名称、地址、账号为：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除双方另有约定外，未经双方书面协商一致，乙方不得擅自变更收款账户信息，也不得转让债权；未经甲方书面同意的债权转让对甲方不发生法律效力，甲方仍有权按照合同约定账户支付费用。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1、甲方负责协调安装地点的配合工作。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2、甲方指派专人对乙方的的工作进行监督检查，发现质量问题及时要求乙方整改。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3、甲方有权要求乙方遵守甲方的各项管理制度，乙方各项违章行为需承担违约责任。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4、及时支付合同款。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1、乙方在合同签订后应及时完成娄葑街道动迁小区（多层）楼道智能AI监控租聘项目</w:t>
      </w:r>
      <w:r>
        <w:rPr>
          <w:rFonts w:ascii="SimSun" w:hAnsi="SimSun" w:eastAsia="SimSun" w:cs="SimSun"/>
          <w:color w:val="0000ff"/>
          <w:sz w:val="24"/>
          <w:u w:val="single"/>
        </w:rPr>
        <w:t xml:space="preserve">，乙方应在签订合同后【】日内将本项目安装计划上报甲方确认，经甲方确认后执行，乙方应保证在2025年12月底前完成所有设备安装调试工作</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2、乙方必须按甲方的要求进行服务，严格按甲方的指令执行。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3、乙方应接入主管部门的信息平台，并做好过程管控，服务期内向甲方免费提供相关账户及接口。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4、提供满足娄葑街道动迁小区（多层）楼道智能AI监控租聘项目要求的人员、设备和材料，并做好日常工作管理。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5、确保人员及现场的安全，承担由于乙方作业造成事故的一切责任和损失。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6、若乙方服务行为受到行政处罚，所产生的一切后果由乙方自行承担。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7、若乙方的服务行为导致甲方受到行政处罚，由此给甲方造成的一切经济损失由乙方承担。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1、乙方应按照招标文件的要求提供合格的服务，提供服务均为按国家规格条例的合格正规服务、符合设计规范要求；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2、验收标准：完全符合现行国家规范及要求，以验收通过为准。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3、本项目将根据政府采购法及相关法规以及《苏州工业园区政府采购履约验收管理暂行办法》、《江苏省政府采购履约验收管理办法》文件的规定</w:t>
      </w:r>
      <w:r>
        <w:rPr>
          <w:rFonts w:ascii="SimSun" w:hAnsi="SimSun" w:eastAsia="SimSun" w:cs="SimSun"/>
          <w:color w:val="0000ff"/>
          <w:sz w:val="24"/>
          <w:u w:val="single"/>
        </w:rPr>
        <w:t xml:space="preserve">进行验收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4、乙方应能保证所提供服务涉及到的知识产权是合法取得，并享有完整的知识产权，不会因为</w:t>
      </w:r>
      <w:r>
        <w:rPr>
          <w:rFonts w:ascii="SimSun" w:hAnsi="SimSun" w:eastAsia="SimSun" w:cs="SimSun"/>
          <w:color w:val="0000ff"/>
          <w:sz w:val="24"/>
          <w:u w:val="single"/>
        </w:rPr>
        <w:t xml:space="preserve">甲方</w:t>
      </w:r>
      <w:r>
        <w:rPr>
          <w:rFonts w:ascii="SimSun" w:hAnsi="SimSun" w:eastAsia="SimSun" w:cs="SimSun"/>
          <w:color w:val="000000"/>
          <w:sz w:val="24"/>
        </w:rPr>
        <w:t xml:space="preserve">的使用而被责令停止使用、追偿或要求赔偿损失，如出现此情况，一切经济和法律责任均由供方承担。</w:t>
      </w:r>
      <w:r>
        <w:rPr>
          <w:rFonts w:ascii="SimSun" w:hAnsi="SimSun" w:eastAsia="SimSun" w:cs="SimSun"/>
          <w:color w:val="0000ff"/>
          <w:sz w:val="24"/>
          <w:u w:val="single"/>
        </w:rPr>
        <w:t xml:space="preserve">乙方</w:t>
      </w:r>
      <w:r>
        <w:rPr>
          <w:rFonts w:ascii="SimSun" w:hAnsi="SimSun" w:eastAsia="SimSun" w:cs="SimSun"/>
          <w:color w:val="000000"/>
          <w:sz w:val="24"/>
        </w:rPr>
        <w:t xml:space="preserve">提供的所有服务必须质量符合国际或国家通用标准，如出现质量问题，</w:t>
      </w:r>
      <w:r>
        <w:rPr>
          <w:rFonts w:ascii="SimSun" w:hAnsi="SimSun" w:eastAsia="SimSun" w:cs="SimSun"/>
          <w:color w:val="0000ff"/>
          <w:sz w:val="24"/>
          <w:u w:val="single"/>
        </w:rPr>
        <w:t xml:space="preserve">乙方</w:t>
      </w:r>
      <w:r>
        <w:rPr>
          <w:rFonts w:ascii="SimSun" w:hAnsi="SimSun" w:eastAsia="SimSun" w:cs="SimSun"/>
          <w:color w:val="000000"/>
          <w:sz w:val="24"/>
        </w:rPr>
        <w:t xml:space="preserve">负责修缮</w:t>
      </w:r>
      <w:r>
        <w:rPr>
          <w:rFonts w:ascii="SimSun" w:hAnsi="SimSun" w:eastAsia="SimSun" w:cs="SimSun"/>
          <w:color w:val="0000ff"/>
          <w:sz w:val="24"/>
          <w:u w:val="single"/>
        </w:rPr>
        <w:t xml:space="preserve">或更换</w:t>
      </w:r>
      <w:r>
        <w:rPr>
          <w:rFonts w:ascii="SimSun" w:hAnsi="SimSun" w:eastAsia="SimSun" w:cs="SimSun"/>
          <w:color w:val="000000"/>
          <w:sz w:val="24"/>
        </w:rPr>
        <w:t xml:space="preserve">，发生的费用由</w:t>
      </w:r>
      <w:r>
        <w:rPr>
          <w:rFonts w:ascii="SimSun" w:hAnsi="SimSun" w:eastAsia="SimSun" w:cs="SimSun"/>
          <w:color w:val="0000ff"/>
          <w:sz w:val="24"/>
          <w:u w:val="single"/>
        </w:rPr>
        <w:t xml:space="preserve">乙方</w:t>
      </w:r>
      <w:r>
        <w:rPr>
          <w:rFonts w:ascii="SimSun" w:hAnsi="SimSun" w:eastAsia="SimSun" w:cs="SimSun"/>
          <w:color w:val="000000"/>
          <w:sz w:val="24"/>
        </w:rPr>
        <w:t xml:space="preserve">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u w:val="single"/>
        </w:rPr>
        <w:t xml:space="preserve">5</w:t>
      </w:r>
      <w:r>
        <w:rPr>
          <w:rFonts w:ascii="SimSun" w:hAnsi="SimSun" w:eastAsia="SimSun" w:cs="SimSun"/>
          <w:b/>
          <w:color w:val="000000"/>
          <w:sz w:val="24"/>
        </w:rPr>
        <w:t xml:space="preserve">、甲方制定考核机制对乙方进行考核，同时不定时对服务工作进行抽查，并对乙方位进行考核。</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六、其它</w:t>
      </w:r>
      <w:r>
        <w:rPr>
          <w:rFonts w:ascii="SimSun" w:hAnsi="SimSun" w:eastAsia="SimSun" w:cs="SimSun"/>
          <w:b/>
          <w:color w:val="0000ff"/>
          <w:sz w:val="24"/>
          <w:u w:val="single"/>
        </w:rPr>
        <w:t xml:space="preserve">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1、合同在执行过程中，乙方方案需经甲方确认后，按方案执行。出现的未尽事宜，双方在不违背本合同和招标文件的原则下协商解决，协商结果以书面形式盖章记录在案。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2、</w:t>
      </w:r>
      <w:r>
        <w:rPr>
          <w:rFonts w:ascii="SimSun" w:hAnsi="SimSun" w:eastAsia="SimSun" w:cs="SimSun"/>
          <w:color w:val="000000"/>
          <w:sz w:val="24"/>
        </w:rPr>
        <w:t xml:space="preserve">合同一方如需要提前终止本合同，应提前30日向对方书面提出终止合同请求，</w:t>
      </w:r>
      <w:r>
        <w:rPr>
          <w:rFonts w:ascii="SimSun" w:hAnsi="SimSun" w:eastAsia="SimSun" w:cs="SimSun"/>
          <w:color w:val="0000ff"/>
          <w:sz w:val="24"/>
          <w:u w:val="single"/>
        </w:rPr>
        <w:t xml:space="preserve">经</w:t>
      </w:r>
      <w:r>
        <w:rPr>
          <w:rFonts w:ascii="SimSun" w:hAnsi="SimSun" w:eastAsia="SimSun" w:cs="SimSun"/>
          <w:color w:val="000000"/>
          <w:sz w:val="24"/>
        </w:rPr>
        <w:t xml:space="preserve">对方书面同意后</w:t>
      </w:r>
      <w:r>
        <w:rPr>
          <w:rFonts w:ascii="SimSun" w:hAnsi="SimSun" w:eastAsia="SimSun" w:cs="SimSun"/>
          <w:color w:val="0000ff"/>
          <w:sz w:val="24"/>
          <w:u w:val="single"/>
        </w:rPr>
        <w:t xml:space="preserve">方可</w:t>
      </w:r>
      <w:r>
        <w:rPr>
          <w:rFonts w:ascii="SimSun" w:hAnsi="SimSun" w:eastAsia="SimSun" w:cs="SimSun"/>
          <w:color w:val="000000"/>
          <w:sz w:val="24"/>
        </w:rPr>
        <w:t xml:space="preserve">终止。</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3</w:t>
      </w:r>
      <w:r>
        <w:rPr>
          <w:rFonts w:ascii="SimSun" w:hAnsi="SimSun" w:eastAsia="SimSun" w:cs="SimSun"/>
          <w:color w:val="000000"/>
          <w:sz w:val="24"/>
        </w:rPr>
        <w:t xml:space="preserve">、租用期满后，如双方不再继续合作，乙方负责拆除设备恢复原样，涉及拆除费用由乙方承担。</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4</w:t>
      </w:r>
      <w:r>
        <w:rPr>
          <w:rFonts w:ascii="SimSun" w:hAnsi="SimSun" w:eastAsia="SimSun" w:cs="SimSun"/>
          <w:color w:val="000000"/>
          <w:sz w:val="24"/>
        </w:rPr>
        <w:t xml:space="preserve">、合同履行期间，甲方需调整租用数量的，乙方应无条件配合。</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5</w:t>
      </w:r>
      <w:r>
        <w:rPr>
          <w:rFonts w:ascii="SimSun" w:hAnsi="SimSun" w:eastAsia="SimSun" w:cs="SimSun"/>
          <w:color w:val="000000"/>
          <w:sz w:val="24"/>
        </w:rPr>
        <w:t xml:space="preserve">、合同履行期间，</w:t>
      </w:r>
      <w:r>
        <w:rPr>
          <w:rFonts w:ascii="SimSun" w:hAnsi="SimSun" w:eastAsia="SimSun" w:cs="SimSun"/>
          <w:color w:val="0000ff"/>
          <w:sz w:val="24"/>
          <w:u w:val="single"/>
        </w:rPr>
        <w:t xml:space="preserve">设备的毁损灭失风险由乙方承担，如</w:t>
      </w:r>
      <w:r>
        <w:rPr>
          <w:rFonts w:ascii="SimSun" w:hAnsi="SimSun" w:eastAsia="SimSun" w:cs="SimSun"/>
          <w:color w:val="000000"/>
          <w:sz w:val="24"/>
        </w:rPr>
        <w:t xml:space="preserve">乙方安装的设备被第三方损坏的，由乙方</w:t>
      </w:r>
      <w:r>
        <w:rPr>
          <w:rFonts w:ascii="SimSun" w:hAnsi="SimSun" w:eastAsia="SimSun" w:cs="SimSun"/>
          <w:color w:val="0000ff"/>
          <w:sz w:val="24"/>
          <w:u w:val="single"/>
        </w:rPr>
        <w:t xml:space="preserve">根据本项目维修时限要求进行</w:t>
      </w:r>
      <w:r>
        <w:rPr>
          <w:rFonts w:ascii="SimSun" w:hAnsi="SimSun" w:eastAsia="SimSun" w:cs="SimSun"/>
          <w:color w:val="000000"/>
          <w:sz w:val="24"/>
        </w:rPr>
        <w:t xml:space="preserve">修复</w:t>
      </w:r>
      <w:r>
        <w:rPr>
          <w:rFonts w:ascii="SimSun" w:hAnsi="SimSun" w:eastAsia="SimSun" w:cs="SimSun"/>
          <w:color w:val="0000ff"/>
          <w:sz w:val="24"/>
          <w:u w:val="single"/>
        </w:rPr>
        <w:t xml:space="preserve">或更换</w:t>
      </w:r>
      <w:r>
        <w:rPr>
          <w:rFonts w:ascii="SimSun" w:hAnsi="SimSun" w:eastAsia="SimSun" w:cs="SimSun"/>
          <w:color w:val="000000"/>
          <w:sz w:val="24"/>
        </w:rPr>
        <w:t xml:space="preserve">，甲方配合乙方向第三方索赔。</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6、乙方对在本合同签订、履行过程中知悉的任何甲方未公开资料和信息以及项目信息（特别是监控设施图像），除甲方做出相反的书面说明外，均应视为甲方的保密信息，乙方承诺永久保密，未经甲方书面同意，乙方不得向任何第三方披露或用于本合同之外的目的。如有违反，乙方应向甲方支付合同总金额5%的违约金，并赔偿由此给甲方造成的一切损失，同时甲方有权解除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A、在合同生效后，甲方要求终止服务的，应向乙方偿付合同总价款的2%，作为违约金，违约金不足以补偿损失的，乙方有权要求甲方补足。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B、甲方应按协议约定的时间和数额向乙方支付服务款。如不按协议支付，则</w:t>
      </w:r>
      <w:r>
        <w:rPr>
          <w:rFonts w:ascii="SimSun" w:hAnsi="SimSun" w:eastAsia="SimSun" w:cs="SimSun"/>
          <w:color w:val="0000ff"/>
          <w:sz w:val="24"/>
          <w:u w:val="single"/>
        </w:rPr>
        <w:t xml:space="preserve">每逾期一日，按照欠付金额的万分之五支付违约金，甲方支付的此项违约金累计不超过合同总价款的2%</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C、甲方违反合同规定，拒绝接收乙方提供的服务，应当承担乙方由此造成的损失。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A、在合同生效后，乙方要求终止合同的，应向甲方偿付合同总价款的2%，作为违约金，违约金不足以补偿损失的，甲方有权要求甲方补足。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B、如果乙方未能按照协议规定的时间或维保时效完成全部维护服务项目，则乙方应向甲方支付违约金（一天该违约金为500元/天）</w:t>
      </w:r>
      <w:r>
        <w:rPr>
          <w:rFonts w:ascii="SimSun" w:hAnsi="SimSun" w:eastAsia="SimSun" w:cs="SimSun"/>
          <w:color w:val="0000ff"/>
          <w:sz w:val="24"/>
          <w:u w:val="single"/>
        </w:rPr>
        <w:t xml:space="preserve">，逾期超过【】日，甲方有权解除合同并要求乙方支付合同总价款2%的违约金</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C、乙方逾期提供服务的，应在逾期前与甲方协商，甲方仍要求的，乙方应立即提供服务并应按照合同约定支付逾期提供服务的违约金，同时承担甲方因此遭致的损失费用。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乙方履约过程中，如未按照标准、经甲方批准或要求、专家评审后的方案等一系列关于建筑装修垃圾清运要求进行的，给甲方造成任何不利影响（包括但不仅限于名誉受损、罚款、处罚等）均由乙方承担，造成的经济损失均由乙方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E、乙方未按照双方约定的要求提供服务，甲方有权责令乙方限期整改的，同时每发生一次，应向甲方支付【】元违约金；如乙方拒不整改或同一事项经甲方责令整改超过2次仍不符合甲方要求或服务期内累计出现3次责令整改事项的，甲方有权单方解除本合同，乙方应向甲方支付本合同总金额的2%作为违约金，违约金不足以弥补甲方损失的，甲方有权要求乙方予以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w:t>
      </w:r>
      <w:r>
        <w:rPr>
          <w:rFonts w:ascii="SimSun" w:hAnsi="SimSun" w:eastAsia="SimSun" w:cs="SimSun"/>
          <w:color w:val="0000ff"/>
          <w:sz w:val="24"/>
          <w:u w:val="single"/>
        </w:rPr>
        <w:t xml:space="preserve">未经甲方书面同意，乙方不得擅自解除或将本合同的全部或部分转让给第三方，如有违反，应向甲方支付合同总金额2%的违约金，并赔偿由此给甲方造成的一切损失。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ff"/>
          <w:sz w:val="24"/>
          <w:u w:val="single"/>
        </w:rPr>
        <w:t xml:space="preserve">乙方</w:t>
      </w:r>
      <w:r>
        <w:rPr>
          <w:rFonts w:ascii="SimSun" w:hAnsi="SimSun" w:eastAsia="SimSun" w:cs="SimSun"/>
          <w:color w:val="000000"/>
          <w:sz w:val="24"/>
        </w:rPr>
        <w:t xml:space="preserve">应遵守</w:t>
      </w:r>
      <w:r>
        <w:rPr>
          <w:rFonts w:ascii="SimSun" w:hAnsi="SimSun" w:eastAsia="SimSun" w:cs="SimSun"/>
          <w:color w:val="0000ff"/>
          <w:sz w:val="24"/>
          <w:u w:val="single"/>
        </w:rPr>
        <w:t xml:space="preserve">甲方</w:t>
      </w:r>
      <w:r>
        <w:rPr>
          <w:rFonts w:ascii="SimSun" w:hAnsi="SimSun" w:eastAsia="SimSun" w:cs="SimSun"/>
          <w:color w:val="000000"/>
          <w:sz w:val="24"/>
        </w:rPr>
        <w:t xml:space="preserve">的相关管理制度。出现下列情形之一的，由</w:t>
      </w:r>
      <w:r>
        <w:rPr>
          <w:rFonts w:ascii="SimSun" w:hAnsi="SimSun" w:eastAsia="SimSun" w:cs="SimSun"/>
          <w:color w:val="0000ff"/>
          <w:sz w:val="24"/>
          <w:u w:val="single"/>
        </w:rPr>
        <w:t xml:space="preserve">乙方</w:t>
      </w:r>
      <w:r>
        <w:rPr>
          <w:rFonts w:ascii="SimSun" w:hAnsi="SimSun" w:eastAsia="SimSun" w:cs="SimSun"/>
          <w:color w:val="000000"/>
          <w:sz w:val="24"/>
        </w:rPr>
        <w:t xml:space="preserve">承担所有的损失，向</w:t>
      </w:r>
      <w:r>
        <w:rPr>
          <w:rFonts w:ascii="SimSun" w:hAnsi="SimSun" w:eastAsia="SimSun" w:cs="SimSun"/>
          <w:color w:val="0000ff"/>
          <w:sz w:val="24"/>
          <w:u w:val="single"/>
        </w:rPr>
        <w:t xml:space="preserve">甲方</w:t>
      </w:r>
      <w:r>
        <w:rPr>
          <w:rFonts w:ascii="SimSun" w:hAnsi="SimSun" w:eastAsia="SimSun" w:cs="SimSun"/>
          <w:color w:val="000000"/>
          <w:sz w:val="24"/>
        </w:rPr>
        <w:t xml:space="preserve">进行赔偿并支付违约金: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ff"/>
          <w:sz w:val="24"/>
          <w:u w:val="single"/>
        </w:rPr>
        <w:t xml:space="preserve">乙方</w:t>
      </w:r>
      <w:r>
        <w:rPr>
          <w:rFonts w:ascii="SimSun" w:hAnsi="SimSun" w:eastAsia="SimSun" w:cs="SimSun"/>
          <w:color w:val="000000"/>
          <w:sz w:val="24"/>
        </w:rPr>
        <w:t xml:space="preserve">未能遵守</w:t>
      </w:r>
      <w:r>
        <w:rPr>
          <w:rFonts w:ascii="SimSun" w:hAnsi="SimSun" w:eastAsia="SimSun" w:cs="SimSun"/>
          <w:color w:val="0000ff"/>
          <w:sz w:val="24"/>
          <w:u w:val="single"/>
        </w:rPr>
        <w:t xml:space="preserve">甲方</w:t>
      </w:r>
      <w:r>
        <w:rPr>
          <w:rFonts w:ascii="SimSun" w:hAnsi="SimSun" w:eastAsia="SimSun" w:cs="SimSun"/>
          <w:color w:val="000000"/>
          <w:sz w:val="24"/>
        </w:rPr>
        <w:t xml:space="preserve">管理制度的,支付违约金5000元每次。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w:t>
      </w:r>
      <w:r>
        <w:rPr>
          <w:rFonts w:ascii="SimSun" w:hAnsi="SimSun" w:eastAsia="SimSun" w:cs="SimSun"/>
          <w:color w:val="0000ff"/>
          <w:sz w:val="24"/>
          <w:u w:val="single"/>
        </w:rPr>
        <w:t xml:space="preserve">乙方</w:t>
      </w:r>
      <w:r>
        <w:rPr>
          <w:rFonts w:ascii="SimSun" w:hAnsi="SimSun" w:eastAsia="SimSun" w:cs="SimSun"/>
          <w:color w:val="000000"/>
          <w:sz w:val="24"/>
        </w:rPr>
        <w:t xml:space="preserve">原因导致</w:t>
      </w:r>
      <w:r>
        <w:rPr>
          <w:rFonts w:ascii="SimSun" w:hAnsi="SimSun" w:eastAsia="SimSun" w:cs="SimSun"/>
          <w:color w:val="0000ff"/>
          <w:sz w:val="24"/>
          <w:u w:val="single"/>
        </w:rPr>
        <w:t xml:space="preserve">甲方</w:t>
      </w:r>
      <w:r>
        <w:rPr>
          <w:rFonts w:ascii="SimSun" w:hAnsi="SimSun" w:eastAsia="SimSun" w:cs="SimSun"/>
          <w:color w:val="000000"/>
          <w:sz w:val="24"/>
        </w:rPr>
        <w:t xml:space="preserve">或其他第三人权益受损的,</w:t>
      </w:r>
      <w:r>
        <w:rPr>
          <w:rFonts w:ascii="SimSun" w:hAnsi="SimSun" w:eastAsia="SimSun" w:cs="SimSun"/>
          <w:color w:val="0000ff"/>
          <w:sz w:val="24"/>
          <w:u w:val="single"/>
        </w:rPr>
        <w:t xml:space="preserve">除赔偿该损失外，向甲方</w:t>
      </w:r>
      <w:r>
        <w:rPr>
          <w:rFonts w:ascii="SimSun" w:hAnsi="SimSun" w:eastAsia="SimSun" w:cs="SimSun"/>
          <w:color w:val="000000"/>
          <w:sz w:val="24"/>
        </w:rPr>
        <w:t xml:space="preserve">支付违约金5000元每次。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w:t>
      </w:r>
      <w:r>
        <w:rPr>
          <w:rFonts w:ascii="SimSun" w:hAnsi="SimSun" w:eastAsia="SimSun" w:cs="SimSun"/>
          <w:color w:val="0000ff"/>
          <w:sz w:val="24"/>
          <w:u w:val="single"/>
        </w:rPr>
        <w:t xml:space="preserve">乙方原因</w:t>
      </w:r>
      <w:r>
        <w:rPr>
          <w:rFonts w:ascii="SimSun" w:hAnsi="SimSun" w:eastAsia="SimSun" w:cs="SimSun"/>
          <w:color w:val="000000"/>
          <w:sz w:val="24"/>
        </w:rPr>
        <w:t xml:space="preserve">导致接到投诉的,</w:t>
      </w:r>
      <w:r>
        <w:rPr>
          <w:rFonts w:ascii="SimSun" w:hAnsi="SimSun" w:eastAsia="SimSun" w:cs="SimSun"/>
          <w:color w:val="0000ff"/>
          <w:sz w:val="24"/>
          <w:u w:val="single"/>
        </w:rPr>
        <w:t xml:space="preserve">乙方</w:t>
      </w:r>
      <w:r>
        <w:rPr>
          <w:rFonts w:ascii="SimSun" w:hAnsi="SimSun" w:eastAsia="SimSun" w:cs="SimSun"/>
          <w:color w:val="000000"/>
          <w:sz w:val="24"/>
        </w:rPr>
        <w:t xml:space="preserve">向</w:t>
      </w:r>
      <w:r>
        <w:rPr>
          <w:rFonts w:ascii="SimSun" w:hAnsi="SimSun" w:eastAsia="SimSun" w:cs="SimSun"/>
          <w:color w:val="0000ff"/>
          <w:sz w:val="24"/>
          <w:u w:val="single"/>
        </w:rPr>
        <w:t xml:space="preserve">甲方</w:t>
      </w:r>
      <w:r>
        <w:rPr>
          <w:rFonts w:ascii="SimSun" w:hAnsi="SimSun" w:eastAsia="SimSun" w:cs="SimSun"/>
          <w:color w:val="000000"/>
          <w:sz w:val="24"/>
        </w:rPr>
        <w:t xml:space="preserve">支付违约金1000元每次。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(4)受到行政处罚,</w:t>
      </w:r>
      <w:r>
        <w:rPr>
          <w:rFonts w:ascii="SimSun" w:hAnsi="SimSun" w:eastAsia="SimSun" w:cs="SimSun"/>
          <w:color w:val="0000ff"/>
          <w:sz w:val="24"/>
          <w:u w:val="single"/>
        </w:rPr>
        <w:t xml:space="preserve">乙方</w:t>
      </w:r>
      <w:r>
        <w:rPr>
          <w:rFonts w:ascii="SimSun" w:hAnsi="SimSun" w:eastAsia="SimSun" w:cs="SimSun"/>
          <w:color w:val="000000"/>
          <w:sz w:val="24"/>
        </w:rPr>
        <w:t xml:space="preserve">向</w:t>
      </w:r>
      <w:r>
        <w:rPr>
          <w:rFonts w:ascii="SimSun" w:hAnsi="SimSun" w:eastAsia="SimSun" w:cs="SimSun"/>
          <w:color w:val="0000ff"/>
          <w:sz w:val="24"/>
          <w:u w:val="single"/>
        </w:rPr>
        <w:t xml:space="preserve">甲方</w:t>
      </w:r>
      <w:r>
        <w:rPr>
          <w:rFonts w:ascii="SimSun" w:hAnsi="SimSun" w:eastAsia="SimSun" w:cs="SimSun"/>
          <w:color w:val="000000"/>
          <w:sz w:val="24"/>
        </w:rPr>
        <w:t xml:space="preserve">支付违约金5000元每次。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ff"/>
          <w:sz w:val="24"/>
          <w:u w:val="single"/>
        </w:rPr>
        <w:t xml:space="preserve">5</w:t>
      </w:r>
      <w:r>
        <w:rPr>
          <w:rFonts w:ascii="SimSun" w:hAnsi="SimSun" w:eastAsia="SimSun" w:cs="SimSun"/>
          <w:color w:val="000000"/>
          <w:sz w:val="24"/>
        </w:rPr>
        <w:t xml:space="preserve">)发生人身伤害事故的,</w:t>
      </w:r>
      <w:r>
        <w:rPr>
          <w:rFonts w:ascii="SimSun" w:hAnsi="SimSun" w:eastAsia="SimSun" w:cs="SimSun"/>
          <w:color w:val="0000ff"/>
          <w:sz w:val="24"/>
          <w:u w:val="single"/>
        </w:rPr>
        <w:t xml:space="preserve">乙方</w:t>
      </w:r>
      <w:r>
        <w:rPr>
          <w:rFonts w:ascii="SimSun" w:hAnsi="SimSun" w:eastAsia="SimSun" w:cs="SimSun"/>
          <w:color w:val="000000"/>
          <w:sz w:val="24"/>
        </w:rPr>
        <w:t xml:space="preserve">向</w:t>
      </w:r>
      <w:r>
        <w:rPr>
          <w:rFonts w:ascii="SimSun" w:hAnsi="SimSun" w:eastAsia="SimSun" w:cs="SimSun"/>
          <w:color w:val="0000ff"/>
          <w:sz w:val="24"/>
          <w:u w:val="single"/>
        </w:rPr>
        <w:t xml:space="preserve">甲方</w:t>
      </w:r>
      <w:r>
        <w:rPr>
          <w:rFonts w:ascii="SimSun" w:hAnsi="SimSun" w:eastAsia="SimSun" w:cs="SimSun"/>
          <w:color w:val="000000"/>
          <w:sz w:val="24"/>
        </w:rPr>
        <w:t xml:space="preserve">支付违约金5000元每次。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ff"/>
          <w:sz w:val="24"/>
          <w:u w:val="single"/>
        </w:rPr>
        <w:t xml:space="preserve">6</w:t>
      </w:r>
      <w:r>
        <w:rPr>
          <w:rFonts w:ascii="SimSun" w:hAnsi="SimSun" w:eastAsia="SimSun" w:cs="SimSun"/>
          <w:color w:val="000000"/>
          <w:sz w:val="24"/>
        </w:rPr>
        <w:t xml:space="preserve">)</w:t>
      </w:r>
      <w:r>
        <w:rPr>
          <w:rFonts w:ascii="SimSun" w:hAnsi="SimSun" w:eastAsia="SimSun" w:cs="SimSun"/>
          <w:color w:val="0000ff"/>
          <w:sz w:val="24"/>
          <w:u w:val="single"/>
        </w:rPr>
        <w:t xml:space="preserve">甲方</w:t>
      </w:r>
      <w:r>
        <w:rPr>
          <w:rFonts w:ascii="SimSun" w:hAnsi="SimSun" w:eastAsia="SimSun" w:cs="SimSun"/>
          <w:color w:val="000000"/>
          <w:sz w:val="24"/>
        </w:rPr>
        <w:t xml:space="preserve">制定考核机制进行考核，</w:t>
      </w:r>
      <w:r>
        <w:rPr>
          <w:rFonts w:ascii="SimSun" w:hAnsi="SimSun" w:eastAsia="SimSun" w:cs="SimSun"/>
          <w:color w:val="0000ff"/>
          <w:sz w:val="24"/>
          <w:u w:val="single"/>
        </w:rPr>
        <w:t xml:space="preserve">乙方</w:t>
      </w:r>
      <w:r>
        <w:rPr>
          <w:rFonts w:ascii="SimSun" w:hAnsi="SimSun" w:eastAsia="SimSun" w:cs="SimSun"/>
          <w:color w:val="000000"/>
          <w:sz w:val="24"/>
        </w:rPr>
        <w:t xml:space="preserve">连续2次</w:t>
      </w:r>
      <w:r>
        <w:rPr>
          <w:rFonts w:ascii="SimSun" w:hAnsi="SimSun" w:eastAsia="SimSun" w:cs="SimSun"/>
          <w:color w:val="0000ff"/>
          <w:sz w:val="24"/>
          <w:u w:val="single"/>
        </w:rPr>
        <w:t xml:space="preserve">或累计3次</w:t>
      </w:r>
      <w:r>
        <w:rPr>
          <w:rFonts w:ascii="SimSun" w:hAnsi="SimSun" w:eastAsia="SimSun" w:cs="SimSun"/>
          <w:color w:val="000000"/>
          <w:sz w:val="24"/>
        </w:rPr>
        <w:t xml:space="preserve">出现考核不合格的情况，</w:t>
      </w:r>
      <w:r>
        <w:rPr>
          <w:rFonts w:ascii="SimSun" w:hAnsi="SimSun" w:eastAsia="SimSun" w:cs="SimSun"/>
          <w:color w:val="0000ff"/>
          <w:sz w:val="24"/>
          <w:u w:val="single"/>
        </w:rPr>
        <w:t xml:space="preserve">甲方</w:t>
      </w:r>
      <w:r>
        <w:rPr>
          <w:rFonts w:ascii="SimSun" w:hAnsi="SimSun" w:eastAsia="SimSun" w:cs="SimSun"/>
          <w:color w:val="000000"/>
          <w:sz w:val="24"/>
        </w:rPr>
        <w:t xml:space="preserve">有权解除合同</w:t>
      </w:r>
      <w:r>
        <w:rPr>
          <w:rFonts w:ascii="SimSun" w:hAnsi="SimSun" w:eastAsia="SimSun" w:cs="SimSun"/>
          <w:color w:val="0000ff"/>
          <w:sz w:val="24"/>
          <w:u w:val="single"/>
        </w:rPr>
        <w:t xml:space="preserve">并要求乙方支付合同总金额2%的违约金</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4、乙方应赔偿甲方的损失、支付给甲方的违约金以及其他依据本合同应支付给甲方的费用，甲方有权直接从未支付款项中予以扣除，不足部分有权要求乙方予以补足。</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3、因不可抗力致使不能实现合同目的，未受不可抗力影响的一方有权解除合同；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4、因合同一方违约导致合同不能履行，另一方有权解除合同；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5、有权解除合同的一方，应当在违约事实或不可抗力发生之后</w:t>
      </w:r>
      <w:r>
        <w:rPr>
          <w:rFonts w:ascii="SimSun" w:hAnsi="SimSun" w:eastAsia="SimSun" w:cs="SimSun"/>
          <w:color w:val="0000ff"/>
          <w:sz w:val="24"/>
          <w:u w:val="single"/>
        </w:rPr>
        <w:t xml:space="preserve">及时</w:t>
      </w:r>
      <w:r>
        <w:rPr>
          <w:rFonts w:ascii="SimSun" w:hAnsi="SimSun" w:eastAsia="SimSun" w:cs="SimSun"/>
          <w:color w:val="000000"/>
          <w:sz w:val="24"/>
        </w:rPr>
        <w:t xml:space="preserve">书面通知对方以主张解除合同，合同在书面通知到达对方时解除。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6、合同的部分和全部都不得转让。</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w:t>
      </w:r>
      <w:r>
        <w:rPr>
          <w:rFonts w:ascii="SimSun" w:hAnsi="SimSun" w:eastAsia="SimSun" w:cs="SimSun"/>
          <w:color w:val="0000ff"/>
          <w:sz w:val="24"/>
          <w:u w:val="none"/>
        </w:rPr>
        <w:t xml:space="preserve">若由于乙方违约或乙方追究甲方违约不成立的而产生纠纷的，甲方为处理纠纷产生的费用由乙方承担，该费用包括但不限于保全费、诉讼费、鉴定费、律师费、差旅费等</w:t>
      </w:r>
      <w:r>
        <w:rPr>
          <w:rFonts w:ascii="SimSun" w:hAnsi="SimSun" w:eastAsia="SimSun" w:cs="SimSun"/>
          <w:color w:val="0000ff"/>
          <w:sz w:val="24"/>
          <w:u w:val="single"/>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w:t>
      </w:r>
      <w:r>
        <w:rPr>
          <w:rFonts w:ascii="SimSun" w:hAnsi="SimSun" w:eastAsia="SimSun" w:cs="SimSun"/>
          <w:b/>
          <w:color w:val="0000ff"/>
          <w:sz w:val="24"/>
          <w:u w:val="single"/>
        </w:rPr>
        <w:t xml:space="preserve">一</w:t>
      </w:r>
      <w:r>
        <w:rPr>
          <w:rFonts w:ascii="SimSun" w:hAnsi="SimSun" w:eastAsia="SimSun" w:cs="SimSun"/>
          <w:b/>
          <w:color w:val="000000"/>
          <w:sz w:val="24"/>
        </w:rPr>
        <w:t xml:space="preserve">、其它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双方协商一致同意，在本合同签订后，若因乙方办理“园采贷”信用融资的需要，收款账号可作变更，变更后的账号为甲方付款时中征应收账款融资服务平台中资金提供方指定的回款账户，甲方支付至该账号的款项，亦视为已向乙方履行完毕支付义务。</w:t>
      </w:r>
      <w:r>
        <w:rPr>
          <w:rFonts w:ascii="SimSun" w:hAnsi="SimSun" w:eastAsia="SimSun" w:cs="SimSun"/>
          <w:color w:val="0000ff"/>
          <w:sz w:val="24"/>
          <w:u w:val="single"/>
        </w:rPr>
        <w:t xml:space="preserve">甲方</w:t>
      </w:r>
      <w:r>
        <w:rPr>
          <w:rFonts w:ascii="SimSun" w:hAnsi="SimSun" w:eastAsia="SimSun" w:cs="SimSun"/>
          <w:color w:val="000000"/>
          <w:sz w:val="24"/>
        </w:rPr>
        <w:t xml:space="preserve">同时应与办理“园采贷”的</w:t>
      </w:r>
      <w:r>
        <w:rPr>
          <w:rFonts w:ascii="SimSun" w:hAnsi="SimSun" w:eastAsia="SimSun" w:cs="SimSun"/>
          <w:color w:val="0000ff"/>
          <w:sz w:val="24"/>
          <w:u w:val="single"/>
        </w:rPr>
        <w:t xml:space="preserve">乙方</w:t>
      </w:r>
      <w:r>
        <w:rPr>
          <w:rFonts w:ascii="SimSun" w:hAnsi="SimSun" w:eastAsia="SimSun" w:cs="SimSun"/>
          <w:color w:val="000000"/>
          <w:sz w:val="24"/>
        </w:rPr>
        <w:t xml:space="preserve">签订变更账号的补充协议或由</w:t>
      </w:r>
      <w:r>
        <w:rPr>
          <w:rFonts w:ascii="SimSun" w:hAnsi="SimSun" w:eastAsia="SimSun" w:cs="SimSun"/>
          <w:color w:val="0000ff"/>
          <w:sz w:val="24"/>
          <w:u w:val="single"/>
        </w:rPr>
        <w:t xml:space="preserve">乙方</w:t>
      </w:r>
      <w:r>
        <w:rPr>
          <w:rFonts w:ascii="SimSun" w:hAnsi="SimSun" w:eastAsia="SimSun" w:cs="SimSun"/>
          <w:color w:val="000000"/>
          <w:sz w:val="24"/>
        </w:rPr>
        <w:t xml:space="preserve">提供账号的变更申请</w:t>
      </w:r>
      <w:r>
        <w:rPr>
          <w:rFonts w:ascii="SimSun" w:hAnsi="SimSun" w:eastAsia="SimSun" w:cs="SimSun"/>
          <w:color w:val="0000ff"/>
          <w:sz w:val="24"/>
          <w:u w:val="single"/>
        </w:rPr>
        <w:t xml:space="preserve">及相关融资材料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2、本合同所有附件及政府采购文件均为合同的有效组成部分，与本合同具有同等法律效力。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3、在执行本合同的过程中，所有经双方签署确认的文件（包括会议纪要、补充协议、往来信函）即成为本合同的有效组成部分。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4</w:t>
      </w:r>
      <w:r>
        <w:rPr>
          <w:rFonts w:ascii="SimSun" w:hAnsi="SimSun" w:eastAsia="SimSun" w:cs="SimSun"/>
          <w:color w:val="000000"/>
          <w:sz w:val="24"/>
        </w:rPr>
        <w:t xml:space="preserve">、如一方地址、</w:t>
      </w:r>
      <w:r>
        <w:rPr>
          <w:rFonts w:ascii="SimSun" w:hAnsi="SimSun" w:eastAsia="SimSun" w:cs="SimSun"/>
          <w:color w:val="0000ff"/>
          <w:sz w:val="24"/>
          <w:u w:val="single"/>
        </w:rPr>
        <w:t xml:space="preserve">联系人及</w:t>
      </w:r>
      <w:r>
        <w:rPr>
          <w:rFonts w:ascii="SimSun" w:hAnsi="SimSun" w:eastAsia="SimSun" w:cs="SimSun"/>
          <w:color w:val="000000"/>
          <w:sz w:val="24"/>
        </w:rPr>
        <w:t xml:space="preserve">电话</w:t>
      </w:r>
      <w:r>
        <w:rPr>
          <w:rFonts w:ascii="SimSun" w:hAnsi="SimSun" w:eastAsia="SimSun" w:cs="SimSun"/>
          <w:color w:val="0000ff"/>
          <w:sz w:val="24"/>
          <w:u w:val="single"/>
        </w:rPr>
        <w:t xml:space="preserve">（本合同首部载明）</w:t>
      </w:r>
      <w:r>
        <w:rPr>
          <w:rFonts w:ascii="SimSun" w:hAnsi="SimSun" w:eastAsia="SimSun" w:cs="SimSun"/>
          <w:color w:val="000000"/>
          <w:sz w:val="24"/>
        </w:rPr>
        <w:t xml:space="preserve">有变更，应在变更当日内书面通知对方，否则，应</w:t>
      </w:r>
      <w:r>
        <w:rPr>
          <w:rFonts w:ascii="SimSun" w:hAnsi="SimSun" w:eastAsia="SimSun" w:cs="SimSun"/>
          <w:color w:val="0000ff"/>
          <w:sz w:val="24"/>
          <w:u w:val="single"/>
        </w:rPr>
        <w:t xml:space="preserve">自行</w:t>
      </w:r>
      <w:r>
        <w:rPr>
          <w:rFonts w:ascii="SimSun" w:hAnsi="SimSun" w:eastAsia="SimSun" w:cs="SimSun"/>
          <w:color w:val="000000"/>
          <w:sz w:val="24"/>
        </w:rPr>
        <w:t xml:space="preserve">承担相应</w:t>
      </w:r>
      <w:r>
        <w:rPr>
          <w:rFonts w:ascii="SimSun" w:hAnsi="SimSun" w:eastAsia="SimSun" w:cs="SimSun"/>
          <w:color w:val="0000ff"/>
          <w:sz w:val="24"/>
          <w:u w:val="single"/>
        </w:rPr>
        <w:t xml:space="preserve">送达不能的</w:t>
      </w:r>
      <w:r>
        <w:rPr>
          <w:rFonts w:ascii="SimSun" w:hAnsi="SimSun" w:eastAsia="SimSun" w:cs="SimSun"/>
          <w:color w:val="000000"/>
          <w:sz w:val="24"/>
        </w:rPr>
        <w:t xml:space="preserve">责任。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w:t>
      </w:r>
      <w:r>
        <w:rPr>
          <w:rFonts w:ascii="SimSun" w:hAnsi="SimSun" w:eastAsia="SimSun" w:cs="SimSun"/>
          <w:b/>
          <w:color w:val="0000ff"/>
          <w:sz w:val="24"/>
          <w:u w:val="single"/>
        </w:rPr>
        <w:t xml:space="preserve">二</w:t>
      </w:r>
      <w:r>
        <w:rPr>
          <w:rFonts w:ascii="SimSun" w:hAnsi="SimSun" w:eastAsia="SimSun" w:cs="SimSun"/>
          <w:b/>
          <w:color w:val="000000"/>
          <w:sz w:val="24"/>
        </w:rPr>
        <w:t xml:space="preserve">、附则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1、合同份数：本合同一式肆份，甲方、乙方各执壹份，政府采购监督管理部门壹份，采购代理机构壹一份。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2、本合同文件使用中文书写、解释和说明。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3、本合同履行过程中产生的纪要、协议以及中标通知书、投标文件和招标文件为本合同的附件，与合同具有同等效力。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4、本合同在甲乙双方法人代表或其授权代表签字盖章后生效。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5、未尽事宜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本合同未尽事宜应按照《中华人民共和国民法典》之规定解释。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57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法定代表人或授权代理人：法定代表人或授权代理人：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1" w:right="57" w:firstLine="4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pacing w:val="-3"/>
          <w:sz w:val="24"/>
          <w:u w:val="single"/>
        </w:rPr>
        <w:t xml:space="preserve">附件：</w:t>
      </w:r>
      <w:r/>
    </w:p>
    <w:p>
      <w:pPr>
        <w:ind w:left="121" w:right="57" w:firstLine="40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考核内容</w:t>
      </w:r>
      <w:r/>
    </w:p>
    <w:p>
      <w:pPr>
        <w:ind w:left="570" w:right="0" w:firstLine="6720"/>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考核时间：</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41"/>
        <w:gridCol w:w="3041"/>
        <w:gridCol w:w="3041"/>
      </w:tblGrid>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基础管理（25分）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工作计划管理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规章制度执行管理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6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故障维修、巡检、保养记录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r>
      <w:tr>
        <w:trPr>
          <w:trHeight w:val="6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月、季、年的维护报表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4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0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质量管理（70分）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定期巡检、保养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故障修复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故障响应速度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r>
      <w:tr>
        <w:trPr>
          <w:trHeight w:val="6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系统平台、相关硬件设备、软件系统无故障完好率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分</w:t>
            </w:r>
            <w:r/>
          </w:p>
        </w:tc>
      </w:tr>
      <w:tr>
        <w:trPr>
          <w:trHeight w:val="6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参与、配合甲方维稳突发事件处置、完成大型保障任务，能按时、高效圆满完成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4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对重大事件、活动的现场保障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备品备件完好率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4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对监控运维期间的问题能够及时处理，且有效投诉为0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分</w:t>
            </w:r>
            <w:r/>
          </w:p>
        </w:tc>
      </w:tr>
      <w:tr>
        <w:trPr>
          <w:trHeight w:val="6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1）考评结果≥90 分，实际付款金额=应付金额*100%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2）90 分＞考评结果≥80 分，实际付款金额=应付金额*90%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3）80 分＞考评结果≥70 分，实际付款金额=应付金额*70%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4）70 分＞考评结果≥60 分，实际付款金额=应付金额*50%</w:t>
      </w:r>
      <w:r/>
    </w:p>
    <w:p>
      <w:pPr>
        <w:ind w:left="121" w:right="57" w:firstLine="4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5）考评结果＜60 分， 甲方有权拒绝付款。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第六章 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1、评价和比较采用综合评分法，即在全部满足招标文件实质性要求前提下，按照招标文件规定的各项因素进行综合评审后，以评标总得分最高的投标人作为中标候选人或中标人。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2、评标委员会各成员独立对每个进入打分程序的有效投标人的标书技术部分以打分的形式进行评审和评价（计算结果均四舍五入保留两位小数）。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3、对评委的评分（除价格分外）进行统计汇总，直接算术平均计算出每个投标人的得分，加上价格得分即为每个投标人的综合得分。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4、如出现评标总得分最高的投标人有两个或两个以上的，以投标报价较低者优先作为中标候选人，如果投标报价也相同的，则由评标委员会织以抽签方式确定中标候选人。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(一)价格基准分：20分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第一步：投标报价低于预算金额的，为有效投标报价。投标报价超预算价的投标报价为无效投标报价。无效投标报价的投标文件不得中标。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第二步：以满足招标文件实质性要求且投标单价最低的投标有效报价为评标基准价，其价格分为满分，即20分。其他有效投标报价得分统一按照下列公式计算：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投标报价得分＝（基准报价/投标单价）×20％×100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（二）技术方案部分（34分）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1、项目需求分析（6分）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项目需求分析（应包含项目背景，现状分析，项目目标，预期成效等），对项目需求分析内容完整详细、逻辑清晰、架构合理性、实用性强的得6分；方案内容较为完整详细、逻辑较清晰、架构合理性、实用性较强的得4分；方案不全面、粗略、针对性差的得2分；其他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2、巡检方案（7分）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定期巡检服务内容、巡检频次、巡检维护台账、巡检专用工具和专用车辆、依托于数字运维系统等相关内容。方案全面、详细、可行性强、流程规范、针对性强的得7分；方案较全面、较详细、可行性较强、流程较规范、针对性较强的得4分；方案较全面、简略、有可行性、流程较规范、有针对性的得2分；方案不全面、粗略、可行性差、流程不规范、针对性差的得1分；其他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3、应急事件处理方案(7分)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事件处理方案全面、详细、可行性强、流程规范、针对性强的得7分；方案较全面、较详细、可行性较强、流程较规范、针对性较强的得4分；方案较全面、简略、有可行性、流程较规范、有针对性的得2分；方案不全面、粗略、可行性差、流程不规范、针对性差的得1分；其他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4、售后服务框架（7分）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提供为保障本项目顺利实施的售后服务框架流程图，包括但不限于运维服务中的用户方、设备厂商、售后服务方的闭环故障处理服务流程，用户的报修流程、事故分析、故障确认、一般事故、较大事故与重大事故的处理流程、事故处理后的归档、用户建议售后服务动态调整等的描述和说明。方案全面、详细、可行性强、流程规范、针对性强的得7分；方案较全面、较详细、可行性较强、流程较规范、针对性较强的得5分；方案较全面、简略、有可行性、流程较规范、有针对性的得3分；方案不全面、粗略、可行性差、流程不规范、针对性差的得1分；其他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5、针对本项目提出的管理制度（7分）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针对本项目的管理规范、业务管理制度、安全和文明服务措施、保密管理制度等内容。方案全面、详细、可行性强、流程规范、针对性强的得7分；方案较全面、较详细、可行性较强、流程较规范、针对性较强的得5分；方案较全面、简略、有可行性、流程较规范、有针对性的得3分；方案不全面、粗略、可行性差、流程不规范、针对性差的得1分；其他不得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（三）项目组人员配备比较（28分）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1、项目负责人（10分）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具有信息系统项目管理师证书的得2分、具有系统规划与管理师证书的得2分、具有CISAW信息安全保障人员认证证书（应急服务）的得2分、具有通信专业技术人员职业资格证书（终端与业务）的得2分、具有IT服务项目经理的得2分，本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2、技术负责人（10分）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具有网络工程师证书的得2分、具有信息系统项目管理师证书的得2分、具有IT服务工程师证书的得2分、具有系统集成项目管理工程师（高级）证书的得2分、具有CISAW信息安全保障人员认证证书（安全运维）的得2分，本项最高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3、现场负责人（8分）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现场负责人具有网络工程师证书的得2分、具有系统分析师证书的得2分、具有系统集成项目管理工程师证书的得2分、具有信息系统项目管理师证书的得2分，本项最高得8分。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所投项目负责人、技术负责人及现场负责人的数量均只能为一人且不得为同一个人，以上人员须在投标文件中提供有效期内的证书扫描件及投标单位为其缴纳的最新一期社保证明扫描件，未提供或提供不全的不得分。</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投标单位综合实力（18分）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1、投标单位具备平台软件著作权的得4分（提供著作权证明文件扫描件）。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2、投标单位具有信息安全服务资质认证证书（信息系统安全运维）；信息安全服务资质认证证书（信息安全风险评估）；每有一项得 2分，本项最高得分为4分； 投标文件内提供有效期内的认证证书扫描件及国家认证认可监督委员会网站查询截图，不提供或提供不全的不得分。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3、投标单位具有信息系统建设和服务能力评估证书CS4以上的得3分，CS4及以下的得1分，提供证明资料扫描件，未提供或提供不全的不得分。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4、投标单位提供的平台满足信息系统安全的等级保护（三级）及以上要求的得3分，提供证明资料扫描件，未提供或提供不全的不得分。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5、投标单位自2022年1月1日以来（以合同签订时间为准）承担过类似项目业绩的，每提供1个得2分，本项最高得4分。投标文件内提供合同扫描件，未提供或提供不全的不得分。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1、投标报价超过预算价的,视为无效投标，将不进入综合评审程序。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2、付款步骤、服务期限如有负偏离的不得中标。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针对评分标准中评分的每一条，各供应商须在投标文件中提供相关资料供评委评判，不提供相关资料的视为不具备该项得分的条件。投标人均针对评分内容提供对应材料并作出相关说明，所提供的相关材料缺陷、不符或不提供者，有关评分内容不得分。</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0"/>
              <wp:wrapNone/>
              <wp:docPr id="2"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756"/>
                          </w:pPr>
                          <w:r>
                            <w:fldChar w:fldCharType="begin"/>
                          </w:r>
                          <w:r>
                            <w:instrText xml:space="preserve"> PAGE  \* MERGEFORMAT </w:instrText>
                          </w:r>
                          <w:r>
                            <w:fldChar w:fldCharType="separate"/>
                          </w:r>
                          <w:r>
                            <w:t xml:space="preserve">13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56"/>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left="412"/>
      <w:spacing w:before="16" w:line="191" w:lineRule="auto"/>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257810</wp:posOffset>
              </wp:positionH>
              <wp:positionV relativeFrom="paragraph">
                <wp:posOffset>117475</wp:posOffset>
              </wp:positionV>
              <wp:extent cx="5542280" cy="508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542280" cy="5080"/>
                      </a:xfrm>
                      <a:custGeom>
                        <a:avLst/>
                        <a:gdLst/>
                        <a:ahLst/>
                        <a:cxnLst/>
                        <a:rect l="0" t="0" r="0" b="0"/>
                        <a:pathLst>
                          <a:path w="8727" h="8" fill="norm" stroke="1" extrusionOk="0">
                            <a:moveTo>
                              <a:pt x="0" y="3"/>
                            </a:moveTo>
                            <a:lnTo>
                              <a:pt x="8727" y="3"/>
                            </a:lnTo>
                          </a:path>
                        </a:pathLst>
                      </a:custGeom>
                      <a:noFill/>
                      <a:ln w="4572"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0.3pt;mso-position-horizontal:absolute;mso-position-vertical-relative:text;margin-top:9.2pt;mso-position-vertical:absolute;width:436.4pt;height:0.4pt;mso-wrap-distance-left:9.0pt;mso-wrap-distance-top:0.0pt;mso-wrap-distance-right:9.0pt;mso-wrap-distance-bottom:0.0pt;visibility:visible;" path="m0,37500l100000,37500e" coordsize="100000,100000" filled="f" strokecolor="#000000" strokeweight="0.36pt">
              <v:path textboxrect="0,0,0,0"/>
              <v:stroke dashstyle="solid"/>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ind w:left="1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pStyle w:val="960"/>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11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7"/>
    <w:basedOn w:val="732"/>
    <w:next w:val="732"/>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32"/>
    <w:next w:val="732"/>
    <w:link w:val="796"/>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32"/>
    <w:next w:val="732"/>
    <w:link w:val="798"/>
    <w:uiPriority w:val="9"/>
    <w:unhideWhenUsed/>
    <w:qFormat/>
    <w:pPr>
      <w:keepLines/>
      <w:keepNext/>
      <w:spacing w:before="320" w:after="200"/>
      <w:outlineLvl w:val="8"/>
    </w:pPr>
    <w:rPr>
      <w:rFonts w:ascii="Arial" w:hAnsi="Arial" w:eastAsia="Arial" w:cs="Arial"/>
      <w:i/>
      <w:iCs/>
      <w:sz w:val="21"/>
      <w:szCs w:val="21"/>
    </w:rPr>
  </w:style>
  <w:style w:type="paragraph" w:styleId="700">
    <w:name w:val="List Paragraph"/>
    <w:basedOn w:val="732"/>
    <w:uiPriority w:val="34"/>
    <w:qFormat/>
    <w:pPr>
      <w:contextualSpacing/>
      <w:ind w:left="720"/>
    </w:pPr>
  </w:style>
  <w:style w:type="paragraph" w:styleId="701">
    <w:name w:val="No Spacing"/>
    <w:uiPriority w:val="1"/>
    <w:qFormat/>
    <w:pPr>
      <w:spacing w:before="0" w:after="0" w:line="240" w:lineRule="auto"/>
    </w:pPr>
  </w:style>
  <w:style w:type="character" w:styleId="702">
    <w:name w:val="Title Char"/>
    <w:basedOn w:val="739"/>
    <w:link w:val="770"/>
    <w:uiPriority w:val="10"/>
    <w:rPr>
      <w:sz w:val="48"/>
      <w:szCs w:val="48"/>
    </w:rPr>
  </w:style>
  <w:style w:type="character" w:styleId="703">
    <w:name w:val="Subtitle Char"/>
    <w:basedOn w:val="739"/>
    <w:link w:val="760"/>
    <w:uiPriority w:val="11"/>
    <w:rPr>
      <w:sz w:val="24"/>
      <w:szCs w:val="24"/>
    </w:rPr>
  </w:style>
  <w:style w:type="paragraph" w:styleId="704">
    <w:name w:val="Quote"/>
    <w:basedOn w:val="732"/>
    <w:next w:val="732"/>
    <w:link w:val="705"/>
    <w:uiPriority w:val="29"/>
    <w:qFormat/>
    <w:pPr>
      <w:ind w:left="720" w:right="720"/>
    </w:pPr>
    <w:rPr>
      <w:i/>
    </w:rPr>
  </w:style>
  <w:style w:type="character" w:styleId="705">
    <w:name w:val="Quote Char"/>
    <w:link w:val="704"/>
    <w:uiPriority w:val="29"/>
    <w:rPr>
      <w:i/>
    </w:rPr>
  </w:style>
  <w:style w:type="paragraph" w:styleId="706">
    <w:name w:val="Intense Quote"/>
    <w:basedOn w:val="732"/>
    <w:next w:val="732"/>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Caption"/>
    <w:basedOn w:val="732"/>
    <w:next w:val="732"/>
    <w:uiPriority w:val="35"/>
    <w:semiHidden/>
    <w:unhideWhenUsed/>
    <w:qFormat/>
    <w:pPr>
      <w:spacing w:line="276" w:lineRule="auto"/>
    </w:pPr>
    <w:rPr>
      <w:b/>
      <w:bCs/>
      <w:color w:val="4f81bd" w:themeColor="accent1"/>
      <w:sz w:val="18"/>
      <w:szCs w:val="18"/>
    </w:rPr>
  </w:style>
  <w:style w:type="table" w:styleId="70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0">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3">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6">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7">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8">
    <w:name w:val="Footnote Text Char"/>
    <w:link w:val="761"/>
    <w:uiPriority w:val="99"/>
    <w:rPr>
      <w:sz w:val="18"/>
    </w:rPr>
  </w:style>
  <w:style w:type="character" w:styleId="729">
    <w:name w:val="Endnote Text Char"/>
    <w:link w:val="754"/>
    <w:uiPriority w:val="99"/>
    <w:rPr>
      <w:sz w:val="20"/>
    </w:rPr>
  </w:style>
  <w:style w:type="paragraph" w:styleId="730">
    <w:name w:val="TOC Heading"/>
    <w:uiPriority w:val="39"/>
    <w:unhideWhenUsed/>
  </w:style>
  <w:style w:type="paragraph" w:styleId="731">
    <w:name w:val="table of figures"/>
    <w:basedOn w:val="732"/>
    <w:next w:val="732"/>
    <w:uiPriority w:val="99"/>
    <w:unhideWhenUsed/>
    <w:pPr>
      <w:spacing w:after="0" w:afterAutospacing="0"/>
    </w:pPr>
  </w:style>
  <w:style w:type="paragraph" w:styleId="732" w:default="1">
    <w:name w:val="Normal"/>
    <w:uiPriority w:val="0"/>
    <w:qFormat/>
    <w:rPr>
      <w:rFonts w:ascii="Times New Roman" w:hAnsi="Times New Roman" w:eastAsia="宋体" w:cs="Times New Roman"/>
      <w:lang w:val="en-US" w:eastAsia="zh-CN" w:bidi="ar-SA"/>
    </w:rPr>
  </w:style>
  <w:style w:type="paragraph" w:styleId="733">
    <w:name w:val="Heading 1"/>
    <w:basedOn w:val="732"/>
    <w:next w:val="732"/>
    <w:link w:val="971"/>
    <w:uiPriority w:val="0"/>
    <w:qFormat/>
    <w:pPr>
      <w:keepLines/>
      <w:keepNext/>
      <w:spacing w:before="340" w:after="330" w:line="578" w:lineRule="auto"/>
      <w:outlineLvl w:val="0"/>
    </w:pPr>
    <w:rPr>
      <w:b/>
      <w:sz w:val="44"/>
    </w:rPr>
  </w:style>
  <w:style w:type="paragraph" w:styleId="734">
    <w:name w:val="Heading 2"/>
    <w:basedOn w:val="732"/>
    <w:next w:val="732"/>
    <w:uiPriority w:val="0"/>
    <w:qFormat/>
    <w:pPr>
      <w:keepLines/>
      <w:keepNext/>
      <w:outlineLvl w:val="1"/>
    </w:pPr>
    <w:rPr>
      <w:rFonts w:ascii="宋体" w:hAnsi="宋体"/>
      <w:b/>
    </w:rPr>
  </w:style>
  <w:style w:type="paragraph" w:styleId="735">
    <w:name w:val="Heading 3"/>
    <w:basedOn w:val="732"/>
    <w:next w:val="732"/>
    <w:uiPriority w:val="0"/>
    <w:qFormat/>
    <w:pPr>
      <w:keepLines/>
      <w:keepNext/>
      <w:outlineLvl w:val="2"/>
    </w:pPr>
    <w:rPr>
      <w:b/>
    </w:rPr>
  </w:style>
  <w:style w:type="paragraph" w:styleId="736">
    <w:name w:val="Heading 4"/>
    <w:basedOn w:val="732"/>
    <w:next w:val="732"/>
    <w:uiPriority w:val="0"/>
    <w:qFormat/>
    <w:pPr>
      <w:keepLines/>
      <w:keepNext/>
      <w:spacing w:before="280" w:after="290" w:line="376" w:lineRule="auto"/>
      <w:outlineLvl w:val="3"/>
    </w:pPr>
    <w:rPr>
      <w:rFonts w:ascii="Arial" w:hAnsi="Arial" w:eastAsia="黑体"/>
      <w:b/>
      <w:bCs/>
      <w:sz w:val="28"/>
      <w:szCs w:val="28"/>
    </w:rPr>
  </w:style>
  <w:style w:type="paragraph" w:styleId="737">
    <w:name w:val="Heading 5"/>
    <w:basedOn w:val="732"/>
    <w:next w:val="732"/>
    <w:uiPriority w:val="0"/>
    <w:qFormat/>
    <w:pPr>
      <w:keepLines/>
      <w:keepNext/>
      <w:spacing w:before="280" w:after="290" w:line="376" w:lineRule="auto"/>
      <w:outlineLvl w:val="4"/>
    </w:pPr>
    <w:rPr>
      <w:rFonts w:eastAsia="楷体_GB2312"/>
      <w:b/>
      <w:bCs/>
      <w:sz w:val="28"/>
      <w:szCs w:val="28"/>
    </w:rPr>
  </w:style>
  <w:style w:type="paragraph" w:styleId="738">
    <w:name w:val="Heading 6"/>
    <w:basedOn w:val="732"/>
    <w:next w:val="732"/>
    <w:uiPriority w:val="0"/>
    <w:qFormat/>
    <w:pPr>
      <w:keepLines/>
      <w:keepNext/>
      <w:spacing w:before="240" w:after="64" w:line="320" w:lineRule="auto"/>
      <w:outlineLvl w:val="5"/>
    </w:pPr>
    <w:rPr>
      <w:rFonts w:ascii="Arial" w:hAnsi="Arial" w:eastAsia="黑体"/>
      <w:b/>
      <w:bCs/>
      <w:sz w:val="24"/>
      <w:szCs w:val="24"/>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next w:val="732"/>
    <w:uiPriority w:val="39"/>
    <w:unhideWhenUsed/>
    <w:qFormat/>
    <w:pPr>
      <w:ind w:left="1701"/>
      <w:spacing w:after="57"/>
    </w:pPr>
    <w:rPr>
      <w:rFonts w:ascii="Times New Roman" w:hAnsi="Times New Roman" w:eastAsia="宋体" w:cs="Times New Roman"/>
      <w:lang w:val="en-US" w:eastAsia="zh-CN" w:bidi="ar-SA"/>
    </w:rPr>
  </w:style>
  <w:style w:type="paragraph" w:styleId="742">
    <w:name w:val="Normal Indent"/>
    <w:basedOn w:val="732"/>
    <w:next w:val="732"/>
    <w:uiPriority w:val="99"/>
    <w:unhideWhenUsed/>
    <w:qFormat/>
    <w:pPr>
      <w:ind w:firstLine="420"/>
    </w:pPr>
  </w:style>
  <w:style w:type="paragraph" w:styleId="743">
    <w:name w:val="Document Map"/>
    <w:basedOn w:val="732"/>
    <w:uiPriority w:val="0"/>
    <w:qFormat/>
    <w:pPr>
      <w:shd w:val="clear" w:color="000080" w:fill="000080"/>
    </w:pPr>
  </w:style>
  <w:style w:type="paragraph" w:styleId="744">
    <w:name w:val="annotation text"/>
    <w:basedOn w:val="732"/>
    <w:link w:val="950"/>
    <w:uiPriority w:val="0"/>
    <w:semiHidden/>
    <w:qFormat/>
    <w:rPr>
      <w:rFonts w:eastAsia="楷体_GB2312"/>
      <w:sz w:val="26"/>
    </w:rPr>
  </w:style>
  <w:style w:type="paragraph" w:styleId="745">
    <w:name w:val="Body Text"/>
    <w:basedOn w:val="732"/>
    <w:uiPriority w:val="0"/>
    <w:qFormat/>
    <w:pPr>
      <w:spacing w:line="400" w:lineRule="exact"/>
    </w:pPr>
    <w:rPr>
      <w:rFonts w:ascii="楷体_GB2312"/>
      <w:sz w:val="28"/>
    </w:rPr>
  </w:style>
  <w:style w:type="paragraph" w:styleId="746">
    <w:name w:val="Body Text Indent"/>
    <w:basedOn w:val="732"/>
    <w:next w:val="747"/>
    <w:link w:val="947"/>
    <w:uiPriority w:val="0"/>
    <w:qFormat/>
    <w:pPr>
      <w:ind w:left="570"/>
      <w:spacing w:line="520" w:lineRule="exact"/>
    </w:pPr>
    <w:rPr>
      <w:rFonts w:ascii="方正仿宋简体" w:hAnsi="创艺简仿宋" w:eastAsia="方正仿宋简体"/>
      <w:sz w:val="24"/>
    </w:rPr>
  </w:style>
  <w:style w:type="paragraph" w:styleId="747" w:customStyle="1">
    <w:name w:val="目录 51"/>
    <w:next w:val="732"/>
    <w:uiPriority w:val="0"/>
    <w:qFormat/>
    <w:pPr>
      <w:ind w:left="1275"/>
      <w:jc w:val="both"/>
    </w:pPr>
    <w:rPr>
      <w:rFonts w:ascii="Times New Roman" w:hAnsi="Times New Roman" w:eastAsia="宋体" w:cs="Times New Roman"/>
      <w:sz w:val="21"/>
      <w:lang w:val="en-US" w:eastAsia="zh-CN" w:bidi="ar-SA"/>
    </w:rPr>
  </w:style>
  <w:style w:type="paragraph" w:styleId="748">
    <w:name w:val="toc 5"/>
    <w:next w:val="732"/>
    <w:uiPriority w:val="39"/>
    <w:unhideWhenUsed/>
    <w:qFormat/>
    <w:pPr>
      <w:ind w:left="1134"/>
      <w:spacing w:after="57"/>
    </w:pPr>
    <w:rPr>
      <w:rFonts w:ascii="Times New Roman" w:hAnsi="Times New Roman" w:eastAsia="宋体" w:cs="Times New Roman"/>
      <w:lang w:val="en-US" w:eastAsia="zh-CN" w:bidi="ar-SA"/>
    </w:rPr>
  </w:style>
  <w:style w:type="paragraph" w:styleId="749">
    <w:name w:val="toc 3"/>
    <w:basedOn w:val="732"/>
    <w:next w:val="732"/>
    <w:uiPriority w:val="0"/>
    <w:qFormat/>
    <w:pPr>
      <w:ind w:left="840"/>
    </w:pPr>
  </w:style>
  <w:style w:type="paragraph" w:styleId="750">
    <w:name w:val="Plain Text"/>
    <w:basedOn w:val="732"/>
    <w:link w:val="943"/>
    <w:uiPriority w:val="0"/>
    <w:qFormat/>
    <w:rPr>
      <w:rFonts w:ascii="宋体" w:hAnsi="Courier New" w:eastAsia="楷体_GB2312"/>
      <w:sz w:val="26"/>
    </w:rPr>
  </w:style>
  <w:style w:type="paragraph" w:styleId="751">
    <w:name w:val="toc 8"/>
    <w:next w:val="732"/>
    <w:uiPriority w:val="39"/>
    <w:unhideWhenUsed/>
    <w:qFormat/>
    <w:pPr>
      <w:ind w:left="1984"/>
      <w:spacing w:after="57"/>
    </w:pPr>
    <w:rPr>
      <w:rFonts w:ascii="Times New Roman" w:hAnsi="Times New Roman" w:eastAsia="宋体" w:cs="Times New Roman"/>
      <w:lang w:val="en-US" w:eastAsia="zh-CN" w:bidi="ar-SA"/>
    </w:rPr>
  </w:style>
  <w:style w:type="paragraph" w:styleId="752">
    <w:name w:val="Date"/>
    <w:basedOn w:val="732"/>
    <w:next w:val="732"/>
    <w:link w:val="948"/>
    <w:uiPriority w:val="0"/>
    <w:qFormat/>
    <w:rPr>
      <w:rFonts w:ascii="宋体" w:hAnsi="宋体" w:eastAsia="楷体_GB2312"/>
      <w:sz w:val="24"/>
    </w:rPr>
  </w:style>
  <w:style w:type="paragraph" w:styleId="753">
    <w:name w:val="Body Text Indent 2"/>
    <w:basedOn w:val="732"/>
    <w:uiPriority w:val="0"/>
    <w:qFormat/>
    <w:pPr>
      <w:ind w:firstLine="502"/>
      <w:spacing w:line="360" w:lineRule="auto"/>
      <w:tabs>
        <w:tab w:val="left" w:pos="0" w:leader="none"/>
      </w:tabs>
    </w:pPr>
    <w:rPr>
      <w:rFonts w:ascii="宋体"/>
      <w:b/>
      <w:bCs/>
      <w:sz w:val="24"/>
    </w:rPr>
  </w:style>
  <w:style w:type="paragraph" w:styleId="754">
    <w:name w:val="endnote text"/>
    <w:link w:val="939"/>
    <w:uiPriority w:val="99"/>
    <w:unhideWhenUsed/>
    <w:qFormat/>
    <w:rPr>
      <w:rFonts w:ascii="Times New Roman" w:hAnsi="Times New Roman" w:eastAsia="宋体" w:cs="Times New Roman"/>
      <w:lang w:val="en-US" w:eastAsia="zh-CN" w:bidi="ar-SA"/>
    </w:rPr>
  </w:style>
  <w:style w:type="paragraph" w:styleId="755">
    <w:name w:val="Balloon Text"/>
    <w:basedOn w:val="732"/>
    <w:uiPriority w:val="0"/>
    <w:qFormat/>
    <w:rPr>
      <w:sz w:val="18"/>
      <w:szCs w:val="18"/>
    </w:rPr>
  </w:style>
  <w:style w:type="paragraph" w:styleId="756">
    <w:name w:val="Footer"/>
    <w:basedOn w:val="732"/>
    <w:link w:val="946"/>
    <w:uiPriority w:val="0"/>
    <w:qFormat/>
    <w:pPr>
      <w:tabs>
        <w:tab w:val="center" w:pos="4153" w:leader="none"/>
        <w:tab w:val="right" w:pos="8306" w:leader="none"/>
      </w:tabs>
    </w:pPr>
    <w:rPr>
      <w:rFonts w:eastAsia="楷体_GB2312"/>
      <w:sz w:val="18"/>
    </w:rPr>
  </w:style>
  <w:style w:type="paragraph" w:styleId="757">
    <w:name w:val="Header"/>
    <w:basedOn w:val="732"/>
    <w:uiPriority w:val="0"/>
    <w:qFormat/>
    <w:pPr>
      <w:jc w:val="center"/>
      <w:tabs>
        <w:tab w:val="center" w:pos="4153" w:leader="none"/>
        <w:tab w:val="right" w:pos="8306" w:leader="none"/>
      </w:tabs>
      <w:pBdr>
        <w:bottom w:val="single" w:color="000000" w:sz="6" w:space="1"/>
      </w:pBdr>
    </w:pPr>
    <w:rPr>
      <w:sz w:val="18"/>
    </w:rPr>
  </w:style>
  <w:style w:type="paragraph" w:styleId="758">
    <w:name w:val="toc 1"/>
    <w:basedOn w:val="732"/>
    <w:next w:val="732"/>
    <w:uiPriority w:val="0"/>
    <w:qFormat/>
    <w:rPr>
      <w:sz w:val="24"/>
    </w:rPr>
  </w:style>
  <w:style w:type="paragraph" w:styleId="759">
    <w:name w:val="toc 4"/>
    <w:next w:val="732"/>
    <w:uiPriority w:val="39"/>
    <w:unhideWhenUsed/>
    <w:qFormat/>
    <w:pPr>
      <w:ind w:left="850"/>
      <w:spacing w:after="57"/>
    </w:pPr>
    <w:rPr>
      <w:rFonts w:ascii="Times New Roman" w:hAnsi="Times New Roman" w:eastAsia="宋体" w:cs="Times New Roman"/>
      <w:lang w:val="en-US" w:eastAsia="zh-CN" w:bidi="ar-SA"/>
    </w:rPr>
  </w:style>
  <w:style w:type="paragraph" w:styleId="760">
    <w:name w:val="Subtitle"/>
    <w:link w:val="802"/>
    <w:uiPriority w:val="11"/>
    <w:qFormat/>
    <w:pPr>
      <w:spacing w:before="200" w:after="200"/>
    </w:pPr>
    <w:rPr>
      <w:rFonts w:ascii="Times New Roman" w:hAnsi="Times New Roman" w:eastAsia="宋体" w:cs="Times New Roman"/>
      <w:sz w:val="24"/>
      <w:szCs w:val="24"/>
      <w:lang w:val="en-US" w:eastAsia="zh-CN" w:bidi="ar-SA"/>
    </w:rPr>
  </w:style>
  <w:style w:type="paragraph" w:styleId="761">
    <w:name w:val="footnote text"/>
    <w:link w:val="938"/>
    <w:uiPriority w:val="99"/>
    <w:unhideWhenUsed/>
    <w:qFormat/>
    <w:pPr>
      <w:spacing w:after="40"/>
    </w:pPr>
    <w:rPr>
      <w:rFonts w:ascii="Times New Roman" w:hAnsi="Times New Roman" w:eastAsia="宋体" w:cs="Times New Roman"/>
      <w:sz w:val="18"/>
      <w:lang w:val="en-US" w:eastAsia="zh-CN" w:bidi="ar-SA"/>
    </w:rPr>
  </w:style>
  <w:style w:type="paragraph" w:styleId="762">
    <w:name w:val="toc 6"/>
    <w:next w:val="732"/>
    <w:uiPriority w:val="39"/>
    <w:unhideWhenUsed/>
    <w:qFormat/>
    <w:pPr>
      <w:ind w:left="1417"/>
      <w:spacing w:after="57"/>
    </w:pPr>
    <w:rPr>
      <w:rFonts w:ascii="Times New Roman" w:hAnsi="Times New Roman" w:eastAsia="宋体" w:cs="Times New Roman"/>
      <w:lang w:val="en-US" w:eastAsia="zh-CN" w:bidi="ar-SA"/>
    </w:rPr>
  </w:style>
  <w:style w:type="paragraph" w:styleId="763">
    <w:name w:val="Body Text Indent 3"/>
    <w:basedOn w:val="732"/>
    <w:uiPriority w:val="0"/>
    <w:qFormat/>
    <w:pPr>
      <w:ind w:firstLine="617"/>
      <w:spacing w:line="360" w:lineRule="auto"/>
    </w:pPr>
    <w:rPr>
      <w:sz w:val="24"/>
      <w:szCs w:val="24"/>
    </w:rPr>
  </w:style>
  <w:style w:type="paragraph" w:styleId="764">
    <w:name w:val="index 7"/>
    <w:basedOn w:val="732"/>
    <w:next w:val="732"/>
    <w:uiPriority w:val="0"/>
    <w:semiHidden/>
    <w:qFormat/>
    <w:pPr>
      <w:ind w:left="2520"/>
    </w:pPr>
    <w:rPr>
      <w:sz w:val="28"/>
    </w:rPr>
  </w:style>
  <w:style w:type="paragraph" w:styleId="765">
    <w:name w:val="toc 2"/>
    <w:next w:val="732"/>
    <w:uiPriority w:val="39"/>
    <w:unhideWhenUsed/>
    <w:qFormat/>
    <w:pPr>
      <w:ind w:left="283"/>
      <w:spacing w:after="57"/>
    </w:pPr>
    <w:rPr>
      <w:rFonts w:ascii="Times New Roman" w:hAnsi="Times New Roman" w:eastAsia="宋体" w:cs="Times New Roman"/>
      <w:lang w:val="en-US" w:eastAsia="zh-CN" w:bidi="ar-SA"/>
    </w:rPr>
  </w:style>
  <w:style w:type="paragraph" w:styleId="766">
    <w:name w:val="toc 9"/>
    <w:next w:val="732"/>
    <w:uiPriority w:val="39"/>
    <w:unhideWhenUsed/>
    <w:qFormat/>
    <w:pPr>
      <w:ind w:left="2268"/>
      <w:spacing w:after="57"/>
    </w:pPr>
    <w:rPr>
      <w:rFonts w:ascii="Times New Roman" w:hAnsi="Times New Roman" w:eastAsia="宋体" w:cs="Times New Roman"/>
      <w:lang w:val="en-US" w:eastAsia="zh-CN" w:bidi="ar-SA"/>
    </w:rPr>
  </w:style>
  <w:style w:type="paragraph" w:styleId="767">
    <w:name w:val="HTML Preformatted"/>
    <w:basedOn w:val="73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768">
    <w:name w:val="Normal (Web)"/>
    <w:basedOn w:val="732"/>
    <w:uiPriority w:val="0"/>
    <w:qFormat/>
    <w:pPr>
      <w:spacing w:before="100" w:beforeAutospacing="1" w:after="100" w:afterAutospacing="1"/>
    </w:pPr>
    <w:rPr>
      <w:rFonts w:ascii="宋体" w:hAnsi="宋体"/>
      <w:sz w:val="24"/>
      <w:szCs w:val="24"/>
    </w:rPr>
  </w:style>
  <w:style w:type="paragraph" w:styleId="769">
    <w:name w:val="index 1"/>
    <w:basedOn w:val="732"/>
    <w:next w:val="732"/>
    <w:uiPriority w:val="0"/>
    <w:qFormat/>
  </w:style>
  <w:style w:type="paragraph" w:styleId="770">
    <w:name w:val="Title"/>
    <w:link w:val="801"/>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1">
    <w:name w:val="annotation subject"/>
    <w:basedOn w:val="744"/>
    <w:next w:val="744"/>
    <w:uiPriority w:val="0"/>
    <w:semiHidden/>
    <w:qFormat/>
    <w:rPr>
      <w:b/>
      <w:bCs/>
    </w:rPr>
  </w:style>
  <w:style w:type="paragraph" w:styleId="772">
    <w:name w:val="Body Text First Indent 2"/>
    <w:basedOn w:val="746"/>
    <w:next w:val="732"/>
    <w:uiPriority w:val="99"/>
    <w:unhideWhenUsed/>
    <w:qFormat/>
    <w:pPr>
      <w:ind w:firstLine="420"/>
    </w:pPr>
  </w:style>
  <w:style w:type="table" w:styleId="773">
    <w:name w:val="Table Grid"/>
    <w:basedOn w:val="74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uiPriority w:val="99"/>
    <w:unhideWhenUsed/>
    <w:qFormat/>
    <w:rPr>
      <w:vertAlign w:val="superscript"/>
    </w:rPr>
  </w:style>
  <w:style w:type="character" w:styleId="775">
    <w:name w:val="page number"/>
    <w:basedOn w:val="739"/>
    <w:uiPriority w:val="0"/>
    <w:qFormat/>
  </w:style>
  <w:style w:type="character" w:styleId="776">
    <w:name w:val="Hyperlink"/>
    <w:uiPriority w:val="0"/>
    <w:qFormat/>
    <w:rPr>
      <w:color w:val="0000ff"/>
      <w:u w:val="single"/>
    </w:rPr>
  </w:style>
  <w:style w:type="character" w:styleId="777">
    <w:name w:val="annotation reference"/>
    <w:uiPriority w:val="99"/>
    <w:qFormat/>
    <w:rPr>
      <w:sz w:val="21"/>
      <w:szCs w:val="21"/>
    </w:rPr>
  </w:style>
  <w:style w:type="character" w:styleId="778">
    <w:name w:val="footnote reference"/>
    <w:uiPriority w:val="99"/>
    <w:unhideWhenUsed/>
    <w:qFormat/>
    <w:rPr>
      <w:vertAlign w:val="superscript"/>
    </w:rPr>
  </w:style>
  <w:style w:type="paragraph" w:styleId="779" w:customStyle="1">
    <w:name w:val="正文1"/>
    <w:next w:val="732"/>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80" w:customStyle="1">
    <w:name w:val="首行缩进"/>
    <w:basedOn w:val="732"/>
    <w:uiPriority w:val="0"/>
    <w:qFormat/>
    <w:pPr>
      <w:ind w:firstLine="480"/>
    </w:pPr>
    <w:rPr>
      <w:lang w:val="zh-CN"/>
    </w:rPr>
  </w:style>
  <w:style w:type="paragraph" w:styleId="781" w:customStyle="1">
    <w:name w:val="标题 11"/>
    <w:link w:val="782"/>
    <w:uiPriority w:val="9"/>
    <w:qFormat/>
    <w:pPr>
      <w:keepLines/>
      <w:keepNext/>
      <w:spacing w:before="480" w:after="200"/>
      <w:outlineLvl w:val="0"/>
    </w:pPr>
    <w:rPr>
      <w:rFonts w:ascii="Arial" w:hAnsi="Arial" w:eastAsia="Arial" w:cs="Times New Roman"/>
      <w:sz w:val="40"/>
      <w:szCs w:val="40"/>
      <w:lang w:val="en-US" w:eastAsia="zh-CN" w:bidi="ar-SA"/>
    </w:rPr>
  </w:style>
  <w:style w:type="character" w:styleId="782" w:customStyle="1">
    <w:name w:val="Heading 1 Char"/>
    <w:link w:val="781"/>
    <w:uiPriority w:val="9"/>
    <w:qFormat/>
    <w:rPr>
      <w:rFonts w:ascii="Arial" w:hAnsi="Arial" w:eastAsia="Arial"/>
      <w:sz w:val="40"/>
      <w:szCs w:val="40"/>
      <w:lang w:bidi="ar-SA"/>
    </w:rPr>
  </w:style>
  <w:style w:type="paragraph" w:styleId="783" w:customStyle="1">
    <w:name w:val="标题 21"/>
    <w:link w:val="784"/>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784" w:customStyle="1">
    <w:name w:val="Heading 2 Char"/>
    <w:link w:val="783"/>
    <w:uiPriority w:val="9"/>
    <w:qFormat/>
    <w:rPr>
      <w:rFonts w:ascii="Arial" w:hAnsi="Arial" w:eastAsia="Arial"/>
      <w:sz w:val="34"/>
      <w:lang w:bidi="ar-SA"/>
    </w:rPr>
  </w:style>
  <w:style w:type="paragraph" w:styleId="785" w:customStyle="1">
    <w:name w:val="标题 31"/>
    <w:link w:val="786"/>
    <w:uiPriority w:val="9"/>
    <w:unhideWhenUsed/>
    <w:qFormat/>
    <w:pPr>
      <w:keepLines/>
      <w:keepNext/>
      <w:spacing w:before="320" w:after="200"/>
      <w:outlineLvl w:val="2"/>
    </w:pPr>
    <w:rPr>
      <w:rFonts w:ascii="Arial" w:hAnsi="Arial" w:eastAsia="Arial" w:cs="Times New Roman"/>
      <w:sz w:val="30"/>
      <w:szCs w:val="30"/>
      <w:lang w:val="en-US" w:eastAsia="zh-CN" w:bidi="ar-SA"/>
    </w:rPr>
  </w:style>
  <w:style w:type="character" w:styleId="786" w:customStyle="1">
    <w:name w:val="Heading 3 Char"/>
    <w:link w:val="785"/>
    <w:uiPriority w:val="9"/>
    <w:qFormat/>
    <w:rPr>
      <w:rFonts w:ascii="Arial" w:hAnsi="Arial" w:eastAsia="Arial"/>
      <w:sz w:val="30"/>
      <w:szCs w:val="30"/>
      <w:lang w:bidi="ar-SA"/>
    </w:rPr>
  </w:style>
  <w:style w:type="paragraph" w:styleId="787" w:customStyle="1">
    <w:name w:val="标题 41"/>
    <w:link w:val="788"/>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character" w:styleId="788" w:customStyle="1">
    <w:name w:val="Heading 4 Char"/>
    <w:link w:val="787"/>
    <w:uiPriority w:val="9"/>
    <w:qFormat/>
    <w:rPr>
      <w:rFonts w:ascii="Arial" w:hAnsi="Arial" w:eastAsia="Arial"/>
      <w:b/>
      <w:bCs/>
      <w:sz w:val="26"/>
      <w:szCs w:val="26"/>
      <w:lang w:bidi="ar-SA"/>
    </w:rPr>
  </w:style>
  <w:style w:type="paragraph" w:styleId="789" w:customStyle="1">
    <w:name w:val="标题 51"/>
    <w:link w:val="790"/>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character" w:styleId="790" w:customStyle="1">
    <w:name w:val="Heading 5 Char"/>
    <w:link w:val="789"/>
    <w:uiPriority w:val="9"/>
    <w:qFormat/>
    <w:rPr>
      <w:rFonts w:ascii="Arial" w:hAnsi="Arial" w:eastAsia="Arial"/>
      <w:b/>
      <w:bCs/>
      <w:sz w:val="24"/>
      <w:szCs w:val="24"/>
      <w:lang w:bidi="ar-SA"/>
    </w:rPr>
  </w:style>
  <w:style w:type="paragraph" w:styleId="791" w:customStyle="1">
    <w:name w:val="标题 61"/>
    <w:link w:val="792"/>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character" w:styleId="792" w:customStyle="1">
    <w:name w:val="Heading 6 Char"/>
    <w:link w:val="791"/>
    <w:uiPriority w:val="9"/>
    <w:qFormat/>
    <w:rPr>
      <w:rFonts w:ascii="Arial" w:hAnsi="Arial" w:eastAsia="Arial"/>
      <w:b/>
      <w:bCs/>
      <w:sz w:val="22"/>
      <w:szCs w:val="22"/>
      <w:lang w:bidi="ar-SA"/>
    </w:rPr>
  </w:style>
  <w:style w:type="paragraph" w:styleId="793" w:customStyle="1">
    <w:name w:val="标题 71"/>
    <w:link w:val="794"/>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794" w:customStyle="1">
    <w:name w:val="Heading 7 Char"/>
    <w:link w:val="793"/>
    <w:uiPriority w:val="9"/>
    <w:qFormat/>
    <w:rPr>
      <w:rFonts w:ascii="Arial" w:hAnsi="Arial" w:eastAsia="Arial"/>
      <w:b/>
      <w:bCs/>
      <w:i/>
      <w:iCs/>
      <w:sz w:val="22"/>
      <w:szCs w:val="22"/>
      <w:lang w:bidi="ar-SA"/>
    </w:rPr>
  </w:style>
  <w:style w:type="paragraph" w:styleId="795" w:customStyle="1">
    <w:name w:val="标题 81"/>
    <w:link w:val="796"/>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character" w:styleId="796" w:customStyle="1">
    <w:name w:val="Heading 8 Char"/>
    <w:link w:val="795"/>
    <w:uiPriority w:val="9"/>
    <w:qFormat/>
    <w:rPr>
      <w:rFonts w:ascii="Arial" w:hAnsi="Arial" w:eastAsia="Arial"/>
      <w:i/>
      <w:iCs/>
      <w:sz w:val="22"/>
      <w:szCs w:val="22"/>
      <w:lang w:bidi="ar-SA"/>
    </w:rPr>
  </w:style>
  <w:style w:type="paragraph" w:styleId="797" w:customStyle="1">
    <w:name w:val="标题 91"/>
    <w:link w:val="798"/>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798" w:customStyle="1">
    <w:name w:val="Heading 9 Char"/>
    <w:link w:val="797"/>
    <w:uiPriority w:val="9"/>
    <w:qFormat/>
    <w:rPr>
      <w:rFonts w:ascii="Arial" w:hAnsi="Arial" w:eastAsia="Arial"/>
      <w:i/>
      <w:iCs/>
      <w:sz w:val="21"/>
      <w:szCs w:val="21"/>
      <w:lang w:bidi="ar-SA"/>
    </w:rPr>
  </w:style>
  <w:style w:type="paragraph" w:styleId="799" w:customStyle="1">
    <w:name w:val="列表段落1"/>
    <w:basedOn w:val="732"/>
    <w:uiPriority w:val="0"/>
    <w:qFormat/>
    <w:pPr>
      <w:ind w:firstLine="420"/>
    </w:pPr>
  </w:style>
  <w:style w:type="paragraph" w:styleId="800" w:customStyle="1">
    <w:name w:val="无间隔1"/>
    <w:uiPriority w:val="1"/>
    <w:qFormat/>
    <w:rPr>
      <w:rFonts w:ascii="Times New Roman" w:hAnsi="Times New Roman" w:eastAsia="宋体" w:cs="Times New Roman"/>
      <w:lang w:val="en-US" w:eastAsia="zh-CN" w:bidi="ar-SA"/>
    </w:rPr>
  </w:style>
  <w:style w:type="character" w:styleId="801" w:customStyle="1">
    <w:name w:val="标题 字符"/>
    <w:link w:val="770"/>
    <w:uiPriority w:val="10"/>
    <w:qFormat/>
    <w:rPr>
      <w:sz w:val="48"/>
      <w:szCs w:val="48"/>
      <w:lang w:bidi="ar-SA"/>
    </w:rPr>
  </w:style>
  <w:style w:type="character" w:styleId="802" w:customStyle="1">
    <w:name w:val="副标题 字符"/>
    <w:link w:val="760"/>
    <w:uiPriority w:val="11"/>
    <w:qFormat/>
    <w:rPr>
      <w:sz w:val="24"/>
      <w:szCs w:val="24"/>
      <w:lang w:bidi="ar-SA"/>
    </w:rPr>
  </w:style>
  <w:style w:type="paragraph" w:styleId="803" w:customStyle="1">
    <w:name w:val="引用1"/>
    <w:link w:val="804"/>
    <w:uiPriority w:val="29"/>
    <w:qFormat/>
    <w:pPr>
      <w:ind w:left="720" w:right="720"/>
    </w:pPr>
    <w:rPr>
      <w:rFonts w:ascii="Times New Roman" w:hAnsi="Times New Roman" w:eastAsia="宋体" w:cs="Times New Roman"/>
      <w:i/>
      <w:lang w:val="en-US" w:eastAsia="zh-CN" w:bidi="ar-SA"/>
    </w:rPr>
  </w:style>
  <w:style w:type="character" w:styleId="804" w:customStyle="1">
    <w:name w:val="引用 Char"/>
    <w:link w:val="803"/>
    <w:uiPriority w:val="29"/>
    <w:qFormat/>
    <w:rPr>
      <w:i/>
      <w:lang w:val="en-US" w:eastAsia="zh-CN" w:bidi="ar-SA"/>
    </w:rPr>
  </w:style>
  <w:style w:type="paragraph" w:styleId="805" w:customStyle="1">
    <w:name w:val="明显引用1"/>
    <w:link w:val="806"/>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06" w:customStyle="1">
    <w:name w:val="明显引用 Char"/>
    <w:link w:val="805"/>
    <w:uiPriority w:val="30"/>
    <w:qFormat/>
    <w:rPr>
      <w:i/>
      <w:shd w:val="clear" w:color="f2f2f2" w:fill="f2f2f2"/>
      <w:lang w:val="en-US" w:eastAsia="zh-CN" w:bidi="ar-SA"/>
    </w:rPr>
  </w:style>
  <w:style w:type="paragraph" w:styleId="807" w:customStyle="1">
    <w:name w:val="页眉1"/>
    <w:link w:val="808"/>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08" w:customStyle="1">
    <w:name w:val="Header Char"/>
    <w:link w:val="807"/>
    <w:uiPriority w:val="99"/>
    <w:qFormat/>
    <w:rPr>
      <w:lang w:val="en-US" w:eastAsia="zh-CN" w:bidi="ar-SA"/>
    </w:rPr>
  </w:style>
  <w:style w:type="paragraph" w:styleId="809" w:customStyle="1">
    <w:name w:val="页脚1"/>
    <w:link w:val="81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10" w:customStyle="1">
    <w:name w:val="Footer Char"/>
    <w:uiPriority w:val="99"/>
    <w:qFormat/>
  </w:style>
  <w:style w:type="paragraph" w:styleId="811" w:customStyle="1">
    <w:name w:val="题注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character" w:styleId="812" w:customStyle="1">
    <w:name w:val="Caption Char"/>
    <w:link w:val="809"/>
    <w:uiPriority w:val="99"/>
    <w:qFormat/>
    <w:rPr>
      <w:lang w:val="en-US" w:eastAsia="zh-CN" w:bidi="ar-SA"/>
    </w:rPr>
  </w:style>
  <w:style w:type="table" w:styleId="8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6" w:customStyle="1">
    <w:name w:val="无格式表格 31"/>
    <w:uiPriority w:val="99"/>
    <w:qFormat/>
    <w:tblPr>
      <w:tblCellMar>
        <w:left w:w="0" w:type="dxa"/>
        <w:top w:w="0" w:type="dxa"/>
        <w:right w:w="0" w:type="dxa"/>
        <w:bottom w:w="0" w:type="dxa"/>
      </w:tblCellMar>
    </w:tblPr>
  </w:style>
  <w:style w:type="table" w:styleId="817" w:customStyle="1">
    <w:name w:val="无格式表格 41"/>
    <w:uiPriority w:val="99"/>
    <w:qFormat/>
    <w:tblPr>
      <w:tblCellMar>
        <w:left w:w="0" w:type="dxa"/>
        <w:top w:w="0" w:type="dxa"/>
        <w:right w:w="0" w:type="dxa"/>
        <w:bottom w:w="0" w:type="dxa"/>
      </w:tblCellMar>
    </w:tblPr>
  </w:style>
  <w:style w:type="table" w:styleId="818" w:customStyle="1">
    <w:name w:val="无格式表格 51"/>
    <w:uiPriority w:val="99"/>
    <w:qFormat/>
    <w:tblPr>
      <w:tblCellMar>
        <w:left w:w="0" w:type="dxa"/>
        <w:top w:w="0" w:type="dxa"/>
        <w:right w:w="0" w:type="dxa"/>
        <w:bottom w:w="0" w:type="dxa"/>
      </w:tblCellMar>
    </w:tblPr>
  </w:style>
  <w:style w:type="table" w:styleId="8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清单表 1 浅色1"/>
    <w:uiPriority w:val="99"/>
    <w:qFormat/>
    <w:tblPr>
      <w:tblCellMar>
        <w:left w:w="0" w:type="dxa"/>
        <w:top w:w="0" w:type="dxa"/>
        <w:right w:w="0" w:type="dxa"/>
        <w:bottom w:w="0" w:type="dxa"/>
      </w:tblCellMar>
    </w:tblPr>
  </w:style>
  <w:style w:type="table" w:styleId="869" w:customStyle="1">
    <w:name w:val="List Table 1 Light - Accent 1"/>
    <w:uiPriority w:val="99"/>
    <w:qFormat/>
    <w:tblPr>
      <w:tblCellMar>
        <w:left w:w="0" w:type="dxa"/>
        <w:top w:w="0" w:type="dxa"/>
        <w:right w:w="0" w:type="dxa"/>
        <w:bottom w:w="0" w:type="dxa"/>
      </w:tblCellMar>
    </w:tblPr>
  </w:style>
  <w:style w:type="table" w:styleId="870" w:customStyle="1">
    <w:name w:val="List Table 1 Light - Accent 2"/>
    <w:uiPriority w:val="99"/>
    <w:qFormat/>
    <w:tblPr>
      <w:tblCellMar>
        <w:left w:w="0" w:type="dxa"/>
        <w:top w:w="0" w:type="dxa"/>
        <w:right w:w="0" w:type="dxa"/>
        <w:bottom w:w="0" w:type="dxa"/>
      </w:tblCellMar>
    </w:tblPr>
  </w:style>
  <w:style w:type="table" w:styleId="871" w:customStyle="1">
    <w:name w:val="List Table 1 Light - Accent 3"/>
    <w:uiPriority w:val="99"/>
    <w:qFormat/>
    <w:tblPr>
      <w:tblCellMar>
        <w:left w:w="0" w:type="dxa"/>
        <w:top w:w="0" w:type="dxa"/>
        <w:right w:w="0" w:type="dxa"/>
        <w:bottom w:w="0" w:type="dxa"/>
      </w:tblCellMar>
    </w:tblPr>
  </w:style>
  <w:style w:type="table" w:styleId="872" w:customStyle="1">
    <w:name w:val="List Table 1 Light - Accent 4"/>
    <w:uiPriority w:val="99"/>
    <w:qFormat/>
    <w:tblPr>
      <w:tblCellMar>
        <w:left w:w="0" w:type="dxa"/>
        <w:top w:w="0" w:type="dxa"/>
        <w:right w:w="0" w:type="dxa"/>
        <w:bottom w:w="0" w:type="dxa"/>
      </w:tblCellMar>
    </w:tblPr>
  </w:style>
  <w:style w:type="table" w:styleId="873" w:customStyle="1">
    <w:name w:val="List Table 1 Light - Accent 5"/>
    <w:uiPriority w:val="99"/>
    <w:qFormat/>
    <w:tblPr>
      <w:tblCellMar>
        <w:left w:w="0" w:type="dxa"/>
        <w:top w:w="0" w:type="dxa"/>
        <w:right w:w="0" w:type="dxa"/>
        <w:bottom w:w="0" w:type="dxa"/>
      </w:tblCellMar>
    </w:tblPr>
  </w:style>
  <w:style w:type="table" w:styleId="874" w:customStyle="1">
    <w:name w:val="List Table 1 Light - Accent 6"/>
    <w:uiPriority w:val="99"/>
    <w:qFormat/>
    <w:tblPr>
      <w:tblCellMar>
        <w:left w:w="0" w:type="dxa"/>
        <w:top w:w="0" w:type="dxa"/>
        <w:right w:w="0" w:type="dxa"/>
        <w:bottom w:w="0" w:type="dxa"/>
      </w:tblCellMar>
    </w:tblPr>
  </w:style>
  <w:style w:type="table" w:styleId="8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7" w:customStyle="1">
    <w:name w:val="Lined - Accent"/>
    <w:uiPriority w:val="99"/>
    <w:qFormat/>
    <w:rPr>
      <w:color w:val="404040"/>
    </w:rPr>
    <w:tblPr>
      <w:tblCellMar>
        <w:left w:w="0" w:type="dxa"/>
        <w:top w:w="0" w:type="dxa"/>
        <w:right w:w="0" w:type="dxa"/>
        <w:bottom w:w="0" w:type="dxa"/>
      </w:tblCellMar>
    </w:tblPr>
  </w:style>
  <w:style w:type="table" w:styleId="918" w:customStyle="1">
    <w:name w:val="Lined - Accent 1"/>
    <w:uiPriority w:val="99"/>
    <w:qFormat/>
    <w:rPr>
      <w:color w:val="404040"/>
    </w:rPr>
    <w:tblPr>
      <w:tblCellMar>
        <w:left w:w="0" w:type="dxa"/>
        <w:top w:w="0" w:type="dxa"/>
        <w:right w:w="0" w:type="dxa"/>
        <w:bottom w:w="0" w:type="dxa"/>
      </w:tblCellMar>
    </w:tblPr>
  </w:style>
  <w:style w:type="table" w:styleId="919" w:customStyle="1">
    <w:name w:val="Lined - Accent 2"/>
    <w:uiPriority w:val="99"/>
    <w:qFormat/>
    <w:rPr>
      <w:color w:val="404040"/>
    </w:rPr>
    <w:tblPr>
      <w:tblCellMar>
        <w:left w:w="0" w:type="dxa"/>
        <w:top w:w="0" w:type="dxa"/>
        <w:right w:w="0" w:type="dxa"/>
        <w:bottom w:w="0" w:type="dxa"/>
      </w:tblCellMar>
    </w:tblPr>
  </w:style>
  <w:style w:type="table" w:styleId="920" w:customStyle="1">
    <w:name w:val="Lined - Accent 3"/>
    <w:uiPriority w:val="99"/>
    <w:qFormat/>
    <w:rPr>
      <w:color w:val="404040"/>
    </w:rPr>
    <w:tblPr>
      <w:tblCellMar>
        <w:left w:w="0" w:type="dxa"/>
        <w:top w:w="0" w:type="dxa"/>
        <w:right w:w="0" w:type="dxa"/>
        <w:bottom w:w="0" w:type="dxa"/>
      </w:tblCellMar>
    </w:tblPr>
  </w:style>
  <w:style w:type="table" w:styleId="921" w:customStyle="1">
    <w:name w:val="Lined - Accent 4"/>
    <w:uiPriority w:val="99"/>
    <w:qFormat/>
    <w:rPr>
      <w:color w:val="404040"/>
    </w:rPr>
    <w:tblPr>
      <w:tblCellMar>
        <w:left w:w="0" w:type="dxa"/>
        <w:top w:w="0" w:type="dxa"/>
        <w:right w:w="0" w:type="dxa"/>
        <w:bottom w:w="0" w:type="dxa"/>
      </w:tblCellMar>
    </w:tblPr>
  </w:style>
  <w:style w:type="table" w:styleId="922" w:customStyle="1">
    <w:name w:val="Lined - Accent 5"/>
    <w:uiPriority w:val="99"/>
    <w:qFormat/>
    <w:rPr>
      <w:color w:val="404040"/>
    </w:rPr>
    <w:tblPr>
      <w:tblCellMar>
        <w:left w:w="0" w:type="dxa"/>
        <w:top w:w="0" w:type="dxa"/>
        <w:right w:w="0" w:type="dxa"/>
        <w:bottom w:w="0" w:type="dxa"/>
      </w:tblCellMar>
    </w:tblPr>
  </w:style>
  <w:style w:type="table" w:styleId="923" w:customStyle="1">
    <w:name w:val="Lined - Accent 6"/>
    <w:uiPriority w:val="99"/>
    <w:qFormat/>
    <w:rPr>
      <w:color w:val="404040"/>
    </w:rPr>
    <w:tblPr>
      <w:tblCellMar>
        <w:left w:w="0" w:type="dxa"/>
        <w:top w:w="0" w:type="dxa"/>
        <w:right w:w="0" w:type="dxa"/>
        <w:bottom w:w="0" w:type="dxa"/>
      </w:tblCellMar>
    </w:tblPr>
  </w:style>
  <w:style w:type="table" w:styleId="9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8" w:customStyle="1">
    <w:name w:val="脚注文本 字符"/>
    <w:link w:val="761"/>
    <w:uiPriority w:val="99"/>
    <w:semiHidden/>
    <w:qFormat/>
    <w:rPr>
      <w:sz w:val="18"/>
      <w:lang w:bidi="ar-SA"/>
    </w:rPr>
  </w:style>
  <w:style w:type="character" w:styleId="939" w:customStyle="1">
    <w:name w:val="尾注文本 字符"/>
    <w:link w:val="754"/>
    <w:uiPriority w:val="99"/>
    <w:semiHidden/>
    <w:qFormat/>
    <w:rPr>
      <w:lang w:val="en-US" w:eastAsia="zh-CN" w:bidi="ar-SA"/>
    </w:rPr>
  </w:style>
  <w:style w:type="paragraph" w:styleId="940" w:customStyle="1">
    <w:name w:val="TOC 标题1"/>
    <w:basedOn w:val="733"/>
    <w:next w:val="732"/>
    <w:uiPriority w:val="0"/>
    <w:qFormat/>
    <w:pPr>
      <w:spacing w:before="480" w:after="0" w:line="276" w:lineRule="auto"/>
      <w:outlineLvl w:val="9"/>
    </w:pPr>
    <w:rPr>
      <w:rFonts w:ascii="Cambria" w:hAnsi="Cambria"/>
      <w:bCs/>
      <w:color w:val="365f91"/>
      <w:sz w:val="28"/>
      <w:szCs w:val="28"/>
    </w:rPr>
  </w:style>
  <w:style w:type="character" w:styleId="941" w:customStyle="1">
    <w:name w:val="Plain Text Char Char"/>
    <w:uiPriority w:val="0"/>
    <w:qFormat/>
    <w:rPr>
      <w:rFonts w:ascii="宋体" w:hAnsi="Courier New" w:eastAsia="楷体_GB2312"/>
      <w:sz w:val="26"/>
      <w:lang w:val="en-US" w:eastAsia="zh-CN" w:bidi="ar-SA"/>
    </w:rPr>
  </w:style>
  <w:style w:type="character" w:styleId="942" w:customStyle="1">
    <w:name w:val="s2"/>
    <w:basedOn w:val="739"/>
    <w:uiPriority w:val="0"/>
    <w:qFormat/>
  </w:style>
  <w:style w:type="character" w:styleId="943" w:customStyle="1">
    <w:name w:val="纯文本 字符"/>
    <w:link w:val="750"/>
    <w:uiPriority w:val="0"/>
    <w:qFormat/>
    <w:rPr>
      <w:rFonts w:ascii="宋体" w:hAnsi="Courier New" w:eastAsia="楷体_GB2312"/>
      <w:sz w:val="26"/>
      <w:lang w:val="en-US" w:eastAsia="zh-CN" w:bidi="ar-SA"/>
    </w:rPr>
  </w:style>
  <w:style w:type="character" w:styleId="944" w:customStyle="1">
    <w:name w:val="正文缩进 Char"/>
    <w:link w:val="945"/>
    <w:uiPriority w:val="0"/>
    <w:qFormat/>
    <w:rPr>
      <w:rFonts w:eastAsia="楷体_GB2312"/>
      <w:sz w:val="24"/>
      <w:lang w:val="en-US" w:eastAsia="zh-CN" w:bidi="ar-SA"/>
    </w:rPr>
  </w:style>
  <w:style w:type="paragraph" w:styleId="945" w:customStyle="1">
    <w:name w:val="正文缩进1"/>
    <w:basedOn w:val="732"/>
    <w:link w:val="944"/>
    <w:uiPriority w:val="0"/>
    <w:qFormat/>
    <w:pPr>
      <w:ind w:firstLine="420"/>
    </w:pPr>
    <w:rPr>
      <w:rFonts w:eastAsia="楷体_GB2312"/>
      <w:sz w:val="24"/>
    </w:rPr>
  </w:style>
  <w:style w:type="character" w:styleId="946" w:customStyle="1">
    <w:name w:val="页脚 字符"/>
    <w:link w:val="756"/>
    <w:uiPriority w:val="0"/>
    <w:qFormat/>
    <w:rPr>
      <w:rFonts w:eastAsia="楷体_GB2312"/>
      <w:sz w:val="18"/>
    </w:rPr>
  </w:style>
  <w:style w:type="character" w:styleId="947" w:customStyle="1">
    <w:name w:val="正文文本缩进 字符"/>
    <w:link w:val="746"/>
    <w:uiPriority w:val="0"/>
    <w:qFormat/>
    <w:rPr>
      <w:rFonts w:ascii="方正仿宋简体" w:hAnsi="创艺简仿宋" w:eastAsia="方正仿宋简体"/>
      <w:sz w:val="24"/>
    </w:rPr>
  </w:style>
  <w:style w:type="character" w:styleId="948" w:customStyle="1">
    <w:name w:val="日期 字符"/>
    <w:link w:val="752"/>
    <w:uiPriority w:val="0"/>
    <w:qFormat/>
    <w:rPr>
      <w:rFonts w:ascii="宋体" w:hAnsi="宋体" w:eastAsia="楷体_GB2312"/>
      <w:sz w:val="24"/>
    </w:rPr>
  </w:style>
  <w:style w:type="character" w:styleId="949" w:customStyle="1">
    <w:name w:val="普通文字 Char Char"/>
    <w:uiPriority w:val="0"/>
    <w:qFormat/>
    <w:rPr>
      <w:rFonts w:ascii="宋体" w:hAnsi="Courier New" w:eastAsia="楷体_GB2312"/>
      <w:sz w:val="26"/>
      <w:lang w:val="en-US" w:eastAsia="zh-CN" w:bidi="ar-SA"/>
    </w:rPr>
  </w:style>
  <w:style w:type="character" w:styleId="950" w:customStyle="1">
    <w:name w:val="批注文字 字符"/>
    <w:link w:val="744"/>
    <w:uiPriority w:val="0"/>
    <w:semiHidden/>
    <w:qFormat/>
    <w:rPr>
      <w:rFonts w:eastAsia="楷体_GB2312"/>
      <w:sz w:val="26"/>
    </w:rPr>
  </w:style>
  <w:style w:type="paragraph" w:styleId="951" w:customStyle="1">
    <w:name w:val="样式2"/>
    <w:basedOn w:val="758"/>
    <w:uiPriority w:val="0"/>
    <w:qFormat/>
    <w:pPr>
      <w:jc w:val="both"/>
      <w:tabs>
        <w:tab w:val="right" w:pos="9026" w:leader="dot"/>
      </w:tabs>
    </w:pPr>
    <w:rPr>
      <w:rFonts w:ascii="宋体" w:hAnsi="宋体"/>
      <w:b/>
      <w:bCs/>
      <w:sz w:val="30"/>
    </w:rPr>
  </w:style>
  <w:style w:type="paragraph" w:styleId="952" w:customStyle="1">
    <w:name w:val="p2"/>
    <w:basedOn w:val="732"/>
    <w:uiPriority w:val="0"/>
    <w:qFormat/>
    <w:pPr>
      <w:spacing w:before="100" w:beforeAutospacing="1" w:after="100" w:afterAutospacing="1"/>
    </w:pPr>
    <w:rPr>
      <w:rFonts w:ascii="宋体" w:hAnsi="宋体"/>
      <w:sz w:val="24"/>
      <w:szCs w:val="24"/>
    </w:rPr>
  </w:style>
  <w:style w:type="paragraph" w:styleId="953" w:customStyle="1">
    <w:name w:val="Plain Text1"/>
    <w:basedOn w:val="732"/>
    <w:uiPriority w:val="0"/>
    <w:qFormat/>
    <w:rPr>
      <w:rFonts w:ascii="宋体" w:hAnsi="Courier New"/>
      <w:sz w:val="28"/>
    </w:rPr>
  </w:style>
  <w:style w:type="paragraph" w:styleId="954" w:customStyle="1">
    <w:name w:val="_Style 12"/>
    <w:basedOn w:val="743"/>
    <w:uiPriority w:val="0"/>
    <w:qFormat/>
    <w:pPr>
      <w:spacing w:line="360" w:lineRule="auto"/>
    </w:pPr>
    <w:rPr>
      <w:sz w:val="21"/>
      <w:szCs w:val="24"/>
    </w:rPr>
  </w:style>
  <w:style w:type="paragraph" w:styleId="955" w:customStyle="1">
    <w:name w:val="Char1"/>
    <w:basedOn w:val="732"/>
    <w:uiPriority w:val="0"/>
    <w:qFormat/>
    <w:rPr>
      <w:rFonts w:ascii="Tahoma" w:hAnsi="Tahoma"/>
      <w:sz w:val="24"/>
    </w:rPr>
  </w:style>
  <w:style w:type="paragraph" w:styleId="956" w:customStyle="1">
    <w:name w:val="Char"/>
    <w:basedOn w:val="732"/>
    <w:uiPriority w:val="0"/>
    <w:qFormat/>
    <w:rPr>
      <w:sz w:val="21"/>
      <w:szCs w:val="24"/>
    </w:rPr>
  </w:style>
  <w:style w:type="paragraph" w:styleId="957" w:customStyle="1">
    <w:name w:val="纯文本1"/>
    <w:basedOn w:val="732"/>
    <w:uiPriority w:val="0"/>
    <w:qFormat/>
    <w:rPr>
      <w:rFonts w:ascii="宋体" w:hAnsi="Courier New"/>
      <w:sz w:val="24"/>
      <w:szCs w:val="24"/>
    </w:rPr>
  </w:style>
  <w:style w:type="paragraph" w:styleId="958" w:customStyle="1">
    <w:name w:val="正文 A"/>
    <w:uiPriority w:val="0"/>
    <w:qFormat/>
    <w:pPr>
      <w:jc w:val="both"/>
      <w:widowControl w:val="off"/>
      <w:framePr w:wrap="around" w:vAnchor="margin" w:hAnchor="text" w:y="1"/>
    </w:pPr>
    <w:rPr>
      <w:rFonts w:ascii="Times New Roman" w:hAnsi="Arial Unicode MS" w:eastAsia="Times New Roman" w:cs="Times New Roman"/>
      <w:color w:val="000000"/>
      <w:sz w:val="21"/>
      <w:szCs w:val="21"/>
      <w:lang w:val="en-US" w:eastAsia="zh-CN" w:bidi="ar-SA"/>
    </w:rPr>
  </w:style>
  <w:style w:type="paragraph" w:styleId="959" w:customStyle="1">
    <w:name w:val="font7"/>
    <w:basedOn w:val="732"/>
    <w:uiPriority w:val="0"/>
    <w:qFormat/>
    <w:pPr>
      <w:spacing w:before="100" w:beforeAutospacing="1" w:after="100" w:afterAutospacing="1"/>
    </w:pPr>
  </w:style>
  <w:style w:type="paragraph" w:styleId="960" w:customStyle="1">
    <w:name w:val="Char Char Char"/>
    <w:basedOn w:val="732"/>
    <w:uiPriority w:val="0"/>
    <w:qFormat/>
    <w:pPr>
      <w:numPr>
        <w:ilvl w:val="0"/>
        <w:numId w:val="1"/>
      </w:numPr>
      <w:tabs>
        <w:tab w:val="left" w:pos="840" w:leader="none"/>
      </w:tabs>
    </w:pPr>
  </w:style>
  <w:style w:type="paragraph" w:styleId="961" w:customStyle="1">
    <w:name w:val="Char2"/>
    <w:basedOn w:val="732"/>
    <w:uiPriority w:val="0"/>
    <w:qFormat/>
    <w:rPr>
      <w:rFonts w:ascii="Tahoma" w:hAnsi="Tahoma"/>
      <w:sz w:val="24"/>
    </w:rPr>
  </w:style>
  <w:style w:type="paragraph" w:styleId="962" w:customStyle="1">
    <w:name w:val="默认段落字体 Para Char Char Char Char Char Char Char"/>
    <w:basedOn w:val="732"/>
    <w:uiPriority w:val="0"/>
    <w:qFormat/>
    <w:rPr>
      <w:sz w:val="21"/>
      <w:szCs w:val="24"/>
    </w:rPr>
  </w:style>
  <w:style w:type="paragraph" w:styleId="963" w:customStyle="1">
    <w:name w:val="样式1"/>
    <w:basedOn w:val="758"/>
    <w:uiPriority w:val="0"/>
    <w:qFormat/>
    <w:pPr>
      <w:jc w:val="both"/>
      <w:tabs>
        <w:tab w:val="right" w:pos="9026" w:leader="dot"/>
      </w:tabs>
    </w:pPr>
    <w:rPr>
      <w:rFonts w:ascii="宋体" w:hAnsi="宋体"/>
      <w:b/>
      <w:bCs/>
      <w:sz w:val="30"/>
    </w:rPr>
  </w:style>
  <w:style w:type="paragraph" w:styleId="964" w:customStyle="1">
    <w:name w:val="hidinshow"/>
    <w:basedOn w:val="732"/>
    <w:uiPriority w:val="0"/>
    <w:qFormat/>
    <w:pPr>
      <w:spacing w:before="100" w:beforeAutospacing="1" w:after="100" w:afterAutospacing="1"/>
    </w:pPr>
    <w:rPr>
      <w:rFonts w:ascii="宋体" w:hAnsi="宋体"/>
      <w:sz w:val="24"/>
      <w:szCs w:val="24"/>
    </w:rPr>
  </w:style>
  <w:style w:type="character" w:styleId="965" w:customStyle="1">
    <w:name w:val="正文缩进 Char1"/>
    <w:uiPriority w:val="0"/>
    <w:qFormat/>
    <w:rPr>
      <w:rFonts w:ascii="Times New Roman" w:hAnsi="Times New Roman" w:eastAsia="楷体_GB2312"/>
      <w:sz w:val="24"/>
      <w:szCs w:val="20"/>
    </w:rPr>
  </w:style>
  <w:style w:type="paragraph" w:styleId="966" w:customStyle="1">
    <w:name w:val="修订1"/>
    <w:hidden/>
    <w:uiPriority w:val="99"/>
    <w:semiHidden/>
    <w:qFormat/>
    <w:rPr>
      <w:rFonts w:ascii="Times New Roman" w:hAnsi="Times New Roman" w:eastAsia="宋体" w:cs="Times New Roman"/>
      <w:lang w:val="en-US" w:eastAsia="zh-CN" w:bidi="ar-SA"/>
    </w:rPr>
  </w:style>
  <w:style w:type="table" w:styleId="967" w:customStyle="1">
    <w:name w:val="Table Normal"/>
    <w:uiPriority w:val="0"/>
    <w:unhideWhenUsed/>
    <w:qFormat/>
    <w:tblPr>
      <w:tblCellMar>
        <w:left w:w="0" w:type="dxa"/>
        <w:top w:w="0" w:type="dxa"/>
        <w:right w:w="0" w:type="dxa"/>
        <w:bottom w:w="0" w:type="dxa"/>
      </w:tblCellMar>
    </w:tblPr>
  </w:style>
  <w:style w:type="paragraph" w:styleId="968" w:customStyle="1">
    <w:name w:val="纯文本2"/>
    <w:basedOn w:val="732"/>
    <w:uiPriority w:val="0"/>
    <w:qFormat/>
    <w:rPr>
      <w:rFonts w:ascii="宋体" w:hAnsi="Courier New" w:eastAsia="楷体_GB2312"/>
      <w:sz w:val="28"/>
    </w:rPr>
  </w:style>
  <w:style w:type="paragraph" w:styleId="969" w:customStyle="1">
    <w:name w:val="纯文本21"/>
    <w:basedOn w:val="732"/>
    <w:uiPriority w:val="0"/>
    <w:qFormat/>
    <w:rPr>
      <w:rFonts w:ascii="宋体" w:hAnsi="Courier New"/>
      <w:sz w:val="28"/>
    </w:rPr>
  </w:style>
  <w:style w:type="paragraph" w:styleId="970" w:customStyle="1">
    <w:name w:val="纯文本3"/>
    <w:basedOn w:val="732"/>
    <w:uiPriority w:val="0"/>
    <w:qFormat/>
    <w:rPr>
      <w:rFonts w:ascii="宋体" w:hAnsi="Courier New"/>
      <w:sz w:val="28"/>
    </w:rPr>
  </w:style>
  <w:style w:type="character" w:styleId="971" w:customStyle="1">
    <w:name w:val="标题 1 字符"/>
    <w:link w:val="733"/>
    <w:uiPriority w:val="0"/>
    <w:qFormat/>
    <w:rPr>
      <w:b/>
      <w:sz w:val="44"/>
    </w:rPr>
  </w:style>
  <w:style w:type="paragraph" w:styleId="972" w:customStyle="1">
    <w:name w:val="Default"/>
    <w:next w:val="732"/>
    <w:uiPriority w:val="99"/>
    <w:unhideWhenUsed/>
    <w:qFormat/>
    <w:pPr>
      <w:widowControl w:val="off"/>
    </w:pPr>
    <w:rPr>
      <w:rFonts w:ascii="宋体" w:hAnsi="宋体" w:eastAsia="宋体" w:cs="Times New Roman"/>
      <w:color w:val="000000"/>
      <w:sz w:val="24"/>
      <w:szCs w:val="24"/>
      <w:lang w:val="en-US" w:eastAsia="zh-CN" w:bidi="ar-SA"/>
    </w:rPr>
  </w:style>
  <w:style w:type="paragraph" w:styleId="973" w:customStyle="1">
    <w:name w:val="段"/>
    <w:next w:val="732"/>
    <w:uiPriority w:val="0"/>
    <w:qFormat/>
    <w:pPr>
      <w:ind w:firstLine="200"/>
      <w:jc w:val="both"/>
    </w:pPr>
    <w:rPr>
      <w:rFonts w:ascii="宋体" w:hAnsi="Times New Roman" w:eastAsia="宋体" w:cs="Times New Roman"/>
      <w:sz w:val="21"/>
      <w:lang w:val="en-US" w:eastAsia="zh-CN" w:bidi="ar-SA"/>
    </w:rPr>
  </w:style>
  <w:style w:type="paragraph" w:styleId="974" w:customStyle="1">
    <w:name w:val="_正文段落"/>
    <w:basedOn w:val="732"/>
    <w:uiPriority w:val="0"/>
    <w:qFormat/>
    <w:pPr>
      <w:ind w:firstLine="480"/>
      <w:spacing w:line="360" w:lineRule="auto"/>
    </w:pPr>
    <w:rPr>
      <w:rFonts w:ascii="宋体" w:hAnsi="宋体"/>
      <w:sz w:val="24"/>
      <w:szCs w:val="24"/>
    </w:rPr>
  </w:style>
  <w:style w:type="paragraph" w:styleId="975" w:customStyle="1">
    <w:name w:val="纯文本4"/>
    <w:basedOn w:val="732"/>
    <w:uiPriority w:val="0"/>
    <w:qFormat/>
    <w:rPr>
      <w:rFonts w:ascii="宋体" w:hAnsi="Courier New" w:eastAsia="楷体_GB2312"/>
      <w:sz w:val="28"/>
    </w:rPr>
  </w:style>
  <w:style w:type="paragraph" w:styleId="976" w:customStyle="1">
    <w:name w:val="文档结构图1"/>
    <w:basedOn w:val="732"/>
    <w:uiPriority w:val="99"/>
    <w:qFormat/>
    <w:pPr>
      <w:shd w:val="clear" w:color="auto" w:fill="000080"/>
    </w:pPr>
  </w:style>
  <w:style w:type="paragraph" w:styleId="977" w:customStyle="1">
    <w:name w:val="Table Text"/>
    <w:basedOn w:val="732"/>
    <w:uiPriority w:val="0"/>
    <w:semiHidden/>
    <w:qFormat/>
    <w:rPr>
      <w:rFonts w:ascii="宋体" w:hAnsi="宋体" w:cs="宋体"/>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54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0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87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31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170"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98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0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ruyi</dc:creator>
  <cp:lastModifiedBy>俞莉</cp:lastModifiedBy>
  <cp:revision>19</cp:revision>
  <dcterms:created xsi:type="dcterms:W3CDTF">2023-04-06T13:23:00Z</dcterms:created>
  <dcterms:modified xsi:type="dcterms:W3CDTF">2025-03-25T06:33:07Z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CCAFF5954A2B4261A33EAE318F6509D0_13</vt:lpwstr>
  </property>
  <property fmtid="{D5CDD505-2E9C-101B-9397-08002B2CF9AE}" pid="4" name="KSOTemplateDocerSaveRecord">
    <vt:lpwstr>eyJoZGlkIjoiZTljYzUxZDIxMjIyOTQ5MTdiMjczMzEzYTBjYzFjZGEiLCJ1c2VySWQiOiIyOTQ1NzYwNTUifQ==</vt:lpwstr>
  </property>
</Properties>
</file>