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JSZC-321000-HCZX-G2024-00120</w:t>
      </w:r>
      <w:r>
        <w:rPr>
          <w:rFonts w:hint="eastAsia" w:ascii="宋体" w:hAnsi="宋体"/>
          <w:b/>
          <w:bCs/>
          <w:color w:val="auto"/>
          <w:sz w:val="36"/>
          <w:highlight w:val="none"/>
        </w:rPr>
        <w:t xml:space="preserve">号</w:t>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spacing w:line="360" w:lineRule="auto"/>
        <w:rPr>
          <w:rFonts w:hint="eastAsia" w:ascii="宋体" w:hAnsi="宋体" w:eastAsia="宋体" w:cs="Times New Roman"/>
          <w:b/>
          <w:bCs/>
          <w:color w:val="auto"/>
          <w:sz w:val="36"/>
          <w:highlight w:val="none"/>
          <w:lang w:eastAsia="zh-CN"/>
        </w:rPr>
      </w:pPr>
      <w:r/>
      <w:bookmarkStart w:id="67" w:name="_GoBack"/>
      <w:r/>
      <w:bookmarkEnd w:id="67"/>
      <w:r/>
      <w:r/>
    </w:p>
    <w:p>
      <w:pPr>
        <w:jc w:val="center"/>
        <w:spacing w:line="360" w:lineRule="auto"/>
        <w:rPr>
          <w:rFonts w:hint="eastAsia" w:ascii="宋体" w:hAnsi="宋体" w:eastAsia="宋体" w:cs="Times New Roman"/>
          <w:b/>
          <w:bCs/>
          <w:color w:val="auto"/>
          <w:sz w:val="36"/>
          <w:highlight w:val="none"/>
          <w:lang w:eastAsia="zh-CN"/>
        </w:rPr>
      </w:pPr>
      <w:r>
        <w:rPr>
          <w:rFonts w:hint="eastAsia" w:ascii="宋体" w:hAnsi="宋体" w:cs="Times New Roman"/>
          <w:b/>
          <w:bCs/>
          <w:color w:val="auto"/>
          <w:sz w:val="36"/>
          <w:highlight w:val="none"/>
          <w:lang w:eastAsia="zh-CN"/>
        </w:rPr>
        <w:t xml:space="preserve">扬州市市场监督管理局2025年扬州市“一老一小”食品安全专项抽检</w:t>
      </w:r>
      <w:r>
        <w:rPr>
          <w:rFonts w:hint="eastAsia" w:ascii="宋体" w:hAnsi="宋体" w:eastAsia="宋体" w:cs="Times New Roman"/>
          <w:b/>
          <w:bCs/>
          <w:color w:val="auto"/>
          <w:sz w:val="36"/>
          <w:highlight w:val="none"/>
          <w:lang w:eastAsia="zh-CN"/>
        </w:rPr>
        <w:t xml:space="preserve">项目公开招标文件</w:t>
      </w:r>
      <w:r/>
    </w:p>
    <w:p>
      <w:pPr>
        <w:pStyle w:val="793"/>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71490" cy="3817620"/>
                <wp:effectExtent l="0" t="0" r="6350" b="762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8" o:title=""/>
              </v:shape>
            </w:pict>
          </mc:Fallback>
        </mc:AlternateContent>
      </w:r>
      <w:r/>
    </w:p>
    <w:p>
      <w:pPr>
        <w:pStyle w:val="965"/>
        <w:rPr>
          <w:color w:val="auto"/>
          <w:highlight w:val="none"/>
        </w:rPr>
      </w:pPr>
      <w:r>
        <w:rPr>
          <w:color w:val="auto"/>
          <w:highlight w:val="none"/>
        </w:rPr>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 xml:space="preserve">江苏汇诚投资咨询管理有限公司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2024年</w:t>
      </w:r>
      <w:r>
        <w:rPr>
          <w:rFonts w:hint="eastAsia" w:ascii="宋体" w:hAnsi="宋体"/>
          <w:b/>
          <w:bCs/>
          <w:color w:val="auto"/>
          <w:sz w:val="36"/>
          <w:highlight w:val="none"/>
          <w:lang w:val="en-US" w:eastAsia="zh-CN"/>
        </w:rPr>
        <w:t xml:space="preserve">12</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27</w:t>
      </w:r>
      <w:r>
        <w:rPr>
          <w:rFonts w:hint="eastAsia" w:ascii="宋体" w:hAnsi="宋体"/>
          <w:b/>
          <w:bCs/>
          <w:color w:val="auto"/>
          <w:sz w:val="36"/>
          <w:highlight w:val="none"/>
        </w:rPr>
        <w:t xml:space="preserve">日</w:t>
      </w:r>
      <w:r/>
    </w:p>
    <w:p>
      <w:pPr>
        <w:pStyle w:val="965"/>
        <w:rPr>
          <w:color w:val="auto"/>
          <w:highlight w:val="none"/>
        </w:rPr>
      </w:pPr>
      <w:r>
        <w:rPr>
          <w:color w:val="auto"/>
          <w:highlight w:val="none"/>
        </w:rPr>
      </w:r>
      <w:r/>
    </w:p>
    <w:p>
      <w:pPr>
        <w:jc w:val="both"/>
        <w:rPr>
          <w:rFonts w:hint="eastAsia" w:ascii="宋体" w:hAnsi="宋体"/>
          <w:color w:val="auto"/>
          <w:sz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jc w:val="both"/>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88"/>
        <w:spacing w:line="480" w:lineRule="auto"/>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lang w:eastAsia="zh-CN"/>
        </w:rPr>
        <w:t xml:space="preserve">扬州市市场监督管理局2025年扬州市“一老一小”食品安全专项抽检</w:t>
      </w:r>
      <w:r>
        <w:rPr>
          <w:rFonts w:hint="eastAsia" w:ascii="宋体" w:hAnsi="宋体"/>
          <w:color w:val="auto"/>
          <w:szCs w:val="36"/>
          <w:highlight w:val="none"/>
        </w:rPr>
        <w:t xml:space="preserve">项目采购公告</w:t>
      </w:r>
      <w:r>
        <w:rPr>
          <w:rFonts w:hint="eastAsia"/>
          <w:color w:val="auto"/>
          <w:highlight w:val="none"/>
        </w:rPr>
        <w:tab/>
      </w:r>
      <w:r>
        <w:rPr>
          <w:rFonts w:hint="eastAsia"/>
          <w:color w:val="auto"/>
          <w:highlight w:val="none"/>
        </w:rPr>
        <w:t xml:space="preserve">3</w:t>
      </w:r>
      <w:r/>
    </w:p>
    <w:p>
      <w:pPr>
        <w:pStyle w:val="988"/>
        <w:spacing w:line="480" w:lineRule="auto"/>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88"/>
        <w:spacing w:line="480" w:lineRule="auto"/>
        <w:tabs>
          <w:tab w:val="right" w:pos="8296" w:leader="dot"/>
        </w:tabs>
        <w:rPr>
          <w:rFonts w:hint="eastAsia"/>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88"/>
        <w:spacing w:line="480" w:lineRule="auto"/>
        <w:tabs>
          <w:tab w:val="right" w:pos="8296" w:leader="dot"/>
        </w:tabs>
        <w:rPr>
          <w:rFonts w:hint="eastAsia"/>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98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73</w:t>
      </w:r>
      <w:r/>
    </w:p>
    <w:p>
      <w:pPr>
        <w:pStyle w:val="98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78</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62"/>
        <w:numPr>
          <w:ilvl w:val="0"/>
          <w:numId w:val="2"/>
        </w:numPr>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lang w:eastAsia="zh-CN"/>
        </w:rPr>
        <w:t xml:space="preserve">扬州市市场监督管理局2025年扬州市“一老一小”食品安全专项抽检</w:t>
      </w:r>
      <w:r>
        <w:rPr>
          <w:rFonts w:hint="eastAsia" w:ascii="宋体" w:hAnsi="宋体"/>
          <w:color w:val="auto"/>
          <w:szCs w:val="36"/>
          <w:highlight w:val="none"/>
        </w:rPr>
        <w:t xml:space="preserve">项目采购公告</w:t>
      </w:r>
      <w:bookmarkEnd w:id="0"/>
      <w:r/>
      <w:r/>
    </w:p>
    <w:p>
      <w:pPr>
        <w:ind w:firstLine="420"/>
        <w:keepLines w:val="0"/>
        <w:keepNext w:val="0"/>
        <w:pageBreakBefore w:val="0"/>
        <w:spacing w:line="430" w:lineRule="exact"/>
        <w:widowControl w:val="off"/>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扬州市市场监督管理局</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lang w:eastAsia="zh-CN"/>
        </w:rPr>
        <w:t xml:space="preserve">江苏汇诚投资咨询管理有限公司</w:t>
      </w:r>
      <w:r>
        <w:rPr>
          <w:rFonts w:hint="eastAsia" w:ascii="宋体" w:hAnsi="宋体" w:eastAsia="宋体" w:cs="宋体"/>
          <w:color w:val="auto"/>
          <w:sz w:val="21"/>
          <w:szCs w:val="21"/>
          <w:highlight w:val="none"/>
        </w:rPr>
        <w:t xml:space="preserve">就</w:t>
      </w:r>
      <w:r>
        <w:rPr>
          <w:rFonts w:hint="eastAsia" w:ascii="宋体" w:hAnsi="宋体" w:eastAsia="宋体" w:cs="宋体"/>
          <w:color w:val="auto"/>
          <w:sz w:val="21"/>
          <w:szCs w:val="21"/>
          <w:highlight w:val="none"/>
          <w:lang w:eastAsia="zh-CN"/>
        </w:rPr>
        <w:t xml:space="preserve">扬州市市场监督管理局</w:t>
      </w:r>
      <w:r>
        <w:rPr>
          <w:rFonts w:hint="eastAsia" w:ascii="宋体" w:hAnsi="宋体" w:cs="宋体"/>
          <w:color w:val="auto"/>
          <w:sz w:val="21"/>
          <w:szCs w:val="21"/>
          <w:highlight w:val="none"/>
          <w:lang w:eastAsia="zh-CN"/>
        </w:rPr>
        <w:t xml:space="preserve">2025年扬州市“一老一小”食品安全专项抽检</w:t>
      </w:r>
      <w:r>
        <w:rPr>
          <w:rFonts w:hint="eastAsia" w:ascii="宋体" w:hAnsi="宋体" w:eastAsia="宋体" w:cs="宋体"/>
          <w:color w:val="auto"/>
          <w:sz w:val="21"/>
          <w:szCs w:val="21"/>
          <w:highlight w:val="none"/>
        </w:rPr>
        <w:t xml:space="preserve">项目进行公开招标采购，欢迎符合条件的供应商投标。</w:t>
      </w:r>
      <w:r/>
    </w:p>
    <w:p>
      <w:pPr>
        <w:ind w:firstLine="422"/>
        <w:keepLines w:val="0"/>
        <w:keepNext w:val="0"/>
        <w:pageBreakBefore w:val="0"/>
        <w:spacing w:line="430" w:lineRule="exact"/>
        <w:widowControl w:val="off"/>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扬州市市场监督管理局</w:t>
      </w:r>
      <w:r>
        <w:rPr>
          <w:rFonts w:hint="eastAsia" w:ascii="宋体" w:hAnsi="宋体" w:cs="宋体"/>
          <w:color w:val="auto"/>
          <w:sz w:val="21"/>
          <w:szCs w:val="21"/>
          <w:highlight w:val="none"/>
          <w:u w:val="single"/>
          <w:lang w:eastAsia="zh-CN"/>
        </w:rPr>
        <w:t xml:space="preserve">2025年扬州市“一老一小”食品安全专项抽检</w:t>
      </w:r>
      <w:r>
        <w:rPr>
          <w:rFonts w:hint="eastAsia" w:ascii="宋体" w:hAnsi="宋体" w:eastAsia="宋体" w:cs="宋体"/>
          <w:color w:val="auto"/>
          <w:sz w:val="21"/>
          <w:szCs w:val="21"/>
          <w:highlight w:val="none"/>
          <w:u w:val="single"/>
        </w:rPr>
        <w:t xml:space="preserve">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u w:val="single"/>
        </w:rPr>
        <w:t xml:space="preserve">“扬州市政府采购网”、“江苏省政府采购网”</w:t>
      </w:r>
      <w:r>
        <w:rPr>
          <w:rFonts w:hint="eastAsia" w:ascii="宋体" w:hAnsi="宋体" w:eastAsia="宋体" w:cs="宋体"/>
          <w:color w:val="auto"/>
          <w:sz w:val="21"/>
          <w:szCs w:val="21"/>
          <w:highlight w:val="none"/>
        </w:rPr>
        <w:t xml:space="preserve">自行免费下载招标文件，并于</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1</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17</w:t>
      </w:r>
      <w:r>
        <w:rPr>
          <w:rFonts w:hint="eastAsia" w:ascii="宋体" w:hAnsi="宋体" w:eastAsia="宋体" w:cs="宋体"/>
          <w:bCs/>
          <w:color w:val="auto"/>
          <w:sz w:val="21"/>
          <w:szCs w:val="21"/>
          <w:highlight w:val="none"/>
          <w:u w:val="single"/>
        </w:rPr>
        <w:t xml:space="preserve">日上午 9:30</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30" w:lineRule="exact"/>
        <w:widowControl w:val="off"/>
        <w:tabs>
          <w:tab w:val="left" w:pos="266" w:leader="none"/>
        </w:tabs>
        <w:rPr>
          <w:rFonts w:hint="eastAsia" w:ascii="宋体" w:hAnsi="宋体" w:eastAsia="宋体" w:cs="宋体"/>
          <w:b/>
          <w:bCs/>
          <w:color w:val="auto"/>
          <w:sz w:val="21"/>
          <w:szCs w:val="21"/>
          <w:highlight w:val="none"/>
        </w:rPr>
      </w:pPr>
      <w:r/>
      <w:bookmarkStart w:id="1" w:name="_Toc35393790"/>
      <w:r/>
      <w:bookmarkStart w:id="2" w:name="_Toc35393621"/>
      <w:r/>
      <w:bookmarkStart w:id="3" w:name="_Toc28359002"/>
      <w:r/>
      <w:bookmarkStart w:id="4" w:name="_Toc28359079"/>
      <w:r/>
      <w:bookmarkStart w:id="5" w:name="_Toc38985263"/>
      <w:r/>
      <w:bookmarkStart w:id="6" w:name="_Hlk24379207"/>
      <w:r>
        <w:rPr>
          <w:rFonts w:hint="eastAsia" w:ascii="宋体" w:hAnsi="宋体" w:eastAsia="宋体" w:cs="宋体"/>
          <w:b/>
          <w:bCs/>
          <w:color w:val="auto"/>
          <w:sz w:val="21"/>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JSZC-321000-HCZX-G2024-00120</w:t>
      </w:r>
      <w:r>
        <w:rPr>
          <w:rFonts w:hint="eastAsia" w:ascii="宋体" w:hAnsi="宋体" w:eastAsia="宋体" w:cs="宋体"/>
          <w:color w:val="auto"/>
          <w:sz w:val="21"/>
          <w:szCs w:val="21"/>
          <w:highlight w:val="none"/>
        </w:rPr>
        <w:t xml:space="preserve">号</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扬州市市场监督管理局</w:t>
      </w:r>
      <w:r>
        <w:rPr>
          <w:rFonts w:hint="eastAsia" w:ascii="宋体" w:hAnsi="宋体" w:cs="宋体"/>
          <w:color w:val="auto"/>
          <w:sz w:val="21"/>
          <w:szCs w:val="21"/>
          <w:highlight w:val="none"/>
          <w:lang w:eastAsia="zh-CN"/>
        </w:rPr>
        <w:t xml:space="preserve">2025年扬州市“一老一小”食品安全专项抽检</w:t>
      </w:r>
      <w:r>
        <w:rPr>
          <w:rFonts w:hint="eastAsia" w:ascii="宋体" w:hAnsi="宋体" w:eastAsia="宋体" w:cs="宋体"/>
          <w:color w:val="auto"/>
          <w:sz w:val="21"/>
          <w:szCs w:val="21"/>
          <w:highlight w:val="none"/>
        </w:rPr>
        <w:t xml:space="preserve">项目</w:t>
      </w:r>
      <w:bookmarkEnd w:id="6"/>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lang w:val="en-US" w:eastAsia="zh-CN"/>
        </w:rPr>
      </w:pPr>
      <w:r/>
      <w:bookmarkStart w:id="7" w:name="_Toc35393791"/>
      <w:r/>
      <w:bookmarkStart w:id="8" w:name="_Toc38985264"/>
      <w:r/>
      <w:bookmarkStart w:id="9" w:name="_Toc35393622"/>
      <w:r/>
      <w:bookmarkStart w:id="10" w:name="_Toc28359080"/>
      <w:r/>
      <w:bookmarkStart w:id="11" w:name="_Toc28359003"/>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不低于</w:t>
      </w:r>
      <w:r>
        <w:rPr>
          <w:rFonts w:hint="eastAsia" w:ascii="宋体" w:hAnsi="宋体" w:cs="宋体"/>
          <w:color w:val="auto"/>
          <w:sz w:val="21"/>
          <w:szCs w:val="21"/>
          <w:highlight w:val="none"/>
          <w:lang w:val="en-US" w:eastAsia="zh-CN"/>
        </w:rPr>
        <w:t xml:space="preserve">2000</w:t>
      </w:r>
      <w:r>
        <w:rPr>
          <w:rFonts w:hint="eastAsia" w:ascii="宋体" w:hAnsi="宋体" w:eastAsia="宋体" w:cs="宋体"/>
          <w:color w:val="auto"/>
          <w:sz w:val="21"/>
          <w:szCs w:val="21"/>
          <w:highlight w:val="none"/>
          <w:lang w:val="en-US" w:eastAsia="zh-CN"/>
        </w:rPr>
        <w:t xml:space="preserve">批次，900元/批次，共计</w:t>
      </w:r>
      <w:r>
        <w:rPr>
          <w:rFonts w:hint="eastAsia" w:ascii="宋体" w:hAnsi="宋体" w:cs="宋体"/>
          <w:color w:val="auto"/>
          <w:sz w:val="21"/>
          <w:szCs w:val="21"/>
          <w:highlight w:val="none"/>
          <w:lang w:val="en-US" w:eastAsia="zh-CN"/>
        </w:rPr>
        <w:t xml:space="preserve">180万</w:t>
      </w:r>
      <w:r>
        <w:rPr>
          <w:rFonts w:hint="eastAsia" w:ascii="宋体" w:hAnsi="宋体" w:eastAsia="宋体" w:cs="宋体"/>
          <w:color w:val="auto"/>
          <w:sz w:val="21"/>
          <w:szCs w:val="21"/>
          <w:highlight w:val="none"/>
          <w:lang w:val="en-US" w:eastAsia="zh-CN"/>
        </w:rPr>
        <w:t xml:space="preserve">元</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4.本项目设置最高折扣，折扣报价，</w:t>
      </w:r>
      <w:r>
        <w:rPr>
          <w:rFonts w:hint="eastAsia" w:ascii="宋体" w:hAnsi="宋体" w:eastAsia="宋体" w:cs="宋体"/>
          <w:color w:val="auto"/>
          <w:sz w:val="21"/>
          <w:szCs w:val="21"/>
          <w:highlight w:val="none"/>
        </w:rPr>
        <w:t xml:space="preserve">最高折扣100%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超过最高折扣为无效报价，做无效投标处理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rPr>
        <w:t xml:space="preserve">5.采购需求：</w:t>
      </w:r>
      <w:r>
        <w:rPr>
          <w:rFonts w:hint="eastAsia" w:ascii="宋体" w:hAnsi="宋体" w:eastAsia="宋体" w:cs="宋体"/>
          <w:color w:val="auto"/>
          <w:sz w:val="21"/>
          <w:szCs w:val="21"/>
          <w:highlight w:val="none"/>
        </w:rPr>
        <w:t xml:space="preserve">为确保扬州市2025年扬州市“</w:t>
      </w:r>
      <w:r>
        <w:rPr>
          <w:rFonts w:hint="eastAsia" w:ascii="宋体" w:hAnsi="宋体" w:eastAsia="宋体" w:cs="宋体"/>
          <w:color w:val="auto"/>
          <w:sz w:val="21"/>
          <w:szCs w:val="21"/>
          <w:highlight w:val="none"/>
        </w:rPr>
        <w:t xml:space="preserve">一老一小”食品安全专项监督抽检工作顺利开展，现向全国范围内进行检测机构资质公开招标，入围的检测机构有资格承担入围后2025年扬州市“一老一小”食品安全专项监督抽检工作。本次招标只招承担扬州市市场监督管理局2025年扬州市扬州市“一老一小”食品安全专项抽检任务的承检机构资格。抽检承检服务内容:负责扬州全市学校食堂、学校集中用餐配送单位、学校食材供货商以及敬老院食堂等场所的抽检，抽检品类依据国家市场监督管理总局核准的粮食及粮食制品、蔬菜及其制品、水果及其制品、水产品及其制品、食用油(油脂)及其制品等33大类产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具体内容详见招标文件第四章。</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6.合同履行期限：</w:t>
      </w:r>
      <w:r>
        <w:rPr>
          <w:rFonts w:hint="eastAsia" w:ascii="宋体" w:hAnsi="宋体" w:eastAsia="宋体" w:cs="宋体"/>
          <w:color w:val="auto"/>
          <w:sz w:val="21"/>
          <w:szCs w:val="21"/>
          <w:highlight w:val="none"/>
        </w:rPr>
        <w:t xml:space="preserve">2025年12月20日前完成抽检服务</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rPr>
        <w:t xml:space="preserve">联合体投标</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rPr>
        <w:t xml:space="preserve">进口产品投标</w:t>
      </w:r>
      <w:r/>
    </w:p>
    <w:p>
      <w:pPr>
        <w:ind w:firstLine="422"/>
        <w:keepLines w:val="0"/>
        <w:keepNext w:val="0"/>
        <w:pageBreakBefore w:val="0"/>
        <w:spacing w:line="430" w:lineRule="exact"/>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7"/>
      <w:r/>
      <w:bookmarkEnd w:id="8"/>
      <w:r/>
      <w:bookmarkEnd w:id="9"/>
      <w:r/>
      <w:bookmarkEnd w:id="10"/>
      <w:r/>
      <w:bookmarkEnd w:id="11"/>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bookmarkStart w:id="12" w:name="_Toc38985265"/>
      <w:r/>
      <w:bookmarkStart w:id="13" w:name="_Toc35393623"/>
      <w:r/>
      <w:bookmarkStart w:id="14" w:name="_Toc28359004"/>
      <w:r/>
      <w:bookmarkStart w:id="15" w:name="_Toc35393792"/>
      <w:r/>
      <w:bookmarkStart w:id="16" w:name="_Toc28359081"/>
      <w:r>
        <w:rPr>
          <w:rFonts w:hint="eastAsia" w:ascii="宋体" w:hAnsi="宋体" w:eastAsia="宋体" w:cs="宋体"/>
          <w:color w:val="auto"/>
          <w:sz w:val="21"/>
          <w:szCs w:val="21"/>
          <w:highlight w:val="none"/>
        </w:rPr>
        <w:t xml:space="preserve">1.满足《中华人民共和国政府采购法》第二十二条规定： </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43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依法缴纳税收和社会保障资金的相关材料</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3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上一年度的财务状况报告</w:t>
      </w:r>
      <w:r>
        <w:rPr>
          <w:rFonts w:hint="eastAsia" w:ascii="宋体" w:hAnsi="宋体" w:eastAsia="宋体" w:cs="宋体"/>
          <w:b/>
          <w:bCs/>
          <w:i/>
          <w:iCs/>
          <w:color w:val="auto"/>
          <w:sz w:val="21"/>
          <w:szCs w:val="21"/>
          <w:highlight w:val="none"/>
          <w:u w:val="single"/>
        </w:rPr>
        <w:t xml:space="preserve">（成立不满一年不需提供）</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具备履行合同所必需的设备和专业技术能力的证明材料</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参加本次政府采购活动前3年内在经营活动中没有重大违法记录的书面声明</w:t>
      </w:r>
      <w:r/>
    </w:p>
    <w:p>
      <w:pPr>
        <w:ind w:firstLine="420"/>
        <w:keepLines w:val="0"/>
        <w:keepNext w:val="0"/>
        <w:pageBreakBefore w:val="0"/>
        <w:spacing w:line="43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auto"/>
          <w:sz w:val="21"/>
          <w:szCs w:val="21"/>
          <w:highlight w:val="none"/>
          <w:u w:val="single"/>
        </w:rPr>
        <w:t xml:space="preserve">（投标文件中无需提供证明材料）</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1.7供应商信用承诺函</w:t>
      </w:r>
      <w:r/>
    </w:p>
    <w:p>
      <w:pPr>
        <w:numPr>
          <w:ilvl w:val="0"/>
          <w:numId w:val="3"/>
        </w:numPr>
        <w:ind w:firstLine="420"/>
        <w:keepLines w:val="0"/>
        <w:keepNext w:val="0"/>
        <w:pageBreakBefore w:val="0"/>
        <w:spacing w:line="430" w:lineRule="exact"/>
        <w:widowControl w:val="off"/>
        <w:rPr>
          <w:rFonts w:hint="eastAsia" w:ascii="宋体" w:hAnsi="宋体" w:eastAsia="宋体" w:cs="宋体"/>
          <w:b/>
          <w:i/>
          <w:color w:val="auto"/>
          <w:sz w:val="21"/>
          <w:szCs w:val="21"/>
          <w:highlight w:val="none"/>
          <w:u w:val="single"/>
        </w:rPr>
      </w:pP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根据《政府采购促进中小企业发展管理办法》（财库〔2020〕46 号），本项目对小型和微型企业、残疾人福利单位、监狱和戒毒企业提供的货物、服务给予20%的价格扣除。</w:t>
      </w:r>
      <w:r/>
    </w:p>
    <w:p>
      <w:pPr>
        <w:numPr>
          <w:ilvl w:val="0"/>
          <w:numId w:val="3"/>
        </w:numPr>
        <w:ind w:firstLine="420"/>
        <w:keepLines w:val="0"/>
        <w:keepNext w:val="0"/>
        <w:pageBreakBefore w:val="0"/>
        <w:spacing w:line="430" w:lineRule="exact"/>
        <w:widowControl w:val="off"/>
        <w:rPr>
          <w:rFonts w:hint="eastAsia" w:ascii="宋体" w:hAnsi="宋体" w:eastAsia="宋体" w:cs="宋体"/>
          <w:b/>
          <w:i/>
          <w:color w:val="auto"/>
          <w:sz w:val="21"/>
          <w:szCs w:val="21"/>
          <w:highlight w:val="none"/>
          <w:u w:val="single"/>
        </w:rPr>
      </w:pP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i/>
          <w:color w:val="auto"/>
          <w:sz w:val="21"/>
          <w:szCs w:val="21"/>
          <w:highlight w:val="none"/>
          <w:u w:val="single"/>
          <w:lang w:bidi="ar"/>
        </w:rPr>
        <w:t xml:space="preserve">供应商具有行政主管部门颁发的有效期内食品检验检测机构资质认定证书（提供</w:t>
      </w:r>
      <w:r>
        <w:rPr>
          <w:rFonts w:hint="eastAsia" w:ascii="宋体" w:hAnsi="宋体" w:eastAsia="宋体" w:cs="宋体"/>
          <w:i/>
          <w:color w:val="auto"/>
          <w:sz w:val="21"/>
          <w:szCs w:val="21"/>
          <w:highlight w:val="none"/>
          <w:u w:val="single"/>
          <w:lang w:val="en-US" w:eastAsia="zh-CN" w:bidi="ar"/>
        </w:rPr>
        <w:t xml:space="preserve">有效</w:t>
      </w:r>
      <w:r>
        <w:rPr>
          <w:rFonts w:hint="eastAsia" w:ascii="宋体" w:hAnsi="宋体" w:eastAsia="宋体" w:cs="宋体"/>
          <w:i/>
          <w:color w:val="auto"/>
          <w:sz w:val="21"/>
          <w:szCs w:val="21"/>
          <w:highlight w:val="none"/>
          <w:u w:val="single"/>
          <w:lang w:bidi="ar"/>
        </w:rPr>
        <w:t xml:space="preserve">证书</w:t>
      </w:r>
      <w:r>
        <w:rPr>
          <w:rFonts w:hint="eastAsia" w:ascii="宋体" w:hAnsi="宋体" w:eastAsia="宋体" w:cs="宋体"/>
          <w:i/>
          <w:color w:val="auto"/>
          <w:sz w:val="21"/>
          <w:szCs w:val="21"/>
          <w:highlight w:val="none"/>
          <w:u w:val="single"/>
          <w:lang w:val="en-US" w:eastAsia="zh-CN" w:bidi="ar"/>
        </w:rPr>
        <w:t xml:space="preserve">原件扫描</w:t>
      </w:r>
      <w:r>
        <w:rPr>
          <w:rFonts w:hint="eastAsia" w:ascii="宋体" w:hAnsi="宋体" w:eastAsia="宋体" w:cs="宋体"/>
          <w:i/>
          <w:color w:val="auto"/>
          <w:sz w:val="21"/>
          <w:szCs w:val="21"/>
          <w:highlight w:val="none"/>
          <w:u w:val="single"/>
          <w:lang w:bidi="ar"/>
        </w:rPr>
        <w:t xml:space="preserve">上传系统）</w:t>
      </w:r>
      <w:r>
        <w:rPr>
          <w:rFonts w:hint="eastAsia" w:ascii="宋体" w:hAnsi="宋体" w:eastAsia="宋体" w:cs="宋体"/>
          <w:b w:val="0"/>
          <w:bCs/>
          <w:i/>
          <w:color w:val="auto"/>
          <w:sz w:val="21"/>
          <w:szCs w:val="21"/>
          <w:highlight w:val="none"/>
          <w:u w:val="single"/>
          <w:lang w:eastAsia="zh-CN" w:bidi="ar"/>
        </w:rPr>
        <w:t xml:space="preserve">。</w:t>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2"/>
      <w:r/>
      <w:bookmarkEnd w:id="13"/>
      <w:r/>
      <w:bookmarkEnd w:id="14"/>
      <w:r/>
      <w:bookmarkEnd w:id="15"/>
      <w:r/>
      <w:bookmarkEnd w:id="16"/>
      <w:r/>
      <w:r/>
    </w:p>
    <w:p>
      <w:pPr>
        <w:ind w:firstLine="420"/>
        <w:keepLines w:val="0"/>
        <w:keepNext w:val="0"/>
        <w:pageBreakBefore w:val="0"/>
        <w:spacing w:line="430" w:lineRule="exact"/>
        <w:rPr>
          <w:rFonts w:hint="eastAsia" w:ascii="宋体" w:hAnsi="宋体" w:eastAsia="宋体" w:cs="宋体"/>
          <w:color w:val="auto"/>
          <w:sz w:val="21"/>
          <w:szCs w:val="21"/>
          <w:highlight w:val="none"/>
        </w:rPr>
      </w:pPr>
      <w:r/>
      <w:bookmarkStart w:id="17" w:name="_Toc38985266"/>
      <w:r/>
      <w:bookmarkStart w:id="18" w:name="_Toc35393793"/>
      <w:r/>
      <w:bookmarkStart w:id="19" w:name="_Toc35393624"/>
      <w:r/>
      <w:bookmarkStart w:id="20" w:name="_Toc28359005"/>
      <w:r/>
      <w:bookmarkStart w:id="21" w:name="_Toc28359082"/>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bookmarkEnd w:id="17"/>
      <w:r/>
      <w:bookmarkEnd w:id="18"/>
      <w:r/>
      <w:bookmarkEnd w:id="19"/>
      <w:r/>
      <w:bookmarkEnd w:id="20"/>
      <w:r/>
      <w:bookmarkEnd w:id="21"/>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bookmarkStart w:id="22" w:name="_Toc35393794"/>
      <w:r/>
      <w:bookmarkStart w:id="23" w:name="_Toc38985267"/>
      <w:r/>
      <w:bookmarkStart w:id="24" w:name="_Toc28359084"/>
      <w:r/>
      <w:bookmarkStart w:id="25" w:name="_Toc35393625"/>
      <w:r/>
      <w:bookmarkStart w:id="26" w:name="_Toc28359007"/>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http://zfcg.yangzhou.gov.cn/zfcg/xzzx/202309/4d7de1f7865f4a2894fc22bc452f94d8.shtml。</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430" w:lineRule="exact"/>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1</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17</w:t>
      </w:r>
      <w:r>
        <w:rPr>
          <w:rFonts w:hint="eastAsia" w:ascii="宋体" w:hAnsi="宋体" w:eastAsia="宋体" w:cs="宋体"/>
          <w:bCs/>
          <w:color w:val="auto"/>
          <w:sz w:val="21"/>
          <w:szCs w:val="21"/>
          <w:highlight w:val="none"/>
          <w:u w:val="single"/>
        </w:rPr>
        <w:t xml:space="preserve">日 上午9:30</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43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w:t>
      </w: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HYPERLINK "http://jszfcg.jsczt.cn/）\“开标大厅\”"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b/>
          <w:color w:val="auto"/>
          <w:sz w:val="21"/>
          <w:szCs w:val="21"/>
          <w:highlight w:val="none"/>
        </w:rPr>
        <w:t xml:space="preserve">http://jszfcg.jsczt.cn/）“开标大厅”</w:t>
      </w:r>
      <w:r>
        <w:rPr>
          <w:rFonts w:hint="eastAsia" w:ascii="宋体" w:hAnsi="宋体" w:eastAsia="宋体" w:cs="宋体"/>
          <w:b/>
          <w:color w:val="auto"/>
          <w:sz w:val="21"/>
          <w:szCs w:val="21"/>
          <w:highlight w:val="none"/>
        </w:rPr>
        <w:fldChar w:fldCharType="end"/>
      </w:r>
      <w:bookmarkEnd w:id="22"/>
      <w:r/>
      <w:bookmarkEnd w:id="23"/>
      <w:r/>
      <w:bookmarkEnd w:id="24"/>
      <w:r/>
      <w:bookmarkEnd w:id="25"/>
      <w:r/>
      <w:bookmarkEnd w:id="26"/>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bookmarkStart w:id="27" w:name="_Toc35393795"/>
      <w:r/>
      <w:bookmarkStart w:id="28" w:name="_Toc38985268"/>
      <w:r/>
      <w:bookmarkStart w:id="29" w:name="_Toc35393626"/>
      <w:r>
        <w:rPr>
          <w:rFonts w:hint="eastAsia" w:ascii="宋体" w:hAnsi="宋体" w:eastAsia="宋体" w:cs="宋体"/>
          <w:b/>
          <w:bCs/>
          <w:color w:val="auto"/>
          <w:sz w:val="21"/>
          <w:szCs w:val="21"/>
          <w:highlight w:val="none"/>
        </w:rPr>
        <w:t xml:space="preserve">五、公告期限</w:t>
      </w:r>
      <w:r/>
    </w:p>
    <w:p>
      <w:pPr>
        <w:ind w:firstLine="420"/>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招标公告及招标文件公告期限为自本公告发布之日起5个工作日。</w:t>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7"/>
      <w:r/>
      <w:bookmarkEnd w:id="28"/>
      <w:r/>
      <w:bookmarkEnd w:id="29"/>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bookmarkStart w:id="30" w:name="_Toc28359085"/>
      <w:r/>
      <w:bookmarkStart w:id="31" w:name="_Toc28359008"/>
      <w:r/>
      <w:bookmarkStart w:id="32" w:name="_Toc38985269"/>
      <w:r/>
      <w:bookmarkStart w:id="33" w:name="_Toc35393627"/>
      <w:r/>
      <w:bookmarkStart w:id="34" w:name="_Toc35393796"/>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430" w:lineRule="exact"/>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43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本次招标不收取投标保证金。</w:t>
      </w:r>
      <w:r/>
    </w:p>
    <w:p>
      <w:pPr>
        <w:ind w:firstLine="420"/>
        <w:keepLines w:val="0"/>
        <w:keepNext w:val="0"/>
        <w:pageBreakBefore w:val="0"/>
        <w:spacing w:line="43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有关本次招标的事项若存在变动或修改，敬请及时关注“扬州市政府采购网”、“江苏省政府采购网”发布的信息。</w:t>
      </w:r>
      <w:r/>
    </w:p>
    <w:p>
      <w:pPr>
        <w:ind w:firstLine="422"/>
        <w:keepLines w:val="0"/>
        <w:keepNext w:val="0"/>
        <w:pageBreakBefore w:val="0"/>
        <w:spacing w:line="430" w:lineRule="exact"/>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5.本项目招标文件中所有斜体下划线部分为实质性条款，如不满足，则为无效投标。</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8.本项目严格执行政府采购关于支持节能产品</w:t>
      </w:r>
      <w:r>
        <w:rPr>
          <w:rFonts w:hint="eastAsia" w:ascii="宋体" w:hAnsi="宋体" w:eastAsia="宋体" w:cs="宋体"/>
          <w:bCs/>
          <w:color w:val="auto"/>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9.供应商对于所投产品的包装应按照“财办库〔2020〕123号《关于印发《商品包装政府采购需求标准（试行）》、《快递包装政府采购需求标准（试行）》的通知》”执行。</w:t>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七、本次招标联系方式</w:t>
      </w:r>
      <w:bookmarkEnd w:id="30"/>
      <w:r/>
      <w:bookmarkEnd w:id="31"/>
      <w:r/>
      <w:bookmarkEnd w:id="32"/>
      <w:r/>
      <w:bookmarkEnd w:id="33"/>
      <w:r/>
      <w:bookmarkEnd w:id="34"/>
      <w:r/>
      <w:r/>
    </w:p>
    <w:p>
      <w:pPr>
        <w:ind w:firstLine="420"/>
        <w:jc w:val="left"/>
        <w:keepLines w:val="0"/>
        <w:keepNext w:val="0"/>
        <w:pageBreakBefore w:val="0"/>
        <w:spacing w:line="43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扬州市市场监督管理局</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址：扬州市邗江区文昌西路525号 </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联系方式：0514-89332671</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江苏汇诚投资咨询管理有限公司</w:t>
      </w:r>
      <w:r/>
    </w:p>
    <w:p>
      <w:pPr>
        <w:ind w:firstLine="420"/>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扬州市邗江区邗江北路68号三楼西入口</w:t>
      </w:r>
      <w:r/>
    </w:p>
    <w:p>
      <w:pPr>
        <w:ind w:firstLine="420"/>
        <w:keepLines w:val="0"/>
        <w:keepNext w:val="0"/>
        <w:pageBreakBefore w:val="0"/>
        <w:spacing w:line="430" w:lineRule="exact"/>
        <w:rPr>
          <w:rFonts w:hint="eastAsia" w:ascii="宋体" w:hAnsi="宋体" w:eastAsia="宋体" w:cs="宋体"/>
          <w:color w:val="auto"/>
          <w:sz w:val="21"/>
          <w:szCs w:val="21"/>
          <w:highlight w:val="none"/>
          <w:lang w:eastAsia="zh-CN"/>
        </w:rPr>
      </w:pPr>
      <w:r/>
      <w:bookmarkStart w:id="35" w:name="_Toc28359010"/>
      <w:r/>
      <w:bookmarkStart w:id="36" w:name="_Toc28359087"/>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唐磊</w:t>
      </w:r>
      <w:r/>
    </w:p>
    <w:p>
      <w:pPr>
        <w:ind w:firstLine="420"/>
        <w:keepLines w:val="0"/>
        <w:keepNext w:val="0"/>
        <w:pageBreakBefore w:val="0"/>
        <w:spacing w:line="43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0514-89787281</w:t>
      </w:r>
      <w:bookmarkEnd w:id="35"/>
      <w:r/>
      <w:bookmarkEnd w:id="36"/>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jc w:val="righ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江苏汇诚投资咨询管理有限公司</w:t>
      </w:r>
      <w:r/>
    </w:p>
    <w:p>
      <w:pPr>
        <w:ind w:firstLine="420"/>
        <w:jc w:val="right"/>
        <w:keepLines w:val="0"/>
        <w:keepNext w:val="0"/>
        <w:pageBreakBefore w:val="0"/>
        <w:spacing w:line="430" w:lineRule="exact"/>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color w:val="auto"/>
          <w:sz w:val="21"/>
          <w:szCs w:val="21"/>
          <w:highlight w:val="none"/>
        </w:rPr>
        <w:t xml:space="preserve">2024年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rPr>
          <w:color w:val="auto"/>
          <w:highlight w:val="none"/>
        </w:rPr>
      </w:pPr>
      <w:r>
        <w:rPr>
          <w:color w:val="auto"/>
          <w:highlight w:val="none"/>
        </w:rPr>
      </w:r>
      <w:r/>
    </w:p>
    <w:p>
      <w:pPr>
        <w:pStyle w:val="962"/>
        <w:numPr>
          <w:ilvl w:val="0"/>
          <w:numId w:val="2"/>
        </w:numPr>
        <w:jc w:val="center"/>
        <w:spacing w:line="240" w:lineRule="auto"/>
        <w:rPr>
          <w:rFonts w:hint="eastAsia" w:ascii="宋体" w:hAnsi="宋体"/>
          <w:color w:val="auto"/>
          <w:szCs w:val="36"/>
          <w:highlight w:val="none"/>
          <w:lang w:eastAsia="zh-CN"/>
        </w:rPr>
      </w:pPr>
      <w:r/>
      <w:bookmarkStart w:id="37" w:name="_Toc55204178"/>
      <w:r>
        <w:rPr>
          <w:rFonts w:hint="eastAsia" w:ascii="宋体" w:hAnsi="宋体"/>
          <w:color w:val="auto"/>
          <w:szCs w:val="36"/>
          <w:highlight w:val="none"/>
          <w:lang w:eastAsia="zh-CN"/>
        </w:rPr>
        <w:t xml:space="preserve">投标人须知</w:t>
      </w:r>
      <w:bookmarkEnd w:id="37"/>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1、招标方式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1.1本次招标采取公开招标方式，本招标文件仅适用于</w:t>
      </w:r>
      <w:r>
        <w:rPr>
          <w:rFonts w:hint="eastAsia" w:ascii="宋体" w:hAnsi="宋体" w:cs="宋体"/>
          <w:bCs/>
          <w:color w:val="auto"/>
          <w:sz w:val="21"/>
          <w:szCs w:val="21"/>
          <w:highlight w:val="none"/>
          <w:lang w:eastAsia="zh-CN"/>
        </w:rPr>
        <w:t xml:space="preserve">JSZC-321000-HCZX-G2024-00120</w:t>
      </w:r>
      <w:r>
        <w:rPr>
          <w:rFonts w:hint="eastAsia" w:ascii="宋体" w:hAnsi="宋体" w:eastAsia="宋体" w:cs="宋体"/>
          <w:bCs/>
          <w:color w:val="auto"/>
          <w:sz w:val="21"/>
          <w:szCs w:val="21"/>
          <w:highlight w:val="none"/>
        </w:rPr>
        <w:t xml:space="preserve">号项目。</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2.2合格的投标人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满足招标公告中供应商的资格条件要求的规定。</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满足本文件实质性条款的规定。</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本次招标及由此产生的合同受中华人民共和国有关的法律法规制约和保护。</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4、投标费用</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 何，代理机构在任何情况下均无义务和责任承担这些费用。 </w:t>
      </w:r>
      <w:r/>
    </w:p>
    <w:p>
      <w:pPr>
        <w:ind w:left="0"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4.2</w:t>
      </w:r>
      <w:r>
        <w:rPr>
          <w:rFonts w:hint="eastAsia" w:ascii="宋体" w:hAnsi="宋体" w:eastAsia="宋体" w:cs="宋体"/>
          <w:b/>
          <w:bCs/>
          <w:color w:val="auto"/>
          <w:sz w:val="21"/>
          <w:szCs w:val="21"/>
          <w:highlight w:val="none"/>
        </w:rPr>
        <w:t xml:space="preserve">本次采购由中标人在领取中标通知书前按照</w:t>
      </w:r>
      <w:r>
        <w:rPr>
          <w:rFonts w:hint="eastAsia" w:ascii="宋体" w:hAnsi="宋体" w:cs="宋体"/>
          <w:b/>
          <w:bCs/>
          <w:color w:val="auto"/>
          <w:sz w:val="21"/>
          <w:szCs w:val="21"/>
          <w:highlight w:val="none"/>
          <w:lang w:val="en-US" w:eastAsia="zh-CN"/>
        </w:rPr>
        <w:t xml:space="preserve">2000元</w:t>
      </w:r>
      <w:r>
        <w:rPr>
          <w:rFonts w:hint="eastAsia" w:ascii="宋体" w:hAnsi="宋体" w:eastAsia="宋体" w:cs="宋体"/>
          <w:b/>
          <w:bCs/>
          <w:color w:val="auto"/>
          <w:sz w:val="21"/>
          <w:szCs w:val="21"/>
          <w:highlight w:val="none"/>
        </w:rPr>
        <w:t xml:space="preserve">一次性支付给招标代理机构代理服务费。</w:t>
      </w:r>
      <w:r/>
    </w:p>
    <w:p>
      <w:pPr>
        <w:ind w:left="0" w:firstLine="422"/>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（3）招标代理服务费不在投标报价中单列，包含在投标总价中，由中标单位支付给代理机构。</w:t>
      </w:r>
      <w:r/>
    </w:p>
    <w:p>
      <w:pPr>
        <w:ind w:left="0" w:firstLine="63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招标代理服务费开户银行：中国工商银行扬州雍华府支行</w:t>
      </w:r>
      <w:r>
        <w:rPr>
          <w:rFonts w:hint="eastAsia" w:ascii="宋体" w:hAnsi="宋体" w:eastAsia="宋体" w:cs="宋体"/>
          <w:b/>
          <w:bCs/>
          <w:color w:val="auto"/>
          <w:sz w:val="21"/>
          <w:szCs w:val="21"/>
          <w:highlight w:val="none"/>
        </w:rPr>
        <w:br w:type="textWrapping" w:clear="all"/>
      </w:r>
      <w:r>
        <w:rPr>
          <w:rFonts w:hint="eastAsia" w:ascii="宋体" w:hAnsi="宋体" w:eastAsia="宋体" w:cs="宋体"/>
          <w:b/>
          <w:bCs/>
          <w:color w:val="auto"/>
          <w:sz w:val="21"/>
          <w:szCs w:val="21"/>
          <w:highlight w:val="none"/>
        </w:rPr>
        <w:t xml:space="preserve">    开户名称：</w:t>
      </w:r>
      <w:r>
        <w:rPr>
          <w:rFonts w:hint="eastAsia" w:ascii="宋体" w:hAnsi="宋体" w:eastAsia="宋体" w:cs="宋体"/>
          <w:b/>
          <w:bCs/>
          <w:color w:val="auto"/>
          <w:sz w:val="21"/>
          <w:szCs w:val="21"/>
          <w:highlight w:val="none"/>
          <w:lang w:eastAsia="zh-CN"/>
        </w:rPr>
        <w:t xml:space="preserve">江苏汇诚投资咨询管理有限公司邗江分公司</w:t>
      </w:r>
      <w:r>
        <w:rPr>
          <w:rFonts w:hint="eastAsia" w:ascii="宋体" w:hAnsi="宋体" w:eastAsia="宋体" w:cs="宋体"/>
          <w:b/>
          <w:bCs/>
          <w:color w:val="auto"/>
          <w:sz w:val="21"/>
          <w:szCs w:val="21"/>
          <w:highlight w:val="none"/>
        </w:rPr>
        <w:br w:type="textWrapping" w:clear="all"/>
      </w:r>
      <w:r>
        <w:rPr>
          <w:rFonts w:hint="eastAsia" w:ascii="宋体" w:hAnsi="宋体" w:eastAsia="宋体" w:cs="宋体"/>
          <w:b/>
          <w:bCs/>
          <w:color w:val="auto"/>
          <w:sz w:val="21"/>
          <w:szCs w:val="21"/>
          <w:highlight w:val="none"/>
        </w:rPr>
        <w:t xml:space="preserve">    开户帐号：1108020809100091782</w:t>
      </w:r>
      <w:r/>
    </w:p>
    <w:p>
      <w:pPr>
        <w:ind w:left="0" w:firstLine="422"/>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4.3专家评审费按《扬州市财政局关于进一步规范扬州市政府采购专家评审费标准的通知》（扬财购〔2020〕40号）执行。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 投标人一旦参加本项目采购活动，即被认为接受了本招标文件的规定和约束。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 招标文件有以下部分组成：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（1）招标公告</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（2）投标人须知</w:t>
      </w:r>
      <w:r>
        <w:rPr>
          <w:rFonts w:hint="eastAsia" w:ascii="宋体" w:hAnsi="宋体" w:eastAsia="宋体" w:cs="宋体"/>
          <w:bCs/>
          <w:color w:val="auto"/>
          <w:sz w:val="21"/>
          <w:szCs w:val="21"/>
          <w:highlight w:val="none"/>
        </w:rPr>
        <w:tab/>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（3）合同条款及格式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（4）项目需求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7、招标文件的澄清</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8、招标文件的修改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 在投标截止时间前，代理机构可以对招标文件进行修改。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8.3招标文件的修改将在“扬州市政府采购网”、“江苏省政府采购网”公布，补充文件将作为招标文件的组成部分，并对投标人具有约束力。</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9、投标文件的语言、度量衡单位、货币</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9.3投标人应使用人民币报价。</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10、投标文件构成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10.1投标文件由以下部分组成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（1）资格审查响应对照表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（2）符合性审查响应对照表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（3）非实质性响应对照表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（4）开标一览表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（5）分项报价表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（6）技术参数响应及偏离表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（7）商务条款响应及偏离表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（8）其他 （投标人认为有必要提供的声明和文件，如有自拟并自行添加）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11、证明投标人资格及符合招标文件规定的文件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11.1投标人应按要求提交资格证明文件及符合招标文件规定的文件。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11.2投标人应提交证明其有资格参加投标和中标后有能力独立履行合同的文件。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11.3投标人除必须具有履行合同所需提供的产品或服务的能力外，还必须具备相应的财务、技术方面的能力。</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11.4投标人应提交根据合同要求提供的证明服务质量合格以及符合招标文件规定的证明文件。</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11.5证明投标人所提供服务与招标文件的要求相一致的文件可以是手册、图纸、文字资料和数据。</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w:t>
      </w:r>
      <w:r>
        <w:rPr>
          <w:rFonts w:hint="eastAsia" w:ascii="宋体" w:hAnsi="宋体" w:eastAsia="宋体" w:cs="宋体"/>
          <w:b/>
          <w:bCs/>
          <w:color w:val="auto"/>
          <w:sz w:val="21"/>
          <w:szCs w:val="21"/>
          <w:highlight w:val="none"/>
        </w:rPr>
        <w:t xml:space="preserve">分项报价表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12.2 标的物</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采购人需求的服务供应、安装，调试及有关技术服务等。</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12.3其它费用处理</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招标文件未列明，而投标人认为必需的费用也需列入报价。</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12.4投标货币</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13、技术参数响应及偏离表、商务条款响应及偏离表及投标货物说明</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13.1 对招标文件中的技术与商务条款要求逐项作出响应或偏离，并说明原因；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13.2 提供参加本项目类似案例简介；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 培训计划；</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 投标人认为需要的其他技术文件或说明。</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14、服务承诺及售后服务机构、人员的情况介绍</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14.1投标人的服务承诺应按不低于招标文件中商务要求的标准。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15、投标函和开标一览表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 投标人应按照招标文件中提供的格式完整、正确填写投标函、开标一览表。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16、投标有效期</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38" w:name="_Toc20823297"/>
      <w:r/>
      <w:bookmarkStart w:id="39" w:name="_Toc16938541"/>
      <w:r/>
      <w:bookmarkStart w:id="40" w:name="_Toc513029225"/>
      <w:r/>
      <w:bookmarkStart w:id="41" w:name="_Toc462564084"/>
      <w:r>
        <w:rPr>
          <w:rFonts w:hint="eastAsia" w:ascii="宋体" w:hAnsi="宋体" w:eastAsia="宋体" w:cs="宋体"/>
          <w:b/>
          <w:color w:val="auto"/>
          <w:sz w:val="21"/>
          <w:szCs w:val="21"/>
          <w:highlight w:val="none"/>
        </w:rPr>
        <w:t xml:space="preserve">17、投标文件</w:t>
      </w:r>
      <w:bookmarkEnd w:id="38"/>
      <w:r/>
      <w:bookmarkEnd w:id="39"/>
      <w:r/>
      <w:bookmarkEnd w:id="40"/>
      <w:r/>
      <w:bookmarkEnd w:id="41"/>
      <w:r>
        <w:rPr>
          <w:rFonts w:hint="eastAsia" w:ascii="宋体" w:hAnsi="宋体" w:eastAsia="宋体" w:cs="宋体"/>
          <w:b/>
          <w:color w:val="auto"/>
          <w:sz w:val="21"/>
          <w:szCs w:val="21"/>
          <w:highlight w:val="none"/>
        </w:rPr>
        <w:t xml:space="preserve">的递交</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17.7各投标人应在规定时间内凭CA证书进行网上解密。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18、投标截止日期</w:t>
      </w:r>
      <w:bookmarkEnd w:id="42"/>
      <w:r/>
      <w:bookmarkEnd w:id="43"/>
      <w:r/>
      <w:bookmarkEnd w:id="44"/>
      <w:r/>
      <w:r/>
    </w:p>
    <w:p>
      <w:pPr>
        <w:ind w:left="0" w:firstLine="420"/>
        <w:keepLines w:val="0"/>
        <w:keepNext w:val="0"/>
        <w:pageBreakBefore w:val="0"/>
        <w:spacing w:line="440" w:lineRule="exact"/>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45" w:name="_Toc513029227"/>
      <w:r/>
      <w:bookmarkStart w:id="46" w:name="_Toc16938543"/>
      <w:r/>
      <w:bookmarkStart w:id="47" w:name="_Toc20823299"/>
      <w:r>
        <w:rPr>
          <w:rFonts w:hint="eastAsia" w:ascii="宋体" w:hAnsi="宋体" w:eastAsia="宋体" w:cs="宋体"/>
          <w:b/>
          <w:color w:val="auto"/>
          <w:sz w:val="21"/>
          <w:szCs w:val="21"/>
          <w:highlight w:val="none"/>
        </w:rPr>
        <w:t xml:space="preserve">19、投标文件</w:t>
      </w:r>
      <w:bookmarkEnd w:id="45"/>
      <w:r/>
      <w:bookmarkEnd w:id="46"/>
      <w:r/>
      <w:bookmarkEnd w:id="47"/>
      <w:r>
        <w:rPr>
          <w:rFonts w:hint="eastAsia" w:ascii="宋体" w:hAnsi="宋体" w:eastAsia="宋体" w:cs="宋体"/>
          <w:b/>
          <w:color w:val="auto"/>
          <w:sz w:val="21"/>
          <w:szCs w:val="21"/>
          <w:highlight w:val="none"/>
        </w:rPr>
        <w:t xml:space="preserve">的拒收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19.1代理机构拒绝接收在其规定的投标截止时间后上传的任何投标文件。</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48" w:name="_Toc20823300"/>
      <w:r/>
      <w:bookmarkStart w:id="49" w:name="_Toc513029228"/>
      <w:r/>
      <w:bookmarkStart w:id="50" w:name="_Toc16938544"/>
      <w:r>
        <w:rPr>
          <w:rFonts w:hint="eastAsia" w:ascii="宋体" w:hAnsi="宋体" w:eastAsia="宋体" w:cs="宋体"/>
          <w:b/>
          <w:color w:val="auto"/>
          <w:sz w:val="21"/>
          <w:szCs w:val="21"/>
          <w:highlight w:val="none"/>
        </w:rPr>
        <w:t xml:space="preserve">20、投标文件的撤回和修改</w:t>
      </w:r>
      <w:bookmarkEnd w:id="48"/>
      <w:r/>
      <w:bookmarkEnd w:id="49"/>
      <w:r/>
      <w:bookmarkEnd w:id="50"/>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投标文件的撤回</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20.1.1 电子投标文件的撤回</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投标人可在投标截止时间前，撤回其电子投标文件，具体操作方法见《操作手册》。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20.1.2 投标人撤回电子投标文件，则认为其不再参与本项目投标活动。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 投标文件的修改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投标人可在投标截止时间前，对其电子投标文件进行修改，具体操作方法见《操作手册》。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20.3 在投标截止时间之后，投标人不得对其电子投标文件作任何修改。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21、开标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21.2投标人不足3家的，不得开标。</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22、评标委员会</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22.1 开标后，代理机构将立即组织评标委员会（以下简称评委会）进行评标。</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22.2 评委会由采购人代表和有关技术、经济等方面的专家组成，且人员构成符合政府采购有关规定。</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22.3评委会独立工作，负责评审所有投标文件并确定中标候选人。</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23、评标过程的保密与公正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 在评标期间，代理机构将设专门工作人员与投标人联系。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24、投标的澄清</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24.3 接到评委会澄清要求的投标人如未按规定做出澄清，其风险由投标人自行承担。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25、对投标文件的初审</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25.1投标文件初审分为资格审查和符合性审查。</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（2）大写金额与小写金额不一致的，以大写金额为准。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 投标人在开、评标全过程中应保持通讯畅通，并安排专人与代理机构及评委会联系。</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26、无效投标、废标及投标人不足三家的处理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26.1无效投标条款</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投标人未成功解密电子投标文件的。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投标人未按照招标文件要求上传电子投标文件的。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26.1.3投标人在报价时采用选择性报价的。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26.1.4投标人不具备招标文件中规定资格要求的。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26.1.5投标人的报价超过了采购预算或最高限价的。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26.1.6未通过符合性审查的。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26.1.7不符合招标文件中规定的其他实质性要求和条件的（</w:t>
      </w:r>
      <w:r>
        <w:rPr>
          <w:rFonts w:hint="eastAsia" w:ascii="宋体" w:hAnsi="宋体" w:eastAsia="宋体" w:cs="宋体"/>
          <w:bCs/>
          <w:i/>
          <w:iCs/>
          <w:color w:val="auto"/>
          <w:sz w:val="21"/>
          <w:szCs w:val="21"/>
          <w:highlight w:val="none"/>
          <w:u w:val="single"/>
        </w:rPr>
        <w:t xml:space="preserve">本招标文件中斜体且有下划线部分为实质性要求和条件</w:t>
      </w:r>
      <w:r>
        <w:rPr>
          <w:rFonts w:hint="eastAsia" w:ascii="宋体" w:hAnsi="宋体" w:eastAsia="宋体" w:cs="宋体"/>
          <w:bCs/>
          <w:color w:val="auto"/>
          <w:sz w:val="21"/>
          <w:szCs w:val="21"/>
          <w:highlight w:val="none"/>
        </w:rPr>
        <w:t xml:space="preserve">）。</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26.1.9  投标文件含有采购人不能接受的附加条件的。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26.1.12 投标文件未按照招标文件要求加盖电子签章。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26.1.13其他法律、法规及本招标文件规定的属无效投标的情形。</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26.2废标条款：</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26.2.1符合专业条件的供应商或者对招标文件作实质响应的供应商不足三家的。26.2.2出现影响采购公正的违法、违规行为的。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26.2.3因重大变故，采购任务取消的。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26.2.4评委会认定招标文件存在歧义、重大缺陷导致评审工作无法进行。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 投标截止时间结束后参加投标的供应商不足三家的处理：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27、确定中标单位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27.1评委会根据本招标文件规定评标方法与评标标准向采购人推荐出中标候选人。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采购人应根据评委会推荐的中标候选人确定中标人。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27.3代理机构将在“扬州市政府采购网”、“江苏省政府采购网”发布中标公告，公告期限为1个工作日。</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27.4若有充分证据证明，中标人出现下列情况之一的，一经查实，将被取消中标资格：</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27.4.1提供虚假材料谋取中标的；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27.4.2向采购人、代理机构行贿或者提供其他不正当利益的；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27.4.3恶意竞争，投标总报价明显低于其自身合理成本且又无法提供证明的；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27.4.4属于本文件规定的无效条件，但在评标过程中又未被评委会发现的；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27.4.5与采购人或者其他投标人恶意串通的；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27.4.6采取不正当手段诋毁、排挤其他供应商的；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27.4.7不符合法律、法规的规定的。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 有下列情形之一的，视为投标人串通投标，投标无效：</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27.5.1不同投标人的投标文件由同一单位或者个人编制。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27.5.2不同投标人委托同一单位或者个人办理投标事宜。</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27.5.3 不同投标人的投标文件载明的项目管理成员或者联系人员为同一人。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27.5.4不同投标人的投标文件异常一致或者投标报价呈规律性差异。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27.5.5不同投标人的投标文件相互混装。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28、质疑处理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对项目需求部分的质疑，潜在供应商应向采购人提出，由采购人负责答复。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28.2.2对采购过程提出质疑的，为各采购程序环节结束之日起7个工作日内提出。</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28.2.3对中标结果提出质疑的，为中标结果公告期限届满之日起7个工作日内提出。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28.5 代理机构及采购人只接收以纸质原件形式送达的质疑，</w:t>
      </w:r>
      <w:r>
        <w:rPr>
          <w:rFonts w:hint="eastAsia" w:ascii="宋体" w:hAnsi="宋体" w:eastAsia="宋体" w:cs="宋体"/>
          <w:b/>
          <w:color w:val="auto"/>
          <w:sz w:val="21"/>
          <w:szCs w:val="21"/>
          <w:highlight w:val="none"/>
          <w:u w:val="single"/>
        </w:rPr>
        <w:t xml:space="preserve">同时需与采购代理机构经办人确认是否收到《质疑函》，如供应商未按上述要求去做，将自行承担所产生的风险。</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采购人质疑接收人及联系方式见招标文件第一章。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28.7质疑人应当在法定质疑期限内进行补正并重新提交质疑函。</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 以下情形的质疑不予受理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28.8.1 内容不符合《政府采购质疑和投诉办法》第十二条规定的质疑。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28.8.2 超出政府采购法定期限的质疑。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28.8.3 以传真、电子邮件等方式递交的非原件形式的质疑。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29.l 中标结果确定后，代理机构将向中标人发出中标通知书。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 签订合同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30.l中标人应在中标通知书发出之日起十五日内，按照招标文件确定的事项与采购人签订政府采购合同。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30.3 合同在“政府采购管理交易系统（苏采云）”中签订，签订合同后，</w:t>
      </w:r>
      <w:r>
        <w:rPr>
          <w:rFonts w:hint="eastAsia" w:ascii="宋体" w:hAnsi="宋体" w:eastAsia="宋体" w:cs="宋体"/>
          <w:bCs/>
          <w:i/>
          <w:iCs/>
          <w:color w:val="auto"/>
          <w:sz w:val="21"/>
          <w:szCs w:val="21"/>
          <w:highlight w:val="none"/>
          <w:u w:val="single"/>
        </w:rPr>
        <w:t xml:space="preserve">中标人不得将货物或服务及其他服务进行转包</w:t>
      </w:r>
      <w:r>
        <w:rPr>
          <w:rFonts w:hint="eastAsia" w:ascii="宋体" w:hAnsi="宋体" w:eastAsia="宋体" w:cs="宋体"/>
          <w:bCs/>
          <w:color w:val="auto"/>
          <w:sz w:val="2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31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其他</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62"/>
        <w:jc w:val="center"/>
        <w:rPr>
          <w:rFonts w:hint="eastAsia" w:ascii="宋体" w:hAnsi="宋体"/>
          <w:color w:val="auto"/>
          <w:szCs w:val="36"/>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62"/>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90"/>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扬州市政府采购合同（服务)（合同编号）（包号）</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扬州市市场监督管理局2025年扬州市“一老一小”食品安全专项抽检</w:t>
      </w:r>
      <w:r>
        <w:rPr>
          <w:rFonts w:hint="eastAsia" w:hAnsi="宋体"/>
          <w:color w:val="auto"/>
          <w:sz w:val="21"/>
          <w:highlight w:val="none"/>
        </w:rPr>
        <w:t xml:space="preserve">项目               </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JSZC-321000-HCZX-G2024-00120</w:t>
      </w:r>
      <w:r>
        <w:rPr>
          <w:rFonts w:hint="eastAsia" w:hAnsi="宋体"/>
          <w:color w:val="auto"/>
          <w:sz w:val="21"/>
          <w:highlight w:val="none"/>
        </w:rPr>
        <w:t xml:space="preserve">号</w:t>
      </w:r>
      <w:r/>
    </w:p>
    <w:p>
      <w:pPr>
        <w:pStyle w:val="99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扬州市市场监督管理局</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江苏汇诚投资咨询管理有限公司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990"/>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990"/>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本合同金额为（大写）：________圆（__________元）人民币。</w:t>
      </w:r>
      <w:r/>
    </w:p>
    <w:p>
      <w:pPr>
        <w:pStyle w:val="990"/>
        <w:ind w:firstLine="420"/>
        <w:spacing w:before="120" w:after="120" w:line="360" w:lineRule="auto"/>
        <w:rPr>
          <w:rFonts w:hint="default" w:hAnsi="宋体" w:eastAsia="宋体"/>
          <w:color w:val="auto"/>
          <w:sz w:val="21"/>
          <w:highlight w:val="none"/>
          <w:u w:val="none"/>
          <w:lang w:val="en-US" w:eastAsia="zh-CN"/>
        </w:rPr>
      </w:pPr>
      <w:r>
        <w:rPr>
          <w:rFonts w:hint="eastAsia" w:hAnsi="宋体"/>
          <w:color w:val="auto"/>
          <w:sz w:val="21"/>
          <w:highlight w:val="none"/>
          <w:lang w:val="en-US" w:eastAsia="zh-CN"/>
        </w:rPr>
        <w:t xml:space="preserve">2.2 本合同单价折扣为：</w:t>
      </w:r>
      <w:r>
        <w:rPr>
          <w:rFonts w:hint="eastAsia" w:hAnsi="宋体"/>
          <w:color w:val="auto"/>
          <w:sz w:val="21"/>
          <w:highlight w:val="none"/>
          <w:u w:val="single"/>
          <w:lang w:val="en-US" w:eastAsia="zh-CN"/>
        </w:rPr>
        <w:t xml:space="preserve">          </w:t>
      </w:r>
      <w:r>
        <w:rPr>
          <w:rFonts w:hint="eastAsia" w:hAnsi="宋体"/>
          <w:color w:val="auto"/>
          <w:sz w:val="21"/>
          <w:highlight w:val="none"/>
          <w:u w:val="none"/>
          <w:lang w:val="en-US" w:eastAsia="zh-CN"/>
        </w:rPr>
        <w:t xml:space="preserve">%</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90"/>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90"/>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90"/>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90"/>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8.1 服务期：</w:t>
      </w:r>
      <w:r>
        <w:rPr>
          <w:rFonts w:hint="eastAsia" w:hAnsi="宋体"/>
          <w:color w:val="auto"/>
          <w:sz w:val="21"/>
          <w:highlight w:val="none"/>
          <w:u w:val="single"/>
          <w:lang w:val="en-US" w:eastAsia="zh-CN"/>
        </w:rPr>
        <w:t xml:space="preserve">2025年12月20日前完成抽检服务</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9.1 交付期：</w:t>
      </w:r>
      <w:r>
        <w:rPr>
          <w:rFonts w:hint="eastAsia" w:hAnsi="宋体"/>
          <w:color w:val="auto"/>
          <w:sz w:val="21"/>
          <w:highlight w:val="none"/>
          <w:u w:val="single"/>
        </w:rPr>
        <w:t xml:space="preserve">每份报告20个工作日内出具，所有报告202</w:t>
      </w:r>
      <w:r>
        <w:rPr>
          <w:rFonts w:hint="eastAsia" w:hAnsi="宋体"/>
          <w:color w:val="auto"/>
          <w:sz w:val="21"/>
          <w:highlight w:val="none"/>
          <w:u w:val="single"/>
          <w:lang w:val="en-US" w:eastAsia="zh-CN"/>
        </w:rPr>
        <w:t xml:space="preserve">5</w:t>
      </w:r>
      <w:r>
        <w:rPr>
          <w:rFonts w:hint="eastAsia" w:hAnsi="宋体"/>
          <w:color w:val="auto"/>
          <w:sz w:val="21"/>
          <w:highlight w:val="none"/>
          <w:u w:val="single"/>
        </w:rPr>
        <w:t xml:space="preserve">年12月20日前出具。</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w:t>
      </w:r>
      <w:r>
        <w:rPr>
          <w:rFonts w:hint="eastAsia" w:ascii="宋体" w:hAnsi="宋体" w:eastAsia="宋体"/>
          <w:color w:val="auto"/>
          <w:sz w:val="21"/>
          <w:highlight w:val="none"/>
          <w:u w:val="single"/>
        </w:rPr>
        <w:t xml:space="preserve">在国家二级站提交全部检测报告数据，任务完成后三日内报送检测分析报告、全要素汇总表、PDF格式检测报告供存档。</w:t>
      </w:r>
      <w:r/>
    </w:p>
    <w:p>
      <w:pPr>
        <w:pStyle w:val="990"/>
        <w:ind w:firstLine="420"/>
        <w:spacing w:before="120" w:after="120" w:line="360" w:lineRule="auto"/>
        <w:rPr>
          <w:rFonts w:hint="eastAsia" w:ascii="宋体" w:hAnsi="宋体" w:eastAsia="宋体"/>
          <w:color w:val="auto"/>
          <w:sz w:val="21"/>
          <w:highlight w:val="none"/>
          <w:u w:val="single"/>
        </w:rPr>
      </w:pPr>
      <w:r>
        <w:rPr>
          <w:rFonts w:hint="eastAsia" w:hAnsi="宋体"/>
          <w:color w:val="auto"/>
          <w:sz w:val="21"/>
          <w:highlight w:val="none"/>
        </w:rPr>
        <w:t xml:space="preserve">9.3 交付地点：</w:t>
      </w:r>
      <w:r>
        <w:rPr>
          <w:rFonts w:hint="eastAsia" w:ascii="宋体" w:hAnsi="宋体" w:eastAsia="宋体"/>
          <w:color w:val="auto"/>
          <w:sz w:val="21"/>
          <w:highlight w:val="none"/>
          <w:u w:val="single"/>
        </w:rPr>
        <w:t xml:space="preserve">甲方指定地点</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90"/>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10.3 甲方付款方式：</w:t>
      </w:r>
      <w:r/>
    </w:p>
    <w:p>
      <w:pPr>
        <w:pStyle w:val="990"/>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合同签订后（财政资金拨付到位），乙方向甲方开具发票，甲方自收到发票之日起</w:t>
      </w:r>
      <w:r>
        <w:rPr>
          <w:rFonts w:hint="eastAsia" w:hAnsi="宋体" w:cs="宋体"/>
          <w:color w:val="auto"/>
          <w:sz w:val="21"/>
          <w:szCs w:val="21"/>
          <w:highlight w:val="none"/>
          <w:lang w:val="en-US" w:eastAsia="zh-CN"/>
        </w:rPr>
        <w:t xml:space="preserve">10个工作日</w:t>
      </w:r>
      <w:r>
        <w:rPr>
          <w:rFonts w:hint="eastAsia" w:ascii="宋体" w:hAnsi="宋体" w:eastAsia="宋体" w:cs="宋体"/>
          <w:color w:val="auto"/>
          <w:sz w:val="21"/>
          <w:szCs w:val="21"/>
          <w:highlight w:val="none"/>
        </w:rPr>
        <w:t xml:space="preserve">内支付合同总价的30%；</w:t>
      </w:r>
      <w:r/>
    </w:p>
    <w:p>
      <w:pPr>
        <w:pStyle w:val="990"/>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全部检验任务完成后报送检测分析报告、全要素汇总表、PDF格式检测报告，经检查合格出具项目验收报告后，乙方向甲方开具发票，甲方自收到发票之日起</w:t>
      </w:r>
      <w:r>
        <w:rPr>
          <w:rFonts w:hint="eastAsia" w:hAnsi="宋体" w:cs="宋体"/>
          <w:color w:val="auto"/>
          <w:sz w:val="21"/>
          <w:szCs w:val="21"/>
          <w:highlight w:val="none"/>
          <w:lang w:val="en-US" w:eastAsia="zh-CN"/>
        </w:rPr>
        <w:t xml:space="preserve">10个工作日</w:t>
      </w:r>
      <w:r>
        <w:rPr>
          <w:rFonts w:hint="eastAsia" w:ascii="宋体" w:hAnsi="宋体" w:eastAsia="宋体" w:cs="宋体"/>
          <w:color w:val="auto"/>
          <w:sz w:val="21"/>
          <w:szCs w:val="21"/>
          <w:highlight w:val="none"/>
        </w:rPr>
        <w:t xml:space="preserve">内支付合同总价的70%。</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江苏汇诚投资咨询管理有限公司</w:t>
      </w:r>
      <w:r>
        <w:rPr>
          <w:rFonts w:hint="eastAsia" w:hAnsi="宋体"/>
          <w:color w:val="auto"/>
          <w:sz w:val="21"/>
          <w:highlight w:val="none"/>
        </w:rPr>
        <w:t xml:space="preserve">见证盖章后生效。</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89"/>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扬州市市场监督管理局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地址： 扬州市邗江区文昌西路525号</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江苏汇诚投资咨询管理有限公司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9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62"/>
        <w:numPr>
          <w:ilvl w:val="0"/>
          <w:numId w:val="0"/>
        </w:numPr>
        <w:jc w:val="center"/>
        <w:spacing w:line="240" w:lineRule="auto"/>
        <w:rPr>
          <w:color w:val="auto"/>
          <w:highlight w:val="none"/>
        </w:rPr>
      </w:pPr>
      <w:r>
        <w:rPr>
          <w:rFonts w:hint="eastAsia"/>
          <w:color w:val="auto"/>
          <w:highlight w:val="none"/>
          <w:lang w:val="en-US" w:eastAsia="zh-CN"/>
        </w:rPr>
        <w:t xml:space="preserve">第四章 </w:t>
      </w:r>
      <w:r>
        <w:rPr>
          <w:rFonts w:hint="eastAsia"/>
          <w:color w:val="auto"/>
          <w:highlight w:val="none"/>
        </w:rPr>
        <w:t xml:space="preserve">项目需求</w:t>
      </w:r>
      <w:r/>
    </w:p>
    <w:p>
      <w:pPr>
        <w:rPr>
          <w:color w:val="auto"/>
          <w:highlight w:val="none"/>
        </w:rPr>
      </w:pPr>
      <w:r>
        <w:rPr>
          <w:color w:val="auto"/>
          <w:highlight w:val="none"/>
        </w:rPr>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一、项目简介</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为确保扬州市2025年扬州市“一</w:t>
      </w:r>
      <w:r>
        <w:rPr>
          <w:rFonts w:hint="eastAsia" w:ascii="宋体" w:hAnsi="宋体" w:eastAsia="宋体" w:cs="宋体"/>
          <w:color w:val="auto"/>
          <w:sz w:val="21"/>
          <w:szCs w:val="21"/>
          <w:highlight w:val="none"/>
        </w:rPr>
        <w:t xml:space="preserve">老一小”食品安全专项监督抽检工作顺利开展，现向全国范围内进行检测机构资质公开招标，入围的检测机构有资格承担入围后2025年扬州市“一老一小”食品安全专项监督抽检工作。本次招标只招承担扬州市市场监督管理局2025年扬州市扬州市“一老一小”食品安全专项抽检任务的承检机构资格。抽检承检服务内容:负责扬州全市学校食堂、学校集中用餐配送单位、学校食材供货商以及敬老院食堂等场所的抽检，抽检品类依据国家市场监督管理总局核准的粮食及粮食制品、蔬菜及其制品、水果及其制品、水产品及其制品、食用油(油脂)及其制品等33大类产品。</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二、项目要求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1、基本要求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1.1严格遵守《中华人民共和国食品安全法》、《食品安全抽样检验管理办法》等相关法律、法规、规章的规定。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1.2按照国家法律、法规、国家标准规定和采购人要求开展抽样、检验等各项任务，并根据承担的检验任务出具检验实施方案交采购人审查确定。 </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服务步骤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中标供应商应按以下主要步骤开展相关工作：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.1由采购方根据对应分包中标供应商确定该承检机构承担的检测范围；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承检机构负责抽样；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.3承检机构负责检验、检验报告出具以及检验结果的确认；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.4承检机构负责通过</w:t>
      </w:r>
      <w:bookmarkStart w:id="53" w:name="_Hlk86768829"/>
      <w:r>
        <w:rPr>
          <w:rFonts w:hint="eastAsia" w:ascii="宋体" w:hAnsi="宋体" w:eastAsia="宋体" w:cs="宋体"/>
          <w:color w:val="auto"/>
          <w:sz w:val="21"/>
          <w:szCs w:val="21"/>
          <w:highlight w:val="none"/>
        </w:rPr>
        <w:t xml:space="preserve">采购人指定系统</w:t>
      </w:r>
      <w:bookmarkEnd w:id="53"/>
      <w:r>
        <w:rPr>
          <w:rFonts w:hint="eastAsia" w:ascii="宋体" w:hAnsi="宋体" w:eastAsia="宋体" w:cs="宋体"/>
          <w:color w:val="auto"/>
          <w:sz w:val="21"/>
          <w:szCs w:val="21"/>
          <w:highlight w:val="none"/>
        </w:rPr>
        <w:t xml:space="preserve">录入上传数据；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.5承检机构负责协助采购人办理异议处理和复检工作；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.6承检机构负责汇总材料及上报；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.7承检机构负责协助拟定、发布公告。</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服务内容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承检机构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承检机构应当收集分析抽检监测中遇到的各类问题并加以研究分析，在报告中提出有关制度性建设性的建议，能够有助于食品安全标准、食品补充检验方法或食品快速检测方法等制度修订与研究。</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.4承检机构应建立抽检合格备份样品再利用工作机制，并积极开展抽检合格备份样品再利用管理工作。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承检机构应按照采购方要求及时通过采购人指定系统上传录入数据。</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三、服务要求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严格按照《国家食品安全监督抽检实施细则》（最新版）规定的检验方法进行检验，不得擅自变更检验方法、增加或者减少检验项目，不得擅自修改判定原则，承检机构对其出具的检验报告的真实性和准确性负责。采购人通过现场检查和留样再测考核等方式对各承检机构所做出的检验数据进行考核，发现存在上述问题或者弄虚作假、擅自修改检验数据等情形的，将取消承检机构的食品抽检任务资格，并对所造成的损失和不良影响承担法律责任，剩余任务由采购人分配给其他承检机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2、投标人应制定明确规范、科学有效的内控制度，明确各岗位业务操作规范和操作流程，涵盖采样、送检、检测、复核、签署报告、录入信息、上报结果、发布公告等业务流程涉及的所有环节。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3、中标供应商按照法律法规和采购人要求抽样并完成检测任务后，所有备样不得自行处置，按采购人有关备样处置的要求处置。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4、投标人对抽检信息、数据等负有保密义务，未经采购人授权，不得向除采购人外的任何单位与个人透露任何信息。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5、检验项目由采购人确定，投标人应按照采购人要求，及时将抽样检验相关资料准确录入采购人指定的信息管理系统。</w:t>
      </w:r>
      <w:r/>
    </w:p>
    <w:p>
      <w:pPr>
        <w:ind w:firstLine="420"/>
        <w:jc w:val="both"/>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6、抽样检验的工作人员必须为投标人在职员工，投标人不得将检验任务转包给其他检验机构，一经发现，立即终止承检任务。</w:t>
      </w:r>
      <w:r>
        <w:rPr>
          <w:rFonts w:hint="eastAsia" w:ascii="宋体" w:hAnsi="宋体" w:eastAsia="宋体" w:cs="宋体"/>
          <w:b/>
          <w:bCs/>
          <w:color w:val="auto"/>
          <w:sz w:val="21"/>
          <w:szCs w:val="21"/>
          <w:highlight w:val="none"/>
          <w:lang w:val="en-US" w:eastAsia="zh-CN"/>
        </w:rPr>
        <w:t xml:space="preserve">（供应商提供书面承诺函上传响应并加盖投标人公章，格式自拟，内容应完全响应招标文件要求。）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7、投标人应按照采购人要求，严格遵守抽样工作规范，保证抽样工作有效。样品抽取要由专门人员完成，样品运输要符合样品管理规定，鼓励派专人专车送达。</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8、投标人应在规定时间内完成采购人部署的抽样检验工作，必须保证抽检过程公平、公正，依法出具检验报告，汇总样品抽检结果信息，提交抽检工作分析总结报告。出现检验事故的，立即终止承检任务。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为保证抽检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10、若违反抽样、检验、信息披露等相关规定的，采购人有权终止合同，取消中标人承检任务并追究其经济赔偿责任和法律责任。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11、中标人不得拒绝采购人委托的抽检任务，否则视为违约。</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12、采购人有权按服务响应、履约情况、考核情况等因素综合评定后调整服务任务。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★13、中标的承检机构有下列情形之一的，采购人有权终止、解除合同，收回按照合同支付的抽样检验费用，供应商还须赔偿采购人因此遭受的损失：</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bookmarkStart w:id="54" w:name="_Hlk162876826"/>
      <w:r>
        <w:rPr>
          <w:rFonts w:hint="eastAsia" w:ascii="宋体" w:hAnsi="宋体" w:eastAsia="宋体" w:cs="宋体"/>
          <w:color w:val="auto"/>
          <w:sz w:val="21"/>
          <w:szCs w:val="21"/>
          <w:highlight w:val="none"/>
          <w:lang w:val="en-US" w:eastAsia="zh-CN"/>
        </w:rPr>
        <w:t xml:space="preserve">13.1出具虚假检验报告、不实检验报告的；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13.2利用抽样检验工作之便牟取不正当利益的；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13.3违反规定事先通知被抽检食品生产经营者的；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13.4谎报、瞒报、擅自发布食品安全抽样检验信息的；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13.5因自身原因，未按照规定的时限和程序报告不合格检验结论，造成严重后果的；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13.6超资质范围出具检验报告的；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13.7存在物料不平衡情况的；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13.8有其他违法违规行为的。</w:t>
      </w:r>
      <w:bookmarkEnd w:id="54"/>
      <w:r/>
      <w:r/>
    </w:p>
    <w:p>
      <w:pPr>
        <w:ind w:firstLine="422"/>
        <w:keepLines w:val="0"/>
        <w:keepNext w:val="0"/>
        <w:pageBreakBefore w:val="0"/>
        <w:spacing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针对上述★终止、解除合同有关情形，供应商提供书面承诺函上传响应并加盖投标人公章，格式自拟，内容应完全响应招标文件要求。</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、保密要求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2、服务人员不得以任何形式将档案资料（包括纸质档和电子档）带出指定工作现场，不得以任何形式进行泄漏、传播。</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3、供应商应对其服务人员保密义务承担责任，如因其服务人员违反保密义务导致采购人产生损失或支出费用的，采购人有权要求供应商承担责任。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4、供应商及其服务人员的保密期限为永久，不因本项目所签订的文件或合同的终止而终止。</w:t>
      </w:r>
      <w:r/>
    </w:p>
    <w:p>
      <w:pPr>
        <w:ind w:firstLine="422"/>
        <w:jc w:val="both"/>
        <w:keepLines w:val="0"/>
        <w:keepNext w:val="0"/>
        <w:pageBreakBefore w:val="0"/>
        <w:spacing w:after="0" w:line="440" w:lineRule="exact"/>
        <w:widowControl w:val="off"/>
        <w:rPr>
          <w:rFonts w:hint="eastAsia" w:ascii="宋体" w:hAnsi="宋体" w:eastAsia="宋体" w:cs="宋体"/>
          <w:b/>
          <w:bCs w:val="0"/>
          <w:color w:val="auto"/>
          <w:sz w:val="21"/>
          <w:szCs w:val="21"/>
          <w:highlight w:val="none"/>
        </w:rPr>
      </w:pPr>
      <w:r/>
      <w:bookmarkStart w:id="55" w:name="_Hlk86432632"/>
      <w:r>
        <w:rPr>
          <w:rFonts w:hint="eastAsia" w:ascii="宋体" w:hAnsi="宋体" w:eastAsia="宋体" w:cs="宋体"/>
          <w:b/>
          <w:bCs w:val="0"/>
          <w:color w:val="auto"/>
          <w:sz w:val="21"/>
          <w:szCs w:val="21"/>
          <w:highlight w:val="none"/>
        </w:rPr>
        <w:t xml:space="preserve">针对上述保密要求内容，投标人须提供书面承诺函原件并加盖公章，格式自拟，内容应完全响应招标文件要求。</w:t>
      </w:r>
      <w:bookmarkEnd w:id="55"/>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五、服务期限</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服务期限：自合同生效之日起至2025年12月20日</w:t>
      </w:r>
      <w:r/>
    </w:p>
    <w:p>
      <w:pPr>
        <w:ind w:left="0" w:firstLine="422"/>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、项目内容</w:t>
      </w:r>
      <w:r/>
    </w:p>
    <w:p>
      <w:pPr>
        <w:pStyle w:val="1008"/>
        <w:ind w:left="0"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标的物为33个大类、267个食品细类的食品抽检。食品品种抽检基准价格包含了检验费用、抽样费和买样费。（注：抽检品种及项目范围根据国家市场监管总局下发的《2024年食品安全监督抽检实施细则》中规定的2024年食品安全抽检品种、项目表全项目检测开展检测工作。如国家市场监管总局下发的抽检计划有更新，招标人有权按照实际情况进行调整。）</w:t>
      </w:r>
      <w:r/>
    </w:p>
    <w:p>
      <w:pPr>
        <w:pStyle w:val="779"/>
        <w:ind w:left="0" w:firstLine="0"/>
        <w:jc w:val="center"/>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年食品安全监督抽检品种与项目表</w:t>
      </w:r>
      <w:r/>
    </w:p>
    <w:p>
      <w:pPr>
        <w:pStyle w:val="1010"/>
        <w:numPr>
          <w:ilvl w:val="0"/>
          <w:numId w:val="0"/>
        </w:numPr>
        <w:rPr>
          <w:color w:val="auto"/>
          <w:highlight w:val="none"/>
        </w:rPr>
      </w:pPr>
      <w:r>
        <w:rPr>
          <w:color w:val="auto"/>
          <w:highlight w:val="none"/>
        </w:rPr>
      </w:r>
      <w:r/>
    </w:p>
    <w:tbl>
      <w:tblPr>
        <w:tblStyle w:val="789"/>
        <w:tblW w:w="143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36"/>
        <w:gridCol w:w="1176"/>
        <w:gridCol w:w="1116"/>
        <w:gridCol w:w="1344"/>
        <w:gridCol w:w="1248"/>
        <w:gridCol w:w="7463"/>
      </w:tblGrid>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食品大类（一级）</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食品亚类（二级）</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食品品种（三级）</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食品细类 </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风险等级</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抽检项目</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粮食加工品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小麦粉</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小麦粉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小麦粉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镉（以Cd计）、苯并[a]芘、玉米赤霉烯酮、脱氧雪腐镰刀菌烯醇、赭曲霉毒素A、黄曲霉毒素B1、偶氮甲酰胺、过氧化苯甲酰</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大米</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大米</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大米</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铅（以Pb计）、镉（以Cd计）、无机砷（以As计）、苯并[a]芘、黄曲霉毒素B1、赭曲霉毒素A</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挂面</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挂面</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挂面</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铅（以Pb计）、黄曲霉毒素B1、脱氢乙酸及其钠盐（以脱氢乙酸计）、合成着色剂（柠檬黄、日落黄）</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其他粮食加工品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谷物加工品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谷物加工品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 Pb 计）、镉（以Cd计）、黄曲霉毒素B1、赭曲霉毒素A</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谷物碾磨加工品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玉米粉（片、渣）</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苯并</w:t>
            </w:r>
            <w:r>
              <w:rPr>
                <w:rFonts w:hint="eastAsia" w:ascii="宋体" w:hAnsi="宋体" w:eastAsia="宋体" w:cs="宋体"/>
                <w:i w:val="0"/>
                <w:iCs w:val="0"/>
                <w:color w:val="auto"/>
                <w:sz w:val="21"/>
                <w:szCs w:val="21"/>
                <w:highlight w:val="none"/>
                <w:u w:val="none"/>
                <w:lang w:val="en-US" w:eastAsia="zh-CN" w:bidi="ar"/>
              </w:rPr>
              <w:t xml:space="preserve">[a]</w:t>
            </w:r>
            <w:r>
              <w:rPr>
                <w:rStyle w:val="1012"/>
                <w:rFonts w:hint="eastAsia" w:ascii="宋体" w:hAnsi="宋体" w:eastAsia="宋体" w:cs="宋体"/>
                <w:color w:val="auto"/>
                <w:sz w:val="21"/>
                <w:szCs w:val="21"/>
                <w:highlight w:val="none"/>
                <w:lang w:val="en-US" w:eastAsia="zh-CN" w:bidi="ar"/>
              </w:rPr>
              <w:t xml:space="preserve">芘、黄曲霉毒素</w:t>
            </w:r>
            <w:r>
              <w:rPr>
                <w:rFonts w:hint="eastAsia" w:ascii="宋体" w:hAnsi="宋体" w:eastAsia="宋体" w:cs="宋体"/>
                <w:i w:val="0"/>
                <w:iCs w:val="0"/>
                <w:color w:val="auto"/>
                <w:sz w:val="21"/>
                <w:szCs w:val="21"/>
                <w:highlight w:val="none"/>
                <w:u w:val="none"/>
                <w:lang w:val="en-US" w:eastAsia="zh-CN" w:bidi="ar"/>
              </w:rPr>
              <w:t xml:space="preserve">B1</w:t>
            </w:r>
            <w:r>
              <w:rPr>
                <w:rStyle w:val="1012"/>
                <w:rFonts w:hint="eastAsia" w:ascii="宋体" w:hAnsi="宋体" w:eastAsia="宋体" w:cs="宋体"/>
                <w:color w:val="auto"/>
                <w:sz w:val="21"/>
                <w:szCs w:val="21"/>
                <w:highlight w:val="none"/>
                <w:lang w:val="en-US" w:eastAsia="zh-CN" w:bidi="ar"/>
              </w:rPr>
              <w:t xml:space="preserve">、赭曲霉毒素</w:t>
            </w:r>
            <w:r>
              <w:rPr>
                <w:rFonts w:hint="eastAsia" w:ascii="宋体" w:hAnsi="宋体" w:eastAsia="宋体" w:cs="宋体"/>
                <w:i w:val="0"/>
                <w:iCs w:val="0"/>
                <w:color w:val="auto"/>
                <w:sz w:val="21"/>
                <w:szCs w:val="21"/>
                <w:highlight w:val="none"/>
                <w:u w:val="none"/>
                <w:lang w:val="en-US" w:eastAsia="zh-CN" w:bidi="ar"/>
              </w:rPr>
              <w:t xml:space="preserve">A</w:t>
            </w:r>
            <w:r>
              <w:rPr>
                <w:rStyle w:val="1012"/>
                <w:rFonts w:hint="eastAsia" w:ascii="宋体" w:hAnsi="宋体" w:eastAsia="宋体" w:cs="宋体"/>
                <w:color w:val="auto"/>
                <w:sz w:val="21"/>
                <w:szCs w:val="21"/>
                <w:highlight w:val="none"/>
                <w:lang w:val="en-US" w:eastAsia="zh-CN" w:bidi="ar"/>
              </w:rPr>
              <w:t xml:space="preserve">、玉米赤霉烯酮、脱氧雪腐镰刀菌烯醇</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米粉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铅（以Pb计）、镉（以Cd计）、总汞（以Hg计）、无机砷（以As计）、苯并[a]芘</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其他谷物碾磨加工品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铅（以Pb计）、铬（以Cr计）、赭曲霉毒素A</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谷物粉类制成品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生湿面制品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铅（以Pb计）、苯甲酸及其钠盐（以苯甲酸计）、山梨酸及其钾盐（以山梨酸计）、脱氢乙酸及其钠盐（以脱氢乙酸计）、二氧化硫残留量、柠檬黄</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发酵面制品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糖精钠（以糖精计）、甜蜜素（以环己基氨基磺酸计）、安赛蜜、合成着色剂（柠檬黄、胭脂红）、菌落总数、大肠菌群、沙门氏菌、金黄色葡萄球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米粉制品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苯甲酸及其钠盐（以苯甲酸计）、山梨酸及其钾盐（以山梨酸计）、脱氢乙酸及其钠盐（以脱氢乙酸计）、二氧化硫残留量、菌落总数、大肠菌群、沙门氏菌、金黄色葡萄球菌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粮食加工品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其他粮食加工品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谷物粉类制成品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其他谷物粉类制成品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黄曲霉毒素B1、苯甲酸及其钠盐（以苯甲酸计）、山梨酸及其钾盐（以山梨酸计）、脱氢乙酸及其钠盐（以脱氢乙酸计）、菌落总数、大肠菌群、沙门氏菌、金黄色葡萄球菌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食用植物油</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食用植物油</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花生油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酸值/酸价、过氧化值、黄曲霉毒素B1、铅（以Pb计）、苯并[a]芘、溶剂残留量、特丁基对苯二酚（TBHQ）</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玉米油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酸值/酸价、过氧化值、黄曲霉毒素B1、铅（以Pb计）、苯并[a]芘、特丁基对苯二酚（TBHQ）</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芝麻油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酸值/酸价、过氧化值、铅（以Pb计）、苯并[a]芘、溶剂残留量、乙基麦芽酚</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橄榄油、油橄榄果渣油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酸值/酸价、过氧化值、铅（以Pb计）、溶剂残留量、特丁基对苯二酚（TBHQ）</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菜籽油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酸值/酸价、过氧化值、铅（以Pb计）、苯并[a]芘、溶剂残留量、特丁基对苯二酚（TBHQ）、乙基麦芽酚</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大豆油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食用植物调和油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酸价、过氧化值、铅（以Pb计）、苯并[a]芘、溶剂残留量、特丁基对苯二酚（TBHQ）、乙基麦芽酚</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油茶籽油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其他食用植物油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食用动物油脂</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食用动物油脂</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食用动物油脂</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酸价、过氧化值、丙二醛、铅（以Pb计）、苯并[a]芘</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食用油脂制品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食用油脂制品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食用油脂制品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酸价（以脂肪计）、过氧化值（以脂肪计）、铅（以Pb计）、大肠菌群、霉菌</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酱油</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酱油</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食醋</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食醋</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食醋</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酱类</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黄豆酱、甜面酱等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黄曲霉毒素B1、苯甲酸及其钠盐（以苯甲酸计）、山梨酸及其钾盐（以山梨酸计）、脱氢乙酸及其钠盐（以脱氢乙酸计）、防腐剂混合使用时各自用量占其最大使用量的比例之和、糖精钠（以糖精计）、三氯蔗糖、甜蜜素（以环己基氨基磺酸计）、安赛蜜、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调味料酒</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料酒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氨基酸态氮（以氮计）、苯甲酸及其钠盐（以苯甲酸计）、山梨酸及其钾盐（以山梨酸计）、脱氢乙酸及其钠盐（以脱氢乙酸计）、糖精钠（以糖精计）、甜蜜素（以环己基氨基磺酸计）、三氯蔗糖</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香辛料类</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香辛料类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香辛料调味油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酸价/酸值、过氧化值、铅（以Pb计）</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辣椒、花椒、辣椒粉、花椒粉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铅（以Pb计）、罗丹明B、苏丹红Ⅰ、苏丹红Ⅱ、苏丹用Ⅲ、苏丹红Ⅳ、脱氢乙酸及其钠盐（以脱氢乙酸计）、二氧化硫残留量、合成着色剂（柠檬黄、日落黄、胭脂红）、沙门氏菌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其他香辛料调味品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脱氢乙酸及其钠盐（以脱氢乙酸计）、二氧化硫残留量、甜蜜素（以环己基氨基磺酸计）、合成着色剂（柠檬黄、日落黄、苋菜红、胭脂红、亮蓝）、丙溴磷、氯氰菊酯和高效氯氰菊酯、多菌灵、沙门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固体复合调味料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鸡粉、鸡精调味料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谷氨酸钠、呈味核苷酸二钠、铅（以Pb计）、糖精钠（以糖精计）、甜蜜素（以环己基氨基磺酸计）、菌落总数、大肠菌群</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固体复合调味料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其他固体调味料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苏丹红Ⅰ、苏丹红Ⅱ、苏丹用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半固体复合调味料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蛋黄酱、沙拉酱</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二氧化钛</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坚果与籽类的泥（酱）</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酸价/酸值、过氧化值、铅（以Pb计）、黄曲霉毒素B1</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辣椒酱</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甜蜜素（以环己基氨基磺酸计）、二氧化硫残留量</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火锅底料、麻辣烫底料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罂粟碱、吗啡、可待因、那可丁、苯甲酸及其钠盐（以苯甲酸计）、山梨酸及其钾盐（以山梨酸计）、脱氢乙酸及其钠盐（以脱氢乙酸计）、防腐剂混合使用时各自用量占其最大使用量的比例之和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其他半固体调味料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罗丹明B、罂粟碱、吗啡、可待因、那可丁、苯甲酸及其钠盐（以苯甲酸计）、山梨酸及其钾盐（以山梨酸计）、脱氢乙酸及其钠盐（以脱氢乙酸计）、防腐剂混合使用时各自用量占其最大使用量的比例之和、甜蜜素（以环己基氨基磺酸计）、安赛蜜</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液体复合调味料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蚝油、虾油、鱼露</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氨基酸态氮、苯甲酸及其钠盐（以苯甲酸计）、山梨酸及其钾盐（以山梨酸计）、脱氢乙酸及其钠盐（以脱氢乙酸计）、防腐剂混合使用时各自用量占其最大使用量的比例之和、菌落总数、大肠菌群</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其他液体调味料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味精</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味精</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味精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谷氨酸钠</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食盐</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食用盐</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普通食用盐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氯化钠、钡（以Ba计）、碘（以I计）、铅（以Pb计）、总砷（以As计）、镉（以Cd计）、总汞（以Hg计）、亚铁氰化钾/亚铁氰化钠（以亚铁氰根计）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低钠食用盐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氯化钾、钡（以Ba计）、碘（以I计）、铅（以Pb计）、总砷（以As计）、镉（以Cd计）、总汞（以Hg计）、亚铁氰化钾/亚铁氰化钠（以亚铁氰根计）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风味食用盐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钡（以Ba计）、铅（以Pb计）、总砷（以As计）、镉（以Cd计）、总汞（以Hg计）、亚铁氰化钾/亚铁氰化钠（以亚铁氰根计）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特殊工艺食用盐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氯化钠、钡（以Ba计）、碘（以I计）、铅（以Pb计）、总砷（以As计）、镉（以Cd计）、总汞（以Hg计）、亚铁氰化钾/亚铁氰化钠（以亚铁氰根计）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食品生产加工用盐</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食品生产加工用盐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铅（以Pb计）、总砷（以As计）、镉（以Cd计）、总汞（以Hg计）、亚铁氰化钾/亚铁氰化钠（以亚铁氰根计）、亚硝酸盐（以NaNO2计）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肉制品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预制肉制品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调理肉制品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调理肉制品（非速冻）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铅（以Pb计）、苯甲酸及其钠盐（以苯甲酸计）、山梨酸及其钾盐（以山梨酸计）、脱氢乙酸及其钠盐（以脱氢乙酸计）、氯霉素</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腌腊肉制品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腌腊肉制品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过氧化值（以脂肪计）、铅（以Pb计）、总砷（以As计）、亚硝酸盐（以亚硝酸钠计）、苯甲酸及其钠盐（以苯甲酸计）、山梨酸及其钾盐（以山梨酸计）、胭脂红、诱惑红、苋菜红、酸性红、氯霉素</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亚硝酸盐（以亚硝酸钠计）、纳他霉素、氯霉素、大肠菌群、沙门氏菌、金黄色葡萄球菌、单核细胞增生李斯特氏菌、致泻大肠埃希氏菌</w:t>
            </w:r>
            <w:r/>
          </w:p>
        </w:tc>
      </w:tr>
      <w:tr>
        <w:trPr>
          <w:jc w:val="center"/>
          <w:trHeight w:val="137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酱卤肉制品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酱卤肉制品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铬（以Cr计）、总砷（以As计）、N-二甲基亚硝胺、亚硝酸盐（以亚硝酸钠计）、苯甲酸及其钠盐（以苯甲酸计）、山梨酸及其钾盐（以山梨酸计）、脱氢乙酸及其钠盐（以脱氢乙酸计）、纳他霉素、防腐剂混合使用时各自用量占其最大使用量的比例之和、柠檬黄、日落黄、胭脂红、糖精钠（以糖精计）、氯霉素、酸性橙Ⅱ、菌落总数、大肠菌群、沙门氏菌、金黄色葡萄球菌、单核细胞增生李斯特氏菌、致泻大肠埃希氏菌、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肉制品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油炸肉制品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油炸肉制品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N-二甲基亚硝胺、亚硝酸盐（以亚硝酸钠计）、苯甲酸及其钠盐（以苯甲酸计）、山梨酸及其钾盐（以山梨酸计）、沙门氏菌、金黄色葡萄球菌、单核细胞增生李斯特氏菌、致泻大肠埃希氏菌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熟肉干制品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熟肉干制品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铬（以Cr计）、N-二甲基亚硝胺、苯甲酸及其钠盐（以苯甲酸计）、山梨酸及其钾盐（以山梨酸计）、脱氢乙酸及其钠盐（以脱氢乙酸计）、防腐剂混合使用时各自用量占其最大使用量的比例之和、胭脂红、氯霉素、菌落总数、大肠菌群、沙门氏菌、金黄色葡萄球菌、单核细胞增生李斯特氏菌、致泻大肠埃希氏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熏烧烤肉制品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熏烧烤肉制品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并[a]芘、N-二甲基亚硝胺、亚硝酸盐（以亚硝酸钠计）、苯甲酸及其钠盐（以苯甲酸计）、山梨酸及其钾盐（以山梨酸计）、纳他霉素、糖精钠（以糖精计）、柠檬黄、日落黄、胭脂红、氯霉素、菌落总数、大肠菌群、沙门氏菌、金黄色葡萄球菌、单核细胞增生李斯特氏菌、致泻大肠埃希氏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熏煮香肠火腿制品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熏煮香肠火腿制品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亚硝酸盐（以亚硝酸钠计）、苯甲酸及其钠盐（以苯甲酸计）、山梨酸及其钾盐（以山梨酸计）、脱氢乙酸及其钠盐（以脱氢乙酸计）、纳他霉素、防腐剂混合使用时各自用量占其最大使用量的比例之和、胭脂红、诱惑红、氯霉素、菌落总数、大肠菌群、沙门氏菌、金黄色葡萄球菌、单核细胞增生李斯特氏菌、致泻大肠埃希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液体乳</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巴氏杀菌乳</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蛋白质、酸度、三聚氰胺、铅（以Pb计）、丙二醇、沙门氏菌、金黄色葡萄球菌、菌落总数、大肠菌群</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灭菌乳</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蛋白质、非脂乳固体、酸度、脂肪、三聚氰胺、铅（以Pb计）、丙二醇、商业无菌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高温杀菌乳</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蛋白质、酸度、三聚氰胺、沙门氏菌、菌落总数、大肠菌群</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发酵乳</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脂肪、蛋白质、酸度、乳酸菌数、山梨酸及其钾盐（以山梨酸计）、三聚氰胺、铅（以Pb计）、金黄色葡萄球菌、沙门氏菌、大肠菌群、酵母、霉菌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调制乳</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蛋白质、三聚氰胺、铅（以Pb计）、商业无菌、菌落总数、大肠菌群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全脂乳粉、脱脂乳粉、部分脱脂乳粉、调制乳粉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蛋白质、脂肪、三聚氰胺、铅（以Pb计）、菌落总数、大肠菌群</w:t>
            </w:r>
            <w:r/>
          </w:p>
        </w:tc>
      </w:tr>
      <w:tr>
        <w:trPr>
          <w:jc w:val="center"/>
          <w:trHeight w:val="79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乳清粉和乳清蛋白粉（企业原料）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脱盐乳清粉、非脱盐乳清粉、浓缩乳清蛋白粉、分离乳清蛋白粉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蛋白质、三聚氰胺</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其他乳制品（浓缩乳制品、奶油、干酪、固态成型产品）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浓缩乳制品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蛋白质、三聚氰胺、商业无菌、菌落总数、大肠菌群</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稀奶油、奶油和无水奶油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脂肪、酸度、三聚氰胺、沙门氏菌、商业无菌、菌落总数、大肠菌群、霉菌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干酪、再制干酪、干酪制品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三聚氰胺、金黄色葡萄球菌、沙门氏菌、单核细胞增生李斯特氏菌、菌落总数、大肠菌群、霉菌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奶片、奶条等固态成型产品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蛋白质、脱氢乙酸及其钠盐（以脱氢乙酸计）、三聚氰胺、沙门氏菌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包装饮用水</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饮用天然矿泉水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界限指标、铅（以Pb计）、总砷（以As计）、镉（以Cd计）、总汞（以Hg计）、镍、溴酸盐、硝酸盐（以NO3-计）、亚硝酸盐（以NO2-计）、大肠菌群、铜绿假单胞菌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饮用纯净水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电导率、耗氧量（以O2计）、铅（以Pb计）、总砷（以As计）、镉（以Cd计）、亚硝酸盐（以NO2-计）、余氯（游离氯）、溴酸盐、三氯甲烷、大肠菌群、铜绿假单胞菌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其他类饮用水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耗氧量（以O2计）、铅（以Pb计）、总砷（以As计）、镉（以Cd计）、亚硝酸盐（以NO2-计）、余氯（游离氯）、溴酸盐、三氯甲烷、大肠菌群、铜绿假单胞菌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果蔬汁类及其饮料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果蔬汁类及其饮料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蛋白饮料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蛋白饮料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乳酸菌数、三聚氰胺、苯甲酸及其钠盐（以苯甲酸计）、山梨酸及其钾盐（以山梨酸计）、脱氢乙酸及其钠盐（以脱氢乙酸计）、防腐剂混合使用时各自用量占其最大使用量的比例之和、菌落总数、大肠菌群、霉菌、酵母、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碳酸饮料（汽水）</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碳酸饮料（汽水）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二氧化碳气容量、苯甲酸及其钠盐（以苯甲酸计）、山梨酸及其钾盐（以山梨酸计）、防腐剂混合使用时各自用量占其最大使用量的比例之和、甜蜜素（以环己基氨基磺酸计）、阿斯巴甜、菌落总数、霉菌、酵母</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茶饮料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茶饮料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茶多酚、咖啡因、脱氢乙酸及其钠盐（以脱氢乙酸计）、菌落总数</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固体饮料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固体饮料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铅（以Pb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其他饮料</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其他饮料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安赛蜜、合成着色剂（苋菜红、胭脂红、柠檬黄、日落黄、亮蓝）、菌落总数、大肠菌群、霉菌、酵母</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方便面</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油炸面、非油炸面、方便米粉（米线）、方便粉丝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水分、酸价（以脂肪计）（KOH）、过氧化值（以脂肪计）、菌落总数、大肠菌群、霉菌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调味面制品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调味面制品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苯甲酸及其钠盐（以苯甲酸计）、山梨酸及其钾盐（以山梨酸计）、脱氢乙酸及其钠盐（以脱氢乙酸计）、糖精钠（以糖精计）、甜蜜素（以环己基氨基磺酸计）、安赛蜜、三氯蔗糖、合成着色剂（柠檬黄、日落黄）、菌落总数、大肠菌群、霉菌、沙门氏菌、金黄色葡萄球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其他方便食品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方便粥、方便盒饭、冷面及其他熟制方便食品等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黄曲霉毒素B1、苯甲酸及其钠盐（以苯甲酸计）、山梨酸及其钾盐（以山梨酸计）、糖精钠（以糖精计）、菌落总数、大肠菌群、霉菌、沙门氏菌、金黄色葡萄球菌</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山梨酸及其钾盐（以山梨酸计）、铝的残留量（干样品，以Al计）、脱氢乙酸及其钠盐（以脱氢乙酸计）、甜蜜素（以环己基氨基磺酸计）、糖精钠（以糖精计）、二氧化硫残留量、苯甲酸及其钠盐（以苯甲酸计）、合成着色剂（柠檬黄、日落黄、胭脂红、苋菜红、亮蓝、新红、赤藓红、靛蓝、诱惑红、酸性红、喹啉黄）、菌落总数、大肠菌群、金黄色葡萄球菌、沙门氏菌、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畜禽水产罐头</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畜禽肉类罐头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铅（以Pb计）、镉（以Cd计）、苯甲酸及其钠盐（以苯甲酸计）、山梨酸及其钾盐（以山梨酸计）、糖精钠（以糖精计）、商业无菌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水产动物类罐头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胺、铅（以Pb计）、无机砷（以As计）、脱氢乙酸及其钠盐（以脱氢乙酸计）、苯甲酸及其钠盐（以苯甲酸计）、山梨酸及其钾盐（以山梨酸计）、糖精钠（以糖精计）、甜蜜素（以环己基氨基磺酸计）、商业无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果蔬罐头</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水果类罐头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蔬菜类罐头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铅（以Pb计）、合成着色剂（柠檬黄、日落黄、亮蓝）、脱氢乙酸及其钠盐（以脱氢乙酸计）、苯甲酸及其钠盐（以苯甲酸计）、山梨酸及其钾盐（以山梨酸计）、乙二胺四乙酸二钠、二氧化硫残留量、商业无菌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果蔬罐头</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食用菌罐头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铅（以Pb计）、脱氢乙酸及其钠盐（以脱氢乙酸计）、苯甲酸及其钠盐（以苯甲酸计）、乙二胺四乙酸二钠、二氧化硫残留量、商业无菌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其他罐头</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其他罐头</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黄曲霉毒素B1、脱氢乙酸及其钠盐（以脱氢乙酸计）、苯甲酸及其钠盐（以苯甲酸计）、山梨酸及其钾盐（以山梨酸计）、乙二胺四乙酸二钠、商业无菌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冷冻饮品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冷冻饮品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冷冻饮品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冰淇淋、雪糕、雪泥、冰棍、食用冰、甜味冰、其他类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蛋白质、甜蜜素（以环己基氨基磺酸计）、糖精钠（以糖精计）、安赛蜜、三氯蔗糖、菌落总数、大肠菌群、沙门氏菌、单核细胞增生李斯特氏菌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速冻面米食品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速冻面米生制品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过氧化值（以脂肪计）、黄曲霉毒素B1、铅（以Pb计）、糖精钠（以糖精计）、甜蜜素（以环己基氨基磺酸计）、柠檬黄、日落黄、苋菜红、亮蓝</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速冻面米熟制品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过氧化值（以脂肪计）、黄曲霉毒素B1、铅（以Pb计）、糖精钠（以糖精计）、甜蜜素（以环己基氨基磺酸计）、柠檬黄、日落黄、苋菜红、亮蓝、菌落总数、大肠菌群、沙门氏菌、金黄色葡萄球菌、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速冻调制食品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速冻调理肉制品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速冻调理肉制品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过氧化值（以脂肪计）、铅（以Pb计）、铬（以Cr计）、氯霉素、胭脂红、柠檬黄、日落黄、诱惑红、亚硝酸盐、菌落总数、大肠菌群、沙门氏菌、金黄色葡萄球菌、单核细胞增生李斯特氏菌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速冻调制水产制品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速冻调制水产制品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挥发性盐基氮、苯甲酸及其钠盐（以苯甲酸计）、山梨酸及其钾盐（以山梨酸计）、菌落总数、大肠菌群、沙门氏菌、副溶血性弧菌、单核细胞增生李斯特氏菌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速冻其他食品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速冻谷物食品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速冻谷物食品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铅（以Pb计）、黄曲霉毒素B1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速冻蔬菜制品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速冻蔬菜制品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铅（以Pb计）、镉（以Cd计）、糖精钠（以糖精计）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速冻水果制品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速冻水果制品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铅（以Pb计）、镉（以Cd计）、菌落总数、大肠菌群、霉菌、沙门氏菌、金黄色葡萄球菌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膨化食品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含油型膨化食品和非含油型膨化食品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分、酸价（以脂肪计）（KOH）、过氧化值（以脂肪计）、黄曲霉毒素B1、糖精钠（以糖精计）、苯甲酸及其钠盐（以苯甲酸计）、山梨酸及其钾盐（以山梨酸计）、甜蜜素（以环己基氨基磺酸计）、菌落总数、大肠菌群、沙门氏菌、金黄色葡萄球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薯类食品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干制薯类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酸价（以脂肪计）（KOH）、过氧化值（以脂肪计）、菌落总数、大肠菌群、铅（以Pb计）、沙门氏菌、金黄色葡萄球菌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冷冻薯类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薯泥（酱）类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铅（以Pb计）、苯甲酸及其钠盐（以苯甲酸计）、山梨酸及其钾盐（以山梨酸计）、商业无菌、沙门氏菌、金黄色葡萄球菌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薯粉类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其他薯类食品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铅（以Pb计）、沙门氏菌、金黄色葡萄球菌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糖果制品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糖果制品（含巧克力及制品）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糖果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糖果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巧克力及巧克力制品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巧克力、巧克力制品、代可可脂巧克力及代可可脂巧克力制品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铅（以Pb计）、沙门氏菌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果冻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果冻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铅（以Pb计）、山梨酸及其钾盐（以山梨酸计）、苯甲酸及其钠盐（以苯甲酸计）、糖精钠（以糖精计）、甜蜜素（以环己基氨基磺酸计）、菌落总数、大肠菌群、霉菌、酵母</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绿茶、红茶、乌龙茶、黄茶、白茶、黑茶、花茶、袋泡茶、紧压茶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铅（以Pb计）、草甘膦、吡虫啉、乙酰甲胺磷、联苯菊酯、灭多威、三氯杀螨醇、氰戊菊酯和S-氰戊菊酯、甲拌磷、克百威、水胺硫磷、氧乐果、毒死蜱、啶虫脒、多菌灵、茚虫威、柠檬黄、日落黄</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含茶制品和代用茶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含茶制品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速溶茶类、其它含茶制品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铅（以Pb计）、菌落总数、大肠菌群、霉菌、霉菌及酵母</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代用茶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代用茶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铅（以Pb计）、二氧化硫残留量、啶虫脒、克百威、毒死蜱、吡虫啉、氯氟氰菊酯和高效氯氟氰菊酯、霉菌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酒类</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蒸馏酒</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白酒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白酒、白酒（液态）、白酒（原酒）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酒精度、铅（以Pb计）、甲醇、氰化物（以HCN计）、糖精钠（以糖精计）、甜蜜素（以环己基氨基磺酸计）、三氯蔗糖、安赛蜜</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发酵酒</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黄酒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黄酒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酒精度、氨基酸态氮、苯甲酸及其钠盐（以苯甲酸计）、山梨酸及其钾盐（以山梨酸计）、糖精钠（以糖精计）、甜蜜素（以环己基氨基磺酸计）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啤酒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啤酒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酒精度、甲醛</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葡萄酒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葡萄酒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甲醇、苯甲酸及其钠盐（以苯甲酸计）、山梨酸及其钾盐（以山梨酸计）、糖精钠（以糖精计）、二氧化硫残留量、甜蜜素（以环己基氨基磺酸计）、三氯蔗糖、柠檬黄、日落黄、新红、胭脂红、赤藓红、苋菜红、诱惑红、酸性红、亮蓝</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酒精度、展青霉素、糖精钠（以糖精计）、甜蜜素（以环己基氨基磺酸计）、安赛蜜、二氧化硫残留量、酸性红</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其他酒</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配制酒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以蒸馏酒及食用酒精为酒基的配制酒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酒精度、甲醇、氰化物（以HCN计）、甜蜜素（以环己基氨基磺酸计）、安赛蜜</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酒类</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其他酒</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配制酒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以发酵酒为酒基的配制酒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酒精度、苯甲酸及其钠盐（以苯甲酸计）、山梨酸及其钾盐（以山梨酸计）、甜蜜素（以环己基氨基磺酸计）、防腐剂混合使用时各自用量占其最大使用量的比例之和、安赛蜜</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其他蒸馏酒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其他蒸馏酒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酒精度、铅（以Pb计）、甲醇、氰化物（以HCN计）、三氯蔗糖</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其他发酵酒</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其他发酵酒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酒精度、苯甲酸及其钠盐（以苯甲酸计）、山梨酸及其钾盐（以山梨酸计）、糖精钠（以糖精计）、甜蜜素（以环己基氨基磺酸计）、安赛蜜</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酱腌菜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酱腌菜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亚硝酸盐（以NaNO2计）、苯甲酸及其钠盐（以苯甲酸计）、山梨酸及其钾盐（以山梨酸计）、脱氢乙酸及其钠盐（以脱氢乙酸计）、糖精钠（以糖精计）、甜蜜素（以环己基氨基磺酸计）、二氧化硫残留量、防腐剂混合使用时各自用量占其最大使用量的比例之和、安赛蜜、合成着色剂（柠檬黄、日落黄）、大肠菌群</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蔬菜干制品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蔬菜干制品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铅（以Pb计）、苯甲酸及其钠盐（以苯甲酸计）、山梨酸及其钾盐（以山梨酸计）、二氧化硫残留量、合成着色剂（柠檬黄、日落黄、胭脂红、苋菜红、亮蓝）</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其他蔬菜制品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其他蔬菜制品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铅（以Pb计）、苯甲酸及其钠盐（以苯甲酸计）、山梨酸及其钾盐（以山梨酸计）、二氧化硫残留量</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食用菌制品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干制食用菌</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铅（以Pb计）、总砷（以As计）、镉（以Cd计）、总汞（以Hg计）、甲基汞（以Hg计）、苯甲酸及其钠盐（以苯甲酸计）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腌渍食用菌</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蜜饯</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蜜饯类、凉果类、果脯类、话化类、果糕类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亮蓝、柠檬黄、日落黄、苋菜红、胭脂红、相同色泽着色剂混合使用时各自用量占其最大使用量的比例之和、乙二胺四乙酸二钠、菌落总数、大肠菌群、霉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水果干制品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水果干制品（含干枸杞）</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啶虫脒、吡虫啉、克百威、炔螨特、毒死蜱、氯氟氰菊酯和高效氯氟氰菊酯、氯氰菊酯和高效氯氰菊酯、苯甲酸及其钠盐（以苯甲酸计）、山梨酸及其钾盐（以山梨酸计）、脱氢乙酸及其钠盐（以脱氢乙酸计）、糖精钠（以糖精计）、二氧化硫残留量、亮蓝、柠檬黄、日落黄、苋菜红、胭脂红、菌落总数、大肠菌群、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果酱</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果酱</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铅（以Pb计）、脱氢乙酸及其钠盐（以脱氢乙酸计）、菌落总数、大肠菌群、霉菌、商业无菌</w:t>
            </w:r>
            <w:r/>
          </w:p>
        </w:tc>
      </w:tr>
      <w:tr>
        <w:trPr>
          <w:jc w:val="center"/>
          <w:trHeight w:val="1379"/>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炒货食品及坚果制品（烘炒类、油炸类、其他类）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开心果、杏仁、扁桃仁、松仁、瓜子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p>
        </w:tc>
      </w:tr>
      <w:tr>
        <w:trPr>
          <w:jc w:val="center"/>
          <w:trHeight w:val="137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炒货食品及坚果制品（烘炒类、油炸类、其他类）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其他炒货食品及坚果制品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再制蛋</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再制蛋</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铅（以Pb计）、苯甲酸及其钠盐（以苯甲酸计）、山梨酸及其钾盐（以山梨酸计）、菌落总数、大肠菌群、沙门氏菌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干蛋类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干蛋类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菌落总数、大肠菌群、沙门氏菌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冰蛋类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冰蛋类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菌落总数、大肠菌群、沙门氏菌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铅（以Pb计）、苯甲酸及其钠盐（以苯甲酸计）、山梨酸及其钾盐（以山梨酸计）、脱氢乙酸及其钠盐（以脱氢乙酸计）、菌落总数、大肠菌群、沙门氏菌</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焙炒咖啡</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焙炒咖啡</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焙炒咖啡</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咖啡因、铅（以Pb计）、赭曲霉毒素A</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铅（以Pb计）、沙门氏菌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食糖</w:t>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白砂糖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蔗糖分、还原糖分、色值、干燥失重、二氧化硫残留量、螨</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绵白糖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总糖分、还原糖分、色值、干燥失重、二氧化硫残留量、螨</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赤砂糖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总糖分、不溶于水杂质、干燥失重、二氧化硫残留量、螨、合成着色剂（柠檬黄、新红、苋菜红、胭脂红、日落黄、诱惑红、酸性红、喹啉黄、赤藓红）</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红糖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总糖分、不溶于水杂质、干燥失重、二氧化硫残留量、螨、合成着色剂（柠檬黄、新红、苋菜红、胭脂红、日落黄、诱惑红、酸性红、喹啉黄、赤藓红）</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蔗糖分、还原糖分、色值、干燥失重、二氧化硫残留量、螨、合成着色剂（柠檬黄、新红、苋菜红、胭脂红、日落黄、诱惑红、酸性红、喹啉黄、赤藓红）</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冰片糖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总糖分、还原糖分、干燥失重、二氧化硫残留量、螨、合成着色剂（柠檬黄、新红、苋菜红、胭脂红、日落黄、诱惑红、酸性红、喹啉黄、赤藓红）</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蔗糖分、还原糖分、色值、干燥失重、二氧化硫残留量、螨</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蔗糖分、总糖分、色值、还原糖分、干燥失重、二氧化硫残留量、螨、合成着色剂（柠檬黄、新红、苋菜红、胭脂红、日落黄、诱惑红、酸性红、喹啉黄、赤藓红）</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干制水产品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藻类干制品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预制动物性水产干制品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过氧化值（以脂肪计）、铅（以Pb计）、镉（以Cd计）、多氯联苯、N-二甲基亚硝胺、苯甲酸及其钠盐（以苯甲酸计）、山梨酸及其钾盐（以山梨酸计）、合成着色剂（柠檬黄、胭脂红、日落黄）</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过氧化值（以脂肪计）、组胺、铅（以Pb计）、镉（以Cd计）、多氯联苯、N-二甲基亚硝胺、苯甲酸及其钠盐（以苯甲酸计）、山梨酸及其钾盐（以山梨酸计）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其他盐渍水产品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鱼糜制品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预制鱼糜制品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挥发性盐基氮、铅（以Pb计）、多氯联苯、苯甲酸及其钠盐（以苯甲酸计）、山梨酸及其钾盐（以山梨酸计）、脱氢乙酸及其钠盐（以脱氢乙酸计）</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熟制动物性水产制品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熟制动物性水产制品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铅（以Pb计）、镉（以Cd计）、多氯联苯、N-二甲基亚硝胺、苯甲酸及其钠盐（以苯甲酸计）、山梨酸及其钾盐（以山梨酸计）、甜蜜素（以环己基氨基磺酸计）、脱氢乙酸及其钠盐（以脱氢乙酸计）</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生食水产品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生食动物性水产品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挥发性盐基氮、铅（以Pb计）、多氯联苯、苯甲酸及其钠盐（以苯甲酸计）、山梨酸及其钾盐（以山梨酸计）、铝的残留量（以即食海蜇中Al计）、菌落总数、大肠菌群、沙门氏菌、副溶血性弧菌、单核细胞增生李斯特氏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铅（以Pb计）、苯甲酸及其钠盐（以苯甲酸计）、山梨酸及其钾盐（以山梨酸计）、脱氢乙酸及其钠盐（以脱氢乙酸计）、柠檬黄、防腐剂混合使用时各自用量占其最大使用量的比例之和、菌落总数</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铅（以Pb计）、菌落总数、大肠菌群、霉菌和酵母、二氧化硫残留量、脱氢乙酸及其钠盐（以脱氢乙酸计）、葛根素</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粉丝粉条</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铝的残留量（干样品，以Al计）、二氧化硫残留量、合成着色剂（柠檬黄、新红、苋菜红、靛蓝、胭脂红、日落黄、诱惑红、亮蓝、酸性红、喹啉黄、赤藓红）</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其他淀粉制品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铝的残留量（干样品，以Al计）、二氧化硫残留量、合成着色剂（柠檬黄、新红、苋菜红、靛蓝、胭脂红、日落黄、诱惑红、亮蓝、酸性红、喹啉黄、赤藓红）、相同色泽着色剂混合使用时各自用量占其最大使用量的比例之和</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淀粉糖</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总砷（以As计）、葡萄糖含量（以干基计，质量分数）、IMO含量（占干物质，质量分数）、IG2+P+IG3含量（占干物质，质量分数）、果糖（占干基比）、果糖+葡萄糖（占干基比）、5-羟甲基糠醛（以吸光度计）、果糖+葡萄糖含量（以干物质计）、果糖含量（以干物质计）、麦芽糖含量（以干物质计，质量分数）、干物质（固形物）、硫酸灰分</w:t>
            </w:r>
            <w:r/>
          </w:p>
        </w:tc>
      </w:tr>
      <w:tr>
        <w:trPr>
          <w:jc w:val="center"/>
          <w:trHeight w:val="1607"/>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苯甲酸及其钠盐（以苯甲酸计）、山梨酸及其钾盐（以山梨酸计）、糖精钠（以糖精计）、甜蜜素（以环己基氨基磺酸计）、安赛蜜、铝的残留量（干样品，以Al计）、丙酸及其钠盐、钙盐（以丙酸计）、脱氢乙酸及其钠盐（以脱氢乙酸计）、纳他霉素、三氯蔗糖、丙二醇、合成着色剂（柠檬黄、日落黄、胭脂红、苋菜红、亮蓝、新红、赤藓红、靛蓝、诱惑红、酸性红、喹啉黄）、防腐剂混合使用时各自用量占其最大使用量的比例之和、菌落总数、大肠菌群、金黄色葡萄球菌、沙门氏菌、霉菌</w:t>
            </w:r>
            <w:r/>
          </w:p>
        </w:tc>
      </w:tr>
      <w:tr>
        <w:trPr>
          <w:jc w:val="center"/>
          <w:trHeight w:val="137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月饼</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月饼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糖精钠（以糖精计）、苯甲酸及其钠盐（以苯甲酸计）、山梨酸及其钾盐（以山梨酸计）、铝的残留量（干样品，以Al计）、丙酸及其钠盐、钙盐（以丙酸计）、脱氢乙酸及其钠盐（以脱氢乙酸计）、纳他霉素、甜蜜素（以环己基氨基磺酸计）、合成着色剂（柠檬黄、日落黄、胭脂红、苋菜红、亮蓝、新红、赤藓红、靛蓝、诱惑红、酸性红、喹啉黄）、防腐剂混合使用时各自用量占其最大使用量的比例之和、菌落总数、大肠菌群、金黄色葡萄球菌、沙门氏菌、霉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粽子</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粽子</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粽子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甜蜜素（以环己基氨基磺酸计）、山梨酸及其钾盐（以山梨酸计）、脱氢乙酸及其钠盐（以脱氢乙酸计）、糖精钠（以糖精计）、安赛蜜、菌落总数、大肠菌群、金黄色葡萄球菌、沙门氏菌、霉菌、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发酵性豆制品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腐乳、豆豉、纳豆等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黄曲霉毒素B₁、苯甲酸及其钠盐（以苯甲酸计）、山梨酸及其钾盐（以山梨酸计）、脱氢乙酸及其钠盐（以脱氢乙酸计）、糖精钠（以糖精计）、甜蜜素（以环己基氨基磺酸计）、铝的残留量（干样品，以Al计）、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非发酵性豆制品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腐竹、油皮及其再制品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蛋白质、铅（以Pb计）、碱性嫩黄、苯甲酸及其钠盐（以苯甲酸计）、山梨酸及其钾盐（以山梨酸计）、脱氢乙酸及其钠盐（以脱氢乙酸计）、二氧化硫残留量、铝的残留量（干样品，以Al计）、柠檬黄、日落黄</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豆干、豆腐、豆皮等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柠檬黄、日落黄、大肠菌群、金黄色葡萄球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其他豆制品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大豆蛋白类制品等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铅（以Pb计）、苯甲酸及其钠盐（以苯甲酸计）、山梨酸及其钾盐（以山梨酸计）、脱氢乙酸及其钠盐（以脱氢乙酸计）、糖精钠（以糖精计）、三氯蔗糖、铝的残留量（干样品，以Al计）、大肠菌群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果糖和葡萄糖、蔗糖、铅（以Pb计）、山梨酸及其钾盐（以山梨酸计）、氯霉素、呋喃西林代谢物、呋喃唑酮代谢物、甲硝唑、双甲脒、氟胺氰菊酯、诺氟沙星、氧氟沙星、培氟沙星、菌落总数、霉菌计数、嗜渗酵母计数</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蜂王浆（含蜂王浆冻干品）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蜂王浆（含蜂王浆冻干品）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Style w:val="1011"/>
                <w:rFonts w:hint="eastAsia" w:ascii="宋体" w:hAnsi="宋体" w:eastAsia="宋体" w:cs="宋体"/>
                <w:color w:val="auto"/>
                <w:sz w:val="21"/>
                <w:szCs w:val="21"/>
                <w:highlight w:val="none"/>
                <w:lang w:val="en-US" w:eastAsia="zh-CN" w:bidi="ar"/>
              </w:rPr>
              <w:t xml:space="preserve">羟基</w:t>
            </w:r>
            <w:r>
              <w:rPr>
                <w:rFonts w:hint="eastAsia" w:ascii="宋体" w:hAnsi="宋体" w:eastAsia="宋体" w:cs="宋体"/>
                <w:i w:val="0"/>
                <w:iCs w:val="0"/>
                <w:color w:val="auto"/>
                <w:sz w:val="21"/>
                <w:szCs w:val="21"/>
                <w:highlight w:val="none"/>
                <w:u w:val="none"/>
                <w:lang w:val="en-US" w:eastAsia="zh-CN" w:bidi="ar"/>
              </w:rPr>
              <w:t xml:space="preserve">-2-</w:t>
            </w:r>
            <w:r>
              <w:rPr>
                <w:rStyle w:val="1011"/>
                <w:rFonts w:hint="eastAsia" w:ascii="宋体" w:hAnsi="宋体" w:eastAsia="宋体" w:cs="宋体"/>
                <w:color w:val="auto"/>
                <w:sz w:val="21"/>
                <w:szCs w:val="21"/>
                <w:highlight w:val="none"/>
                <w:lang w:val="en-US" w:eastAsia="zh-CN" w:bidi="ar"/>
              </w:rPr>
              <w:t xml:space="preserve">癸烯酸、酸度、呋喃西林代谢物</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蜂花粉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蜂花粉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铅（以Pb计）、菌落总数、大肠菌群、霉菌</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蜂产品制品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蜂产品制品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山梨酸及其钾盐（以山梨酸计）、菌落总数、合成着色剂（柠檬黄、日落黄）</w:t>
            </w:r>
            <w:r/>
          </w:p>
        </w:tc>
      </w:tr>
      <w:tr>
        <w:trPr>
          <w:jc w:val="center"/>
          <w:trHeight w:val="118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10-羟基-2-癸烯酸、蛋白质、二十二碳六烯酸、二十碳五烯酸、泛酸、钙、还原糖、肌醇、赖氨酸、绿原酸、铁、维生素A、维生素B1、维生素B12、维生素B2、维生素B6、维生素C、维生素D、维生素D3、维生素E、硒、锌、烟酸、烟酰胺、叶酸、免疫球蛋白IgG、总黄酮、总皂苷、总蒽醌、吡啶甲酸铬、水分、可溶性固形物、酸价、过氧化值、崩解时限、灰分、铅（Pb）、总砷（As）、总汞（Hg）、硬胶囊壳中的铬、菌落总数、大肠菌群、霉菌和酵母、金黄色葡萄球菌、沙门氏菌</w:t>
            </w:r>
            <w:r/>
          </w:p>
        </w:tc>
      </w:tr>
      <w:tr>
        <w:trPr>
          <w:jc w:val="center"/>
          <w:trHeight w:val="1836"/>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特殊膳食食品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婴幼儿辅助食品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婴幼儿谷类辅助食品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婴幼儿谷物辅助食品、婴幼儿高蛋白谷物辅助食品、婴幼儿生制类谷物辅助食品、婴幼儿饼干或其他婴幼儿谷物辅助食品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量、蛋白质、脂肪、亚油酸、月桂酸占总脂肪的比值、肉豆蔻酸占总脂肪的比值、维生素A、维生素D、维生素B1、钙、铁、锌、钠、维生素E、维生素B2、维生素B6、维生素B12、烟酸、叶酸、泛酸、维生素C、生物素、磷、碘、钾、水分、不溶性膳食纤维、脲酶活性定性测定、铅（以Pb计）、无机砷（以As计）、锡（以Sn计）、镉（以Cd计）、黄曲霉毒素B1、硝酸盐（以NaNO3计）、亚硝酸盐（以NaNO2计）、菌落总数、大肠菌群、沙门氏菌、二十二碳六烯酸、花生四烯酸、金黄色葡萄球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特殊膳食食品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婴幼儿辅助食品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婴幼儿罐装辅助食品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泥（糊）状罐装食品、颗粒状罐装食品、汁类罐装食品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蛋白质、脂肪、总钠、铅（以Pb计）、无机砷（以As计）、总汞（以Hg计）、锡（以Sn计）、硝酸盐（以NaNO3计）、亚硝酸盐（以NaNO2计）、商业无菌、霉菌</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营养补充品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营养补充品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辅食营养素补充食品、辅食营养素补充片、辅食营养素撒剂</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钙、铁、锌、维生素A、维生素D、维生素B1、维生素B2、维生素K1、烟酸（烟酰胺）、维生素B6、叶酸、维生素B12、泛酸、胆碱、生物素、维生素C、二十二碳六烯酸、脲酶活性定性、铅（以Pb计）、总砷（以As计）、黄曲霉毒素M1、黄曲霉毒素B1、硝酸盐（以NaNO3计）、亚硝酸盐（以NaNO2计）、菌落总数、大肠菌群、沙门氏菌、金黄色葡萄球菌</w:t>
            </w:r>
            <w:r/>
          </w:p>
        </w:tc>
      </w:tr>
      <w:tr>
        <w:trPr>
          <w:jc w:val="center"/>
          <w:trHeight w:val="98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孕妇及乳母营养补充食品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维生素A、维生素D、叶酸、维生素B12、钙、镁、锌、硒、维生素E、维生素K、维生素B1、维生素B2、维生素B6、烟酸（烟酰胺）、泛酸、胆碱、生物素、维生素C、二十二碳六烯酸、脲酶活性定性、铅（以Pb计）、总砷（以As计）、硝酸盐（以NaNO3计）、亚硝酸盐（以NaNO2计）、黄曲霉毒素M1、黄曲霉毒素B1、大肠菌群、沙门氏菌、金黄色葡萄球菌</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运动营养食品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咖啡因、肌酸、肽类、维生素A、维生素D、维生素E、维生素B1、维生素B2、维生素B6、维生素B12、维生素C、叶酸、烟酸、生物素、泛酸、钙、钠、钾、镁、铁、锌、硒、铜、碘、锰、磷、钼、铬、左旋肉碱、牛磺酸、铅（以Pb计）、总砷（以As计）、黄曲霉毒素M1、黄曲霉毒素B1、沙门氏菌、金黄色葡萄球菌</w:t>
            </w:r>
            <w:r/>
          </w:p>
        </w:tc>
      </w:tr>
      <w:tr>
        <w:trPr>
          <w:jc w:val="center"/>
          <w:trHeight w:val="275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特殊医学用途婴儿配方食品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特殊医学用途婴儿配方食品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亚油酸、α-亚麻酸、亚油酸与α-亚麻酸比值、终产品脂肪中月桂酸和肉豆蔻酸（十四烷酸）总量占总脂肪酸的比值、芥酸与总脂肪酸比值、反式脂肪酸与总脂肪酸比值、碳水化合物、维生素A、维生素D、维生素E、维生素K1、维生素B1、维生素B2、维生素B6、维生素B12、烟酸（烟酰胺）、叶酸、泛酸、维生素C、生物素、钠、钾、铜、镁、铁、锌、锰、钙、磷、钙磷比值、碘、氯、硒、铬、钼、胆碱、肌醇、牛磺酸、左旋肉碱</w:t>
            </w:r>
            <w:r>
              <w:rPr>
                <w:rFonts w:hint="eastAsia" w:ascii="宋体" w:hAnsi="宋体" w:eastAsia="宋体" w:cs="宋体"/>
                <w:i w:val="0"/>
                <w:iCs w:val="0"/>
                <w:color w:val="auto"/>
                <w:sz w:val="21"/>
                <w:szCs w:val="21"/>
                <w:highlight w:val="none"/>
                <w:u w:val="none"/>
                <w:lang w:val="en-US" w:eastAsia="zh-CN" w:bidi="ar"/>
              </w:rPr>
              <w:t xml:space="preserve">、二十二碳六烯酸与总脂肪酸比、二十碳四烯酸与总脂肪酸比、二十二碳六烯酸（22:6 n-3）与二十碳四烯酸（20:4 n-6）的比、长链不饱和脂肪酸中二十碳五烯酸（20:5 n-3）的量与二十二碳六烯酸的量的比、二十二碳六烯酸、二十碳四烯酸、水分、灰分、杂质度、脲酶活性定性测定、核苷酸、叶黄素、铅（以Pb计）、锡（以Sn计）、黄曲霉毒素M1、黄曲霉毒素B1、硝酸盐（以NaNO3计）、亚硝酸盐（以NaNO2计）、三聚氰胺、菌落总数、大肠菌群、沙门氏菌、金黄色葡萄球菌、克罗诺杆菌属（阪崎肠杆菌）、商业无菌、果聚糖</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全营养配方食品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蛋白质、亚油酸供能比、α-亚麻</w:t>
            </w:r>
            <w:r>
              <w:rPr>
                <w:rFonts w:hint="eastAsia" w:ascii="宋体" w:hAnsi="宋体" w:eastAsia="宋体" w:cs="宋体"/>
                <w:i w:val="0"/>
                <w:iCs w:val="0"/>
                <w:color w:val="auto"/>
                <w:sz w:val="21"/>
                <w:szCs w:val="21"/>
                <w:highlight w:val="none"/>
                <w:u w:val="none"/>
                <w:lang w:val="en-US" w:eastAsia="zh-CN" w:bidi="ar"/>
              </w:rPr>
              <w:t xml:space="preserve">酸供能比、维生素A、维生素D、维生素E、维生素K1、维生素B1、维生素B2、维生素B6、维生素B12、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1、黄曲霉毒素B1、硝酸盐（以NaNO3计）、亚硝酸盐（以NaNO2计）、三聚氰胺、菌落总数、大肠菌群、沙门氏菌、金黄色葡萄球菌、商业无菌</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非全营养配方食品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锡（以Sn计）、黄曲霉毒素M1、黄曲霉毒素B1、硝酸盐（以NaNO3计）、亚硝酸盐（以NaNO2计）、三聚氰胺、菌落总数、大肠菌群、沙门氏菌、金黄色葡萄球菌、商业无菌、企业标准/注册的产品技术要求中规定的质量指标</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特定全营养配方食品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锡（以Sn计）、黄曲霉毒素M1、黄曲霉毒素B1、硝酸盐（以NaNO3计）、亚硝酸盐（以NaNO2计）、三聚氰胺、菌落总数、大肠菌群、沙门氏菌、金黄色葡萄球菌、商业无菌、企业标准/注册的产品技术要求中规定的质量指标</w:t>
            </w:r>
            <w:r/>
          </w:p>
        </w:tc>
      </w:tr>
      <w:tr>
        <w:trPr>
          <w:jc w:val="center"/>
          <w:trHeight w:val="275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婴幼儿配方食品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婴幼儿配方食品（湿法工艺、干法工艺、干湿法混合工艺）</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婴儿配方食品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乳基婴儿配方食品、豆基婴儿配方食品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碳水化合物、乳糖占碳水化合物总量、亚油酸、α-亚麻酸、亚油酸与α-亚麻酸比值、终产品脂肪中月桂酸和肉豆蔻酸（十四烷酸）总量占总脂肪酸的比值、芥酸与总脂肪酸比值、反式脂肪酸与总脂肪酸比值、维生素A、维生素D、维生素E、维生素K1、维生素B1、维生素B2、维生素B6、维生素B12、烟酸（烟酰胺）、叶酸、泛酸、维生素C、生物素、钠、钾、铜、镁、铁、锌、锰、钙、磷、钙磷比值、碘、氯、硒、胆碱、肌醇、牛磺酸、左旋肉碱、二十二碳六烯酸（DHA）、二十二碳六烯酸（22:6 n-3）与总脂肪</w:t>
            </w:r>
            <w:r>
              <w:rPr>
                <w:rFonts w:hint="eastAsia" w:ascii="宋体" w:hAnsi="宋体" w:eastAsia="宋体" w:cs="宋体"/>
                <w:i w:val="0"/>
                <w:iCs w:val="0"/>
                <w:color w:val="auto"/>
                <w:sz w:val="21"/>
                <w:szCs w:val="21"/>
                <w:highlight w:val="none"/>
                <w:u w:val="none"/>
                <w:lang w:val="en-US" w:eastAsia="zh-CN" w:bidi="ar"/>
              </w:rPr>
              <w:t xml:space="preserve">酸比、二十碳四烯酸（AA/ARA）、二十碳四烯酸与总脂肪酸比、二十二碳六烯酸（22:6 n-3）与二十碳四烯酸（20:4 n-6）的比、二十碳五烯酸（20:5 n-3）的量与二十二碳六烯酸（22:6 n-3）的量的比、果聚糖、水分、灰分、杂质度、叶黄素、核苷酸、脲酶活性定性测定、铅（以Pb计）、黄曲霉毒素B1或黄曲霉毒素M1、硝酸盐（以NaNO3计）、亚硝酸盐（以NaNO2计）、三聚氰胺、香兰素、乙基香兰素、菌落总数、大肠菌群、金黄色葡萄球菌、沙门氏菌、阪崎肠杆菌/克罗诺杆菌属（阪崎肠杆菌）、锡、果糖、蔗糖</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婴幼儿配方食品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婴幼儿配方食品（湿法工艺、干法工艺、干湿法混合工艺）</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较大婴儿配方食品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乳基较大婴儿配方食品、豆基较大婴儿配方食品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亚油酸、α-亚麻酸、亚油酸与α-亚麻酸比值、终产品脂肪中月桂酸和肉豆蔻酸（十四烷酸）总量占总脂肪酸的比值、反式脂肪酸与总脂肪酸比值、芥酸与总脂肪酸比值、碳水化合物、乳糖占碳水化合物总量、维生素A、维生素D、维生素E、维生素K1、维生素B1、维生素B2、维生素B6、维生素B12、烟酸（烟酰胺）、叶酸、泛酸、维生素C、生物素、钠、钾、铜、镁、铁、锌、钙、磷、钙磷比值、碘、氯、锰、硒、胆碱、肌醇、牛磺酸、左旋肉碱、二十二碳</w:t>
            </w:r>
            <w:r>
              <w:rPr>
                <w:rFonts w:hint="eastAsia" w:ascii="宋体" w:hAnsi="宋体" w:eastAsia="宋体" w:cs="宋体"/>
                <w:i w:val="0"/>
                <w:iCs w:val="0"/>
                <w:color w:val="auto"/>
                <w:sz w:val="21"/>
                <w:szCs w:val="21"/>
                <w:highlight w:val="none"/>
                <w:u w:val="none"/>
                <w:lang w:val="en-US" w:eastAsia="zh-CN" w:bidi="ar"/>
              </w:rPr>
              <w:t xml:space="preserve">六烯酸（DHA）、二十二碳六烯酸（22:6 n-3）与总脂肪酸比、二十碳四烯酸（AA/ARA）、二十碳四烯酸与总脂肪酸比、二十二碳六烯酸（22:6 n-3）与二十碳四烯酸（20:4 n-6）的比、二十碳五烯酸（20:5 n-3）的量与二十二碳六烯酸（22:6 n-3）的量的比、水分、灰分、杂质度、叶黄素、核苷酸、果聚糖、三聚氰胺、铅（以Pb计）、硝酸盐（以NaNO3计）、亚硝酸盐（以NaNO2计）、脲酶活性定性测定、黄曲霉毒素B1或黄曲霉毒素M1、菌落总数、大肠菌群、沙门氏菌、金黄色葡萄球菌、锡、果糖、蔗糖</w:t>
            </w:r>
            <w:r/>
          </w:p>
        </w:tc>
      </w:tr>
      <w:tr>
        <w:trPr>
          <w:jc w:val="center"/>
          <w:trHeight w:val="4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幼儿配方食品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幼儿配方食品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蛋白质、脂肪、亚油酸、α-亚麻酸、亚油酸与α-亚麻酸比值、乳糖占碳水化合物总量、反式脂肪酸与总脂肪酸比值、碳水化合物、维生素A、维生素D、维生素E、维生素K1、维生素B1、维生素B2、</w:t>
            </w:r>
            <w:r>
              <w:rPr>
                <w:rFonts w:hint="eastAsia" w:ascii="宋体" w:hAnsi="宋体" w:eastAsia="宋体" w:cs="宋体"/>
                <w:i w:val="0"/>
                <w:iCs w:val="0"/>
                <w:color w:val="auto"/>
                <w:sz w:val="21"/>
                <w:szCs w:val="21"/>
                <w:highlight w:val="none"/>
                <w:u w:val="none"/>
                <w:lang w:val="en-US" w:eastAsia="zh-CN" w:bidi="ar"/>
              </w:rPr>
              <w:t xml:space="preserve">维生素B6、维生素B12、烟酸（烟酰胺）、叶酸、泛酸、维生素C、生物素、钠、钾、铜、镁、铁、锌、钙、磷、钙磷比值、碘、氯、锰、硒、胆碱、肌醇、牛磺酸、左旋肉碱、二十二碳六烯酸（DHA）、二十二碳六烯酸（22:6 n-3）与总脂肪酸比、二十碳四烯酸（AA/ARA）、二十碳四烯酸与总脂肪酸比、水分、灰分、杂质度、叶黄素、核苷酸、果聚糖、三聚氰胺、铅（以Pb计）、硝酸盐（以NaNO3计）、亚硝酸盐（以NaNO2计）、脲酶活性定性测定、黄曲霉毒素B1或黄曲霉毒素M1、菌落总数、大肠菌群、沙门氏菌、金黄色葡萄球菌、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米面及其制品（自制）</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小麦粉制品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馒头花卷（自制）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苯甲酸及其钠盐（以苯甲酸计）、山梨酸及其钾盐（以山梨酸计）、糖精钠（以糖精计）、脱氢乙酸及其钠盐（以脱氢乙酸计）、甜蜜素（以环己基氨基磺酸计）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包子（自制）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苯甲酸及其钠盐（以苯甲酸计）、山梨酸及其钾盐（以山梨酸计）、糖精钠（以糖精计）、脱氢乙酸及其钠盐（以脱氢乙酸计）、甜蜜素（以环己基氨基磺酸计）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油饼油条（自制）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铝的残留量（干样品,以Al计）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餐饮食品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熟肉制品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肉冻皮冻（自制）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铬（以Cr计）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熏烧烤肉类（自制）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N-二甲基亚硝胺、苯并[α]芘、铅（以Pb计）</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调味料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调味料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火锅麻辣烫底料（自制）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罂粟碱、吗啡、可待因、那可丁</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水产制品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预制水产制品（自制）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生食动物性水产品（自制）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铝的残留量（以即食海蜇中Al计）</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坚果及籽类食品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花生制品（自制）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黄曲霉毒素B1 、苯甲酸及其钠盐（以苯甲酸计）、山梨酸及其钾盐（以山梨酸计）、脱氢乙酸及其钠盐（以脱氢乙酸计）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餐饮具</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复用餐饮具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复用餐饮具（餐馆自行消毒）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阴离子合成洗涤剂（以十二烷基苯磺酸钠计）、大肠菌群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复用餐饮具（集中清洗消毒服务单位消毒）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阴离子合成洗涤剂（以十二烷基苯磺酸钠计）、大肠菌群</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焙烤食品（自制）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焙烤食品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糕点（自制）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食用油、油脂及其制品（自制）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食用油、油脂及其制品（自制）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煎炸过程用油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极性组分、酸价（以脂肪计）（KOH）</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淀粉制品（自制）</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粉丝粉条（自制）</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粉丝粉条（自制）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铝的残留量（干样品，以Al计）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餐饮食品</w:t>
            </w:r>
            <w:r/>
          </w:p>
        </w:tc>
        <w:tc>
          <w:tcPr>
            <w:gridSpan w:val="3"/>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除上述类别的餐饮食品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根据各省实际情况而定</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复配食品添加剂</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复配食品添加剂</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铅（Pb）、砷（以As计）、致病性微生物</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食品用香精</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食品用香精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砷（以As计）含量/无机砷含量、菌落总数</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单一食品添加剂</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明胶</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铬（Cr）、铅（Pb）、总砷（As）、二氧化硫、过氧化物</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山梨酸钾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山梨酸钾（以C6H7KO2计）（以干基计）、干燥减量、氯化物（以Cl计）、硫酸盐（以SO4计）、醛（以HCHO计）、重金属（以Pb计）、砷（As）、铅（Pb）、澄清度、游离碱</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糖精钠</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糖精钠含量、干燥失重、总砷（以As计）、铅（Pb）、酸度和碱度、苯甲酸盐和水杨酸盐</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环己基氨基磺酸钠（又名甜蜜素）</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环己基氨基磺酸钠含量（以干基计）、硫酸盐（以SO4计）、pH（100g/L水溶液）、干燥减量、氨基磺酸、环己胺、双环己胺、吸光值（100g/L溶液）、透明度（以100g/L溶液的透光率表示）、重金属（以Pb计）、砷（As）</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赤藓糖醇</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赤藓糖醇（以C4H10O4计，以干基计）、干燥减量、灼烧残渣、还原糖（以葡萄糖计）、核糖醇和丙三醇（以干基计）、铅（Pb）</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碳酸钠</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总碱量（以Na2CO3计）（以干基计）、总碱量（以Na2CO3计）（以湿基计）、水不溶物（以干基计）、氯化物（以NaCl计）（以干基计）、铁（Fe）（以干基计）、铅（Pb）（以干基计）、砷（As）（以干基计）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碳酸氢钠</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总碱量（以NaHCO3计）、干燥减量、pH（10g/L水溶液）、铵盐、澄清度、氯化物（以Cl计）、白度、砷（As）、重金属（以Pb计）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氢氧化钠</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总碱量（以NaOH计）、碳酸钠（Na2CO3）、砷（As）、重金属（以Pb计）、不溶物及有机杂质</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单一食品添加剂</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三氯蔗糖</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三氯蔗糖（以干基计）、比旋光度αm（20℃，D）、水分、灼烧残渣、水解产物、相关物质、甲醇、铅（Pb）</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胶基</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胶基</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铅（Pb）、总砷（以As计）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食品工业用酶制剂</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食品工业用酶制剂</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铅（Pb）、总砷（以As计）、菌落总数、大肠菌群、大肠埃希氏菌、沙门氏菌、抗菌活性</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畜禽肉及副产品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呋喃唑酮代谢物、呋喃西林代谢物、氯霉素、五氯酚酸钠（以五氯酚计）、克伦特罗、莱克多巴胺、沙丁胺醇、喹乙醇、恩诺沙星、替米考星、磺胺类（总量）、甲氧苄啶、氟苯尼考、多西环素、地塞米松、甲硝唑、氯丙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牛肉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呋喃唑酮代谢物、呋喃西林代谢物、氯霉素、五氯酚酸钠（以五氯酚计）、克伦特罗、莱克多巴胺、沙丁胺醇、恩诺沙星、磺胺类（总量）、甲氧苄啶、氟苯尼考、多西环素、地塞米松、林可霉素、倍他米松、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羊肉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呋喃唑酮代谢物、呋喃西林代谢物、氯霉素、五氯酚酸钠（以五氯酚计）、克伦特罗、莱克多巴胺、沙丁胺醇、恩诺沙星、磺胺类（总量）、氟苯尼考、林可霉素、环丙氨嗪、土霉素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其他畜肉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呋喃唑酮代谢物、氯霉素、五氯酚酸钠（以五氯酚计）、克伦特罗、莱克多巴胺、沙丁胺醇、氧氟沙星、恩诺沙星</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禽肉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呋喃唑酮代谢物、呋喃西林代谢物、呋喃它酮代谢物、氯霉素、五氯酚酸钠（以五氯酚计）、氧氟沙星、培氟沙星、诺氟沙星、恩诺沙星、沙拉沙星、替米考星、磺胺类（总量）、甲氧苄啶、氟苯尼考、多西环素、甲硝唑、尼卡巴嗪、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鸭肉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呋喃唑酮代谢物、呋喃妥因代谢物、氯霉素、五氯酚酸钠（以五氯酚计）、氧氟沙星、恩诺沙星、磺胺类（总量）、甲氧苄啶、氟苯尼考、多西环素、甲硝唑、环丙氨嗪、土霉素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呋喃唑酮代谢物、氯霉素、五氯酚酸钠（以五氯酚计）、氧氟沙星、诺氟沙星、恩诺沙星、磺胺类（总量）、氟苯尼考、多西环素、甲硝唑、环丙氨嗪、土霉素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畜禽肉及副产品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畜副产品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计）、呋喃唑酮代谢物、呋喃西林代谢物、氯霉素、五氯酚酸钠（以五氯酚计）、克伦特罗、莱克多巴胺、沙丁胺醇、恩诺沙星、磺胺类（总量）、甲氧苄啶、多西环素、氯丙嗪、土霉素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牛肝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克伦特罗、莱克多巴胺、沙丁胺醇</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羊肝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克伦特罗、莱克多巴胺、沙丁胺醇、磺胺类（总量）、环丙氨嗪</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猪肾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呋喃西林代谢物、氯霉素、五氯酚酸钠（以五氯酚计）、克伦特罗、莱克多巴胺、沙丁胺醇、恩诺沙星、磺胺类（总量）、甲氧苄啶、土霉素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牛肾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克伦特罗、莱克多巴胺、沙丁胺醇、恩诺沙星</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羊肾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计）、克伦特罗、莱克多巴胺、沙丁胺醇、恩诺沙星、环丙氨嗪</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其他畜副产品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呋喃唑酮代谢物、呋喃西林代谢物、氯霉素、五氯酚酸钠（以五氯酚计）、克伦特罗、莱克多巴胺、沙丁胺醇、氧氟沙星、诺氟沙星、磺胺类（总量）</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禽副产品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呋喃唑酮代谢物、呋喃西林代谢物、氯霉素、五氯酚酸钠（以五氯酚计）、氧氟沙星、恩诺沙星、环丙氨嗪</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其他禽副产品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呋喃唑酮代谢物、呋喃西林代谢物、氯霉素、五氯酚酸钠（以五氯酚计）、氧氟沙星、诺氟沙星、恩诺沙星、环丙氨嗪</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豆芽</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豆芽</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w:t>
            </w:r>
            <w:r>
              <w:rPr>
                <w:rFonts w:hint="eastAsia" w:ascii="宋体" w:hAnsi="宋体" w:eastAsia="宋体" w:cs="宋体"/>
                <w:i w:val="0"/>
                <w:iCs w:val="0"/>
                <w:color w:val="auto"/>
                <w:sz w:val="21"/>
                <w:szCs w:val="21"/>
                <w:highlight w:val="none"/>
                <w:u w:val="none"/>
                <w:lang w:val="en-US" w:eastAsia="zh-CN" w:bidi="ar"/>
              </w:rPr>
              <w:t xml:space="preserve">4-</w:t>
            </w:r>
            <w:r>
              <w:rPr>
                <w:rStyle w:val="1012"/>
                <w:rFonts w:hint="eastAsia" w:ascii="宋体" w:hAnsi="宋体" w:eastAsia="宋体" w:cs="宋体"/>
                <w:color w:val="auto"/>
                <w:sz w:val="21"/>
                <w:szCs w:val="21"/>
                <w:highlight w:val="none"/>
                <w:lang w:val="en-US" w:eastAsia="zh-CN" w:bidi="ar"/>
              </w:rPr>
              <w:t xml:space="preserve">氯苯氧乙酸钠（以</w:t>
            </w:r>
            <w:r>
              <w:rPr>
                <w:rFonts w:hint="eastAsia" w:ascii="宋体" w:hAnsi="宋体" w:eastAsia="宋体" w:cs="宋体"/>
                <w:i w:val="0"/>
                <w:iCs w:val="0"/>
                <w:color w:val="auto"/>
                <w:sz w:val="21"/>
                <w:szCs w:val="21"/>
                <w:highlight w:val="none"/>
                <w:u w:val="none"/>
                <w:lang w:val="en-US" w:eastAsia="zh-CN" w:bidi="ar"/>
              </w:rPr>
              <w:t xml:space="preserve">4-</w:t>
            </w:r>
            <w:r>
              <w:rPr>
                <w:rStyle w:val="1012"/>
                <w:rFonts w:hint="eastAsia" w:ascii="宋体" w:hAnsi="宋体" w:eastAsia="宋体" w:cs="宋体"/>
                <w:color w:val="auto"/>
                <w:sz w:val="21"/>
                <w:szCs w:val="21"/>
                <w:highlight w:val="none"/>
                <w:lang w:val="en-US" w:eastAsia="zh-CN" w:bidi="ar"/>
              </w:rPr>
              <w:t xml:space="preserve">氯苯氧乙酸计）、</w:t>
            </w:r>
            <w:r>
              <w:rPr>
                <w:rFonts w:hint="eastAsia" w:ascii="宋体" w:hAnsi="宋体" w:eastAsia="宋体" w:cs="宋体"/>
                <w:i w:val="0"/>
                <w:iCs w:val="0"/>
                <w:color w:val="auto"/>
                <w:sz w:val="21"/>
                <w:szCs w:val="21"/>
                <w:highlight w:val="none"/>
                <w:u w:val="none"/>
                <w:lang w:val="en-US" w:eastAsia="zh-CN" w:bidi="ar"/>
              </w:rPr>
              <w:t xml:space="preserve">6-</w:t>
            </w:r>
            <w:r>
              <w:rPr>
                <w:rStyle w:val="1012"/>
                <w:rFonts w:hint="eastAsia" w:ascii="宋体" w:hAnsi="宋体" w:eastAsia="宋体" w:cs="宋体"/>
                <w:color w:val="auto"/>
                <w:sz w:val="21"/>
                <w:szCs w:val="21"/>
                <w:highlight w:val="none"/>
                <w:lang w:val="en-US" w:eastAsia="zh-CN" w:bidi="ar"/>
              </w:rPr>
              <w:t xml:space="preserve">苄基腺嘌呤（</w:t>
            </w:r>
            <w:r>
              <w:rPr>
                <w:rFonts w:hint="eastAsia" w:ascii="宋体" w:hAnsi="宋体" w:eastAsia="宋体" w:cs="宋体"/>
                <w:i w:val="0"/>
                <w:iCs w:val="0"/>
                <w:color w:val="auto"/>
                <w:sz w:val="21"/>
                <w:szCs w:val="21"/>
                <w:highlight w:val="none"/>
                <w:u w:val="none"/>
                <w:lang w:val="en-US" w:eastAsia="zh-CN" w:bidi="ar"/>
              </w:rPr>
              <w:t xml:space="preserve">6-BA</w:t>
            </w:r>
            <w:r>
              <w:rPr>
                <w:rStyle w:val="1012"/>
                <w:rFonts w:hint="eastAsia" w:ascii="宋体" w:hAnsi="宋体" w:eastAsia="宋体" w:cs="宋体"/>
                <w:color w:val="auto"/>
                <w:sz w:val="21"/>
                <w:szCs w:val="21"/>
                <w:highlight w:val="none"/>
                <w:lang w:val="en-US" w:eastAsia="zh-CN" w:bidi="ar"/>
              </w:rPr>
              <w:t xml:space="preserve">）、亚硫酸盐（以</w:t>
            </w:r>
            <w:r>
              <w:rPr>
                <w:rFonts w:hint="eastAsia" w:ascii="宋体" w:hAnsi="宋体" w:eastAsia="宋体" w:cs="宋体"/>
                <w:i w:val="0"/>
                <w:iCs w:val="0"/>
                <w:color w:val="auto"/>
                <w:sz w:val="21"/>
                <w:szCs w:val="21"/>
                <w:highlight w:val="none"/>
                <w:u w:val="none"/>
                <w:lang w:val="en-US" w:eastAsia="zh-CN" w:bidi="ar"/>
              </w:rPr>
              <w:t xml:space="preserve">SO₂</w:t>
            </w:r>
            <w:r>
              <w:rPr>
                <w:rStyle w:val="1012"/>
                <w:rFonts w:hint="eastAsia" w:ascii="宋体" w:hAnsi="宋体" w:eastAsia="宋体" w:cs="宋体"/>
                <w:color w:val="auto"/>
                <w:sz w:val="21"/>
                <w:szCs w:val="21"/>
                <w:highlight w:val="none"/>
                <w:lang w:val="en-US" w:eastAsia="zh-CN" w:bidi="ar"/>
              </w:rPr>
              <w:t xml:space="preserve">计）、总汞（以</w:t>
            </w:r>
            <w:r>
              <w:rPr>
                <w:rFonts w:hint="eastAsia" w:ascii="宋体" w:hAnsi="宋体" w:eastAsia="宋体" w:cs="宋体"/>
                <w:i w:val="0"/>
                <w:iCs w:val="0"/>
                <w:color w:val="auto"/>
                <w:sz w:val="21"/>
                <w:szCs w:val="21"/>
                <w:highlight w:val="none"/>
                <w:u w:val="none"/>
                <w:lang w:val="en-US" w:eastAsia="zh-CN" w:bidi="ar"/>
              </w:rPr>
              <w:t xml:space="preserve">Hg</w:t>
            </w:r>
            <w:r>
              <w:rPr>
                <w:rStyle w:val="1012"/>
                <w:rFonts w:hint="eastAsia" w:ascii="宋体" w:hAnsi="宋体" w:eastAsia="宋体" w:cs="宋体"/>
                <w:color w:val="auto"/>
                <w:sz w:val="21"/>
                <w:szCs w:val="21"/>
                <w:highlight w:val="none"/>
                <w:lang w:val="en-US" w:eastAsia="zh-CN" w:bidi="ar"/>
              </w:rPr>
              <w:t xml:space="preserve">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鲜食用菌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鲜食用菌</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计）、百菌清、除虫脲、氯氟氰菊酯和高效氯氟氰菊酯、氯氰菊酯和高效氯氰菊酯、咪鲜胺和咪鲜胺锰盐</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鳞茎类蔬菜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葱</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计）、丙环唑、毒死蜱、甲拌磷、甲基异柳磷、克百威、氯氟氰菊酯和高效氯氟氰菊酯、噻虫嗪、三唑磷、水胺硫磷、戊唑醇、氧乐果</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韭菜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敌敌畏、毒死蜱、多菌灵、二甲戊灵、氟虫腈、腐霉利、甲胺磷、甲拌磷、甲基异柳磷、克百威、乐果、六六六、氯氟氰菊酯和高效氯氟氰菊酯、氯氰菊酯和高效氯氰菊酯、三唑磷、水胺硫磷、辛硫磷、氧乐果、乙酰甲胺磷</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芸薹属类蔬菜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菜薹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计）、吡虫啉、啶虫脒、毒死蜱、氟虫腈、甲拌磷、联苯菊酯</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结球甘蓝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毒死蜱、甲胺磷、甲基异柳磷、克百威、乐果、灭线磷、噻虫嗪、三唑磷、氧乐果、乙酰甲胺磷</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叶菜类蔬菜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菠菜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计）、铬（以</w:t>
            </w:r>
            <w:r>
              <w:rPr>
                <w:rFonts w:hint="eastAsia" w:ascii="宋体" w:hAnsi="宋体" w:eastAsia="宋体" w:cs="宋体"/>
                <w:i w:val="0"/>
                <w:iCs w:val="0"/>
                <w:color w:val="auto"/>
                <w:sz w:val="21"/>
                <w:szCs w:val="21"/>
                <w:highlight w:val="none"/>
                <w:u w:val="none"/>
                <w:lang w:val="en-US" w:eastAsia="zh-CN" w:bidi="ar"/>
              </w:rPr>
              <w:t xml:space="preserve">Cr</w:t>
            </w:r>
            <w:r>
              <w:rPr>
                <w:rStyle w:val="1012"/>
                <w:rFonts w:hint="eastAsia" w:ascii="宋体" w:hAnsi="宋体" w:eastAsia="宋体" w:cs="宋体"/>
                <w:color w:val="auto"/>
                <w:sz w:val="21"/>
                <w:szCs w:val="21"/>
                <w:highlight w:val="none"/>
                <w:lang w:val="en-US" w:eastAsia="zh-CN" w:bidi="ar"/>
              </w:rPr>
              <w:t xml:space="preserve">计）、阿维菌素、毒死蜱、氟虫腈、腐霉利、甲氨基阿维菌素苯甲酸盐、甲拌磷、克百威、乐果、六六六、氯氟氰菊酯和高效氯氟氰菊酯、氯氰菊酯和高效氯氰菊酯、氧乐果、乙酰甲胺磷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大白菜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计）、阿维菌素、吡虫啉、敌敌畏、毒死蜱、氟虫腈、甲胺磷、甲拌磷、克百威、乐果、水胺硫磷、氧乐果、乙酰甲胺磷</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普通白菜（小白菜、小油菜、青菜）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吡虫啉、啶虫脒、毒死蜱、氟虫腈、甲氨基阿维菌素苯甲酸盐、甲胺磷、甲拌磷、甲基异柳磷、克百威、氯氟氰菊酯和高效氯氟氰菊酯、氯氰菊酯和高效氯氰菊酯、水胺硫磷、氧乐果、乙酰甲胺磷</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芹菜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百菌清、苯醚甲环唑、敌敌畏、啶虫脒、毒死蜱、二甲戊灵、氟虫腈、甲拌磷、甲基异柳磷、腈菌唑、克百威、乐果、氯氟氰菊酯和高效氯氟氰菊酯、噻虫胺、噻虫嗪、三氯杀螨醇、水胺硫磷、辛硫磷、氧乐果、乙酰甲胺磷</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油麦菜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阿维菌素、吡虫啉、啶虫脒、毒死蜱、氟虫腈、甲氨基阿维菌素苯甲酸盐、甲胺磷、甲拌磷、腈菌唑、克百威、氯氟氰菊酯和高效氯氟氰菊酯、灭多威、噻虫嗪、三氯杀螨醇、水胺硫磷、氧乐果、乙酰甲胺磷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茄果类蔬菜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番茄</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计）、吡唑醚菌酯、敌敌畏、毒死蜱、腐霉利、甲拌磷、氯氟氰菊酯和高效氯氟氰菊酯、噻虫嗪、烯酰吗啉、氧乐果、乙酰甲胺磷</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辣椒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倍硫磷、吡虫啉、吡唑醚菌酯、敌敌畏、啶虫脒、毒死蜱、氟虫腈、甲氨基阿维菌素苯甲酸盐、甲胺磷、甲拌磷、克百威、乐果、联苯菊酯、氯氟氰菊酯和高效氯氟氰菊酯、噻虫胺、噻虫嗪、三唑磷、杀扑磷、水胺硫磷、氧乐果、乙酰甲胺磷</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茄子</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计）、吡唑醚菌酯、毒死蜱、氟虫腈、甲氨基阿维菌素苯甲酸盐、甲胺磷、甲拌磷、克百威、噻虫胺、噻虫嗪、霜霉威和霜霉威盐酸盐、水胺硫磷、氧乐果、乙酰甲胺磷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甜椒</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计）、阿维菌素、倍硫磷、吡虫啉、吡唑醚菌酯、毒死蜱、氟虫腈、克百威、噻虫胺、噻虫嗪、水胺硫磷、氧乐果</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瓜类蔬菜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黄瓜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阿维菌素、哒螨灵、敌敌畏、毒死蜱、腐霉利、甲氨基阿维菌素苯甲酸盐、甲拌磷、克百威、乐果、噻虫嗪、氧乐果、乙螨唑、乙酰甲胺磷、异丙威</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豆类蔬菜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菜豆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吡虫啉、毒死蜱、多菌灵、甲氨基阿维菌素苯甲酸盐、甲胺磷、克百威、氯氟氰菊酯和高效氯氟氰菊酯、灭蝇胺、噻虫胺、三唑磷、水胺硫磷、氧乐果、乙酰甲胺磷</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豇豆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阿维菌素、倍硫磷、啶虫脒、毒死蜱、氟虫腈、甲氨基阿维菌素苯甲酸盐、甲胺磷、甲拌磷、甲基异柳磷、克百威、乐果、氯氟氰菊酯和高效氯氟氰菊酯、氯唑磷、灭多威、灭蝇胺、噻虫胺、噻虫嗪、三唑磷、水胺硫磷、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食荚豌豆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吡唑醚菌酯、毒死蜱、多菌灵、甲氨基阿维菌素苯甲酸盐、灭蝇胺、噻虫胺、噻虫嗪、烯酰吗啉、氧乐果、乙酰甲胺磷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根茎类和薯芋类蔬菜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胡萝卜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计）、毒死蜱、氟虫腈、甲拌磷、氯氟氰菊酯和高效氯氟氰菊酯、噻虫胺、乙酰甲胺磷</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计）、吡虫啉、敌敌畏、毒死蜱、甲拌磷、克百威、六六六、氯氟氰菊酯和高效氯氟氰菊酯、氯氰菊酯和高效氯氰菊酯、氯唑磷、噻虫胺、噻虫嗪、氧乐果、二氧化硫残留量</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根茎类和薯芋类蔬菜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萝卜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计）、毒死蜱、甲胺磷、甲拌磷、甲基对硫磷、乐果、氯氟氰菊酯和高效氯氟氰菊酯、噻虫嗪、水胺硫磷、氧乐果</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山药</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计）、毒死蜱、克百威、氯氟氰菊酯和高效氯氟氰菊酯、咪鲜胺和咪鲜胺锰盐、涕灭威</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多氯联苯、孔雀石绿、氯霉素、氟苯尼考、呋喃唑酮代谢物、呋喃西林代谢物、呋喃妥因代谢物、恩诺沙星、磺胺类（总量）、甲氧苄啶、甲硝唑、地西泮、五氯酚酸钠（以五氯酚计）、氧氟沙星、诺氟沙星、培氟沙星</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计）、孔雀石绿、氯霉素、呋喃唑酮代谢物、呋喃妥因代谢物、恩诺沙星、磺胺类（总量）、土霉素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四环素（组合含量）、五氯酚酸钠（以五氯酚计）、氧氟沙星、诺氟沙星</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计）、孔雀石绿、氯霉素、五氯酚酸钠（以五氯酚计）、呋喃唑酮代谢物、氧氟沙星</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挥发性盐基氮、组胺、镉（以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计）、多氯联苯、孔雀石绿、氯霉素、呋喃唑酮代谢物、呋喃它酮代谢物、呋喃西林代谢物、恩诺沙星、磺胺类（总量）、土霉素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四环素（组合含量）、甲氧苄啶、甲硝唑、五氯酚酸钠（以五氯酚计）、氧氟沙星</w:t>
            </w:r>
            <w:r>
              <w:rPr>
                <w:rFonts w:hint="eastAsia" w:ascii="宋体" w:hAnsi="宋体" w:eastAsia="宋体" w:cs="宋体"/>
                <w:i w:val="0"/>
                <w:iCs w:val="0"/>
                <w:color w:val="auto"/>
                <w:sz w:val="21"/>
                <w:szCs w:val="21"/>
                <w:highlight w:val="none"/>
                <w:u w:val="none"/>
                <w:lang w:val="en-US" w:eastAsia="zh-CN" w:bidi="ar"/>
              </w:rPr>
              <w:t xml:space="preserve">b</w:t>
            </w:r>
            <w:r>
              <w:rPr>
                <w:rStyle w:val="1012"/>
                <w:rFonts w:hint="eastAsia" w:ascii="宋体" w:hAnsi="宋体" w:eastAsia="宋体" w:cs="宋体"/>
                <w:color w:val="auto"/>
                <w:sz w:val="21"/>
                <w:szCs w:val="21"/>
                <w:highlight w:val="none"/>
                <w:lang w:val="en-US" w:eastAsia="zh-CN" w:bidi="ar"/>
              </w:rPr>
              <w:t xml:space="preserve">、培氟沙星、诺氟沙星</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海水虾</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计）、二氧化硫残留量、孔雀石绿、氯霉素、呋喃唑酮代谢物、呋喃它酮代谢物、呋喃妥因代谢物、恩诺沙星、土霉素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四环素（组合含量）、磺胺类（总量）、五氯酚酸钠（以五氯酚计）、诺氟沙星</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海水蟹</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计）、二氧化硫残留量、孔雀石绿、氯霉素、呋喃妥因代谢物、诺氟沙星</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贝类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贝类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计）、无机砷（以</w:t>
            </w:r>
            <w:r>
              <w:rPr>
                <w:rFonts w:hint="eastAsia" w:ascii="宋体" w:hAnsi="宋体" w:eastAsia="宋体" w:cs="宋体"/>
                <w:i w:val="0"/>
                <w:iCs w:val="0"/>
                <w:color w:val="auto"/>
                <w:sz w:val="21"/>
                <w:szCs w:val="21"/>
                <w:highlight w:val="none"/>
                <w:u w:val="none"/>
                <w:lang w:val="en-US" w:eastAsia="zh-CN" w:bidi="ar"/>
              </w:rPr>
              <w:t xml:space="preserve">As</w:t>
            </w:r>
            <w:r>
              <w:rPr>
                <w:rStyle w:val="1012"/>
                <w:rFonts w:hint="eastAsia" w:ascii="宋体" w:hAnsi="宋体" w:eastAsia="宋体" w:cs="宋体"/>
                <w:color w:val="auto"/>
                <w:sz w:val="21"/>
                <w:szCs w:val="21"/>
                <w:highlight w:val="none"/>
                <w:lang w:val="en-US" w:eastAsia="zh-CN" w:bidi="ar"/>
              </w:rPr>
              <w:t xml:space="preserve">计）、多氯联苯、孔雀石绿、氯霉素、氟苯尼考、呋喃唑酮代谢物、呋喃西林代谢物、呋喃妥因代谢物、恩诺沙星、磺胺类（总量）、氧氟沙星、五氯酚酸钠（以五氯酚计）</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水产品</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计）、孔雀石绿、氯霉素、呋喃唑酮代谢物、呋喃西林代谢物、呋喃妥因代谢物、恩诺沙星、磺胺类（总量）、氟苯尼考、甲硝唑、氧氟沙星、诺氟沙星</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水果类</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仁果类水果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苹果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none" w:color="000000" w:sz="4" w:space="0"/>
              <w:left w:val="none" w:color="000000" w:sz="4" w:space="0"/>
              <w:bottom w:val="none" w:color="000000" w:sz="4" w:space="0"/>
              <w:right w:val="non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敌敌畏、啶虫脒、毒死蜱、甲拌磷、克百威、氧乐果、三氯杀螨醇</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right w:val="none" w:color="000000" w:sz="4" w:space="0"/>
            </w:tcBorders>
            <w:tcW w:w="134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梨</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吡虫啉、敌敌畏、毒死蜱、多菌灵、克百威、氯氟氰菊酯和高效氯氟氰菊酯、氧乐果、水胺硫磷、苯醚甲环唑、咪鲜胺和咪鲜胺锰盐、噻虫嗪、乙螨唑</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核果类水果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枣</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多菌灵、氟虫腈、氰戊菊酯和</w:t>
            </w:r>
            <w:r>
              <w:rPr>
                <w:rFonts w:hint="eastAsia" w:ascii="宋体" w:hAnsi="宋体" w:eastAsia="宋体" w:cs="宋体"/>
                <w:i w:val="0"/>
                <w:iCs w:val="0"/>
                <w:color w:val="auto"/>
                <w:sz w:val="21"/>
                <w:szCs w:val="21"/>
                <w:highlight w:val="none"/>
                <w:u w:val="none"/>
                <w:lang w:val="en-US" w:eastAsia="zh-CN" w:bidi="ar"/>
              </w:rPr>
              <w:t xml:space="preserve">S-</w:t>
            </w:r>
            <w:r>
              <w:rPr>
                <w:rStyle w:val="1011"/>
                <w:rFonts w:hint="eastAsia" w:ascii="宋体" w:hAnsi="宋体" w:eastAsia="宋体" w:cs="宋体"/>
                <w:color w:val="auto"/>
                <w:sz w:val="21"/>
                <w:szCs w:val="21"/>
                <w:highlight w:val="none"/>
                <w:lang w:val="en-US" w:eastAsia="zh-CN" w:bidi="ar"/>
              </w:rPr>
              <w:t xml:space="preserve">氰戊菊酯、氧乐果、糖精钠（以糖精计）</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桃</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苯醚甲环唑、敌敌畏、多菌灵、氟硅唑、甲胺磷、克百威、氧乐果、溴氰菊酯、吡虫啉</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油桃</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多菌灵、甲胺磷、克百威、氧乐果、敌敌畏、苯醚甲环唑、噻虫胺</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柑橘类水果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柑、橘</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苯醚甲环唑、丙溴磷、克百威、联苯菊酯、氯唑磷、三唑磷、水胺硫磷、氧乐果、氯氟氰菊酯和高效氯氟氰菊酯、甲拌磷、</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滴和</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滴钠盐、狄氏剂、毒死蜱、杀扑磷</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柚</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水胺硫磷、联苯菊酯、氯氟氰菊酯和高效氯氟氰菊酯、氯唑磷、多菌灵、克百威</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柠檬</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多菌灵、克百威、联苯菊酯、水胺硫磷、乙螨唑、氯唑磷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橙</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丙溴磷、克百威、联苯菊酯、三唑磷、杀扑磷、水胺硫磷、氧乐果、</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滴和</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滴钠盐、苯醚甲环唑、狄氏剂、氯唑磷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浆果和其他小型水果</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葡萄</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苯醚甲环唑、己唑醇、克百威、氯氰菊酯和高效氯氰菊酯、霜霉威和霜霉威盐酸盐、氧乐果、氯氟氰菊酯和高效氯氟氰菊酯、氟虫腈、氯吡脲、联苯菊酯</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草莓</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阿维菌素、敌敌畏、多菌灵、克百威、烯酰吗啉、氧乐果、戊菌唑、吡虫啉、乙酰甲胺磷</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水果类</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浆果和其他小型水果</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猕猴桃</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敌敌畏、多菌灵、氯吡脲、氧乐果</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桑葚</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脱氢乙酸及其钠盐（以脱氢乙酸计）、苯甲酸及其钠盐（以苯甲酸计）、山梨酸及其钾盐（以山梨酸计）、糖精钠（以糖精计）、三氯蔗糖、甜蜜素（以环己基氨基磺酸计）、多菌灵</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热带和亚热带水果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香蕉</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苯醚甲环唑、吡唑醚菌酯、多菌灵、氟虫腈、甲拌磷、腈苯唑、吡虫啉、噻虫胺、噻虫嗪、氟环唑、联苯菊酯、烯唑醇、百菌清、噻唑膦、狄氏剂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芒果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苯醚甲环唑、多菌灵、戊唑醇、氧乐果、吡唑醚菌酯、噻虫胺、乙酰甲胺磷、吡虫啉、噻虫嗪、噻嗪酮</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火龙果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氟虫腈、甲胺磷、克百威、氧乐果、乙酰甲胺磷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荔枝</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多菌灵、氧乐果、毒死蜱、苯醚甲环唑、氯氰菊酯和高效氯氰菊酯、氯氟氰菊酯和高效氯氟氰菊酯、吡唑醚菌酯、除虫脲、氰霜唑、氟吗啉</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杨梅</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脱氢乙酸及其钠盐（以脱氢乙酸计）、苯甲酸及其钠盐（以苯甲酸计）、山梨酸及其钾盐（以山梨酸计）、糖精钠（以糖精计）、三氯蔗糖、甜蜜素（以环己基氨基磺酸计）、敌敌畏、氧乐果</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龙眼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二氧化硫残留量、克百威、氯氰菊酯和高效氯氰菊酯、氧乐果</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橄榄</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三氯蔗糖、糖精钠（以糖精计）、甜蜜素（以环己基氨基磺酸计）、多菌灵</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番木瓜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噻虫胺、噻虫嗪、乙酰甲胺磷</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瓜果类水果</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西瓜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克百威、噻虫嗪、氧乐果、乙酰甲胺磷、苯醚甲环唑</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甜瓜类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克百威、烯酰吗啉、氧乐果、乙酰甲胺磷</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鲜蛋</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鸡蛋</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鸡蛋</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甲硝唑、地美硝唑、呋喃唑酮代谢物、氟虫腈、氯霉素、氟苯尼考、甲砜霉素、恩诺沙星、氧氟沙星、沙拉沙星、甲氧苄啶、磺胺类（总量）、多西环素、地克珠利、托曲珠利</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其他禽蛋</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其他禽蛋</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呋喃唑酮代谢物、磺胺类（总量）、多西环素</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豆类</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豆类</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1"/>
                <w:rFonts w:hint="eastAsia" w:ascii="宋体" w:hAnsi="宋体" w:eastAsia="宋体" w:cs="宋体"/>
                <w:color w:val="auto"/>
                <w:sz w:val="21"/>
                <w:szCs w:val="21"/>
                <w:highlight w:val="none"/>
                <w:lang w:val="en-US" w:eastAsia="zh-CN" w:bidi="ar"/>
              </w:rPr>
              <w:t xml:space="preserve">计）、铬（以</w:t>
            </w:r>
            <w:r>
              <w:rPr>
                <w:rFonts w:hint="eastAsia" w:ascii="宋体" w:hAnsi="宋体" w:eastAsia="宋体" w:cs="宋体"/>
                <w:i w:val="0"/>
                <w:iCs w:val="0"/>
                <w:color w:val="auto"/>
                <w:sz w:val="21"/>
                <w:szCs w:val="21"/>
                <w:highlight w:val="none"/>
                <w:u w:val="none"/>
                <w:lang w:val="en-US" w:eastAsia="zh-CN" w:bidi="ar"/>
              </w:rPr>
              <w:t xml:space="preserve">Cr</w:t>
            </w:r>
            <w:r>
              <w:rPr>
                <w:rStyle w:val="1011"/>
                <w:rFonts w:hint="eastAsia" w:ascii="宋体" w:hAnsi="宋体" w:eastAsia="宋体" w:cs="宋体"/>
                <w:color w:val="auto"/>
                <w:sz w:val="21"/>
                <w:szCs w:val="21"/>
                <w:highlight w:val="none"/>
                <w:lang w:val="en-US" w:eastAsia="zh-CN" w:bidi="ar"/>
              </w:rPr>
              <w:t xml:space="preserve">计）、赭曲霉毒素</w:t>
            </w:r>
            <w:r>
              <w:rPr>
                <w:rFonts w:hint="eastAsia" w:ascii="宋体" w:hAnsi="宋体" w:eastAsia="宋体" w:cs="宋体"/>
                <w:i w:val="0"/>
                <w:iCs w:val="0"/>
                <w:color w:val="auto"/>
                <w:sz w:val="21"/>
                <w:szCs w:val="21"/>
                <w:highlight w:val="none"/>
                <w:u w:val="none"/>
                <w:lang w:val="en-US" w:eastAsia="zh-CN" w:bidi="ar"/>
              </w:rPr>
              <w:t xml:space="preserve">A</w:t>
            </w:r>
            <w:r>
              <w:rPr>
                <w:rStyle w:val="1011"/>
                <w:rFonts w:hint="eastAsia" w:ascii="宋体" w:hAnsi="宋体" w:eastAsia="宋体" w:cs="宋体"/>
                <w:color w:val="auto"/>
                <w:sz w:val="21"/>
                <w:szCs w:val="21"/>
                <w:highlight w:val="none"/>
                <w:lang w:val="en-US" w:eastAsia="zh-CN" w:bidi="ar"/>
              </w:rPr>
              <w:t xml:space="preserve">、吡虫啉、环丙唑醇</w:t>
            </w:r>
            <w:r/>
          </w:p>
        </w:tc>
      </w:tr>
      <w:tr>
        <w:trPr>
          <w:jc w:val="center"/>
          <w:trHeight w:val="236"/>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生干坚果</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酸价（以脂肪计）（</w:t>
            </w:r>
            <w:r>
              <w:rPr>
                <w:rFonts w:hint="eastAsia" w:ascii="宋体" w:hAnsi="宋体" w:eastAsia="宋体" w:cs="宋体"/>
                <w:i w:val="0"/>
                <w:iCs w:val="0"/>
                <w:color w:val="auto"/>
                <w:sz w:val="21"/>
                <w:szCs w:val="21"/>
                <w:highlight w:val="none"/>
                <w:u w:val="none"/>
                <w:lang w:val="en-US" w:eastAsia="zh-CN" w:bidi="ar"/>
              </w:rPr>
              <w:t xml:space="preserve">KOH</w:t>
            </w:r>
            <w:r>
              <w:rPr>
                <w:rStyle w:val="1012"/>
                <w:rFonts w:hint="eastAsia" w:ascii="宋体" w:hAnsi="宋体" w:eastAsia="宋体" w:cs="宋体"/>
                <w:color w:val="auto"/>
                <w:sz w:val="21"/>
                <w:szCs w:val="21"/>
                <w:highlight w:val="none"/>
                <w:lang w:val="en-US" w:eastAsia="zh-CN" w:bidi="ar"/>
              </w:rPr>
              <w:t xml:space="preserve">）、过氧化值（以脂肪计）、铅（以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计）、吡虫啉</w:t>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生干籽类</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746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酸价（以脂肪计）（</w:t>
            </w:r>
            <w:r>
              <w:rPr>
                <w:rFonts w:hint="eastAsia" w:ascii="宋体" w:hAnsi="宋体" w:eastAsia="宋体" w:cs="宋体"/>
                <w:i w:val="0"/>
                <w:iCs w:val="0"/>
                <w:color w:val="auto"/>
                <w:sz w:val="21"/>
                <w:szCs w:val="21"/>
                <w:highlight w:val="none"/>
                <w:u w:val="none"/>
                <w:lang w:val="en-US" w:eastAsia="zh-CN" w:bidi="ar"/>
              </w:rPr>
              <w:t xml:space="preserve">KOH</w:t>
            </w:r>
            <w:r>
              <w:rPr>
                <w:rStyle w:val="1012"/>
                <w:rFonts w:hint="eastAsia" w:ascii="宋体" w:hAnsi="宋体" w:eastAsia="宋体" w:cs="宋体"/>
                <w:color w:val="auto"/>
                <w:sz w:val="21"/>
                <w:szCs w:val="21"/>
                <w:highlight w:val="none"/>
                <w:lang w:val="en-US" w:eastAsia="zh-CN" w:bidi="ar"/>
              </w:rPr>
              <w:t xml:space="preserve">）、过氧化值（以脂肪计）、铅（以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计）、黄曲霉毒素</w:t>
            </w:r>
            <w:r>
              <w:rPr>
                <w:rFonts w:hint="eastAsia" w:ascii="宋体" w:hAnsi="宋体" w:eastAsia="宋体" w:cs="宋体"/>
                <w:i w:val="0"/>
                <w:iCs w:val="0"/>
                <w:color w:val="auto"/>
                <w:sz w:val="21"/>
                <w:szCs w:val="21"/>
                <w:highlight w:val="none"/>
                <w:u w:val="none"/>
                <w:lang w:val="en-US" w:eastAsia="zh-CN" w:bidi="ar"/>
              </w:rPr>
              <w:t xml:space="preserve">B1</w:t>
            </w:r>
            <w:r>
              <w:rPr>
                <w:rStyle w:val="1012"/>
                <w:rFonts w:hint="eastAsia" w:ascii="宋体" w:hAnsi="宋体" w:eastAsia="宋体" w:cs="宋体"/>
                <w:color w:val="auto"/>
                <w:sz w:val="21"/>
                <w:szCs w:val="21"/>
                <w:highlight w:val="none"/>
                <w:lang w:val="en-US" w:eastAsia="zh-CN" w:bidi="ar"/>
              </w:rPr>
              <w:t xml:space="preserve">、噻虫嗪</w:t>
            </w:r>
            <w:r/>
          </w:p>
        </w:tc>
      </w:tr>
    </w:tbl>
    <w:p>
      <w:pPr>
        <w:rPr>
          <w:rFonts w:hint="eastAsia"/>
          <w:color w:val="auto"/>
          <w:highlight w:val="none"/>
          <w:lang w:val="en-US" w:eastAsia="zh-CN"/>
        </w:rPr>
        <w:sectPr>
          <w:headerReference w:type="default" r:id="rId11"/>
          <w:footerReference w:type="default" r:id="rId16"/>
          <w:footnotePr/>
          <w:endnotePr/>
          <w:type w:val="nextPage"/>
          <w:pgSz w:w="16838" w:h="11906" w:orient="landscape"/>
          <w:pgMar w:top="1803" w:right="1440" w:bottom="1803" w:left="1440" w:header="851" w:footer="992" w:gutter="0"/>
          <w:cols w:num="1" w:sep="0" w:space="0" w:equalWidth="1"/>
          <w:docGrid w:linePitch="360"/>
        </w:sect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pStyle w:val="962"/>
        <w:numPr>
          <w:ilvl w:val="0"/>
          <w:numId w:val="0"/>
        </w:numPr>
        <w:jc w:val="center"/>
        <w:spacing w:line="240" w:lineRule="auto"/>
        <w:rPr>
          <w:rFonts w:hint="eastAsia"/>
          <w:color w:val="auto"/>
          <w:highlight w:val="none"/>
        </w:rPr>
      </w:pPr>
      <w:r/>
      <w:bookmarkStart w:id="56" w:name="_Toc55204181"/>
      <w:r>
        <w:rPr>
          <w:rFonts w:hint="eastAsia"/>
          <w:color w:val="auto"/>
          <w:highlight w:val="none"/>
        </w:rPr>
        <w:t xml:space="preserve">第五章 评标方法及评标标准</w:t>
      </w:r>
      <w:bookmarkEnd w:id="56"/>
      <w:r/>
      <w:r/>
    </w:p>
    <w:p>
      <w:pPr>
        <w:pStyle w:val="100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04"/>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7" w:name="_Toc449016388"/>
      <w:r/>
      <w:bookmarkStart w:id="58" w:name="_Toc449017024"/>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7"/>
      <w:r/>
      <w:bookmarkEnd w:id="58"/>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4"/>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0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0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0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三、评标标准</w:t>
      </w:r>
      <w:r/>
    </w:p>
    <w:tbl>
      <w:tblPr>
        <w:tblStyle w:val="789"/>
        <w:tblW w:w="9729"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365"/>
        <w:gridCol w:w="8364"/>
      </w:tblGrid>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以满足招标文件要求的且投标折扣最低的投标报价为评标基准价，得满分</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分，其他投标报价得分=（评标基准价/其他投标报价）×1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w:t>
            </w:r>
            <w:r/>
          </w:p>
          <w:p>
            <w:pP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投标折扣</w:t>
            </w:r>
            <w:r>
              <w:rPr>
                <w:rFonts w:hint="eastAsia" w:ascii="宋体" w:hAnsi="宋体" w:eastAsia="宋体" w:cs="宋体"/>
                <w:b/>
                <w:bCs/>
                <w:color w:val="auto"/>
                <w:sz w:val="21"/>
                <w:szCs w:val="21"/>
                <w:highlight w:val="none"/>
              </w:rPr>
              <w:t xml:space="preserve">七折以下（含七折）需提供合理性说明上传系统</w:t>
            </w:r>
            <w:r>
              <w:rPr>
                <w:rFonts w:hint="eastAsia" w:ascii="宋体" w:hAnsi="宋体" w:eastAsia="宋体" w:cs="宋体"/>
                <w:b/>
                <w:bCs/>
                <w:color w:val="auto"/>
                <w:sz w:val="21"/>
                <w:szCs w:val="21"/>
                <w:highlight w:val="none"/>
                <w:lang w:eastAsia="zh-CN"/>
              </w:rPr>
              <w:t xml:space="preserve">。</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拟投入本项目人员</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具有与食品抽检工作相匹配的专职抽样人员和检验人员。</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1、人员数量（</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其中食品抽样人员10名以上（含）得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分，不足按比例得分；食品检验人员40名以上（含）得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分，不足按比例得分。</w:t>
            </w:r>
            <w:r>
              <w:rPr>
                <w:rFonts w:hint="eastAsia" w:ascii="宋体" w:hAnsi="宋体" w:eastAsia="宋体" w:cs="宋体"/>
                <w:b/>
                <w:bCs/>
                <w:color w:val="auto"/>
                <w:sz w:val="21"/>
                <w:szCs w:val="21"/>
                <w:highlight w:val="none"/>
              </w:rPr>
              <w:t xml:space="preserve">（提供人员食品岗位证明、相关学历证明、职称证明、投标人近</w:t>
            </w:r>
            <w:r>
              <w:rPr>
                <w:rFonts w:hint="eastAsia" w:ascii="宋体" w:hAnsi="宋体" w:eastAsia="宋体" w:cs="宋体"/>
                <w:b/>
                <w:bCs/>
                <w:color w:val="auto"/>
                <w:sz w:val="21"/>
                <w:szCs w:val="21"/>
                <w:highlight w:val="none"/>
                <w:lang w:val="en-US" w:eastAsia="zh-CN"/>
              </w:rPr>
              <w:t xml:space="preserve">三个月任意一个月</w:t>
            </w:r>
            <w:r>
              <w:rPr>
                <w:rFonts w:hint="eastAsia" w:ascii="宋体" w:hAnsi="宋体" w:eastAsia="宋体" w:cs="宋体"/>
                <w:b/>
                <w:bCs/>
                <w:color w:val="auto"/>
                <w:sz w:val="21"/>
                <w:szCs w:val="21"/>
                <w:highlight w:val="none"/>
              </w:rPr>
              <w:t xml:space="preserve">为其缴纳社保证</w:t>
            </w:r>
            <w:r>
              <w:rPr>
                <w:rFonts w:hint="eastAsia" w:ascii="宋体" w:hAnsi="宋体" w:eastAsia="宋体" w:cs="宋体"/>
                <w:b/>
                <w:bCs/>
                <w:color w:val="auto"/>
                <w:sz w:val="21"/>
                <w:szCs w:val="21"/>
                <w:highlight w:val="none"/>
              </w:rPr>
              <w:t xml:space="preserve">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提供承诺函原件，承诺函承诺投标文件中拟投入的所有人员为本次项目服务人员且均为本单位在职成员</w:t>
            </w:r>
            <w:r>
              <w:rPr>
                <w:rFonts w:hint="eastAsia" w:ascii="宋体" w:hAnsi="宋体" w:eastAsia="宋体" w:cs="宋体"/>
                <w:b/>
                <w:bCs/>
                <w:color w:val="auto"/>
                <w:sz w:val="21"/>
                <w:szCs w:val="21"/>
                <w:highlight w:val="none"/>
              </w:rPr>
              <w:t xml:space="preserve">等加盖投标人公章</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，抽样人员和检验人员不能同时申报）</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2、人员实力（</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拟投入食品检验人员中每有一名具有高级及以上职称或博士学位的得1分，满分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（须提供职称证书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学位证书、投标人</w:t>
            </w:r>
            <w:r>
              <w:rPr>
                <w:rFonts w:hint="eastAsia" w:ascii="宋体" w:hAnsi="宋体" w:eastAsia="宋体" w:cs="宋体"/>
                <w:color w:val="auto"/>
                <w:sz w:val="21"/>
                <w:szCs w:val="21"/>
                <w:highlight w:val="none"/>
              </w:rPr>
              <w:t xml:space="preserve">近</w:t>
            </w:r>
            <w:r>
              <w:rPr>
                <w:rFonts w:hint="eastAsia" w:ascii="宋体" w:hAnsi="宋体" w:eastAsia="宋体" w:cs="宋体"/>
                <w:color w:val="auto"/>
                <w:sz w:val="21"/>
                <w:szCs w:val="21"/>
                <w:highlight w:val="none"/>
                <w:lang w:val="en-US" w:eastAsia="zh-CN"/>
              </w:rPr>
              <w:t xml:space="preserve">三个月任意一个月</w:t>
            </w:r>
            <w:r>
              <w:rPr>
                <w:rFonts w:hint="eastAsia" w:ascii="宋体" w:hAnsi="宋体" w:eastAsia="宋体" w:cs="宋体"/>
                <w:b/>
                <w:bCs/>
                <w:color w:val="auto"/>
                <w:sz w:val="21"/>
                <w:szCs w:val="21"/>
                <w:highlight w:val="none"/>
              </w:rPr>
              <w:t xml:space="preserve">为其缴纳社保证明等</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加盖投标人公章，同一人员的职称和学历不重复计算得分）</w:t>
            </w:r>
            <w:r/>
          </w:p>
        </w:tc>
      </w:tr>
      <w:tr>
        <w:trPr>
          <w:jc w:val="center"/>
          <w:trHeight w:val="68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拟投入本项目设施</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1、实验室场地（</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根据投标人具备的与食品检测工作相适应的实验场所建筑面积、具体布局等进行评价。食品检测实验室建筑面积，低于3000m²不得分，3000m²得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分，每增加</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00m²加1分，满分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（须提供食品实验室平面布局图，并提供各组成部分面积清单</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2、实验室设备（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pacing w:val="-2"/>
                <w:sz w:val="21"/>
                <w:szCs w:val="21"/>
                <w:highlight w:val="none"/>
              </w:rPr>
              <w:t xml:space="preserve">投标人具有满足食品安全检测的设施及仪器设备。其中具有液质联用仪2台、液相色谱仪3台、气相色谱仪3台、气质联用仪2台、电感耦合等离子体质谱仪（ICP-MS）1台、原子荧光光谱仪1台及原子吸收分光光度计1台得基本</w:t>
            </w:r>
            <w:r>
              <w:rPr>
                <w:rFonts w:hint="eastAsia" w:ascii="宋体" w:hAnsi="宋体" w:eastAsia="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rPr>
              <w:t xml:space="preserve">分，每少1台扣1分，每增加一台加0.5分，满分</w:t>
            </w:r>
            <w:r>
              <w:rPr>
                <w:rFonts w:hint="eastAsia" w:ascii="宋体" w:hAnsi="宋体" w:eastAsia="宋体"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（提供以上仪器设备清单、设备原值、购置时间、台套数、计量检定证明、发票、仪器在实验室的照片等其他证明材料</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3、实验室运输实力（</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投标人具备满足食品抽检工作要求的抽样工具、车辆及特殊贮存条件要求的运输设备情况。</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①投标人自有车辆的，有2辆得0.5分，每增加1辆加0.25分；租赁车辆的，有2辆得0.25分，每增加2辆加0.25分</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满分2分；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②投标人自有冷藏（冻）车辆的，有1辆得1分；冷藏（冻）车辆租赁的，有1辆得0.25分</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满分1分；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③投标人具备用于食品保存的车载冷藏箱每有2个得0.25分</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满分1分；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④投标人具备用于样品保存的车载保温箱每有4个得0.5分</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满分2分；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⑤投标人具备抽样过程采样影像记录设备，有3台得1分，有6台得2分</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满分2分。</w:t>
            </w:r>
            <w:r>
              <w:rPr>
                <w:rFonts w:hint="eastAsia" w:ascii="宋体" w:hAnsi="宋体" w:eastAsia="宋体" w:cs="宋体"/>
                <w:b/>
                <w:bCs/>
                <w:color w:val="auto"/>
                <w:sz w:val="21"/>
                <w:szCs w:val="21"/>
                <w:highlight w:val="none"/>
              </w:rPr>
              <w:t xml:space="preserve">（须提供以上车辆行驶证或车辆租赁协议</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冷藏或保温设备、影像记录设备发票</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技术实施方案和应急方案</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1、对本项目食品抽检计划实施的保障情况，</w:t>
            </w:r>
            <w:r>
              <w:rPr>
                <w:rFonts w:hint="eastAsia" w:ascii="宋体" w:hAnsi="宋体" w:eastAsia="宋体" w:cs="宋体"/>
                <w:color w:val="auto"/>
                <w:sz w:val="21"/>
                <w:szCs w:val="21"/>
                <w:highlight w:val="none"/>
                <w:lang w:eastAsia="zh-CN"/>
              </w:rPr>
              <w:t xml:space="preserve">熟悉扬州地区学校食堂、学校集中用餐配送单位、学校食材供货商以及敬老院食堂等单位分布情况并针对具体情况</w:t>
            </w:r>
            <w:r>
              <w:rPr>
                <w:rFonts w:hint="eastAsia" w:ascii="宋体" w:hAnsi="宋体" w:eastAsia="宋体" w:cs="宋体"/>
                <w:color w:val="auto"/>
                <w:sz w:val="21"/>
                <w:szCs w:val="21"/>
                <w:highlight w:val="none"/>
              </w:rPr>
              <w:t xml:space="preserve">实施的组织情况、实施方案、质量控制等进行评分。（8分）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方案细致全面、合理，技术可行性强得8分；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方案较为完整，技术可行性较强得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方案不完整、技术可行性较低得2分。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2、对本项目食品应急抽检计划方案和快速响应的保障情况，应急响应的组织情况、实施方案、质量控制、应急响应时间以及快速响应保障方案的时效快速性、措施合理性等进行评分。（8分）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方案细致全面、合理，符合响应需求，技术可行性强得8分；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方案较为完整，基本符合响应需求得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方案不完整、响应度低、技术可行性较低得2分。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3、投标人针对抽检数据质量水平的把控能力，如何规范抽检数据，提高抽检工作数据质量等情况进行评分。（5分）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方案要点齐全、条理清晰，可操作性强得5分；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方案要点基本齐全、条理较清晰，可操作性较强得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方案要点不足、条理不清晰，可操作性较低得1分；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其他或未提供的不得分。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4、投标人在实施食品抽检服务之外为采购人提供相关增值服务进行评分。（6分）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方案细致全面、合理，增值服务好得6分；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方案较为完整，增值服务较好得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方案不完整、增值服务一般得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、综合覆盖率（</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6"/>
                <w:sz w:val="21"/>
                <w:szCs w:val="21"/>
                <w:highlight w:val="none"/>
              </w:rPr>
              <w:t xml:space="preserve">投标人对国抽细则202</w:t>
            </w:r>
            <w:r>
              <w:rPr>
                <w:rFonts w:hint="eastAsia" w:ascii="宋体" w:hAnsi="宋体" w:eastAsia="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版中33类食品列出的各产品检验项目表的项目覆盖率在90%（不含）以下的不得分；90%得1分，每增加1%得</w:t>
            </w:r>
            <w:r>
              <w:rPr>
                <w:rFonts w:hint="eastAsia" w:ascii="宋体" w:hAnsi="宋体" w:eastAsia="宋体" w:cs="宋体"/>
                <w:color w:val="auto"/>
                <w:spacing w:val="-6"/>
                <w:sz w:val="21"/>
                <w:szCs w:val="21"/>
                <w:highlight w:val="none"/>
                <w:lang w:val="en-US" w:eastAsia="zh-CN"/>
              </w:rPr>
              <w:t xml:space="preserve">0.5</w:t>
            </w:r>
            <w:r>
              <w:rPr>
                <w:rFonts w:hint="eastAsia" w:ascii="宋体" w:hAnsi="宋体" w:eastAsia="宋体" w:cs="宋体"/>
                <w:color w:val="auto"/>
                <w:spacing w:val="-6"/>
                <w:sz w:val="21"/>
                <w:szCs w:val="21"/>
                <w:highlight w:val="none"/>
              </w:rPr>
              <w:t xml:space="preserve">分，满分6分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（须提供</w:t>
            </w:r>
            <w:r>
              <w:rPr>
                <w:rFonts w:hint="eastAsia" w:ascii="宋体" w:hAnsi="宋体" w:eastAsia="宋体" w:cs="宋体"/>
                <w:b/>
                <w:bCs/>
                <w:color w:val="auto"/>
                <w:sz w:val="21"/>
                <w:szCs w:val="21"/>
                <w:highlight w:val="none"/>
                <w:lang w:eastAsia="zh-CN"/>
              </w:rPr>
              <w:t xml:space="preserve">相关</w:t>
            </w:r>
            <w:r>
              <w:rPr>
                <w:rFonts w:hint="eastAsia" w:ascii="宋体" w:hAnsi="宋体" w:eastAsia="宋体" w:cs="宋体"/>
                <w:b/>
                <w:bCs/>
                <w:color w:val="auto"/>
                <w:sz w:val="21"/>
                <w:szCs w:val="21"/>
                <w:highlight w:val="none"/>
              </w:rPr>
              <w:t xml:space="preserve">证书、实验室资质及检验项目资质情况表的对照表</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p>
            <w:pPr>
              <w:ind w:firstLine="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、能力验证（</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年参加的能力验证数量和结果进行评审。参加</w:t>
            </w:r>
            <w:r>
              <w:rPr>
                <w:rFonts w:hint="eastAsia" w:ascii="宋体" w:hAnsi="宋体" w:cs="宋体"/>
                <w:color w:val="auto"/>
                <w:sz w:val="21"/>
                <w:szCs w:val="21"/>
                <w:highlight w:val="none"/>
                <w:lang w:eastAsia="zh-CN"/>
              </w:rPr>
              <w:t xml:space="preserve">省</w:t>
            </w:r>
            <w:r>
              <w:rPr>
                <w:rFonts w:hint="eastAsia" w:ascii="宋体" w:hAnsi="宋体" w:eastAsia="宋体" w:cs="宋体"/>
                <w:color w:val="auto"/>
                <w:sz w:val="21"/>
                <w:szCs w:val="21"/>
                <w:highlight w:val="none"/>
              </w:rPr>
              <w:t xml:space="preserve">级及以上食品检测能力验证且结果满意的数量：平均</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次/年（含）以上的得4分，每少1次扣1分，扣完为止。</w:t>
            </w:r>
            <w:r>
              <w:rPr>
                <w:rFonts w:hint="eastAsia" w:ascii="宋体" w:hAnsi="宋体" w:eastAsia="宋体" w:cs="宋体"/>
                <w:b/>
                <w:bCs/>
                <w:color w:val="auto"/>
                <w:sz w:val="21"/>
                <w:szCs w:val="21"/>
                <w:highlight w:val="none"/>
              </w:rPr>
              <w:t xml:space="preserve">（须提供能力验证证书或相关证明文件</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w:t>
            </w:r>
            <w:r>
              <w:rPr>
                <w:rFonts w:hint="default" w:ascii="Times New Roman" w:hAnsi="Times New Roman" w:eastAsia="宋体" w:cs="Times New Roman"/>
                <w:color w:val="auto"/>
                <w:sz w:val="21"/>
                <w:szCs w:val="21"/>
                <w:highlight w:val="none"/>
              </w:rPr>
            </w:r>
            <w:r>
              <w:rPr>
                <w:rFonts w:hint="default" w:ascii="Times New Roman" w:hAnsi="Times New Roman" w:eastAsia="宋体" w:cs="Times New Roman"/>
                <w:color w:val="auto"/>
                <w:sz w:val="21"/>
                <w:szCs w:val="21"/>
                <w:highlight w:val="none"/>
              </w:rPr>
              <w:t xml:space="preserve">经验</w:t>
            </w:r>
            <w:r>
              <w:rPr>
                <w:rFonts w:hint="default" w:ascii="Times New Roman" w:hAnsi="Times New Roman" w:eastAsia="宋体" w:cs="Times New Roman"/>
                <w:color w:val="auto"/>
                <w:sz w:val="21"/>
                <w:szCs w:val="21"/>
                <w:highlight w:val="none"/>
              </w:rPr>
              <w:t xml:space="preserve">及</w:t>
            </w:r>
            <w:r>
              <w:rPr>
                <w:rFonts w:hint="default" w:ascii="Times New Roman" w:hAnsi="Times New Roman" w:eastAsia="宋体" w:cs="Times New Roman"/>
                <w:color w:val="auto"/>
                <w:sz w:val="21"/>
                <w:szCs w:val="21"/>
                <w:highlight w:val="none"/>
              </w:rPr>
              <w:t xml:space="preserve">评价</w:t>
            </w: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rPr>
              <w:t xml:space="preserve">分）</w:t>
            </w:r>
            <w:r/>
            <w:r>
              <w:rPr>
                <w:rFonts w:hint="default" w:ascii="Times New Roman" w:hAnsi="Times New Roman" w:eastAsia="宋体" w:cs="Times New Roman"/>
                <w:color w:val="auto"/>
                <w:sz w:val="21"/>
                <w:szCs w:val="21"/>
                <w:highlight w:val="none"/>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ind w:left="0" w:right="0" w:firstLine="0"/>
              <w:keepLines w:val="0"/>
              <w:keepNext w:val="0"/>
              <w:pageBreakBefore w:val="0"/>
              <w:spacing w:line="44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1、投标人</w:t>
            </w:r>
            <w:r>
              <w:rPr>
                <w:rFonts w:hint="default" w:ascii="Times New Roman" w:hAnsi="Times New Roman" w:eastAsia="宋体" w:cs="Times New Roman"/>
                <w:b w:val="0"/>
                <w:bCs w:val="0"/>
                <w:color w:val="auto"/>
                <w:sz w:val="21"/>
                <w:szCs w:val="21"/>
                <w:highlight w:val="none"/>
              </w:rPr>
              <w:t xml:space="preserve">承担过</w:t>
            </w:r>
            <w:r>
              <w:rPr>
                <w:rFonts w:hint="default" w:ascii="Times New Roman" w:hAnsi="Times New Roman" w:eastAsia="宋体" w:cs="Times New Roman"/>
                <w:b w:val="0"/>
                <w:bCs w:val="0"/>
                <w:color w:val="auto"/>
                <w:sz w:val="21"/>
                <w:szCs w:val="21"/>
                <w:highlight w:val="none"/>
                <w:lang w:val="en-US" w:eastAsia="zh-CN"/>
              </w:rPr>
              <w:t xml:space="preserve">2023年省级</w:t>
            </w:r>
            <w:r>
              <w:rPr>
                <w:rFonts w:hint="default" w:ascii="Times New Roman" w:hAnsi="Times New Roman" w:eastAsia="宋体" w:cs="Times New Roman"/>
                <w:b w:val="0"/>
                <w:bCs w:val="0"/>
                <w:color w:val="auto"/>
                <w:sz w:val="21"/>
                <w:szCs w:val="21"/>
                <w:highlight w:val="none"/>
              </w:rPr>
              <w:t xml:space="preserve">及以上市场监管部门食品安全抽检牵头工作</w:t>
            </w:r>
            <w:r>
              <w:rPr>
                <w:rFonts w:hint="eastAsia" w:ascii="Times New Roman" w:hAnsi="Times New Roman" w:cs="Times New Roman"/>
                <w:b w:val="0"/>
                <w:bCs w:val="0"/>
                <w:color w:val="auto"/>
                <w:sz w:val="21"/>
                <w:szCs w:val="21"/>
                <w:highlight w:val="none"/>
                <w:lang w:eastAsia="zh-CN"/>
              </w:rPr>
              <w:t xml:space="preserve">的</w:t>
            </w:r>
            <w:r>
              <w:rPr>
                <w:rFonts w:hint="default" w:ascii="Times New Roman" w:hAnsi="Times New Roman" w:eastAsia="宋体" w:cs="Times New Roman"/>
                <w:b w:val="0"/>
                <w:bCs w:val="0"/>
                <w:color w:val="auto"/>
                <w:sz w:val="21"/>
                <w:szCs w:val="21"/>
                <w:highlight w:val="none"/>
                <w:lang w:val="en-US" w:eastAsia="zh-CN"/>
              </w:rPr>
              <w:t xml:space="preserve">得</w:t>
            </w:r>
            <w:r>
              <w:rPr>
                <w:rFonts w:hint="eastAsia" w:ascii="Times New Roman" w:hAnsi="Times New Roman" w:cs="Times New Roman"/>
                <w:b w:val="0"/>
                <w:bCs w:val="0"/>
                <w:color w:val="auto"/>
                <w:sz w:val="21"/>
                <w:szCs w:val="21"/>
                <w:highlight w:val="none"/>
                <w:lang w:val="en-US" w:eastAsia="zh-CN"/>
              </w:rPr>
              <w:t xml:space="preserve">4</w:t>
            </w:r>
            <w:r>
              <w:rPr>
                <w:rFonts w:hint="default" w:ascii="Times New Roman" w:hAnsi="Times New Roman" w:eastAsia="宋体" w:cs="Times New Roman"/>
                <w:b w:val="0"/>
                <w:bCs w:val="0"/>
                <w:color w:val="auto"/>
                <w:sz w:val="21"/>
                <w:szCs w:val="21"/>
                <w:highlight w:val="none"/>
                <w:lang w:val="en-US" w:eastAsia="zh-CN"/>
              </w:rPr>
              <w:t xml:space="preserve">分，满分</w:t>
            </w:r>
            <w:r>
              <w:rPr>
                <w:rFonts w:hint="eastAsia" w:ascii="Times New Roman" w:hAnsi="Times New Roman" w:cs="Times New Roman"/>
                <w:b w:val="0"/>
                <w:bCs w:val="0"/>
                <w:color w:val="auto"/>
                <w:sz w:val="21"/>
                <w:szCs w:val="21"/>
                <w:highlight w:val="none"/>
                <w:lang w:val="en-US" w:eastAsia="zh-CN"/>
              </w:rPr>
              <w:t xml:space="preserve">4</w:t>
            </w:r>
            <w:r>
              <w:rPr>
                <w:rFonts w:hint="default" w:ascii="Times New Roman" w:hAnsi="Times New Roman" w:eastAsia="宋体" w:cs="Times New Roman"/>
                <w:b w:val="0"/>
                <w:bCs w:val="0"/>
                <w:color w:val="auto"/>
                <w:sz w:val="21"/>
                <w:szCs w:val="21"/>
                <w:highlight w:val="none"/>
                <w:lang w:val="en-US" w:eastAsia="zh-CN"/>
              </w:rPr>
              <w:t xml:space="preserve">分。</w:t>
            </w:r>
            <w:r>
              <w:rPr>
                <w:rFonts w:hint="default" w:ascii="Times New Roman" w:hAnsi="Times New Roman" w:eastAsia="宋体" w:cs="Times New Roman"/>
                <w:b/>
                <w:bCs/>
                <w:color w:val="auto"/>
                <w:sz w:val="21"/>
                <w:szCs w:val="21"/>
                <w:highlight w:val="none"/>
                <w:lang w:val="en-US" w:eastAsia="zh-CN"/>
              </w:rPr>
              <w:t xml:space="preserve">（须提供由市级及以上食品安全监管部门开具的证明文件上传系统。）</w:t>
            </w:r>
            <w:r/>
          </w:p>
          <w:p>
            <w:pPr>
              <w:ind w:left="0" w:right="0" w:firstLine="0"/>
              <w:keepLines w:val="0"/>
              <w:keepNext w:val="0"/>
              <w:pageBreakBefore w:val="0"/>
              <w:spacing w:line="44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w:t>
            </w:r>
            <w:r>
              <w:rPr>
                <w:rFonts w:hint="eastAsia" w:ascii="宋体" w:hAnsi="宋体" w:eastAsia="宋体" w:cs="宋体"/>
                <w:color w:val="auto"/>
                <w:sz w:val="21"/>
                <w:szCs w:val="21"/>
                <w:highlight w:val="none"/>
              </w:rPr>
              <w:t xml:space="preserve">投标人自2023年以来承担过</w:t>
            </w:r>
            <w:r>
              <w:rPr>
                <w:rFonts w:hint="eastAsia" w:ascii="宋体" w:hAnsi="宋体" w:cs="宋体"/>
                <w:color w:val="auto"/>
                <w:sz w:val="21"/>
                <w:szCs w:val="21"/>
                <w:highlight w:val="none"/>
                <w:lang w:eastAsia="zh-CN"/>
              </w:rPr>
              <w:t xml:space="preserve">省级及以上</w:t>
            </w:r>
            <w:r>
              <w:rPr>
                <w:rFonts w:hint="eastAsia" w:ascii="宋体" w:hAnsi="宋体" w:eastAsia="宋体" w:cs="宋体"/>
                <w:color w:val="auto"/>
                <w:sz w:val="21"/>
                <w:szCs w:val="21"/>
                <w:highlight w:val="none"/>
              </w:rPr>
              <w:t xml:space="preserve">食品抽检任务得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分，承担过市级食品抽检任务的得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分，最高得6分。</w:t>
            </w:r>
            <w:r>
              <w:rPr>
                <w:rFonts w:hint="eastAsia" w:ascii="宋体" w:hAnsi="宋体" w:eastAsia="宋体" w:cs="宋体"/>
                <w:b/>
                <w:bCs/>
                <w:color w:val="auto"/>
                <w:sz w:val="21"/>
                <w:szCs w:val="21"/>
                <w:highlight w:val="none"/>
              </w:rPr>
              <w:t xml:space="preserve">（需</w:t>
            </w:r>
            <w:r>
              <w:rPr>
                <w:rFonts w:hint="eastAsia" w:ascii="宋体" w:hAnsi="宋体" w:eastAsia="宋体" w:cs="宋体"/>
                <w:b/>
                <w:bCs/>
                <w:color w:val="auto"/>
                <w:sz w:val="21"/>
                <w:szCs w:val="21"/>
                <w:highlight w:val="none"/>
                <w:lang w:val="en-US" w:eastAsia="zh-CN"/>
              </w:rPr>
              <w:t xml:space="preserve">同时</w:t>
            </w:r>
            <w:r>
              <w:rPr>
                <w:rFonts w:hint="eastAsia" w:ascii="宋体" w:hAnsi="宋体" w:eastAsia="宋体" w:cs="宋体"/>
                <w:b/>
                <w:bCs/>
                <w:color w:val="auto"/>
                <w:sz w:val="21"/>
                <w:szCs w:val="21"/>
                <w:highlight w:val="none"/>
              </w:rPr>
              <w:t xml:space="preserve">提供中标通知书、有效合同复印件、经费结算发票、政府采购网站中标公示截图证明四项相关证明材料，缺一不可，承检单位须与投标人一致</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同一类型</w:t>
            </w:r>
            <w:r>
              <w:rPr>
                <w:rFonts w:hint="eastAsia" w:ascii="宋体" w:hAnsi="宋体" w:cs="宋体"/>
                <w:b/>
                <w:bCs/>
                <w:color w:val="auto"/>
                <w:sz w:val="21"/>
                <w:szCs w:val="21"/>
                <w:highlight w:val="none"/>
                <w:lang w:eastAsia="zh-CN"/>
              </w:rPr>
              <w:t xml:space="preserve">不可</w:t>
            </w:r>
            <w:r>
              <w:rPr>
                <w:rFonts w:hint="eastAsia" w:ascii="宋体" w:hAnsi="宋体" w:eastAsia="宋体" w:cs="宋体"/>
                <w:b/>
                <w:bCs/>
                <w:color w:val="auto"/>
                <w:sz w:val="21"/>
                <w:szCs w:val="21"/>
                <w:highlight w:val="none"/>
              </w:rPr>
              <w:t xml:space="preserve">重复得分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未按照要求提供的不得分</w:t>
            </w:r>
            <w:r>
              <w:rPr>
                <w:rFonts w:hint="eastAsia" w:ascii="宋体" w:hAnsi="宋体" w:eastAsia="宋体" w:cs="宋体"/>
                <w:b/>
                <w:bCs/>
                <w:color w:val="auto"/>
                <w:sz w:val="21"/>
                <w:szCs w:val="21"/>
                <w:highlight w:val="none"/>
              </w:rPr>
              <w:t xml:space="preserve">。)</w:t>
            </w:r>
            <w:r/>
          </w:p>
          <w:p>
            <w:pPr>
              <w:keepLines w:val="0"/>
              <w:keepNext w:val="0"/>
              <w:pageBreakBefore w:val="0"/>
              <w:spacing w:line="44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lang w:val="en-US" w:eastAsia="zh-CN"/>
              </w:rPr>
              <w:t xml:space="preserve">3</w:t>
            </w:r>
            <w:r>
              <w:rPr>
                <w:rFonts w:hint="default" w:ascii="Times New Roman" w:hAnsi="Times New Roman" w:eastAsia="宋体" w:cs="Times New Roman"/>
                <w:color w:val="auto"/>
                <w:spacing w:val="-2"/>
                <w:sz w:val="21"/>
                <w:szCs w:val="21"/>
                <w:highlight w:val="none"/>
              </w:rPr>
              <w:t xml:space="preserve">、投标人提供</w:t>
            </w:r>
            <w:r>
              <w:rPr>
                <w:rFonts w:hint="default" w:ascii="Times New Roman" w:hAnsi="Times New Roman" w:eastAsia="宋体" w:cs="Times New Roman"/>
                <w:color w:val="auto"/>
                <w:spacing w:val="-2"/>
                <w:sz w:val="21"/>
                <w:szCs w:val="21"/>
                <w:highlight w:val="none"/>
                <w:lang w:val="en-US" w:eastAsia="zh-CN"/>
              </w:rPr>
              <w:t xml:space="preserve">2023年以来</w:t>
            </w:r>
            <w:r>
              <w:rPr>
                <w:rFonts w:hint="default" w:ascii="Times New Roman" w:hAnsi="Times New Roman" w:eastAsia="宋体" w:cs="Times New Roman"/>
                <w:color w:val="auto"/>
                <w:spacing w:val="-2"/>
                <w:sz w:val="21"/>
                <w:szCs w:val="21"/>
                <w:highlight w:val="none"/>
              </w:rPr>
              <w:t xml:space="preserve">在省级及以上食品监管部门组织的承检机构</w:t>
            </w:r>
            <w:r>
              <w:rPr>
                <w:rFonts w:hint="default" w:ascii="Times New Roman" w:hAnsi="Times New Roman" w:eastAsia="宋体" w:cs="Times New Roman"/>
                <w:color w:val="auto"/>
                <w:spacing w:val="-2"/>
                <w:sz w:val="21"/>
                <w:szCs w:val="21"/>
                <w:highlight w:val="none"/>
                <w:lang w:val="en-US" w:eastAsia="zh-CN"/>
              </w:rPr>
              <w:t xml:space="preserve">综合</w:t>
            </w:r>
            <w:r>
              <w:rPr>
                <w:rFonts w:hint="default" w:ascii="Times New Roman" w:hAnsi="Times New Roman" w:eastAsia="宋体" w:cs="Times New Roman"/>
                <w:color w:val="auto"/>
                <w:spacing w:val="-2"/>
                <w:sz w:val="21"/>
                <w:szCs w:val="21"/>
                <w:highlight w:val="none"/>
              </w:rPr>
              <w:t xml:space="preserve">考核中综合评价优秀（A等次或90分（含）以上）的得</w:t>
            </w:r>
            <w:r>
              <w:rPr>
                <w:rFonts w:hint="default" w:ascii="Times New Roman" w:hAnsi="Times New Roman" w:eastAsia="宋体" w:cs="Times New Roman"/>
                <w:color w:val="auto"/>
                <w:spacing w:val="-2"/>
                <w:sz w:val="21"/>
                <w:szCs w:val="21"/>
                <w:highlight w:val="none"/>
                <w:lang w:val="en-US" w:eastAsia="zh-CN"/>
              </w:rPr>
              <w:t xml:space="preserve">3</w:t>
            </w:r>
            <w:r>
              <w:rPr>
                <w:rFonts w:hint="default" w:ascii="Times New Roman" w:hAnsi="Times New Roman" w:eastAsia="宋体" w:cs="Times New Roman"/>
                <w:color w:val="auto"/>
                <w:spacing w:val="-2"/>
                <w:sz w:val="21"/>
                <w:szCs w:val="21"/>
                <w:highlight w:val="none"/>
              </w:rPr>
              <w:t xml:space="preserve">分，良好得</w:t>
            </w:r>
            <w:r>
              <w:rPr>
                <w:rFonts w:hint="eastAsia" w:ascii="Times New Roman" w:hAnsi="Times New Roman" w:cs="Times New Roman"/>
                <w:color w:val="auto"/>
                <w:spacing w:val="-2"/>
                <w:sz w:val="21"/>
                <w:szCs w:val="21"/>
                <w:highlight w:val="none"/>
                <w:lang w:val="en-US" w:eastAsia="zh-CN"/>
              </w:rPr>
              <w:t xml:space="preserve">1</w:t>
            </w:r>
            <w:r>
              <w:rPr>
                <w:rFonts w:hint="default" w:ascii="Times New Roman" w:hAnsi="Times New Roman" w:eastAsia="宋体" w:cs="Times New Roman"/>
                <w:color w:val="auto"/>
                <w:spacing w:val="-2"/>
                <w:sz w:val="21"/>
                <w:szCs w:val="21"/>
                <w:highlight w:val="none"/>
              </w:rPr>
              <w:t xml:space="preserve">分，其他等次不得分。在市级食品监管部门组织的承检机构考核中综合评价优秀</w:t>
            </w:r>
            <w:r>
              <w:rPr>
                <w:rFonts w:hint="default" w:ascii="Times New Roman" w:hAnsi="Times New Roman" w:eastAsia="宋体" w:cs="Times New Roman"/>
                <w:color w:val="auto"/>
                <w:sz w:val="21"/>
                <w:szCs w:val="21"/>
                <w:highlight w:val="none"/>
              </w:rPr>
              <w:t xml:space="preserve">（A等次或90分（含）以上）</w:t>
            </w:r>
            <w:r>
              <w:rPr>
                <w:rFonts w:hint="default" w:ascii="Times New Roman" w:hAnsi="Times New Roman" w:eastAsia="宋体" w:cs="Times New Roman"/>
                <w:color w:val="auto"/>
                <w:spacing w:val="-2"/>
                <w:sz w:val="21"/>
                <w:szCs w:val="21"/>
                <w:highlight w:val="none"/>
              </w:rPr>
              <w:t xml:space="preserve">的得</w:t>
            </w:r>
            <w:r>
              <w:rPr>
                <w:rFonts w:hint="default" w:ascii="Times New Roman" w:hAnsi="Times New Roman" w:eastAsia="宋体" w:cs="Times New Roman"/>
                <w:color w:val="auto"/>
                <w:spacing w:val="-2"/>
                <w:sz w:val="21"/>
                <w:szCs w:val="21"/>
                <w:highlight w:val="none"/>
                <w:lang w:val="en-US" w:eastAsia="zh-CN"/>
              </w:rPr>
              <w:t xml:space="preserve">2</w:t>
            </w:r>
            <w:r>
              <w:rPr>
                <w:rFonts w:hint="default" w:ascii="Times New Roman" w:hAnsi="Times New Roman" w:eastAsia="宋体" w:cs="Times New Roman"/>
                <w:color w:val="auto"/>
                <w:spacing w:val="-2"/>
                <w:sz w:val="21"/>
                <w:szCs w:val="21"/>
                <w:highlight w:val="none"/>
              </w:rPr>
              <w:t xml:space="preserve">分，良好得1分，其他等次不得分。满分5分。</w:t>
            </w:r>
            <w:r>
              <w:rPr>
                <w:rFonts w:hint="default" w:ascii="Times New Roman" w:hAnsi="Times New Roman" w:eastAsia="宋体" w:cs="Times New Roman"/>
                <w:b/>
                <w:bCs/>
                <w:color w:val="auto"/>
                <w:sz w:val="21"/>
                <w:szCs w:val="21"/>
                <w:highlight w:val="none"/>
              </w:rPr>
              <w:t xml:space="preserve">（须提供承担任务的合同、中标通知书及对应食品监管部门开具的相关证明材料扫描上传加盖公章，未提供相关证明材料的不得分，按照考核中成绩中最好的填报，同一类型不重复得分。中标通知书中的招标人、合同中的甲方、考核文件中组织方需一致，否则无效）</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承诺</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接到采购人通知后响应时间（到采购单位）（10分）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投标人承诺响应时间0.5小时（含）以内得10分；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投标人承诺响应时间0.5小时（不含）至1.5小时（含）的得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投标人承诺响应时间1.5小时（不含）至3.5小时（含）的得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投标人承诺响应时间3.5小时（不含）以上得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（须提供承诺函原件，以驾车导航距离计算，投标人须提供检验地址、导航电子地图工作时间段从检验地址到采购单位的导航截图作为参考依据，在投标文件中自行标距离，不得以直线距离计算</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tc>
      </w:tr>
    </w:tbl>
    <w:p>
      <w:pPr>
        <w:rPr>
          <w:rFonts w:ascii="黑体" w:eastAsia="黑体"/>
          <w:bCs/>
          <w:color w:val="auto"/>
          <w:sz w:val="44"/>
          <w:highlight w:val="none"/>
        </w:rPr>
      </w:pPr>
      <w:r>
        <w:rPr>
          <w:rFonts w:ascii="黑体" w:eastAsia="黑体"/>
          <w:bCs/>
          <w:color w:val="auto"/>
          <w:sz w:val="44"/>
          <w:highlight w:val="none"/>
        </w:rPr>
      </w:r>
      <w:r/>
    </w:p>
    <w:p>
      <w:pPr>
        <w:jc w:val="left"/>
        <w:spacing w:line="360" w:lineRule="auto"/>
        <w:tabs>
          <w:tab w:val="left" w:pos="3629" w:leader="none"/>
        </w:tabs>
        <w:rPr>
          <w:rFonts w:hint="eastAsia"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rPr>
          <w:rFonts w:hint="eastAsia"/>
          <w:color w:val="auto"/>
          <w:highlight w:val="none"/>
        </w:rPr>
      </w:pPr>
      <w:r>
        <w:rPr>
          <w:rFonts w:hint="eastAsia"/>
          <w:color w:val="auto"/>
          <w:highlight w:val="none"/>
        </w:rPr>
      </w:r>
      <w:r/>
    </w:p>
    <w:p>
      <w:pPr>
        <w:pStyle w:val="962"/>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790"/>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63"/>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41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65"/>
              <w:rPr>
                <w:color w:val="auto"/>
                <w:highlight w:val="none"/>
              </w:rPr>
            </w:pPr>
            <w:r>
              <w:rPr>
                <w:rFonts w:hint="eastAsia" w:ascii="宋体" w:hAnsi="宋体" w:eastAsia="宋体" w:cs="宋体"/>
                <w:b w:val="0"/>
                <w:bCs w:val="0"/>
                <w:color w:val="auto"/>
                <w:sz w:val="21"/>
                <w:szCs w:val="21"/>
                <w:highlight w:val="none"/>
                <w:lang w:val="en-US" w:eastAsia="zh-CN" w:bidi="ar-SA"/>
              </w:rPr>
              <w:t xml:space="preserve">根据《政府采购促进中小企业发展管理办法》（财库〔2020〕46 号），本项目对小型和微型企业、残疾人福利单位、监狱和戒毒企业提供的货物、服务给予20%的价格扣除。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lang w:bidi="ar"/>
              </w:rPr>
              <w:t xml:space="preserve">供应商具有行政主管部门颁发的有效期内食品检验检测机构资质认定证书（提供有效证书原件扫描上传系统）。</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65"/>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keepLines w:val="0"/>
        <w:keepNext w:val="0"/>
        <w:pageBreakBefore w:val="0"/>
        <w:spacing w:line="440" w:lineRule="exact"/>
        <w:widowControl w:val="off"/>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0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江苏汇诚投资咨询管理有限公司</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0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0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0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0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84"/>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8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8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8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8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8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63"/>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63"/>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b/>
          <w:bCs/>
          <w:color w:val="auto"/>
          <w:highlight w:val="none"/>
          <w:u w:val="single"/>
        </w:rPr>
        <w:t xml:space="preserve">其他未列明行业</w:t>
      </w:r>
      <w:r>
        <w:rPr>
          <w:rFonts w:hint="eastAsia"/>
          <w:b/>
          <w:bCs/>
          <w:color w:val="auto"/>
          <w:highlight w:val="none"/>
          <w:u w:val="single"/>
        </w:rPr>
        <w:t xml:space="preserve">）</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w:t>
      </w:r>
      <w:r>
        <w:rPr>
          <w:rFonts w:hint="eastAsia"/>
          <w:b/>
          <w:bCs/>
          <w:color w:val="auto"/>
          <w:highlight w:val="none"/>
          <w:u w:val="single"/>
        </w:rPr>
        <w:t xml:space="preserve">其他未列明行业</w:t>
      </w:r>
      <w:r>
        <w:rPr>
          <w:rFonts w:hint="eastAsia"/>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hint="eastAsia" w:ascii="宋体" w:hAnsi="宋体" w:eastAsia="宋体" w:cs="微软雅黑"/>
          <w:bCs w:val="0"/>
          <w:color w:val="auto"/>
          <w:sz w:val="21"/>
          <w:szCs w:val="21"/>
          <w:highlight w:val="none"/>
        </w:rPr>
      </w:pPr>
      <w:r>
        <w:rPr>
          <w:rFonts w:hint="eastAsia"/>
          <w:color w:val="auto"/>
          <w:highlight w:val="none"/>
        </w:rPr>
        <w:t xml:space="preserve">日 期：</w:t>
      </w:r>
      <w:r/>
    </w:p>
    <w:p>
      <w:pPr>
        <w:pStyle w:val="963"/>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991"/>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8"/>
          <w:rFonts w:hint="eastAsia" w:ascii="宋体" w:hAnsi="宋体" w:cs="仿宋"/>
          <w:color w:val="auto"/>
          <w:sz w:val="21"/>
          <w:szCs w:val="21"/>
          <w:highlight w:val="none"/>
        </w:rPr>
        <w:t xml:space="preserve">中小微企业划型标准如下：</w:t>
      </w:r>
      <w:r/>
    </w:p>
    <w:tbl>
      <w:tblPr>
        <w:tblStyle w:val="789"/>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91"/>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ind w:firstLine="420"/>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bl>
    <w:p>
      <w:pPr>
        <w:pStyle w:val="991"/>
        <w:ind w:firstLine="810"/>
        <w:spacing w:before="300" w:after="452" w:line="360" w:lineRule="auto"/>
        <w:widowControl/>
        <w:rPr>
          <w:rStyle w:val="968"/>
          <w:rFonts w:ascii="宋体" w:hAnsi="宋体" w:cs="仿宋"/>
          <w:color w:val="auto"/>
          <w:sz w:val="21"/>
          <w:szCs w:val="21"/>
          <w:highlight w:val="none"/>
        </w:rPr>
      </w:pPr>
      <w:r>
        <w:rPr>
          <w:rStyle w:val="96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65"/>
        <w:rPr>
          <w:rStyle w:val="968"/>
          <w:rFonts w:cs="仿宋"/>
          <w:b w:val="0"/>
          <w:color w:val="auto"/>
          <w:sz w:val="21"/>
          <w:szCs w:val="21"/>
          <w:highlight w:val="none"/>
        </w:rPr>
      </w:pPr>
      <w:r>
        <w:rPr>
          <w:rStyle w:val="968"/>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63"/>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72"/>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hint="default" w:ascii="宋体" w:hAnsi="宋体" w:eastAsia="宋体"/>
                <w:color w:val="auto"/>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投标折扣（%）</w:t>
            </w:r>
            <w:r/>
          </w:p>
        </w:tc>
      </w:tr>
      <w:tr>
        <w:trPr>
          <w:cantSplit/>
          <w:trHeight w:val="1697"/>
        </w:trPr>
        <w:tc>
          <w:tcPr>
            <w:tcW w:w="2481" w:type="dxa"/>
            <w:vAlign w:val="center"/>
            <w:textDirection w:val="lrTb"/>
            <w:noWrap w:val="false"/>
          </w:tcPr>
          <w:p>
            <w:pPr>
              <w:pStyle w:val="972"/>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0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0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2"/>
        <w:keepLines w:val="0"/>
        <w:keepNext w:val="0"/>
        <w:pageBreakBefore w:val="0"/>
        <w:spacing w:line="360" w:lineRule="auto"/>
        <w:widowControl w:val="off"/>
        <w:rPr>
          <w:rFonts w:hint="eastAsia" w:ascii="宋体" w:hAnsi="宋体" w:cs="宋体"/>
          <w:b/>
          <w:bCs/>
          <w:i w:val="0"/>
          <w:iCs/>
          <w:color w:val="auto"/>
          <w:sz w:val="21"/>
          <w:szCs w:val="21"/>
          <w:highlight w:val="none"/>
          <w:lang w:val="en-US" w:eastAsia="zh-CN"/>
        </w:rPr>
      </w:pPr>
      <w:r>
        <w:rPr>
          <w:rFonts w:hint="eastAsia" w:ascii="宋体" w:hAnsi="宋体" w:cs="宋体"/>
          <w:b/>
          <w:bCs/>
          <w:i w:val="0"/>
          <w:iCs/>
          <w:color w:val="auto"/>
          <w:sz w:val="21"/>
          <w:szCs w:val="21"/>
          <w:highlight w:val="none"/>
          <w:lang w:val="en-US" w:eastAsia="zh-CN"/>
        </w:rPr>
      </w:r>
      <w:r/>
    </w:p>
    <w:p>
      <w:pPr>
        <w:ind w:firstLine="422"/>
        <w:keepLines w:val="0"/>
        <w:keepNext w:val="0"/>
        <w:pageBreakBefore w:val="0"/>
        <w:spacing w:line="440" w:lineRule="exact"/>
        <w:widowControl w:val="off"/>
        <w:rPr>
          <w:rFonts w:hint="eastAsia" w:ascii="宋体" w:hAnsi="宋体" w:eastAsia="宋体" w:cs="宋体"/>
          <w:i/>
          <w:color w:val="auto"/>
          <w:sz w:val="21"/>
          <w:szCs w:val="21"/>
          <w:highlight w:val="none"/>
          <w:lang w:val="en-US" w:eastAsia="zh-CN"/>
        </w:rPr>
      </w:pPr>
      <w:r>
        <w:rPr>
          <w:rFonts w:hint="eastAsia" w:ascii="宋体" w:hAnsi="宋体" w:eastAsia="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b/>
          <w:bCs/>
          <w:i w:val="0"/>
          <w:iCs/>
          <w:color w:val="auto"/>
          <w:sz w:val="21"/>
          <w:szCs w:val="21"/>
          <w:highlight w:val="none"/>
          <w:u w:val="single"/>
        </w:rPr>
        <w:t xml:space="preserve">因“苏采云”系统原因，投标人在系统内开标一览表中的填写的“优惠率”即为招标文件中的“折扣”，两者数值应相同，请各投标人准确填写</w:t>
      </w:r>
      <w:r>
        <w:rPr>
          <w:rFonts w:hint="eastAsia" w:ascii="宋体" w:hAnsi="宋体" w:eastAsia="宋体" w:cs="宋体"/>
          <w:i w:val="0"/>
          <w:iCs/>
          <w:color w:val="auto"/>
          <w:sz w:val="21"/>
          <w:szCs w:val="21"/>
          <w:highlight w:val="none"/>
          <w:u w:val="single"/>
          <w:lang w:eastAsia="zh-CN"/>
        </w:rPr>
        <w:t xml:space="preserve">。</w:t>
      </w:r>
      <w:r/>
    </w:p>
    <w:p>
      <w:pPr>
        <w:ind w:firstLine="420"/>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lang w:val="en-US" w:eastAsia="zh-CN"/>
        </w:rPr>
        <w:t xml:space="preserve">2、</w:t>
      </w:r>
      <w:r>
        <w:rPr>
          <w:rFonts w:hint="eastAsia" w:ascii="宋体" w:hAnsi="宋体" w:eastAsia="宋体" w:cs="宋体"/>
          <w:i/>
          <w:color w:val="auto"/>
          <w:sz w:val="21"/>
          <w:szCs w:val="21"/>
          <w:highlight w:val="none"/>
          <w:u w:val="single"/>
        </w:rPr>
        <w:t xml:space="preserve">投标折扣%=投标报价/招标文件中公布的最高限价*100%。例如：供应商以九五折报价本项目的，投标折扣中填取95%即可，中标后按招标文件中公布的最高限价*95%签订服务合同。</w:t>
      </w:r>
      <w:r/>
    </w:p>
    <w:p>
      <w:pPr>
        <w:ind w:firstLine="420"/>
        <w:jc w:val="both"/>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lang w:val="en-US" w:eastAsia="zh-CN"/>
        </w:rPr>
        <w:t xml:space="preserve">3、</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1013"/>
        <w:ind w:firstLine="41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4、</w:t>
      </w:r>
      <w:r>
        <w:rPr>
          <w:rFonts w:hint="eastAsia" w:ascii="宋体" w:hAnsi="宋体" w:eastAsia="宋体" w:cs="宋体"/>
          <w:b/>
          <w:bCs/>
          <w:color w:val="auto"/>
          <w:spacing w:val="-3"/>
          <w:sz w:val="21"/>
          <w:szCs w:val="21"/>
          <w:highlight w:val="none"/>
        </w:rPr>
        <w:t xml:space="preserve">如有分包，投标人投任何一个包的标的，都需单独填写开标一览表。</w:t>
      </w:r>
      <w:r/>
    </w:p>
    <w:p>
      <w:pPr>
        <w:pStyle w:val="963"/>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64"/>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63"/>
        <w:numPr>
          <w:ilvl w:val="0"/>
          <w:numId w:val="0"/>
        </w:numPr>
        <w:jc w:val="center"/>
        <w:rPr>
          <w:rFonts w:hint="eastAsia" w:ascii="宋体" w:hAnsi="宋体" w:eastAsia="宋体" w:cs="Times New Roman"/>
          <w:bCs w:val="0"/>
          <w:color w:val="auto"/>
          <w:sz w:val="32"/>
          <w:szCs w:val="32"/>
          <w:highlight w:val="none"/>
        </w:rPr>
      </w:pPr>
      <w:r/>
      <w:bookmarkStart w:id="59" w:name="_Toc113352361"/>
      <w:r>
        <w:rPr>
          <w:rFonts w:hint="eastAsia" w:ascii="宋体" w:hAnsi="宋体" w:eastAsia="宋体" w:cs="Times New Roman"/>
          <w:bCs w:val="0"/>
          <w:color w:val="auto"/>
          <w:sz w:val="32"/>
          <w:szCs w:val="32"/>
          <w:highlight w:val="none"/>
          <w:lang w:val="en-US" w:eastAsia="zh-CN"/>
        </w:rPr>
        <w:t xml:space="preserve">五、</w:t>
      </w:r>
      <w:r>
        <w:rPr>
          <w:rFonts w:hint="eastAsia" w:ascii="宋体" w:hAnsi="宋体" w:eastAsia="宋体" w:cs="Times New Roman"/>
          <w:bCs w:val="0"/>
          <w:color w:val="auto"/>
          <w:sz w:val="32"/>
          <w:szCs w:val="32"/>
          <w:highlight w:val="none"/>
        </w:rPr>
        <w:t xml:space="preserve">分项报价表</w:t>
      </w:r>
      <w:bookmarkEnd w:id="59"/>
      <w:r>
        <w:rPr>
          <w:rFonts w:hint="eastAsia" w:ascii="宋体" w:hAnsi="宋体" w:eastAsia="宋体" w:cs="Times New Roman"/>
          <w:bCs w:val="0"/>
          <w:color w:val="auto"/>
          <w:sz w:val="32"/>
          <w:szCs w:val="32"/>
          <w:highlight w:val="none"/>
          <w:lang w:eastAsia="zh-CN"/>
        </w:rPr>
        <w:t xml:space="preserve">（本项目无需填写）</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437"/>
        </w:trPr>
        <w:tc>
          <w:tcPr>
            <w:tcW w:w="277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580"/>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580"/>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pStyle w:val="964"/>
        <w:ind w:firstLine="0"/>
        <w:rPr>
          <w:rFonts w:hint="eastAsia" w:ascii="宋体" w:hAnsi="宋体"/>
          <w:color w:val="auto"/>
          <w:sz w:val="32"/>
          <w:highlight w:val="none"/>
        </w:rPr>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pStyle w:val="963"/>
        <w:numPr>
          <w:ilvl w:val="0"/>
          <w:numId w:val="0"/>
        </w:numPr>
        <w:jc w:val="center"/>
        <w:rPr>
          <w:rFonts w:hint="eastAsia" w:ascii="宋体" w:hAnsi="宋体" w:eastAsia="宋体"/>
          <w:color w:val="auto"/>
          <w:sz w:val="32"/>
          <w:highlight w:val="none"/>
        </w:rPr>
      </w:pPr>
      <w:r>
        <w:rPr>
          <w:rFonts w:hint="eastAsia" w:ascii="宋体" w:hAnsi="宋体" w:eastAsia="宋体"/>
          <w:color w:val="auto"/>
          <w:sz w:val="32"/>
          <w:highlight w:val="none"/>
          <w:lang w:val="en-US" w:eastAsia="zh-CN"/>
        </w:rPr>
        <w:t xml:space="preserve">六、</w:t>
      </w:r>
      <w:r>
        <w:rPr>
          <w:rFonts w:hint="eastAsia" w:ascii="宋体" w:hAnsi="宋体" w:eastAsia="宋体"/>
          <w:color w:val="auto"/>
          <w:sz w:val="32"/>
          <w:highlight w:val="none"/>
        </w:rPr>
        <w:t xml:space="preserve">技术参数响应及偏离表</w:t>
      </w:r>
      <w:r/>
    </w:p>
    <w:p>
      <w:pPr>
        <w:pStyle w:val="964"/>
        <w:ind w:firstLine="0"/>
        <w:rPr>
          <w:rFonts w:hint="eastAsia"/>
          <w:color w:val="auto"/>
          <w:highlight w:val="none"/>
        </w:rPr>
      </w:pPr>
      <w:r>
        <w:rPr>
          <w:rFonts w:hint="eastAsia"/>
          <w:color w:val="auto"/>
          <w:highlight w:val="none"/>
        </w:rPr>
        <w:t xml:space="preserve">分包号：</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63"/>
        <w:rPr>
          <w:rFonts w:hint="eastAsia" w:ascii="宋体" w:hAnsi="宋体" w:eastAsia="宋体" w:cs="Times New Roman"/>
          <w:bCs w:val="0"/>
          <w:color w:val="auto"/>
          <w:sz w:val="32"/>
          <w:szCs w:val="32"/>
          <w:highlight w:val="none"/>
        </w:rPr>
      </w:pPr>
      <w:r/>
      <w:bookmarkStart w:id="60" w:name="_Hlt26955054"/>
      <w:r/>
      <w:bookmarkEnd w:id="60"/>
      <w:r/>
      <w:bookmarkStart w:id="61" w:name="_Toc113352363"/>
      <w:r>
        <w:rPr>
          <w:rFonts w:hint="eastAsia" w:ascii="宋体" w:hAnsi="宋体" w:eastAsia="宋体" w:cs="Times New Roman"/>
          <w:bCs w:val="0"/>
          <w:color w:val="auto"/>
          <w:sz w:val="32"/>
          <w:szCs w:val="32"/>
          <w:highlight w:val="none"/>
        </w:rPr>
        <w:t xml:space="preserve">七、商务条款响应及偏离表</w:t>
      </w:r>
      <w:bookmarkEnd w:id="61"/>
      <w:r/>
      <w:r/>
    </w:p>
    <w:p>
      <w:pPr>
        <w:pStyle w:val="964"/>
        <w:rPr>
          <w:rFonts w:hint="eastAsia"/>
          <w:color w:val="auto"/>
          <w:highlight w:val="none"/>
        </w:rPr>
      </w:pPr>
      <w:r>
        <w:rPr>
          <w:rFonts w:hint="eastAsia"/>
          <w:color w:val="auto"/>
          <w:highlight w:val="none"/>
        </w:rPr>
        <w:t xml:space="preserve">分包号：</w:t>
      </w:r>
      <w:r/>
    </w:p>
    <w:tbl>
      <w:tblPr>
        <w:tblStyle w:val="789"/>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64"/>
        <w:ind w:firstLine="480"/>
        <w:rPr>
          <w:rFonts w:ascii="宋体" w:hAnsi="宋体"/>
          <w:color w:val="auto"/>
          <w:sz w:val="24"/>
          <w:highlight w:val="none"/>
        </w:rPr>
      </w:pPr>
      <w:r/>
      <w:bookmarkStart w:id="62" w:name="_Hlt26609389"/>
      <w:r/>
      <w:bookmarkEnd w:id="62"/>
      <w:r/>
      <w:bookmarkStart w:id="63" w:name="_Hlt26671374"/>
      <w:r/>
      <w:bookmarkEnd w:id="63"/>
      <w:r/>
      <w:bookmarkStart w:id="64" w:name="_Hlt26955066"/>
      <w:r/>
      <w:bookmarkEnd w:id="64"/>
      <w:r/>
      <w:bookmarkStart w:id="65" w:name="_Toc462564146"/>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hint="eastAsia" w:ascii="宋体" w:hAnsi="宋体"/>
          <w:color w:val="auto"/>
          <w:sz w:val="24"/>
          <w:highlight w:val="none"/>
        </w:rPr>
        <w:t xml:space="preserve">.</w:t>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bookmarkEnd w:id="65"/>
      <w:r/>
      <w:r/>
    </w:p>
    <w:p>
      <w:pPr>
        <w:pStyle w:val="964"/>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6" w:name="_格式2__法定代表人授权书"/>
      <w:r/>
      <w:bookmarkEnd w:id="66"/>
      <w:r>
        <w:rPr>
          <w:rFonts w:ascii="宋体" w:hAnsi="宋体"/>
          <w:b/>
          <w:color w:val="auto"/>
          <w:highlight w:val="none"/>
        </w:rPr>
        <w:br w:type="page" w:clear="all"/>
      </w:r>
      <w:r/>
    </w:p>
    <w:p>
      <w:pPr>
        <w:pStyle w:val="963"/>
        <w:rPr>
          <w:rFonts w:hint="eastAsia"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拟投入项目服务团队人员一览表 </w:t>
      </w:r>
      <w:r/>
    </w:p>
    <w:p>
      <w:pPr>
        <w:pStyle w:val="964"/>
        <w:rPr>
          <w:rFonts w:hint="eastAsia" w:eastAsia="宋体"/>
          <w:color w:val="auto"/>
          <w:highlight w:val="none"/>
        </w:rPr>
      </w:pPr>
      <w:r>
        <w:rPr>
          <w:rFonts w:hint="eastAsia" w:eastAsia="宋体"/>
          <w:color w:val="auto"/>
          <w:highlight w:val="none"/>
        </w:rPr>
        <w:t xml:space="preserve">分包号：</w:t>
      </w:r>
      <w:r/>
    </w:p>
    <w:tbl>
      <w:tblPr>
        <w:tblStyle w:val="789"/>
        <w:tblW w:w="9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1020"/>
        <w:gridCol w:w="1080"/>
        <w:gridCol w:w="888"/>
        <w:gridCol w:w="1128"/>
        <w:gridCol w:w="1920"/>
        <w:gridCol w:w="1945"/>
        <w:gridCol w:w="875"/>
      </w:tblGrid>
      <w:tr>
        <w:trPr>
          <w:jc w:val="center"/>
          <w:trHeight w:val="880"/>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020"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080"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888"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128"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1920"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是否具备食品岗位证</w:t>
            </w:r>
            <w:r/>
          </w:p>
        </w:tc>
        <w:tc>
          <w:tcPr>
            <w:tcW w:w="1945"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拟在本项目</w:t>
            </w:r>
            <w:r/>
          </w:p>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中担任的职务</w:t>
            </w:r>
            <w:r/>
          </w:p>
        </w:tc>
        <w:tc>
          <w:tcPr>
            <w:tcW w:w="875"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675"/>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3"/>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firstLine="0"/>
              <w:jc w:val="both"/>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5"/>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14"/>
        <w:ind w:left="0" w:right="0" w:firstLine="416"/>
        <w:jc w:val="left"/>
        <w:keepLines w:val="0"/>
        <w:keepNext w:val="0"/>
        <w:pageBreakBefore w:val="0"/>
        <w:spacing w:line="44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p>
      <w:pPr>
        <w:pStyle w:val="1014"/>
        <w:ind w:left="0" w:right="0" w:firstLine="416"/>
        <w:jc w:val="left"/>
        <w:keepLines w:val="0"/>
        <w:keepNext w:val="0"/>
        <w:pageBreakBefore w:val="0"/>
        <w:spacing w:line="440" w:lineRule="exact"/>
        <w:widowControl w:val="off"/>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注：</w:t>
      </w:r>
      <w:r>
        <w:rPr>
          <w:rFonts w:hint="eastAsia" w:ascii="宋体" w:hAnsi="宋体" w:eastAsia="宋体" w:cs="宋体"/>
          <w:color w:val="auto"/>
          <w:spacing w:val="-3"/>
          <w:sz w:val="21"/>
          <w:szCs w:val="21"/>
          <w:highlight w:val="none"/>
        </w:rPr>
        <w:t xml:space="preserve">此表为表样，行数可自行添加，但表式不</w:t>
      </w:r>
      <w:r>
        <w:rPr>
          <w:rFonts w:hint="eastAsia" w:ascii="宋体" w:hAnsi="宋体" w:eastAsia="宋体" w:cs="宋体"/>
          <w:color w:val="auto"/>
          <w:spacing w:val="-3"/>
          <w:sz w:val="21"/>
          <w:szCs w:val="21"/>
          <w:highlight w:val="none"/>
          <w:lang w:eastAsia="zh-CN"/>
        </w:rPr>
        <w:t xml:space="preserve">变</w:t>
      </w:r>
      <w:r>
        <w:rPr>
          <w:rFonts w:hint="eastAsia" w:ascii="宋体" w:hAnsi="宋体" w:eastAsia="宋体" w:cs="宋体"/>
          <w:color w:val="auto"/>
          <w:spacing w:val="-3"/>
          <w:sz w:val="21"/>
          <w:szCs w:val="21"/>
          <w:highlight w:val="none"/>
        </w:rPr>
        <w:t xml:space="preserve">。</w:t>
      </w:r>
      <w:r/>
    </w:p>
    <w:p>
      <w:pPr>
        <w:pStyle w:val="1014"/>
        <w:ind w:left="0" w:right="0" w:firstLine="811"/>
        <w:jc w:val="left"/>
        <w:keepLines w:val="0"/>
        <w:keepNext w:val="0"/>
        <w:pageBreakBefore w:val="0"/>
        <w:spacing w:line="440" w:lineRule="exact"/>
        <w:widowControl w:val="off"/>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项目人员资质、本单位员工证明文件等附后。</w:t>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pStyle w:val="790"/>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90"/>
        <w:rPr>
          <w:rFonts w:hint="eastAsia"/>
          <w:color w:val="auto"/>
          <w:highlight w:val="none"/>
        </w:rPr>
      </w:pPr>
      <w:r>
        <w:rPr>
          <w:rFonts w:hint="eastAsia"/>
          <w:color w:val="auto"/>
          <w:highlight w:val="none"/>
        </w:rPr>
      </w:r>
      <w:r/>
    </w:p>
    <w:p>
      <w:pPr>
        <w:pStyle w:val="790"/>
        <w:rPr>
          <w:rFonts w:hint="eastAsia"/>
          <w:color w:val="auto"/>
          <w:highlight w:val="none"/>
        </w:rPr>
      </w:pPr>
      <w:r>
        <w:rPr>
          <w:rFonts w:hint="eastAsia"/>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239</w:t>
    </w:r>
    <w:r>
      <w:fldChar w:fldCharType="end"/>
    </w:r>
    <w:r/>
  </w:p>
  <w:p>
    <w:pPr>
      <w:pStyle w:val="799"/>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eastAsia="宋体"/>
        <w:lang w:eastAsia="zh-CN"/>
      </w:rPr>
    </w:pPr>
    <w:r>
      <w:rPr>
        <w:rFonts w:hint="eastAsia"/>
        <w:lang w:eastAsia="zh-CN"/>
      </w:rPr>
      <w:t xml:space="preserve">JSZC-321000-HCZX-G2024-00120</w:t>
    </w:r>
    <w:r>
      <w:rPr>
        <w:rFonts w:hint="eastAsia"/>
      </w:rPr>
      <w:t xml:space="preserve">号                           </w:t>
    </w:r>
    <w:r>
      <w:rPr>
        <w:rFonts w:hint="eastAsia"/>
        <w:lang w:val="en-US" w:eastAsia="zh-CN"/>
      </w:rPr>
      <w:t xml:space="preserve">        </w:t>
    </w:r>
    <w:r>
      <w:rPr>
        <w:rFonts w:hint="eastAsia"/>
        <w:lang w:eastAsia="zh-CN"/>
      </w:rPr>
      <w:t xml:space="preserve">江苏汇诚投资咨询管理有限公司</w:t>
    </w:r>
    <w:r/>
  </w:p>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eastAsia="宋体"/>
        <w:lang w:eastAsia="zh-CN"/>
      </w:rPr>
    </w:pPr>
    <w:r>
      <w:rPr>
        <w:rFonts w:hint="eastAsia"/>
        <w:lang w:eastAsia="zh-CN"/>
      </w:rPr>
      <w:t xml:space="preserve">JSZC-321000-HCZX-G2024-00120</w:t>
    </w:r>
    <w:r>
      <w:rPr>
        <w:rFonts w:hint="eastAsia"/>
      </w:rPr>
      <w:t xml:space="preserve">号                                  </w:t>
    </w:r>
    <w:r>
      <w:rPr>
        <w:rFonts w:hint="eastAsia"/>
        <w:lang w:eastAsia="zh-CN"/>
      </w:rPr>
      <w:t xml:space="preserve">江苏汇诚投资咨询管理有限公司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Fonts w:hint="eastAsia" w:eastAsia="宋体"/>
        <w:lang w:eastAsia="zh-CN"/>
      </w:rPr>
    </w:pPr>
    <w:r>
      <w:rPr>
        <w:rFonts w:hint="eastAsia"/>
        <w:color w:val="000000"/>
        <w:lang w:eastAsia="zh-CN"/>
      </w:rPr>
      <w:t xml:space="preserve">JSZC-321000-HCZX-G2024-00120</w:t>
    </w:r>
    <w:r>
      <w:rPr>
        <w:rFonts w:hint="eastAsia"/>
        <w:color w:val="000000"/>
      </w:rPr>
      <w:t xml:space="preserve">号</w:t>
    </w:r>
    <w:r>
      <w:rPr>
        <w:color w:val="000000"/>
      </w:rPr>
      <w:tab/>
    </w:r>
    <w:r>
      <w:rPr>
        <w:rFonts w:hint="eastAsia"/>
        <w:color w:val="ff0000"/>
      </w:rPr>
      <w:t xml:space="preserve"> </w:t>
    </w:r>
    <w:r>
      <w:rPr>
        <w:rFonts w:hint="eastAsia"/>
      </w:rPr>
      <w:t xml:space="preserve">                                  </w:t>
    </w:r>
    <w:r>
      <w:rPr>
        <w:rFonts w:hint="eastAsia"/>
        <w:lang w:eastAsia="zh-CN"/>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link w:val="970"/>
    <w:uiPriority w:val="0"/>
    <w:qFormat/>
    <w:pPr>
      <w:jc w:val="both"/>
      <w:widowControl w:val="off"/>
    </w:pPr>
    <w:rPr>
      <w:rFonts w:hint="default" w:ascii="Calibri" w:hAnsi="Calibri" w:eastAsia="宋体" w:cs="Calibri"/>
      <w:sz w:val="21"/>
      <w:szCs w:val="22"/>
      <w:lang w:val="en-US" w:eastAsia="zh-CN" w:bidi="ar-SA"/>
    </w:rPr>
  </w:style>
  <w:style w:type="paragraph" w:styleId="779">
    <w:name w:val="Heading 1"/>
    <w:basedOn w:val="778"/>
    <w:next w:val="778"/>
    <w:link w:val="814"/>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5"/>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6"/>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17"/>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1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19"/>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1"/>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2"/>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customStyle="1">
    <w:name w:val="正文文本缩进11"/>
    <w:basedOn w:val="778"/>
    <w:next w:val="778"/>
    <w:uiPriority w:val="99"/>
    <w:unhideWhenUsed/>
    <w:qFormat/>
    <w:pPr>
      <w:ind w:firstLine="540"/>
      <w:spacing w:line="400" w:lineRule="exact"/>
    </w:pPr>
    <w:rPr>
      <w:sz w:val="24"/>
    </w:rPr>
  </w:style>
  <w:style w:type="paragraph" w:styleId="791">
    <w:name w:val="toc 7"/>
    <w:basedOn w:val="778"/>
    <w:next w:val="778"/>
    <w:uiPriority w:val="39"/>
    <w:unhideWhenUsed/>
    <w:qFormat/>
    <w:pPr>
      <w:ind w:left="1701" w:right="0" w:firstLine="0"/>
      <w:spacing w:after="57"/>
    </w:p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Body Text Indent"/>
    <w:basedOn w:val="778"/>
    <w:next w:val="778"/>
    <w:uiPriority w:val="0"/>
    <w:qFormat/>
    <w:pPr>
      <w:ind w:firstLine="314"/>
      <w:jc w:val="left"/>
      <w:spacing w:line="720" w:lineRule="exact"/>
    </w:pPr>
    <w:rPr>
      <w:rFonts w:ascii="楷体_GB2312" w:hAnsi="宋体" w:eastAsia="楷体_GB2312"/>
      <w:sz w:val="28"/>
      <w:szCs w:val="28"/>
    </w:rPr>
  </w:style>
  <w:style w:type="paragraph" w:styleId="794">
    <w:name w:val="index 4"/>
    <w:basedOn w:val="778"/>
    <w:next w:val="778"/>
    <w:uiPriority w:val="99"/>
    <w:unhideWhenUsed/>
    <w:qFormat/>
    <w:pPr>
      <w:ind w:left="600"/>
    </w:pPr>
    <w:rPr>
      <w:rFonts w:ascii="宋体"/>
      <w:b/>
      <w:position w:val="-10"/>
      <w:sz w:val="24"/>
      <w:szCs w:val="20"/>
    </w:rPr>
  </w:style>
  <w:style w:type="paragraph" w:styleId="795">
    <w:name w:val="toc 5"/>
    <w:basedOn w:val="778"/>
    <w:next w:val="778"/>
    <w:uiPriority w:val="39"/>
    <w:unhideWhenUsed/>
    <w:qFormat/>
    <w:pPr>
      <w:ind w:left="1134" w:right="0" w:firstLine="0"/>
      <w:spacing w:after="57"/>
    </w:pPr>
  </w:style>
  <w:style w:type="paragraph" w:styleId="796">
    <w:name w:val="toc 3"/>
    <w:basedOn w:val="778"/>
    <w:next w:val="778"/>
    <w:uiPriority w:val="39"/>
    <w:unhideWhenUsed/>
    <w:qFormat/>
    <w:pPr>
      <w:ind w:left="567" w:right="0" w:firstLine="0"/>
      <w:spacing w:after="57"/>
    </w:pPr>
  </w:style>
  <w:style w:type="paragraph" w:styleId="797">
    <w:name w:val="toc 8"/>
    <w:basedOn w:val="778"/>
    <w:next w:val="778"/>
    <w:uiPriority w:val="39"/>
    <w:unhideWhenUsed/>
    <w:qFormat/>
    <w:pPr>
      <w:ind w:left="1984" w:right="0" w:firstLine="0"/>
      <w:spacing w:after="57"/>
    </w:pPr>
  </w:style>
  <w:style w:type="paragraph" w:styleId="798">
    <w:name w:val="endnote text"/>
    <w:basedOn w:val="778"/>
    <w:link w:val="960"/>
    <w:uiPriority w:val="99"/>
    <w:semiHidden/>
    <w:unhideWhenUsed/>
    <w:qFormat/>
    <w:pPr>
      <w:spacing w:after="0" w:line="240" w:lineRule="auto"/>
    </w:pPr>
    <w:rPr>
      <w:sz w:val="20"/>
    </w:rPr>
  </w:style>
  <w:style w:type="paragraph" w:styleId="799">
    <w:name w:val="Footer"/>
    <w:basedOn w:val="778"/>
    <w:link w:val="833"/>
    <w:uiPriority w:val="99"/>
    <w:unhideWhenUsed/>
    <w:qFormat/>
    <w:pPr>
      <w:spacing w:after="0" w:line="240" w:lineRule="auto"/>
      <w:tabs>
        <w:tab w:val="center" w:pos="7143" w:leader="none"/>
        <w:tab w:val="right" w:pos="14287" w:leader="none"/>
      </w:tabs>
    </w:pPr>
  </w:style>
  <w:style w:type="paragraph" w:styleId="800">
    <w:name w:val="Header"/>
    <w:basedOn w:val="778"/>
    <w:link w:val="831"/>
    <w:uiPriority w:val="99"/>
    <w:unhideWhenUsed/>
    <w:qFormat/>
    <w:pPr>
      <w:spacing w:after="0" w:line="240" w:lineRule="auto"/>
      <w:tabs>
        <w:tab w:val="center" w:pos="7143" w:leader="none"/>
        <w:tab w:val="right" w:pos="14287" w:leader="none"/>
      </w:tabs>
    </w:pPr>
  </w:style>
  <w:style w:type="paragraph" w:styleId="801">
    <w:name w:val="toc 1"/>
    <w:basedOn w:val="778"/>
    <w:next w:val="778"/>
    <w:uiPriority w:val="39"/>
    <w:unhideWhenUsed/>
    <w:qFormat/>
    <w:pPr>
      <w:ind w:left="0" w:right="0" w:firstLine="0"/>
      <w:spacing w:after="57"/>
    </w:pPr>
  </w:style>
  <w:style w:type="paragraph" w:styleId="802">
    <w:name w:val="toc 4"/>
    <w:basedOn w:val="778"/>
    <w:next w:val="778"/>
    <w:uiPriority w:val="39"/>
    <w:unhideWhenUsed/>
    <w:qFormat/>
    <w:pPr>
      <w:ind w:left="850" w:right="0" w:firstLine="0"/>
      <w:spacing w:after="57"/>
    </w:pPr>
  </w:style>
  <w:style w:type="paragraph" w:styleId="803">
    <w:name w:val="Subtitle"/>
    <w:basedOn w:val="778"/>
    <w:next w:val="778"/>
    <w:link w:val="826"/>
    <w:uiPriority w:val="11"/>
    <w:qFormat/>
    <w:pPr>
      <w:spacing w:before="200" w:after="200"/>
    </w:pPr>
    <w:rPr>
      <w:sz w:val="24"/>
      <w:szCs w:val="24"/>
    </w:rPr>
  </w:style>
  <w:style w:type="paragraph" w:styleId="804">
    <w:name w:val="footnote text"/>
    <w:basedOn w:val="778"/>
    <w:link w:val="959"/>
    <w:uiPriority w:val="99"/>
    <w:semiHidden/>
    <w:unhideWhenUsed/>
    <w:qFormat/>
    <w:pPr>
      <w:spacing w:after="40" w:line="240" w:lineRule="auto"/>
    </w:pPr>
    <w:rPr>
      <w:sz w:val="18"/>
    </w:rPr>
  </w:style>
  <w:style w:type="paragraph" w:styleId="805">
    <w:name w:val="toc 6"/>
    <w:basedOn w:val="778"/>
    <w:next w:val="778"/>
    <w:uiPriority w:val="39"/>
    <w:unhideWhenUsed/>
    <w:qFormat/>
    <w:pPr>
      <w:ind w:left="1417" w:right="0" w:firstLine="0"/>
      <w:spacing w:after="57"/>
    </w:pPr>
  </w:style>
  <w:style w:type="paragraph" w:styleId="806">
    <w:name w:val="table of figures"/>
    <w:basedOn w:val="778"/>
    <w:next w:val="778"/>
    <w:uiPriority w:val="99"/>
    <w:unhideWhenUsed/>
    <w:qFormat/>
    <w:pPr>
      <w:spacing w:after="0" w:afterAutospacing="0"/>
    </w:pPr>
  </w:style>
  <w:style w:type="paragraph" w:styleId="807">
    <w:name w:val="toc 2"/>
    <w:basedOn w:val="778"/>
    <w:next w:val="778"/>
    <w:uiPriority w:val="39"/>
    <w:unhideWhenUsed/>
    <w:qFormat/>
    <w:pPr>
      <w:ind w:left="283" w:right="0" w:firstLine="0"/>
      <w:spacing w:after="57"/>
    </w:pPr>
  </w:style>
  <w:style w:type="paragraph" w:styleId="808">
    <w:name w:val="toc 9"/>
    <w:basedOn w:val="778"/>
    <w:next w:val="778"/>
    <w:uiPriority w:val="39"/>
    <w:unhideWhenUsed/>
    <w:qFormat/>
    <w:pPr>
      <w:ind w:left="2268" w:right="0" w:firstLine="0"/>
      <w:spacing w:after="57"/>
    </w:pPr>
  </w:style>
  <w:style w:type="paragraph" w:styleId="809">
    <w:name w:val="Title"/>
    <w:basedOn w:val="778"/>
    <w:next w:val="778"/>
    <w:link w:val="825"/>
    <w:uiPriority w:val="10"/>
    <w:qFormat/>
    <w:pPr>
      <w:contextualSpacing/>
      <w:spacing w:before="300" w:after="200"/>
    </w:pPr>
    <w:rPr>
      <w:sz w:val="48"/>
      <w:szCs w:val="48"/>
    </w:rPr>
  </w:style>
  <w:style w:type="table" w:styleId="8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footnote reference"/>
    <w:uiPriority w:val="99"/>
    <w:unhideWhenUsed/>
    <w:qFormat/>
    <w:rPr>
      <w:vertAlign w:val="superscript"/>
    </w:rPr>
  </w:style>
  <w:style w:type="character" w:styleId="814" w:customStyle="1">
    <w:name w:val="Heading 1 Char"/>
    <w:link w:val="779"/>
    <w:uiPriority w:val="9"/>
    <w:qFormat/>
    <w:rPr>
      <w:rFonts w:ascii="Arial" w:hAnsi="Arial" w:eastAsia="Arial" w:cs="Arial"/>
      <w:sz w:val="40"/>
      <w:szCs w:val="40"/>
    </w:rPr>
  </w:style>
  <w:style w:type="character" w:styleId="815" w:customStyle="1">
    <w:name w:val="Heading 2 Char"/>
    <w:link w:val="780"/>
    <w:uiPriority w:val="9"/>
    <w:qFormat/>
    <w:rPr>
      <w:rFonts w:ascii="Arial" w:hAnsi="Arial" w:eastAsia="Arial" w:cs="Arial"/>
      <w:sz w:val="34"/>
    </w:rPr>
  </w:style>
  <w:style w:type="character" w:styleId="816" w:customStyle="1">
    <w:name w:val="Heading 3 Char"/>
    <w:link w:val="781"/>
    <w:uiPriority w:val="9"/>
    <w:qFormat/>
    <w:rPr>
      <w:rFonts w:ascii="Arial" w:hAnsi="Arial" w:eastAsia="Arial" w:cs="Arial"/>
      <w:sz w:val="30"/>
      <w:szCs w:val="30"/>
    </w:rPr>
  </w:style>
  <w:style w:type="character" w:styleId="817" w:customStyle="1">
    <w:name w:val="Heading 4 Char"/>
    <w:link w:val="782"/>
    <w:uiPriority w:val="9"/>
    <w:qFormat/>
    <w:rPr>
      <w:rFonts w:ascii="Arial" w:hAnsi="Arial" w:eastAsia="Arial" w:cs="Arial"/>
      <w:b/>
      <w:bCs/>
      <w:sz w:val="26"/>
      <w:szCs w:val="26"/>
    </w:rPr>
  </w:style>
  <w:style w:type="character" w:styleId="818" w:customStyle="1">
    <w:name w:val="Heading 5 Char"/>
    <w:link w:val="783"/>
    <w:uiPriority w:val="9"/>
    <w:qFormat/>
    <w:rPr>
      <w:rFonts w:ascii="Arial" w:hAnsi="Arial" w:eastAsia="Arial" w:cs="Arial"/>
      <w:b/>
      <w:bCs/>
      <w:sz w:val="24"/>
      <w:szCs w:val="24"/>
    </w:rPr>
  </w:style>
  <w:style w:type="character" w:styleId="819" w:customStyle="1">
    <w:name w:val="Heading 6 Char"/>
    <w:link w:val="784"/>
    <w:uiPriority w:val="9"/>
    <w:qFormat/>
    <w:rPr>
      <w:rFonts w:ascii="Arial" w:hAnsi="Arial" w:eastAsia="Arial" w:cs="Arial"/>
      <w:b/>
      <w:bCs/>
      <w:sz w:val="22"/>
      <w:szCs w:val="22"/>
    </w:rPr>
  </w:style>
  <w:style w:type="character" w:styleId="820" w:customStyle="1">
    <w:name w:val="Heading 7 Char"/>
    <w:link w:val="785"/>
    <w:uiPriority w:val="9"/>
    <w:qFormat/>
    <w:rPr>
      <w:rFonts w:ascii="Arial" w:hAnsi="Arial" w:eastAsia="Arial" w:cs="Arial"/>
      <w:b/>
      <w:bCs/>
      <w:i/>
      <w:iCs/>
      <w:sz w:val="22"/>
      <w:szCs w:val="22"/>
    </w:rPr>
  </w:style>
  <w:style w:type="character" w:styleId="821" w:customStyle="1">
    <w:name w:val="Heading 8 Char"/>
    <w:link w:val="786"/>
    <w:uiPriority w:val="9"/>
    <w:qFormat/>
    <w:rPr>
      <w:rFonts w:ascii="Arial" w:hAnsi="Arial" w:eastAsia="Arial" w:cs="Arial"/>
      <w:i/>
      <w:iCs/>
      <w:sz w:val="22"/>
      <w:szCs w:val="22"/>
    </w:rPr>
  </w:style>
  <w:style w:type="character" w:styleId="822" w:customStyle="1">
    <w:name w:val="Heading 9 Char"/>
    <w:link w:val="787"/>
    <w:uiPriority w:val="9"/>
    <w:qFormat/>
    <w:rPr>
      <w:rFonts w:ascii="Arial" w:hAnsi="Arial" w:eastAsia="Arial" w:cs="Arial"/>
      <w:i/>
      <w:iCs/>
      <w:sz w:val="21"/>
      <w:szCs w:val="21"/>
    </w:rPr>
  </w:style>
  <w:style w:type="paragraph" w:styleId="823">
    <w:name w:val="List Paragraph"/>
    <w:basedOn w:val="778"/>
    <w:uiPriority w:val="34"/>
    <w:qFormat/>
    <w:pPr>
      <w:contextualSpacing/>
      <w:ind w:left="720"/>
    </w:pPr>
  </w:style>
  <w:style w:type="paragraph" w:styleId="824">
    <w:name w:val="No Spacing"/>
    <w:uiPriority w:val="1"/>
    <w:qFormat/>
    <w:pPr>
      <w:spacing w:before="0" w:after="0" w:line="240" w:lineRule="auto"/>
    </w:pPr>
    <w:rPr>
      <w:rFonts w:hint="default" w:ascii="Calibri" w:hAnsi="Calibri" w:eastAsia="宋体" w:cs="Calibri"/>
    </w:rPr>
  </w:style>
  <w:style w:type="character" w:styleId="825" w:customStyle="1">
    <w:name w:val="Title Char"/>
    <w:link w:val="809"/>
    <w:uiPriority w:val="10"/>
    <w:qFormat/>
    <w:rPr>
      <w:sz w:val="48"/>
      <w:szCs w:val="48"/>
    </w:rPr>
  </w:style>
  <w:style w:type="character" w:styleId="826" w:customStyle="1">
    <w:name w:val="Subtitle Char"/>
    <w:link w:val="803"/>
    <w:uiPriority w:val="11"/>
    <w:qFormat/>
    <w:rPr>
      <w:sz w:val="24"/>
      <w:szCs w:val="24"/>
    </w:rPr>
  </w:style>
  <w:style w:type="paragraph" w:styleId="827">
    <w:name w:val="Quote"/>
    <w:basedOn w:val="778"/>
    <w:next w:val="778"/>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78"/>
    <w:next w:val="778"/>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link w:val="800"/>
    <w:uiPriority w:val="99"/>
    <w:qFormat/>
  </w:style>
  <w:style w:type="character" w:styleId="832" w:customStyle="1">
    <w:name w:val="Footer Char"/>
    <w:link w:val="799"/>
    <w:uiPriority w:val="99"/>
    <w:qFormat/>
  </w:style>
  <w:style w:type="character" w:styleId="833" w:customStyle="1">
    <w:name w:val="Caption Char"/>
    <w:link w:val="799"/>
    <w:uiPriority w:val="99"/>
    <w:qFormat/>
  </w:style>
  <w:style w:type="table" w:styleId="8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link w:val="804"/>
    <w:uiPriority w:val="99"/>
    <w:qFormat/>
    <w:rPr>
      <w:sz w:val="18"/>
    </w:rPr>
  </w:style>
  <w:style w:type="character" w:styleId="960" w:customStyle="1">
    <w:name w:val="Endnote Text Char"/>
    <w:link w:val="798"/>
    <w:uiPriority w:val="99"/>
    <w:qFormat/>
    <w:rPr>
      <w:sz w:val="20"/>
    </w:rPr>
  </w:style>
  <w:style w:type="paragraph" w:styleId="961" w:customStyle="1">
    <w:name w:val="TOC Heading"/>
    <w:uiPriority w:val="39"/>
    <w:unhideWhenUsed/>
    <w:qFormat/>
    <w:rPr>
      <w:rFonts w:hint="default" w:ascii="Calibri" w:hAnsi="Calibri" w:eastAsia="宋体" w:cs="Calibri"/>
    </w:rPr>
  </w:style>
  <w:style w:type="paragraph" w:styleId="962" w:customStyle="1">
    <w:name w:val="标题 111"/>
    <w:basedOn w:val="778"/>
    <w:next w:val="778"/>
    <w:uiPriority w:val="9"/>
    <w:qFormat/>
    <w:pPr>
      <w:keepLines/>
      <w:keepNext/>
      <w:spacing w:before="340" w:after="330" w:line="578" w:lineRule="auto"/>
      <w:outlineLvl w:val="0"/>
    </w:pPr>
    <w:rPr>
      <w:b/>
      <w:bCs/>
      <w:sz w:val="44"/>
      <w:szCs w:val="44"/>
    </w:rPr>
  </w:style>
  <w:style w:type="paragraph" w:styleId="963" w:customStyle="1">
    <w:name w:val="标题 21"/>
    <w:basedOn w:val="778"/>
    <w:next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4" w:customStyle="1">
    <w:name w:val="正文缩进1"/>
    <w:basedOn w:val="778"/>
    <w:uiPriority w:val="0"/>
    <w:unhideWhenUsed/>
    <w:qFormat/>
    <w:pPr>
      <w:ind w:firstLine="420"/>
    </w:pPr>
  </w:style>
  <w:style w:type="paragraph" w:styleId="965" w:customStyle="1">
    <w:name w:val="标题 31"/>
    <w:basedOn w:val="778"/>
    <w:next w:val="778"/>
    <w:uiPriority w:val="0"/>
    <w:qFormat/>
    <w:pPr>
      <w:keepLines/>
      <w:keepNext/>
      <w:spacing w:before="260" w:after="260" w:line="416" w:lineRule="auto"/>
      <w:outlineLvl w:val="2"/>
    </w:pPr>
    <w:rPr>
      <w:b/>
      <w:bCs/>
      <w:sz w:val="32"/>
      <w:szCs w:val="32"/>
    </w:rPr>
  </w:style>
  <w:style w:type="character" w:styleId="966" w:customStyle="1">
    <w:name w:val="默认段落字体1"/>
    <w:link w:val="778"/>
    <w:uiPriority w:val="1"/>
    <w:unhideWhenUsed/>
    <w:qFormat/>
  </w:style>
  <w:style w:type="table" w:styleId="96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68" w:customStyle="1">
    <w:name w:val="要点1"/>
    <w:link w:val="778"/>
    <w:uiPriority w:val="0"/>
    <w:qFormat/>
    <w:rPr>
      <w:b/>
    </w:rPr>
  </w:style>
  <w:style w:type="character" w:styleId="969" w:customStyle="1">
    <w:name w:val="超链接1"/>
    <w:link w:val="778"/>
    <w:uiPriority w:val="0"/>
    <w:qFormat/>
    <w:rPr>
      <w:color w:val="0000ff"/>
      <w:u w:val="single"/>
    </w:rPr>
  </w:style>
  <w:style w:type="character" w:styleId="970" w:customStyle="1">
    <w:name w:val="批注引用1"/>
    <w:link w:val="778"/>
    <w:uiPriority w:val="0"/>
    <w:qFormat/>
    <w:rPr>
      <w:sz w:val="21"/>
      <w:szCs w:val="21"/>
    </w:rPr>
  </w:style>
  <w:style w:type="character" w:styleId="971" w:customStyle="1">
    <w:name w:val="正文文本 字符"/>
    <w:link w:val="972"/>
    <w:uiPriority w:val="0"/>
    <w:qFormat/>
    <w:rPr>
      <w:rFonts w:ascii="Times New Roman" w:hAnsi="Times New Roman" w:cs="Times New Roman"/>
      <w:sz w:val="21"/>
      <w:szCs w:val="22"/>
    </w:rPr>
  </w:style>
  <w:style w:type="paragraph" w:styleId="972" w:customStyle="1">
    <w:name w:val="正文文本11"/>
    <w:basedOn w:val="778"/>
    <w:next w:val="973"/>
    <w:link w:val="971"/>
    <w:uiPriority w:val="0"/>
    <w:qFormat/>
    <w:rPr>
      <w:rFonts w:ascii="楷体_GB2312" w:hAnsi="Arial" w:eastAsia="楷体_GB2312"/>
      <w:sz w:val="28"/>
      <w:szCs w:val="28"/>
    </w:rPr>
  </w:style>
  <w:style w:type="paragraph" w:styleId="973" w:customStyle="1">
    <w:name w:val="正文文本 211"/>
    <w:basedOn w:val="778"/>
    <w:uiPriority w:val="0"/>
    <w:qFormat/>
    <w:pPr>
      <w:spacing w:after="120" w:line="480" w:lineRule="auto"/>
    </w:pPr>
  </w:style>
  <w:style w:type="character" w:styleId="974" w:customStyle="1">
    <w:name w:val="批注框文本 字符"/>
    <w:link w:val="975"/>
    <w:uiPriority w:val="0"/>
    <w:qFormat/>
    <w:rPr>
      <w:sz w:val="18"/>
      <w:szCs w:val="18"/>
    </w:rPr>
  </w:style>
  <w:style w:type="paragraph" w:styleId="975" w:customStyle="1">
    <w:name w:val="批注框文本1"/>
    <w:basedOn w:val="778"/>
    <w:link w:val="974"/>
    <w:uiPriority w:val="0"/>
    <w:qFormat/>
    <w:rPr>
      <w:sz w:val="18"/>
      <w:szCs w:val="18"/>
    </w:rPr>
  </w:style>
  <w:style w:type="paragraph" w:styleId="976" w:customStyle="1">
    <w:name w:val="目录 91"/>
    <w:basedOn w:val="778"/>
    <w:next w:val="778"/>
    <w:uiPriority w:val="99"/>
    <w:qFormat/>
    <w:pPr>
      <w:ind w:left="3360"/>
    </w:pPr>
  </w:style>
  <w:style w:type="paragraph" w:styleId="977"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8" w:customStyle="1">
    <w:name w:val="Table Paragraph"/>
    <w:basedOn w:val="778"/>
    <w:uiPriority w:val="1"/>
    <w:qFormat/>
    <w:rPr>
      <w:rFonts w:ascii="宋体" w:hAnsi="宋体" w:eastAsia="宋体" w:cs="宋体"/>
      <w:lang w:val="zh-CN" w:eastAsia="zh-CN" w:bidi="zh-CN"/>
    </w:rPr>
  </w:style>
  <w:style w:type="paragraph" w:styleId="979" w:customStyle="1">
    <w:name w:val="正文 New New New New New New New New New New New New New New"/>
    <w:next w:val="976"/>
    <w:uiPriority w:val="99"/>
    <w:qFormat/>
    <w:pPr>
      <w:ind w:firstLine="2048"/>
      <w:jc w:val="both"/>
      <w:widowControl w:val="off"/>
    </w:pPr>
    <w:rPr>
      <w:rFonts w:hint="default" w:ascii="Calibri" w:hAnsi="Calibri" w:eastAsia="宋体" w:cs="Calibri"/>
      <w:lang w:val="en-US" w:eastAsia="zh-CN" w:bidi="ar-SA"/>
    </w:rPr>
  </w:style>
  <w:style w:type="paragraph" w:styleId="980" w:customStyle="1">
    <w:name w:val="正文文本 21"/>
    <w:basedOn w:val="778"/>
    <w:next w:val="981"/>
    <w:uiPriority w:val="99"/>
    <w:qFormat/>
    <w:pPr>
      <w:ind w:left="720" w:firstLine="5680"/>
      <w:widowControl/>
    </w:pPr>
  </w:style>
  <w:style w:type="paragraph" w:styleId="981" w:customStyle="1">
    <w:name w:val="默认段落字体 Para Char Char Char Char Char Char Char"/>
    <w:basedOn w:val="778"/>
    <w:next w:val="982"/>
    <w:uiPriority w:val="99"/>
    <w:qFormat/>
    <w:pPr>
      <w:ind w:firstLine="200"/>
    </w:pPr>
    <w:rPr>
      <w:rFonts w:cs="Arial"/>
    </w:rPr>
  </w:style>
  <w:style w:type="paragraph" w:styleId="982" w:customStyle="1">
    <w:name w:val="样式 首行缩进:  2 字符"/>
    <w:basedOn w:val="778"/>
    <w:next w:val="983"/>
    <w:uiPriority w:val="99"/>
    <w:qFormat/>
    <w:pPr>
      <w:ind w:left="480" w:firstLine="5856"/>
      <w:spacing w:line="360" w:lineRule="auto"/>
    </w:pPr>
  </w:style>
  <w:style w:type="paragraph" w:styleId="983" w:customStyle="1">
    <w:name w:val="样式 段后: 0.25 行"/>
    <w:basedOn w:val="778"/>
    <w:next w:val="979"/>
    <w:uiPriority w:val="99"/>
    <w:qFormat/>
    <w:pPr>
      <w:ind w:left="420" w:firstLine="5796"/>
      <w:spacing w:line="300" w:lineRule="auto"/>
      <w:widowControl/>
    </w:pPr>
  </w:style>
  <w:style w:type="paragraph" w:styleId="984" w:customStyle="1">
    <w:name w:val="Char"/>
    <w:basedOn w:val="778"/>
    <w:uiPriority w:val="0"/>
    <w:qFormat/>
    <w:pPr>
      <w:ind w:firstLine="200"/>
      <w:tabs>
        <w:tab w:val="left" w:pos="360" w:leader="none"/>
      </w:tabs>
    </w:pPr>
    <w:rPr>
      <w:rFonts w:ascii="Times New Roman" w:hAnsi="Times New Roman"/>
      <w:sz w:val="28"/>
      <w:szCs w:val="30"/>
    </w:rPr>
  </w:style>
  <w:style w:type="paragraph" w:styleId="985" w:customStyle="1">
    <w:name w:val="正文（缩进）"/>
    <w:basedOn w:val="778"/>
    <w:next w:val="986"/>
    <w:uiPriority w:val="0"/>
    <w:qFormat/>
    <w:pPr>
      <w:ind w:firstLine="480"/>
      <w:spacing w:before="156" w:after="156"/>
    </w:pPr>
  </w:style>
  <w:style w:type="paragraph" w:styleId="986" w:customStyle="1">
    <w:name w:val="Char Char Char Char Char Char Char Char Char"/>
    <w:basedOn w:val="778"/>
    <w:next w:val="980"/>
    <w:uiPriority w:val="99"/>
    <w:qFormat/>
    <w:pPr>
      <w:ind w:left="360" w:firstLine="5784"/>
    </w:pPr>
  </w:style>
  <w:style w:type="paragraph" w:styleId="987" w:customStyle="1">
    <w:name w:val="正文空2格  1."/>
    <w:basedOn w:val="778"/>
    <w:uiPriority w:val="0"/>
    <w:qFormat/>
    <w:pPr>
      <w:ind w:firstLine="480"/>
    </w:pPr>
    <w:rPr>
      <w:rFonts w:cs="宋体"/>
      <w:sz w:val="28"/>
      <w:szCs w:val="20"/>
    </w:rPr>
  </w:style>
  <w:style w:type="paragraph" w:styleId="988" w:customStyle="1">
    <w:name w:val="目录 11"/>
    <w:basedOn w:val="778"/>
    <w:next w:val="778"/>
    <w:uiPriority w:val="39"/>
    <w:unhideWhenUsed/>
    <w:qFormat/>
  </w:style>
  <w:style w:type="paragraph" w:styleId="989" w:customStyle="1">
    <w:name w:val="页脚1"/>
    <w:basedOn w:val="778"/>
    <w:uiPriority w:val="99"/>
    <w:unhideWhenUsed/>
    <w:qFormat/>
    <w:pPr>
      <w:jc w:val="left"/>
      <w:tabs>
        <w:tab w:val="center" w:pos="4153" w:leader="none"/>
        <w:tab w:val="right" w:pos="8306" w:leader="none"/>
      </w:tabs>
    </w:pPr>
    <w:rPr>
      <w:sz w:val="18"/>
      <w:szCs w:val="18"/>
    </w:rPr>
  </w:style>
  <w:style w:type="paragraph" w:styleId="990" w:customStyle="1">
    <w:name w:val="纯文本11"/>
    <w:basedOn w:val="778"/>
    <w:uiPriority w:val="99"/>
    <w:qFormat/>
    <w:rPr>
      <w:rFonts w:ascii="宋体" w:hAnsi="Courier New"/>
      <w:sz w:val="20"/>
      <w:szCs w:val="21"/>
    </w:rPr>
  </w:style>
  <w:style w:type="paragraph" w:styleId="991" w:customStyle="1">
    <w:name w:val="普通(网站)1"/>
    <w:basedOn w:val="778"/>
    <w:uiPriority w:val="0"/>
    <w:qFormat/>
    <w:rPr>
      <w:rFonts w:ascii="Times New Roman" w:hAnsi="Times New Roman"/>
      <w:sz w:val="24"/>
    </w:rPr>
  </w:style>
  <w:style w:type="paragraph" w:styleId="992" w:customStyle="1">
    <w:name w:val="正文文本缩进1"/>
    <w:basedOn w:val="778"/>
    <w:next w:val="778"/>
    <w:uiPriority w:val="99"/>
    <w:unhideWhenUsed/>
    <w:qFormat/>
    <w:pPr>
      <w:ind w:firstLine="540"/>
      <w:spacing w:line="400" w:lineRule="exact"/>
    </w:pPr>
    <w:rPr>
      <w:sz w:val="24"/>
    </w:rPr>
  </w:style>
  <w:style w:type="paragraph" w:styleId="993" w:customStyle="1">
    <w:name w:val="批注文字1"/>
    <w:basedOn w:val="778"/>
    <w:uiPriority w:val="0"/>
    <w:qFormat/>
    <w:pPr>
      <w:jc w:val="left"/>
    </w:pPr>
  </w:style>
  <w:style w:type="paragraph" w:styleId="994" w:customStyle="1">
    <w:name w:val="寄信人地址1"/>
    <w:basedOn w:val="778"/>
    <w:uiPriority w:val="99"/>
    <w:unhideWhenUsed/>
    <w:qFormat/>
    <w:rPr>
      <w:rFonts w:ascii="Arial" w:hAnsi="Arial"/>
    </w:rPr>
  </w:style>
  <w:style w:type="paragraph" w:styleId="995" w:customStyle="1">
    <w:name w:val="信息标题1"/>
    <w:basedOn w:val="77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6" w:customStyle="1">
    <w:name w:val="正文首行缩进 21"/>
    <w:basedOn w:val="992"/>
    <w:next w:val="778"/>
    <w:uiPriority w:val="0"/>
    <w:qFormat/>
    <w:pPr>
      <w:ind w:firstLine="420"/>
      <w:spacing w:before="100" w:beforeAutospacing="1"/>
    </w:pPr>
    <w:rPr>
      <w:rFonts w:ascii="Times New Roman" w:hAnsi="Times New Roman" w:eastAsia="宋体"/>
      <w:sz w:val="20"/>
      <w:szCs w:val="21"/>
    </w:r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999" w:customStyle="1">
    <w:name w:val="段"/>
    <w:basedOn w:val="1000"/>
    <w:next w:val="778"/>
    <w:uiPriority w:val="0"/>
    <w:qFormat/>
    <w:pPr>
      <w:ind w:firstLine="200"/>
      <w:widowControl/>
    </w:pPr>
    <w:rPr>
      <w:sz w:val="20"/>
    </w:rPr>
  </w:style>
  <w:style w:type="paragraph" w:styleId="1000" w:customStyle="1">
    <w:name w:val="正文1"/>
    <w:basedOn w:val="778"/>
    <w:next w:val="1001"/>
    <w:uiPriority w:val="0"/>
    <w:qFormat/>
    <w:pPr>
      <w:jc w:val="left"/>
      <w:spacing w:line="360" w:lineRule="atLeast"/>
    </w:pPr>
    <w:rPr>
      <w:rFonts w:ascii="宋体" w:hAnsi="Calibri" w:eastAsia="宋体" w:cs="Times New Roman"/>
      <w:sz w:val="24"/>
      <w:szCs w:val="20"/>
    </w:rPr>
  </w:style>
  <w:style w:type="paragraph" w:styleId="1001" w:customStyle="1">
    <w:name w:val="正文文本1"/>
    <w:basedOn w:val="1000"/>
    <w:next w:val="997"/>
    <w:uiPriority w:val="0"/>
    <w:qFormat/>
    <w:pPr>
      <w:spacing w:after="120"/>
    </w:pPr>
    <w:rPr>
      <w:lang w:eastAsia="en-US"/>
    </w:rPr>
  </w:style>
  <w:style w:type="paragraph" w:styleId="1002" w:customStyle="1">
    <w:name w:val="Default"/>
    <w:uiPriority w:val="0"/>
    <w:qFormat/>
    <w:pPr>
      <w:widowControl w:val="off"/>
    </w:pPr>
    <w:rPr>
      <w:rFonts w:hint="default" w:ascii="黑体" w:hAnsi="Calibri" w:eastAsia="黑体" w:cs="Calibri"/>
      <w:lang w:val="en-US" w:eastAsia="zh-CN" w:bidi="ar-SA"/>
    </w:rPr>
  </w:style>
  <w:style w:type="paragraph" w:styleId="1003" w:customStyle="1">
    <w:name w:val="列表段落"/>
    <w:basedOn w:val="778"/>
    <w:uiPriority w:val="99"/>
    <w:qFormat/>
    <w:pPr>
      <w:ind w:firstLine="420"/>
    </w:pPr>
    <w:rPr>
      <w:rFonts w:ascii="Times New Roman" w:hAnsi="Times New Roman" w:eastAsia="宋体" w:cs="Times New Roman"/>
      <w:szCs w:val="21"/>
    </w:rPr>
  </w:style>
  <w:style w:type="paragraph" w:styleId="1004"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05" w:customStyle="1">
    <w:name w:val="标题 11"/>
    <w:basedOn w:val="778"/>
    <w:next w:val="778"/>
    <w:uiPriority w:val="9"/>
    <w:qFormat/>
    <w:pPr>
      <w:keepLines/>
      <w:keepNext/>
      <w:spacing w:before="340" w:after="330" w:line="578" w:lineRule="auto"/>
      <w:outlineLvl w:val="0"/>
    </w:pPr>
    <w:rPr>
      <w:b/>
      <w:bCs/>
      <w:sz w:val="44"/>
      <w:szCs w:val="44"/>
    </w:rPr>
  </w:style>
  <w:style w:type="paragraph" w:styleId="1006" w:customStyle="1">
    <w:name w:val="纯文本1"/>
    <w:basedOn w:val="778"/>
    <w:uiPriority w:val="99"/>
    <w:qFormat/>
    <w:rPr>
      <w:rFonts w:ascii="宋体" w:hAnsi="Courier New"/>
      <w:sz w:val="20"/>
      <w:szCs w:val="21"/>
    </w:rPr>
  </w:style>
  <w:style w:type="table" w:styleId="1007" w:customStyle="1">
    <w:name w:val="网格型1"/>
    <w:basedOn w:val="967"/>
    <w:uiPriority w:val="59"/>
    <w:qFormat/>
    <w:tblPr/>
  </w:style>
  <w:style w:type="paragraph" w:styleId="1008" w:customStyle="1">
    <w:name w:val="Body Text First Indent 21"/>
    <w:basedOn w:val="1009"/>
    <w:uiPriority w:val="0"/>
    <w:qFormat/>
    <w:pPr>
      <w:ind w:firstLine="420"/>
    </w:pPr>
  </w:style>
  <w:style w:type="paragraph" w:styleId="1009" w:customStyle="1">
    <w:name w:val="Body Text Indent1"/>
    <w:basedOn w:val="778"/>
    <w:uiPriority w:val="0"/>
    <w:qFormat/>
    <w:pPr>
      <w:ind w:left="420"/>
    </w:pPr>
  </w:style>
  <w:style w:type="paragraph" w:styleId="1010" w:customStyle="1">
    <w:name w:val="ListBullet2"/>
    <w:basedOn w:val="778"/>
    <w:uiPriority w:val="0"/>
    <w:qFormat/>
    <w:pPr>
      <w:numPr>
        <w:ilvl w:val="0"/>
        <w:numId w:val="1"/>
      </w:numPr>
      <w:tabs>
        <w:tab w:val="decimal" w:pos="780" w:leader="none"/>
      </w:tabs>
    </w:pPr>
  </w:style>
  <w:style w:type="character" w:styleId="1011" w:customStyle="1">
    <w:name w:val="font131"/>
    <w:basedOn w:val="788"/>
    <w:uiPriority w:val="0"/>
    <w:qFormat/>
    <w:rPr>
      <w:rFonts w:hint="eastAsia" w:ascii="宋体" w:hAnsi="宋体" w:eastAsia="宋体" w:cs="宋体"/>
      <w:color w:val="000000"/>
      <w:sz w:val="18"/>
      <w:szCs w:val="18"/>
      <w:u w:val="none"/>
    </w:rPr>
  </w:style>
  <w:style w:type="character" w:styleId="1012" w:customStyle="1">
    <w:name w:val="font141"/>
    <w:basedOn w:val="788"/>
    <w:uiPriority w:val="0"/>
    <w:qFormat/>
    <w:rPr>
      <w:rFonts w:hint="eastAsia" w:ascii="宋体" w:hAnsi="宋体" w:eastAsia="宋体" w:cs="宋体"/>
      <w:color w:val="000000"/>
      <w:sz w:val="18"/>
      <w:szCs w:val="18"/>
      <w:u w:val="none"/>
    </w:rPr>
  </w:style>
  <w:style w:type="paragraph" w:styleId="1013" w:customStyle="1">
    <w:name w:val="正文缩进11"/>
    <w:basedOn w:val="778"/>
    <w:uiPriority w:val="0"/>
    <w:unhideWhenUsed/>
    <w:qFormat/>
    <w:pPr>
      <w:ind w:firstLine="420"/>
    </w:pPr>
  </w:style>
  <w:style w:type="paragraph" w:styleId="1014" w:customStyle="1">
    <w:name w:val="正文文本111"/>
    <w:basedOn w:val="778"/>
    <w:uiPriority w:val="0"/>
    <w:qFormat/>
    <w:rPr>
      <w:rFonts w:ascii="楷体_GB2312" w:hAnsi="Arial" w:eastAsia="楷体_GB2312"/>
      <w:sz w:val="28"/>
      <w:szCs w:val="2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唐磊</cp:lastModifiedBy>
  <cp:revision>10</cp:revision>
  <dcterms:created xsi:type="dcterms:W3CDTF">2014-10-29T12:08:00Z</dcterms:created>
  <dcterms:modified xsi:type="dcterms:W3CDTF">2024-12-26T00:48:45Z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5EAB530D97294B32A780837B073A8C4F_13</vt:lpwstr>
  </property>
  <property fmtid="{D5CDD505-2E9C-101B-9397-08002B2CF9AE}" pid="4" name="KSOTemplateDocerSaveRecord">
    <vt:lpwstr>eyJoZGlkIjoiYjIzYTNlZTVkNGM0ZWQwOGI5ZjE2MGNhYWFkNmNlYWYiLCJ1c2VySWQiOiIxNDU0NzM1NTU2In0=</vt:lpwstr>
  </property>
</Properties>
</file>