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spacing w:before="120" w:beforeAutospacing="0" w:after="120" w:afterAutospacing="0" w:line="360" w:lineRule="auto"/>
        <w:rPr>
          <w:color w:val="auto"/>
          <w:highlight w:val="none"/>
        </w:rPr>
      </w:pPr>
      <w:r>
        <w:rPr>
          <w:color w:val="auto"/>
          <w:highlight w:val="none"/>
        </w:rPr>
      </w:r>
      <w:r/>
    </w:p>
    <w:p>
      <w:pPr>
        <w:pStyle w:val="824"/>
        <w:spacing w:before="120" w:beforeAutospacing="0" w:after="120" w:afterAutospacing="0" w:line="360" w:lineRule="auto"/>
        <w:rPr>
          <w:color w:val="auto"/>
          <w:highlight w:val="none"/>
        </w:rPr>
      </w:pPr>
      <w:r>
        <w:rPr>
          <w:color w:val="auto"/>
          <w:highlight w:val="none"/>
        </w:rPr>
      </w:r>
      <w:r/>
    </w:p>
    <w:p>
      <w:pPr>
        <w:pStyle w:val="824"/>
        <w:spacing w:before="120" w:beforeAutospacing="0" w:after="120" w:afterAutospacing="0" w:line="360" w:lineRule="auto"/>
        <w:rPr>
          <w:color w:val="auto"/>
          <w:highlight w:val="none"/>
        </w:rPr>
      </w:pPr>
      <w:r>
        <w:rPr>
          <w:color w:val="auto"/>
          <w:highlight w:val="none"/>
        </w:rPr>
      </w:r>
      <w:r/>
    </w:p>
    <w:p>
      <w:pPr>
        <w:pStyle w:val="824"/>
        <w:spacing w:before="120" w:beforeAutospacing="0" w:after="120" w:afterAutospacing="0" w:line="360" w:lineRule="auto"/>
        <w:rPr>
          <w:color w:val="auto"/>
          <w:highlight w:val="none"/>
        </w:rPr>
      </w:pPr>
      <w:r>
        <w:rPr>
          <w:color w:val="auto"/>
          <w:highlight w:val="none"/>
        </w:rPr>
      </w:r>
      <w:r/>
    </w:p>
    <w:p>
      <w:pPr>
        <w:pStyle w:val="824"/>
        <w:spacing w:before="120" w:beforeAutospacing="0" w:after="120" w:afterAutospacing="0" w:line="360" w:lineRule="auto"/>
        <w:rPr>
          <w:color w:val="auto"/>
          <w:highlight w:val="none"/>
        </w:rPr>
      </w:pPr>
      <w:r>
        <w:rPr>
          <w:color w:val="auto"/>
          <w:highlight w:val="none"/>
        </w:rPr>
        <w:t xml:space="preserve"> </w:t>
      </w:r>
      <w:r/>
    </w:p>
    <w:p>
      <w:pPr>
        <w:pStyle w:val="824"/>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24"/>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4"/>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4"/>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JSZC-320903-JSRJ-G2024-0024</w:t>
      </w:r>
      <w:r/>
    </w:p>
    <w:p>
      <w:pPr>
        <w:pStyle w:val="824"/>
        <w:jc w:val="center"/>
        <w:spacing w:before="120" w:beforeAutospacing="0" w:after="120" w:afterAutospacing="0" w:line="360" w:lineRule="auto"/>
        <w:rPr>
          <w:rFonts w:ascii="Arial" w:hAnsi="Arial" w:cs="Arial"/>
          <w:b/>
          <w:color w:val="auto"/>
          <w:sz w:val="32"/>
          <w:szCs w:val="32"/>
          <w:highlight w:val="none"/>
        </w:rPr>
        <w:outlineLvl w:val="0"/>
      </w:pPr>
      <w:r/>
      <w:bookmarkStart w:id="0" w:name="_Toc19648"/>
      <w:r/>
      <w:bookmarkStart w:id="1" w:name="_Toc30591"/>
      <w:r/>
      <w:bookmarkStart w:id="2" w:name="_Toc23211"/>
      <w:r>
        <w:rPr>
          <w:rFonts w:ascii="Arial" w:hAnsi="Arial" w:cs="Arial"/>
          <w:b/>
          <w:color w:val="auto"/>
          <w:sz w:val="32"/>
          <w:szCs w:val="32"/>
          <w:highlight w:val="none"/>
        </w:rPr>
        <w:t xml:space="preserve">项目编号：</w:t>
      </w:r>
      <w:bookmarkEnd w:id="0"/>
      <w:r/>
      <w:bookmarkEnd w:id="1"/>
      <w:r/>
      <w:bookmarkEnd w:id="2"/>
      <w:r>
        <w:rPr>
          <w:rFonts w:hint="eastAsia" w:ascii="Arial" w:hAnsi="Arial" w:cs="Arial"/>
          <w:b/>
          <w:color w:val="auto"/>
          <w:sz w:val="32"/>
          <w:szCs w:val="32"/>
          <w:highlight w:val="none"/>
          <w:lang w:eastAsia="zh-CN"/>
        </w:rPr>
        <w:t xml:space="preserve">盐城市盐都区第二人民医院电子胃肠镜及相关伴随服务采购项目</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spacing w:beforeAutospacing="0" w:afterAutospacing="0" w:line="360" w:lineRule="auto"/>
        <w:rPr>
          <w:color w:val="auto"/>
          <w:highlight w:val="none"/>
        </w:rPr>
      </w:pPr>
      <w:r>
        <w:rPr>
          <w:color w:val="auto"/>
          <w:highlight w:val="none"/>
        </w:rPr>
        <w:t xml:space="preserve"> </w:t>
      </w:r>
      <w:r/>
    </w:p>
    <w:p>
      <w:pPr>
        <w:pStyle w:val="824"/>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outlineLvl w:val="0"/>
      </w:pPr>
      <w:r>
        <w:rPr>
          <w:rFonts w:hint="eastAsia" w:ascii="Arial" w:hAnsi="Arial" w:cs="Arial"/>
          <w:b/>
          <w:color w:val="auto"/>
          <w:sz w:val="32"/>
          <w:szCs w:val="32"/>
          <w:highlight w:val="none"/>
          <w:lang w:eastAsia="zh-CN"/>
        </w:rPr>
        <w:t xml:space="preserve">盐城市盐都区第二人民医院</w:t>
      </w:r>
      <w:r/>
    </w:p>
    <w:p>
      <w:pPr>
        <w:pStyle w:val="824"/>
        <w:jc w:val="center"/>
        <w:spacing w:before="120" w:beforeAutospacing="0" w:after="120" w:afterAutospacing="0" w:line="360" w:lineRule="auto"/>
        <w:rPr>
          <w:rFonts w:hint="eastAsia" w:ascii="Arial" w:hAnsi="Arial" w:cs="Arial"/>
          <w:b/>
          <w:color w:val="auto"/>
          <w:sz w:val="32"/>
          <w:szCs w:val="32"/>
          <w:highlight w:val="none"/>
        </w:rPr>
        <w:outlineLvl w:val="0"/>
      </w:pPr>
      <w:r/>
      <w:bookmarkStart w:id="3" w:name="_Toc9129"/>
      <w:r/>
      <w:bookmarkStart w:id="4" w:name="_Toc25716"/>
      <w:r/>
      <w:bookmarkStart w:id="5" w:name="_Toc18608"/>
      <w:r>
        <w:rPr>
          <w:rFonts w:hint="eastAsia" w:ascii="Arial" w:hAnsi="Arial" w:cs="Arial"/>
          <w:b/>
          <w:color w:val="auto"/>
          <w:sz w:val="32"/>
          <w:szCs w:val="32"/>
          <w:highlight w:val="none"/>
        </w:rPr>
        <w:t xml:space="preserve">江苏瑞杰项目管理顾问有限公司</w:t>
      </w:r>
      <w:bookmarkEnd w:id="3"/>
      <w:r/>
      <w:bookmarkEnd w:id="4"/>
      <w:r/>
      <w:bookmarkEnd w:id="5"/>
      <w:r/>
      <w:r/>
    </w:p>
    <w:p>
      <w:pPr>
        <w:pStyle w:val="824"/>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10</w:t>
      </w:r>
      <w:r>
        <w:rPr>
          <w:rFonts w:ascii="Arial" w:hAnsi="Arial" w:cs="Arial"/>
          <w:b/>
          <w:color w:val="auto"/>
          <w:sz w:val="32"/>
          <w:szCs w:val="32"/>
          <w:highlight w:val="none"/>
        </w:rPr>
        <w:t xml:space="preserve">月08</w:t>
      </w:r>
      <w:r>
        <w:rPr>
          <w:rFonts w:ascii="Arial" w:hAnsi="Arial" w:cs="Arial"/>
          <w:b/>
          <w:color w:val="auto"/>
          <w:sz w:val="32"/>
          <w:szCs w:val="32"/>
          <w:highlight w:val="none"/>
        </w:rPr>
        <w:t xml:space="preserve">日</w:t>
      </w:r>
      <w:r/>
    </w:p>
    <w:p>
      <w:pPr>
        <w:pStyle w:val="824"/>
        <w:jc w:val="center"/>
        <w:spacing w:beforeAutospacing="0" w:afterAutospacing="0" w:line="480" w:lineRule="auto"/>
        <w:rPr>
          <w:color w:val="auto"/>
          <w:highlight w:val="none"/>
        </w:rPr>
      </w:pPr>
      <w:r>
        <w:rPr>
          <w:rFonts w:ascii="Arial" w:hAnsi="Arial" w:cs="Arial"/>
          <w:color w:val="auto"/>
          <w:highlight w:val="none"/>
        </w:rPr>
        <w:t xml:space="preserve">      </w:t>
      </w:r>
      <w:r>
        <w:rPr>
          <w:rFonts w:ascii="Times New Roman" w:hAnsi="Times New Roman"/>
          <w:color w:val="auto"/>
          <w:sz w:val="21"/>
          <w:szCs w:val="21"/>
          <w:highlight w:val="none"/>
        </w:rPr>
        <w:t xml:space="preserve"> </w:t>
      </w:r>
      <w:bookmarkStart w:id="6" w:name="_Toc20823272"/>
      <w:r/>
      <w:bookmarkStart w:id="7" w:name="_Toc120614210"/>
      <w:r/>
      <w:bookmarkStart w:id="8" w:name="_Toc523127445"/>
      <w:r/>
      <w:bookmarkStart w:id="9" w:name="_Toc16938516"/>
      <w:r/>
      <w:bookmarkStart w:id="10" w:name="_Toc513029200"/>
      <w:r/>
      <w:bookmarkStart w:id="11" w:name="_Toc479757206"/>
      <w:r>
        <w:rPr>
          <w:rFonts w:ascii="黑体" w:hAnsi="宋体" w:eastAsia="黑体" w:cs="黑体"/>
          <w:b/>
          <w:color w:val="auto"/>
          <w:sz w:val="44"/>
          <w:szCs w:val="44"/>
          <w:highlight w:val="none"/>
        </w:rPr>
        <w:t xml:space="preserve">总  目  录</w:t>
      </w:r>
      <w:bookmarkEnd w:id="6"/>
      <w:r/>
      <w:bookmarkEnd w:id="7"/>
      <w:r/>
      <w:bookmarkEnd w:id="8"/>
      <w:r/>
      <w:bookmarkEnd w:id="9"/>
      <w:r/>
      <w:bookmarkEnd w:id="10"/>
      <w:r/>
      <w:bookmarkEnd w:id="11"/>
      <w:r/>
      <w:r/>
    </w:p>
    <w:p>
      <w:pPr>
        <w:pStyle w:val="824"/>
        <w:jc w:val="both"/>
        <w:spacing w:beforeAutospacing="0" w:afterAutospacing="0" w:line="480" w:lineRule="auto"/>
        <w:rPr>
          <w:color w:val="auto"/>
          <w:highlight w:val="none"/>
        </w:rPr>
      </w:pPr>
      <w:r>
        <w:rPr>
          <w:color w:val="auto"/>
          <w:highlight w:val="none"/>
        </w:rPr>
        <w:t xml:space="preserve"> </w:t>
      </w:r>
      <w:r/>
    </w:p>
    <w:sdt>
      <w:sdtPr>
        <w15:appearance w15:val="boundingBox"/>
        <w15:color w:val="dbdbdb"/>
        <w:id w:val="147470883"/>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21"/>
            <w:tabs>
              <w:tab w:val="right" w:pos="8306" w:leader="dot"/>
            </w:tabs>
            <w:rPr>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_Toc32703 </w:instrText>
          </w:r>
          <w:r>
            <w:rPr>
              <w:color w:val="auto"/>
              <w:highlight w:val="none"/>
            </w:rPr>
            <w:fldChar w:fldCharType="separate"/>
          </w:r>
          <w:r>
            <w:rPr>
              <w:rFonts w:hint="eastAsia" w:ascii="黑体" w:hAnsi="宋体" w:eastAsia="黑体" w:cs="黑体"/>
              <w:color w:val="auto"/>
              <w:szCs w:val="44"/>
              <w:highlight w:val="none"/>
            </w:rPr>
            <w:t xml:space="preserve">第一章 </w:t>
          </w:r>
          <w:r>
            <w:rPr>
              <w:rFonts w:hint="eastAsia" w:ascii="黑体" w:hAnsi="宋体" w:eastAsia="黑体" w:cs="黑体"/>
              <w:color w:val="auto"/>
              <w:szCs w:val="44"/>
              <w:highlight w:val="none"/>
              <w:lang w:val="en-US" w:eastAsia="zh-CN"/>
            </w:rPr>
            <w:t xml:space="preserve">招标公告</w:t>
          </w:r>
          <w:r>
            <w:rPr>
              <w:color w:val="auto"/>
              <w:highlight w:val="none"/>
            </w:rPr>
            <w:tab/>
          </w:r>
          <w:r>
            <w:rPr>
              <w:color w:val="auto"/>
              <w:highlight w:val="none"/>
            </w:rPr>
            <w:fldChar w:fldCharType="begin"/>
          </w:r>
          <w:r>
            <w:rPr>
              <w:color w:val="auto"/>
              <w:highlight w:val="none"/>
            </w:rPr>
            <w:instrText xml:space="preserve"> PAGEREF _Toc32703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21"/>
            <w:tabs>
              <w:tab w:val="right" w:pos="8306" w:leader="dot"/>
            </w:tabs>
            <w:rPr>
              <w:color w:val="auto"/>
              <w:highlight w:val="none"/>
            </w:rPr>
          </w:pPr>
          <w:r>
            <w:rPr>
              <w:color w:val="auto"/>
              <w:highlight w:val="none"/>
            </w:rPr>
            <w:fldChar w:fldCharType="begin"/>
          </w:r>
          <w:r>
            <w:rPr>
              <w:color w:val="auto"/>
              <w:highlight w:val="none"/>
            </w:rPr>
            <w:instrText xml:space="preserve"> HYPERLINK \l _Toc14777 </w:instrText>
          </w:r>
          <w:r>
            <w:rPr>
              <w:color w:val="auto"/>
              <w:highlight w:val="none"/>
            </w:rPr>
            <w:fldChar w:fldCharType="separate"/>
          </w:r>
          <w:r>
            <w:rPr>
              <w:rFonts w:hint="eastAsia" w:ascii="黑体" w:hAnsi="宋体" w:eastAsia="黑体" w:cs="黑体"/>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_Toc14777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21"/>
            <w:tabs>
              <w:tab w:val="right" w:pos="8306" w:leader="dot"/>
            </w:tabs>
            <w:rPr>
              <w:color w:val="auto"/>
              <w:highlight w:val="none"/>
            </w:rPr>
          </w:pPr>
          <w:r>
            <w:rPr>
              <w:color w:val="auto"/>
              <w:highlight w:val="none"/>
            </w:rPr>
            <w:fldChar w:fldCharType="begin"/>
          </w:r>
          <w:r>
            <w:rPr>
              <w:color w:val="auto"/>
              <w:highlight w:val="none"/>
            </w:rPr>
            <w:instrText xml:space="preserve"> HYPERLINK \l _Toc2232 </w:instrText>
          </w:r>
          <w:r>
            <w:rPr>
              <w:color w:val="auto"/>
              <w:highlight w:val="none"/>
            </w:rPr>
            <w:fldChar w:fldCharType="separate"/>
          </w:r>
          <w:r>
            <w:rPr>
              <w:rFonts w:hint="eastAsia" w:ascii="黑体" w:hAnsi="宋体" w:eastAsia="黑体" w:cs="黑体"/>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_Toc2232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21"/>
            <w:tabs>
              <w:tab w:val="right" w:pos="8306" w:leader="dot"/>
            </w:tabs>
            <w:rPr>
              <w:color w:val="auto"/>
              <w:highlight w:val="none"/>
            </w:rPr>
          </w:pPr>
          <w:r>
            <w:rPr>
              <w:color w:val="auto"/>
              <w:highlight w:val="none"/>
            </w:rPr>
            <w:fldChar w:fldCharType="begin"/>
          </w:r>
          <w:r>
            <w:rPr>
              <w:color w:val="auto"/>
              <w:highlight w:val="none"/>
            </w:rPr>
            <w:instrText xml:space="preserve"> HYPERLINK \l _Toc25492 </w:instrText>
          </w:r>
          <w:r>
            <w:rPr>
              <w:color w:val="auto"/>
              <w:highlight w:val="none"/>
            </w:rPr>
            <w:fldChar w:fldCharType="separate"/>
          </w:r>
          <w:r>
            <w:rPr>
              <w:rFonts w:hint="eastAsia" w:ascii="黑体" w:hAnsi="宋体" w:eastAsia="黑体" w:cs="黑体"/>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_Toc25492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21"/>
            <w:tabs>
              <w:tab w:val="right" w:pos="8306" w:leader="dot"/>
            </w:tabs>
            <w:rPr>
              <w:color w:val="auto"/>
              <w:highlight w:val="none"/>
            </w:rPr>
          </w:pPr>
          <w:r>
            <w:rPr>
              <w:color w:val="auto"/>
              <w:highlight w:val="none"/>
            </w:rPr>
            <w:fldChar w:fldCharType="begin"/>
          </w:r>
          <w:r>
            <w:rPr>
              <w:color w:val="auto"/>
              <w:highlight w:val="none"/>
            </w:rPr>
            <w:instrText xml:space="preserve"> HYPERLINK \l _Toc15636 </w:instrText>
          </w:r>
          <w:r>
            <w:rPr>
              <w:color w:val="auto"/>
              <w:highlight w:val="none"/>
            </w:rPr>
            <w:fldChar w:fldCharType="separate"/>
          </w:r>
          <w:r>
            <w:rPr>
              <w:rFonts w:hint="eastAsia" w:ascii="黑体" w:hAnsi="宋体" w:eastAsia="黑体" w:cs="黑体"/>
              <w:color w:val="auto"/>
              <w:szCs w:val="44"/>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_Toc15636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21"/>
            <w:tabs>
              <w:tab w:val="right" w:pos="8306" w:leader="dot"/>
            </w:tabs>
            <w:rPr>
              <w:color w:val="auto"/>
              <w:highlight w:val="none"/>
            </w:rPr>
          </w:pPr>
          <w:r>
            <w:rPr>
              <w:color w:val="auto"/>
              <w:highlight w:val="none"/>
            </w:rPr>
            <w:fldChar w:fldCharType="begin"/>
          </w:r>
          <w:r>
            <w:rPr>
              <w:color w:val="auto"/>
              <w:highlight w:val="none"/>
            </w:rPr>
            <w:instrText xml:space="preserve"> HYPERLINK \l _Toc17405 </w:instrText>
          </w:r>
          <w:r>
            <w:rPr>
              <w:color w:val="auto"/>
              <w:highlight w:val="none"/>
            </w:rPr>
            <w:fldChar w:fldCharType="separate"/>
          </w:r>
          <w:r>
            <w:rPr>
              <w:rFonts w:hint="eastAsia" w:ascii="黑体" w:hAnsi="宋体" w:eastAsia="黑体" w:cs="黑体"/>
              <w:color w:val="auto"/>
              <w:szCs w:val="44"/>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_Toc17405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22"/>
            <w:tabs>
              <w:tab w:val="right" w:pos="8306" w:leader="dot"/>
            </w:tabs>
            <w:rPr>
              <w:color w:val="auto"/>
              <w:highlight w:val="none"/>
            </w:rPr>
          </w:pPr>
          <w:r>
            <w:rPr>
              <w:color w:val="auto"/>
              <w:highlight w:val="none"/>
            </w:rPr>
          </w:r>
          <w:r/>
        </w:p>
        <w:p>
          <w:pPr>
            <w:rPr>
              <w:b/>
              <w:color w:val="auto"/>
              <w:highlight w:val="none"/>
            </w:rPr>
          </w:pPr>
          <w:r>
            <w:rPr>
              <w:color w:val="auto"/>
              <w:highlight w:val="none"/>
            </w:rPr>
            <w:fldChar w:fldCharType="end"/>
          </w:r>
          <w:r/>
        </w:p>
      </w:sdtContent>
    </w:sdt>
    <w:p>
      <w:pPr>
        <w:rPr>
          <w:b/>
          <w:color w:val="auto"/>
          <w:highlight w:val="none"/>
        </w:rPr>
      </w:pPr>
      <w:r>
        <w:rPr>
          <w:b/>
          <w:color w:val="auto"/>
          <w:highlight w:val="none"/>
        </w:rPr>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bookmarkStart w:id="12" w:name="_Toc32703"/>
      <w:r/>
      <w:bookmarkStart w:id="13" w:name="_Toc28359086"/>
      <w:r>
        <w:rPr>
          <w:rFonts w:hint="eastAsia" w:ascii="黑体" w:hAnsi="宋体" w:eastAsia="黑体" w:cs="黑体"/>
          <w:color w:val="auto"/>
          <w:sz w:val="44"/>
          <w:szCs w:val="44"/>
          <w:highlight w:val="none"/>
        </w:rPr>
        <w:br w:type="page" w:clear="all"/>
      </w:r>
      <w:r/>
    </w:p>
    <w:p>
      <w:pPr>
        <w:pStyle w:val="824"/>
        <w:jc w:val="center"/>
        <w:spacing w:beforeAutospacing="0" w:afterAutospacing="0"/>
        <w:rPr>
          <w:rFonts w:hint="default" w:eastAsia="黑体"/>
          <w:color w:val="auto"/>
          <w:highlight w:val="none"/>
          <w:lang w:val="en-US" w:eastAsia="zh-CN"/>
        </w:rPr>
        <w:outlineLvl w:val="0"/>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bookmarkEnd w:id="12"/>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盐城市盐都区第二人民医院电子胃肠镜及相关伴随服务采购项目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lang w:val="en-US" w:eastAsia="zh-CN"/>
        </w:rPr>
        <w:t xml:space="preserve">2024</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1"/>
      </w:pPr>
      <w:r/>
      <w:bookmarkStart w:id="14" w:name="_Hlk24379207"/>
      <w:r/>
      <w:bookmarkStart w:id="15" w:name="_Toc6606"/>
      <w:r/>
      <w:bookmarkStart w:id="16" w:name="_Toc38985263"/>
      <w:r/>
      <w:bookmarkStart w:id="17" w:name="_Toc35393621"/>
      <w:r/>
      <w:bookmarkStart w:id="18" w:name="_Toc28359079"/>
      <w:r/>
      <w:bookmarkStart w:id="19" w:name="_Toc35393790"/>
      <w:r/>
      <w:bookmarkStart w:id="20" w:name="_Toc2730"/>
      <w:r/>
      <w:bookmarkStart w:id="21" w:name="_Toc27900"/>
      <w:r/>
      <w:bookmarkStart w:id="22" w:name="_Toc28359002"/>
      <w:r>
        <w:rPr>
          <w:rFonts w:hint="eastAsia" w:ascii="宋体" w:hAnsi="宋体" w:eastAsia="宋体" w:cs="宋体"/>
          <w:b/>
          <w:color w:val="auto"/>
          <w:sz w:val="24"/>
          <w:szCs w:val="24"/>
          <w:highlight w:val="none"/>
        </w:rPr>
        <w:t xml:space="preserve">一、项目基本情况</w:t>
      </w:r>
      <w:bookmarkEnd w:id="14"/>
      <w:r/>
      <w:bookmarkEnd w:id="15"/>
      <w:r/>
      <w:bookmarkEnd w:id="16"/>
      <w:r/>
      <w:bookmarkEnd w:id="17"/>
      <w:r/>
      <w:bookmarkEnd w:id="18"/>
      <w:r/>
      <w:bookmarkEnd w:id="19"/>
      <w:r/>
      <w:bookmarkEnd w:id="20"/>
      <w:r/>
      <w:bookmarkEnd w:id="21"/>
      <w:r/>
      <w:bookmarkEnd w:id="22"/>
      <w:r/>
      <w:r/>
    </w:p>
    <w:p>
      <w:pPr>
        <w:pStyle w:val="824"/>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1.项目编号：JSZC-320903-JSRJ-G2024-0024</w:t>
      </w:r>
      <w:r/>
    </w:p>
    <w:p>
      <w:pPr>
        <w:pStyle w:val="824"/>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2.项目名称：盐城市盐都区第二人民医院电子胃肠镜及相关伴随服务采购项目</w:t>
      </w:r>
      <w:r/>
    </w:p>
    <w:p>
      <w:pPr>
        <w:pStyle w:val="824"/>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24"/>
        <w:ind w:firstLine="480"/>
        <w:jc w:val="both"/>
        <w:spacing w:beforeAutospacing="0" w:afterAutospacing="0" w:line="360"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175.00万</w:t>
      </w:r>
      <w:r>
        <w:rPr>
          <w:rFonts w:hint="eastAsia" w:ascii="宋体" w:hAnsi="宋体" w:eastAsia="宋体" w:cs="宋体"/>
          <w:color w:val="auto"/>
          <w:sz w:val="24"/>
          <w:szCs w:val="24"/>
          <w:highlight w:val="none"/>
        </w:rPr>
        <w:t xml:space="preserve">元</w:t>
      </w:r>
      <w:r/>
    </w:p>
    <w:p>
      <w:pPr>
        <w:pStyle w:val="824"/>
        <w:ind w:firstLine="480"/>
        <w:jc w:val="both"/>
        <w:spacing w:beforeAutospacing="0" w:afterAutospacing="0" w:line="360"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color w:val="auto"/>
          <w:sz w:val="24"/>
          <w:szCs w:val="24"/>
          <w:highlight w:val="none"/>
          <w:lang w:val="en-US" w:eastAsia="zh-CN"/>
        </w:rPr>
        <w:t xml:space="preserve">175.00万</w:t>
      </w:r>
      <w:r>
        <w:rPr>
          <w:rFonts w:hint="eastAsia" w:ascii="宋体" w:hAnsi="宋体" w:eastAsia="宋体" w:cs="宋体"/>
          <w:color w:val="auto"/>
          <w:sz w:val="24"/>
          <w:szCs w:val="24"/>
          <w:highlight w:val="none"/>
        </w:rPr>
        <w:t xml:space="preserve">元</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胃肠镜供货及相关伴随服务</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.合同履行期限：供货期：合同签订后30日内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质保期限：不低于24个月</w:t>
      </w:r>
      <w:r/>
    </w:p>
    <w:p>
      <w:pPr>
        <w:pStyle w:val="824"/>
        <w:ind w:firstLine="480"/>
        <w:jc w:val="both"/>
        <w:spacing w:beforeAutospacing="0" w:afterAutospacing="0" w:line="360"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1"/>
      </w:pPr>
      <w:r/>
      <w:bookmarkStart w:id="23" w:name="_Toc8073"/>
      <w:r/>
      <w:bookmarkStart w:id="24" w:name="_Toc38985264"/>
      <w:r/>
      <w:bookmarkStart w:id="25" w:name="_Toc10568"/>
      <w:r/>
      <w:bookmarkStart w:id="26" w:name="_Toc35393791"/>
      <w:r/>
      <w:bookmarkStart w:id="27" w:name="_Toc20132"/>
      <w:r/>
      <w:bookmarkStart w:id="28" w:name="_Toc28359003"/>
      <w:r/>
      <w:bookmarkStart w:id="29" w:name="_Toc28359080"/>
      <w:r/>
      <w:bookmarkStart w:id="30" w:name="_Toc35393622"/>
      <w:r>
        <w:rPr>
          <w:rFonts w:hint="eastAsia" w:ascii="宋体" w:hAnsi="宋体" w:eastAsia="宋体" w:cs="宋体"/>
          <w:b/>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824"/>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24"/>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p>
    <w:p>
      <w:pPr>
        <w:pStyle w:val="824"/>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3.1所投产品按国家规定须医疗器械注册证的，供应商须提供所投产品的《医疗器械注册证》(复印件加盖公章)；</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3.2投标产品如属于医疗器械注册范畴的，投标人须根据投标产品的类别提供的《医疗器械经营企业许可证》或者《医疗器械经营备案凭证》(复印件加盖公章)；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3.3投标产品生产厂商须取得生产许可的，须提供投标产品生产厂商的《医疗器械生产许可证》(复印件加盖公章)。</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1"/>
      </w:pPr>
      <w:r/>
      <w:bookmarkStart w:id="31" w:name="_Toc20441"/>
      <w:r/>
      <w:bookmarkStart w:id="32" w:name="_Toc8994"/>
      <w:r/>
      <w:bookmarkStart w:id="33" w:name="_Toc21193"/>
      <w:r>
        <w:rPr>
          <w:rFonts w:hint="eastAsia" w:ascii="宋体" w:hAnsi="宋体" w:eastAsia="宋体" w:cs="宋体"/>
          <w:b/>
          <w:color w:val="auto"/>
          <w:sz w:val="24"/>
          <w:szCs w:val="24"/>
          <w:highlight w:val="none"/>
        </w:rPr>
        <w:t xml:space="preserve">三、获取招标文件</w:t>
      </w:r>
      <w:bookmarkEnd w:id="31"/>
      <w:r/>
      <w:bookmarkEnd w:id="32"/>
      <w:r/>
      <w:bookmarkEnd w:id="33"/>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1.时间：</w:t>
      </w:r>
      <w:r>
        <w:rPr>
          <w:rFonts w:hint="eastAsia" w:ascii="宋体" w:hAnsi="宋体" w:eastAsia="宋体" w:cs="宋体"/>
          <w:color w:val="auto"/>
          <w:sz w:val="24"/>
          <w:szCs w:val="24"/>
          <w:highlight w:val="none"/>
          <w:lang w:val="en-US" w:eastAsia="zh-CN" w:bidi="ar-SA"/>
        </w:rPr>
        <w:t xml:space="preserve">采购文件获取截止时间：2024年10月15日上午00:00</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1"/>
      </w:pPr>
      <w:r/>
      <w:bookmarkStart w:id="34" w:name="_Toc27457"/>
      <w:r/>
      <w:bookmarkStart w:id="35" w:name="_Toc1110"/>
      <w:r/>
      <w:bookmarkStart w:id="36" w:name="_Toc32469"/>
      <w:r>
        <w:rPr>
          <w:rFonts w:hint="eastAsia" w:ascii="宋体" w:hAnsi="宋体" w:eastAsia="宋体" w:cs="宋体"/>
          <w:b/>
          <w:color w:val="auto"/>
          <w:sz w:val="24"/>
          <w:szCs w:val="24"/>
          <w:highlight w:val="none"/>
        </w:rPr>
        <w:t xml:space="preserve">四、提交投标文件截止时间、开标时间和地点</w:t>
      </w:r>
      <w:bookmarkEnd w:id="34"/>
      <w:r/>
      <w:bookmarkEnd w:id="35"/>
      <w:r/>
      <w:bookmarkEnd w:id="36"/>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1.时间：2024年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日15点00分（北京时间）</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2.地点：“苏采云”系统中的“开标大厅”。</w:t>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1"/>
      </w:pPr>
      <w:r/>
      <w:bookmarkStart w:id="37" w:name="_Toc14529"/>
      <w:r/>
      <w:bookmarkStart w:id="38" w:name="_Toc28902"/>
      <w:r/>
      <w:bookmarkStart w:id="39" w:name="_Toc4706"/>
      <w:r/>
      <w:bookmarkStart w:id="40" w:name="_Toc35393625"/>
      <w:r/>
      <w:bookmarkStart w:id="41" w:name="_Toc28359084"/>
      <w:r/>
      <w:bookmarkStart w:id="42" w:name="_Toc35393794"/>
      <w:r/>
      <w:bookmarkStart w:id="43" w:name="_Toc28359007"/>
      <w:r/>
      <w:bookmarkStart w:id="44" w:name="_Toc38985267"/>
      <w:r>
        <w:rPr>
          <w:rFonts w:hint="eastAsia" w:ascii="宋体" w:hAnsi="宋体" w:eastAsia="宋体" w:cs="宋体"/>
          <w:b/>
          <w:color w:val="auto"/>
          <w:sz w:val="24"/>
          <w:szCs w:val="24"/>
          <w:highlight w:val="none"/>
        </w:rPr>
        <w:t xml:space="preserve">五、公告期限</w:t>
      </w:r>
      <w:bookmarkEnd w:id="37"/>
      <w:r/>
      <w:bookmarkEnd w:id="38"/>
      <w:r/>
      <w:bookmarkEnd w:id="39"/>
      <w:r/>
      <w:bookmarkEnd w:id="40"/>
      <w:r/>
      <w:bookmarkEnd w:id="41"/>
      <w:r/>
      <w:bookmarkEnd w:id="42"/>
      <w:r/>
      <w:bookmarkEnd w:id="43"/>
      <w:r/>
      <w:bookmarkEnd w:id="44"/>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45" w:name="_Toc35393795"/>
      <w:r/>
      <w:bookmarkStart w:id="46" w:name="_Toc38985268"/>
      <w:r/>
      <w:bookmarkStart w:id="47"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45"/>
      <w:r/>
      <w:bookmarkEnd w:id="46"/>
      <w:r/>
      <w:bookmarkEnd w:id="47"/>
      <w:r/>
      <w:r/>
    </w:p>
    <w:p>
      <w:pPr>
        <w:pStyle w:val="82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1"/>
      </w:pPr>
      <w:r/>
      <w:bookmarkStart w:id="48" w:name="_Toc6436"/>
      <w:r/>
      <w:bookmarkStart w:id="49" w:name="_Toc30166"/>
      <w:r/>
      <w:bookmarkStart w:id="50" w:name="_Toc1677"/>
      <w:r>
        <w:rPr>
          <w:rFonts w:hint="eastAsia" w:ascii="宋体" w:hAnsi="宋体" w:eastAsia="宋体" w:cs="宋体"/>
          <w:b/>
          <w:color w:val="auto"/>
          <w:sz w:val="24"/>
          <w:szCs w:val="24"/>
          <w:highlight w:val="none"/>
        </w:rPr>
        <w:t xml:space="preserve">六、其他补充事宜</w:t>
      </w:r>
      <w:bookmarkEnd w:id="48"/>
      <w:r/>
      <w:bookmarkEnd w:id="49"/>
      <w:r/>
      <w:bookmarkEnd w:id="50"/>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bookmarkStart w:id="5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lang w:val="en-US" w:eastAsia="zh-CN" w:bidi="ar-SA"/>
        </w:rPr>
        <w:t xml:space="preserve">网上注册登记方式：</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潜在供应商访问电子招标响应交易平台的网络地址和方法：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潜在投标人访问“苏采云”系统方法：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江苏省政府采购网首页-“苏采云”链接。</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.3“CA数字证书”的获取：</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供应商需办理CA锁，“苏采云”系统目前仅支持政务CA，省内各地区办理的用于“苏采云”平台的政务CA全省通用。盐城地区政务CA办理请至亭湖区政务服务中心二楼226窗口办理，联系电话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15051556883。</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采购文件（后缀名为“.kedt”）、供应商操作手册及政府采购客户端工具可通过“苏采云”系统相应链接进行下载。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 招标代理机构（采购代理机构）将数据电文形式的采购文件加载至“苏采云”系统，供潜在供应商下载或者查阅</w:t>
      </w:r>
      <w:bookmarkStart w:id="543" w:name="_GoBack"/>
      <w:r/>
      <w:bookmarkEnd w:id="543"/>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请潜在投标单位提前安装相应的控件（详见《“苏采云”系统供应商操作手册》）并使用谷歌浏览器登录“苏采云”系统参与不见面开评标。</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如潜在投标人未按上述要求操作，将自行承担所产生的风险。</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3.投标人不得提供虚假材料谋取中标成交的或采取不正当手段诋毁、排挤其他供应商。</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4.投标人存在串通投标、以他人名义投标、弄虚作假等违法违规行为，或者无正当理由放弃投标、中标资格，造成项目招标失败的，不得参加该项目重新招标的投标。</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5.因供应商的系统环境、操作等原因导致项目参与、开评标过程中出现问题由供应商自行承担负责。</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6.本次招标不收取投标保证金，不收取质量保证金。</w:t>
      </w:r>
      <w:r/>
    </w:p>
    <w:p>
      <w:pPr>
        <w:pStyle w:val="814"/>
        <w:ind w:left="0" w:right="0" w:firstLine="482"/>
        <w:jc w:val="both"/>
        <w:keepLines w:val="0"/>
        <w:keepNext w:val="0"/>
        <w:spacing w:before="0" w:beforeAutospacing="0" w:after="0" w:afterAutospacing="0" w:line="360" w:lineRule="auto"/>
        <w:shd w:val="clear" w:color="auto" w:fill="ffffff"/>
        <w:widowControl/>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52" w:name="_Toc31213"/>
      <w:r/>
      <w:bookmarkStart w:id="53" w:name="_Toc418"/>
      <w:r/>
      <w:bookmarkStart w:id="54" w:name="_Toc15177"/>
      <w:r>
        <w:rPr>
          <w:rFonts w:hint="eastAsia" w:ascii="宋体" w:hAnsi="宋体" w:eastAsia="宋体" w:cs="宋体"/>
          <w:b/>
          <w:bCs w:val="0"/>
          <w:color w:val="auto"/>
          <w:sz w:val="24"/>
          <w:szCs w:val="24"/>
          <w:highlight w:val="none"/>
          <w:lang w:val="en-US" w:eastAsia="zh-CN" w:bidi="ar-SA"/>
        </w:rPr>
        <w:t xml:space="preserve">七、对本次招标提出询问，请按以下方式联系。</w:t>
      </w:r>
      <w:bookmarkEnd w:id="51"/>
      <w:r/>
      <w:bookmarkEnd w:id="52"/>
      <w:r/>
      <w:bookmarkEnd w:id="53"/>
      <w:r/>
      <w:bookmarkEnd w:id="54"/>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1.采购人信息</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采购人名称：盐城市盐都区第二人民医院</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联系人：王院长  </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联系电话：13851047089</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地址： 盐都区顶港路与文昌路交叉路口往南约70米</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2.采购代理机构信息</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采购代理机构名称：江苏瑞杰项目管理顾问有限公司</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采购代理机构联系人：陆先生</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联系电话：18262396162 </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采购代理机构地址：盐城市亭湖区盐马路168号华兴大厦11楼</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3.项目联系方式</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联系人：陆先生  </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联系电话：18262396162   </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r/>
    </w:p>
    <w:p>
      <w:pPr>
        <w:rPr>
          <w:rFonts w:hint="eastAsia" w:ascii="黑体" w:hAnsi="宋体" w:eastAsia="黑体" w:cs="黑体"/>
          <w:b/>
          <w:color w:val="auto"/>
          <w:sz w:val="44"/>
          <w:szCs w:val="44"/>
          <w:highlight w:val="none"/>
        </w:rPr>
      </w:pPr>
      <w:r/>
      <w:bookmarkStart w:id="55" w:name="_Toc120614211"/>
      <w:r/>
      <w:bookmarkStart w:id="56" w:name="_Toc14777"/>
      <w:r>
        <w:rPr>
          <w:rFonts w:hint="eastAsia" w:ascii="黑体" w:hAnsi="宋体" w:eastAsia="黑体" w:cs="黑体"/>
          <w:b/>
          <w:color w:val="auto"/>
          <w:sz w:val="44"/>
          <w:szCs w:val="44"/>
          <w:highlight w:val="none"/>
        </w:rPr>
        <w:br w:type="page" w:clear="all"/>
      </w:r>
      <w:r/>
    </w:p>
    <w:p>
      <w:pPr>
        <w:jc w:val="center"/>
        <w:rPr>
          <w:color w:val="auto"/>
          <w:highlight w:val="none"/>
        </w:rPr>
      </w:pPr>
      <w:r>
        <w:rPr>
          <w:rFonts w:hint="eastAsia" w:ascii="黑体" w:hAnsi="宋体" w:eastAsia="黑体" w:cs="黑体"/>
          <w:b/>
          <w:color w:val="auto"/>
          <w:sz w:val="44"/>
          <w:szCs w:val="44"/>
          <w:highlight w:val="none"/>
        </w:rPr>
        <w:t xml:space="preserve">第二章  </w:t>
      </w:r>
      <w:bookmarkEnd w:id="55"/>
      <w:r/>
      <w:bookmarkStart w:id="57" w:name="_Toc120614213"/>
      <w:r/>
      <w:bookmarkStart w:id="58" w:name="_Toc20823274"/>
      <w:r/>
      <w:bookmarkStart w:id="59" w:name="_Toc513029202"/>
      <w:r/>
      <w:bookmarkStart w:id="60" w:name="_Toc16938518"/>
      <w:r>
        <w:rPr>
          <w:rFonts w:hint="eastAsia" w:ascii="黑体" w:hAnsi="宋体" w:eastAsia="黑体" w:cs="黑体"/>
          <w:b/>
          <w:color w:val="auto"/>
          <w:sz w:val="44"/>
          <w:szCs w:val="44"/>
          <w:highlight w:val="none"/>
        </w:rPr>
        <w:t xml:space="preserve">投标人须知</w:t>
      </w:r>
      <w:bookmarkEnd w:id="56"/>
      <w:r/>
      <w:bookmarkEnd w:id="57"/>
      <w:r/>
      <w:bookmarkEnd w:id="58"/>
      <w:r/>
      <w:bookmarkEnd w:id="59"/>
      <w:r/>
      <w:bookmarkEnd w:id="60"/>
      <w:r/>
      <w:r/>
    </w:p>
    <w:p>
      <w:pPr>
        <w:pStyle w:val="824"/>
        <w:ind w:firstLine="498"/>
        <w:jc w:val="both"/>
        <w:keepLines/>
        <w:keepNext/>
        <w:spacing w:before="145" w:beforeAutospacing="0" w:after="145" w:afterAutospacing="0" w:line="360" w:lineRule="auto"/>
        <w:rPr>
          <w:color w:val="auto"/>
          <w:highlight w:val="none"/>
        </w:rPr>
        <w:outlineLvl w:val="1"/>
      </w:pPr>
      <w:r/>
      <w:bookmarkStart w:id="61" w:name="_Toc20823275"/>
      <w:r/>
      <w:bookmarkStart w:id="62" w:name="_Toc120614214"/>
      <w:r/>
      <w:bookmarkStart w:id="63" w:name="_Toc28622"/>
      <w:r/>
      <w:bookmarkStart w:id="64" w:name="_Toc11303"/>
      <w:r/>
      <w:bookmarkStart w:id="65" w:name="_Toc17712"/>
      <w:r/>
      <w:bookmarkStart w:id="66" w:name="_Toc16938519"/>
      <w:r/>
      <w:bookmarkStart w:id="67" w:name="_Toc513029203"/>
      <w:r>
        <w:rPr>
          <w:rFonts w:ascii="Times New Roman" w:hAnsi="Times New Roman"/>
          <w:b/>
          <w:color w:val="auto"/>
          <w:sz w:val="32"/>
          <w:szCs w:val="32"/>
          <w:highlight w:val="none"/>
        </w:rPr>
        <w:t xml:space="preserve">一、总则</w:t>
      </w:r>
      <w:bookmarkEnd w:id="61"/>
      <w:r/>
      <w:bookmarkEnd w:id="62"/>
      <w:r/>
      <w:bookmarkEnd w:id="63"/>
      <w:r/>
      <w:bookmarkEnd w:id="64"/>
      <w:r/>
      <w:bookmarkEnd w:id="65"/>
      <w:r/>
      <w:bookmarkEnd w:id="66"/>
      <w:r/>
      <w:bookmarkEnd w:id="67"/>
      <w:r/>
      <w:r/>
    </w:p>
    <w:p>
      <w:pPr>
        <w:pStyle w:val="824"/>
        <w:ind w:firstLine="420"/>
        <w:jc w:val="both"/>
        <w:keepLines/>
        <w:keepNext/>
        <w:spacing w:beforeAutospacing="0" w:afterAutospacing="0"/>
        <w:rPr>
          <w:color w:val="auto"/>
          <w:highlight w:val="none"/>
        </w:rPr>
      </w:pPr>
      <w:r/>
      <w:bookmarkStart w:id="68" w:name="_Toc20823276"/>
      <w:r/>
      <w:bookmarkStart w:id="69" w:name="_Toc458694821"/>
      <w:r/>
      <w:bookmarkStart w:id="70" w:name="_Toc513029204"/>
      <w:r/>
      <w:bookmarkStart w:id="71" w:name="_Toc16938520"/>
      <w:r/>
      <w:bookmarkStart w:id="72" w:name="_Hlt16619475"/>
      <w:r>
        <w:rPr>
          <w:rFonts w:ascii="Arial" w:hAnsi="Arial" w:cs="Arial"/>
          <w:color w:val="auto"/>
          <w:sz w:val="28"/>
          <w:szCs w:val="28"/>
          <w:highlight w:val="none"/>
        </w:rPr>
        <w:t xml:space="preserve">1</w:t>
      </w:r>
      <w:bookmarkEnd w:id="68"/>
      <w:r>
        <w:rPr>
          <w:rFonts w:ascii="Arial" w:hAnsi="Arial" w:cs="Arial"/>
          <w:color w:val="auto"/>
          <w:sz w:val="28"/>
          <w:szCs w:val="28"/>
          <w:highlight w:val="none"/>
        </w:rPr>
        <w:t xml:space="preserve">、招标方式</w:t>
      </w:r>
      <w:bookmarkEnd w:id="69"/>
      <w:r/>
      <w:bookmarkEnd w:id="70"/>
      <w:r/>
      <w:bookmarkEnd w:id="71"/>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pStyle w:val="824"/>
        <w:ind w:firstLine="420"/>
        <w:jc w:val="both"/>
        <w:keepLines/>
        <w:keepNext/>
        <w:spacing w:beforeAutospacing="0" w:afterAutospacing="0"/>
        <w:rPr>
          <w:color w:val="auto"/>
          <w:highlight w:val="none"/>
        </w:rPr>
      </w:pPr>
      <w:r/>
      <w:bookmarkStart w:id="73" w:name="_Toc513029205"/>
      <w:r/>
      <w:bookmarkStart w:id="74" w:name="_Toc16938521"/>
      <w:r/>
      <w:bookmarkStart w:id="75" w:name="_Toc20823277"/>
      <w:r>
        <w:rPr>
          <w:rFonts w:ascii="Arial" w:hAnsi="Arial" w:cs="Arial"/>
          <w:color w:val="auto"/>
          <w:sz w:val="28"/>
          <w:szCs w:val="28"/>
          <w:highlight w:val="none"/>
        </w:rPr>
        <w:t xml:space="preserve">2、合格的投标人</w:t>
      </w:r>
      <w:bookmarkEnd w:id="73"/>
      <w:r/>
      <w:bookmarkEnd w:id="74"/>
      <w:r/>
      <w:bookmarkEnd w:id="75"/>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2.1满足招标公告中供应商的资格要求的规定。</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2.2 满足本文件实质性要求和条件的规定。</w:t>
      </w:r>
      <w:r/>
    </w:p>
    <w:p>
      <w:pPr>
        <w:pStyle w:val="824"/>
        <w:ind w:firstLine="420"/>
        <w:jc w:val="both"/>
        <w:keepLines/>
        <w:keepNext/>
        <w:spacing w:beforeAutospacing="0" w:afterAutospacing="0"/>
        <w:rPr>
          <w:color w:val="auto"/>
          <w:highlight w:val="none"/>
        </w:rPr>
      </w:pPr>
      <w:r/>
      <w:bookmarkStart w:id="76" w:name="_Toc513029206"/>
      <w:r/>
      <w:bookmarkStart w:id="77" w:name="_Toc16938522"/>
      <w:r/>
      <w:bookmarkStart w:id="78" w:name="_Toc20823278"/>
      <w:r>
        <w:rPr>
          <w:rFonts w:ascii="Arial" w:hAnsi="Arial" w:cs="Arial"/>
          <w:color w:val="auto"/>
          <w:sz w:val="28"/>
          <w:szCs w:val="28"/>
          <w:highlight w:val="none"/>
        </w:rPr>
        <w:t xml:space="preserve">3、适用法律</w:t>
      </w:r>
      <w:bookmarkEnd w:id="76"/>
      <w:r/>
      <w:bookmarkEnd w:id="77"/>
      <w:r/>
      <w:bookmarkEnd w:id="78"/>
      <w:r/>
      <w:r/>
    </w:p>
    <w:p>
      <w:pPr>
        <w:pStyle w:val="824"/>
        <w:ind w:firstLine="4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pStyle w:val="824"/>
        <w:ind w:firstLine="420"/>
        <w:jc w:val="both"/>
        <w:keepLines/>
        <w:keepNext/>
        <w:spacing w:beforeAutospacing="0" w:afterAutospacing="0"/>
        <w:rPr>
          <w:color w:val="auto"/>
          <w:highlight w:val="none"/>
        </w:rPr>
      </w:pPr>
      <w:r/>
      <w:bookmarkStart w:id="79" w:name="_Toc462564067"/>
      <w:r/>
      <w:bookmarkStart w:id="80" w:name="_Toc16938523"/>
      <w:r/>
      <w:bookmarkStart w:id="81" w:name="_Toc513029207"/>
      <w:r/>
      <w:bookmarkStart w:id="82" w:name="_Toc20823279"/>
      <w:r>
        <w:rPr>
          <w:rFonts w:ascii="Arial" w:hAnsi="Arial" w:cs="Arial"/>
          <w:color w:val="auto"/>
          <w:sz w:val="28"/>
          <w:szCs w:val="28"/>
          <w:highlight w:val="none"/>
        </w:rPr>
        <w:t xml:space="preserve">4、投标费用</w:t>
      </w:r>
      <w:bookmarkEnd w:id="79"/>
      <w:r/>
      <w:bookmarkEnd w:id="80"/>
      <w:r/>
      <w:bookmarkEnd w:id="81"/>
      <w:r/>
      <w:bookmarkEnd w:id="82"/>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w:t>
      </w:r>
      <w:r>
        <w:rPr>
          <w:rFonts w:hint="eastAsia" w:ascii="宋体" w:hAnsi="宋体" w:eastAsia="宋体" w:cs="宋体"/>
          <w:color w:val="auto"/>
          <w:highlight w:val="none"/>
          <w:lang w:val="en-US" w:eastAsia="zh-CN"/>
        </w:rPr>
        <w:t xml:space="preserve">采购人及</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在任何情况下均无义务和责任承担这些费用。</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4.2本项目中标人在领取中标通知书前，须向采购代理机构支付招标代理服务费及参数评审费，代理服务费参照苏招协[2022]002文货物类标准计取，为贰万捌仟柒佰伍拾元整，</w:t>
      </w:r>
      <w:r>
        <w:rPr>
          <w:rFonts w:hint="eastAsia" w:ascii="宋体" w:hAnsi="宋体" w:eastAsia="宋体" w:cs="宋体"/>
          <w:color w:val="auto"/>
          <w:highlight w:val="none"/>
          <w:lang w:val="en-US" w:eastAsia="zh-CN"/>
        </w:rPr>
        <w:t xml:space="preserve">参数论证费为叁仟元整，</w:t>
      </w:r>
      <w:r>
        <w:rPr>
          <w:rFonts w:hint="eastAsia" w:ascii="宋体" w:hAnsi="宋体" w:eastAsia="宋体" w:cs="宋体"/>
          <w:color w:val="auto"/>
          <w:highlight w:val="none"/>
        </w:rPr>
        <w:t xml:space="preserve">上述费用由各投标人在投标时自行综合考虑分摊含进投标报价中，且不得单列，采购人不再支付上述费用。</w:t>
      </w:r>
      <w:r/>
    </w:p>
    <w:p>
      <w:pPr>
        <w:pStyle w:val="824"/>
        <w:ind w:firstLine="420"/>
        <w:jc w:val="both"/>
        <w:keepLines/>
        <w:keepNext/>
        <w:spacing w:beforeAutospacing="0" w:afterAutospacing="0"/>
        <w:rPr>
          <w:rFonts w:ascii="Arial" w:hAnsi="Arial" w:cs="Arial"/>
          <w:color w:val="auto"/>
          <w:sz w:val="28"/>
          <w:szCs w:val="28"/>
          <w:highlight w:val="none"/>
        </w:rPr>
      </w:pPr>
      <w:r>
        <w:rPr>
          <w:rFonts w:hint="eastAsia" w:ascii="Arial" w:hAnsi="Arial" w:cs="Arial"/>
          <w:color w:val="auto"/>
          <w:sz w:val="28"/>
          <w:szCs w:val="28"/>
          <w:highlight w:val="none"/>
        </w:rPr>
        <w:t xml:space="preserve">5、招标文件的约束力</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824"/>
        <w:ind w:firstLine="321"/>
        <w:jc w:val="both"/>
        <w:keepLines/>
        <w:keepNext/>
        <w:spacing w:before="145" w:beforeAutospacing="0" w:after="145" w:afterAutospacing="0" w:line="360" w:lineRule="auto"/>
        <w:rPr>
          <w:color w:val="auto"/>
          <w:highlight w:val="none"/>
        </w:rPr>
        <w:outlineLvl w:val="1"/>
      </w:pPr>
      <w:r/>
      <w:bookmarkStart w:id="83" w:name="_Toc20823281"/>
      <w:r/>
      <w:bookmarkStart w:id="84" w:name="_Toc513029209"/>
      <w:r/>
      <w:bookmarkStart w:id="85" w:name="_Toc16938525"/>
      <w:r/>
      <w:bookmarkStart w:id="86" w:name="_Toc13617"/>
      <w:r/>
      <w:bookmarkStart w:id="87" w:name="_Toc19071"/>
      <w:r/>
      <w:bookmarkStart w:id="88" w:name="_Toc29957"/>
      <w:r/>
      <w:bookmarkStart w:id="89" w:name="_Toc120614215"/>
      <w:r>
        <w:rPr>
          <w:rFonts w:ascii="Times New Roman" w:hAnsi="Times New Roman"/>
          <w:b/>
          <w:color w:val="auto"/>
          <w:sz w:val="32"/>
          <w:szCs w:val="32"/>
          <w:highlight w:val="none"/>
        </w:rPr>
        <w:t xml:space="preserve">二、招标文件</w:t>
      </w:r>
      <w:bookmarkEnd w:id="83"/>
      <w:r/>
      <w:bookmarkEnd w:id="84"/>
      <w:r/>
      <w:bookmarkEnd w:id="85"/>
      <w:r/>
      <w:bookmarkEnd w:id="86"/>
      <w:r/>
      <w:bookmarkEnd w:id="87"/>
      <w:r/>
      <w:bookmarkEnd w:id="88"/>
      <w:r/>
      <w:bookmarkEnd w:id="89"/>
      <w:r/>
      <w:r/>
    </w:p>
    <w:p>
      <w:pPr>
        <w:pStyle w:val="824"/>
        <w:ind w:firstLine="420"/>
        <w:jc w:val="both"/>
        <w:keepLines/>
        <w:keepNext/>
        <w:spacing w:beforeAutospacing="0" w:afterAutospacing="0"/>
        <w:rPr>
          <w:color w:val="auto"/>
          <w:highlight w:val="none"/>
        </w:rPr>
      </w:pPr>
      <w:r/>
      <w:bookmarkStart w:id="90" w:name="_Toc16938526"/>
      <w:r/>
      <w:bookmarkStart w:id="91" w:name="_Toc20823282"/>
      <w:r/>
      <w:bookmarkStart w:id="92" w:name="_Toc513029210"/>
      <w:r>
        <w:rPr>
          <w:rFonts w:ascii="Arial" w:hAnsi="Arial" w:cs="Arial"/>
          <w:color w:val="auto"/>
          <w:sz w:val="28"/>
          <w:szCs w:val="28"/>
          <w:highlight w:val="none"/>
        </w:rPr>
        <w:t xml:space="preserve">6、招标文件构成</w:t>
      </w:r>
      <w:bookmarkEnd w:id="90"/>
      <w:r/>
      <w:bookmarkEnd w:id="91"/>
      <w:r/>
      <w:bookmarkEnd w:id="92"/>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6.1 招标文件由以下部分组成：</w:t>
      </w:r>
      <w:r/>
    </w:p>
    <w:p>
      <w:pPr>
        <w:pStyle w:val="824"/>
        <w:ind w:firstLine="36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招标公告</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（2）投标人须知</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（3）合同文本</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（4）采购需求</w:t>
      </w:r>
      <w:r/>
    </w:p>
    <w:p>
      <w:pPr>
        <w:pStyle w:val="824"/>
        <w:ind w:firstLine="360"/>
        <w:jc w:val="both"/>
        <w:spacing w:beforeAutospacing="0" w:afterAutospacing="0"/>
        <w:rPr>
          <w:color w:val="auto"/>
          <w:highlight w:val="none"/>
        </w:rPr>
      </w:pPr>
      <w:r>
        <w:rPr>
          <w:rFonts w:hint="eastAsia" w:ascii="宋体" w:hAnsi="宋体" w:eastAsia="宋体" w:cs="宋体"/>
          <w:color w:val="auto"/>
          <w:highlight w:val="none"/>
        </w:rPr>
        <w:t xml:space="preserve">（5）</w:t>
      </w:r>
      <w:r>
        <w:rPr>
          <w:rFonts w:ascii="Times New Roman" w:hAnsi="Times New Roman"/>
          <w:color w:val="auto"/>
          <w:highlight w:val="none"/>
        </w:rPr>
        <w:t xml:space="preserve">评标方法与评标标准</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（6）投标文件格式</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请仔细检查招标文件是否齐全，如有缺漏请立即与采购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联系解决。</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4"/>
        <w:ind w:firstLine="560"/>
        <w:jc w:val="both"/>
        <w:keepLines/>
        <w:keepNext/>
        <w:spacing w:beforeAutospacing="0" w:afterAutospacing="0"/>
        <w:rPr>
          <w:color w:val="auto"/>
          <w:highlight w:val="none"/>
        </w:rPr>
      </w:pPr>
      <w:r/>
      <w:bookmarkStart w:id="93" w:name="_Toc462564070"/>
      <w:r/>
      <w:bookmarkStart w:id="94" w:name="_Toc16938527"/>
      <w:r/>
      <w:bookmarkStart w:id="95" w:name="_Toc513029211"/>
      <w:r/>
      <w:bookmarkStart w:id="96" w:name="_Toc20823283"/>
      <w:r>
        <w:rPr>
          <w:rFonts w:ascii="Arial" w:hAnsi="Arial" w:cs="Arial"/>
          <w:color w:val="auto"/>
          <w:sz w:val="28"/>
          <w:szCs w:val="28"/>
          <w:highlight w:val="none"/>
        </w:rPr>
        <w:t xml:space="preserve">7、招标文件的澄清</w:t>
      </w:r>
      <w:bookmarkEnd w:id="93"/>
      <w:r/>
      <w:bookmarkEnd w:id="94"/>
      <w:r/>
      <w:bookmarkEnd w:id="95"/>
      <w:r/>
      <w:bookmarkEnd w:id="96"/>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7.1 任何要求对招标文件进行澄清的投标人，应在投标截止期</w:t>
      </w:r>
      <w:r>
        <w:rPr>
          <w:rFonts w:ascii="仿宋_GB2312" w:eastAsia="仿宋_GB2312" w:cs="仿宋_GB2312"/>
          <w:b/>
          <w:color w:val="auto"/>
          <w:highlight w:val="none"/>
        </w:rPr>
        <w:t xml:space="preserve">十日</w:t>
      </w:r>
      <w:r>
        <w:rPr>
          <w:rFonts w:ascii="仿宋_GB2312" w:eastAsia="仿宋_GB2312" w:cs="仿宋_GB2312"/>
          <w:color w:val="auto"/>
          <w:highlight w:val="none"/>
        </w:rPr>
        <w:t xml:space="preserve">前</w:t>
      </w:r>
      <w:r>
        <w:rPr>
          <w:rFonts w:hint="eastAsia" w:ascii="宋体" w:hAnsi="宋体" w:eastAsia="宋体" w:cs="宋体"/>
          <w:color w:val="auto"/>
          <w:highlight w:val="none"/>
        </w:rPr>
        <w:t xml:space="preserve">按招标公告中的通讯地址，以书面形式通知采购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w:t>
      </w:r>
      <w:r/>
    </w:p>
    <w:p>
      <w:pPr>
        <w:pStyle w:val="824"/>
        <w:ind w:firstLine="560"/>
        <w:jc w:val="both"/>
        <w:keepLines/>
        <w:keepNext/>
        <w:spacing w:beforeAutospacing="0" w:afterAutospacing="0"/>
        <w:rPr>
          <w:color w:val="auto"/>
          <w:highlight w:val="none"/>
        </w:rPr>
      </w:pPr>
      <w:r/>
      <w:bookmarkStart w:id="97" w:name="_Toc20823284"/>
      <w:r/>
      <w:bookmarkStart w:id="98" w:name="_Toc513029212"/>
      <w:r/>
      <w:bookmarkStart w:id="99" w:name="_Toc462564071"/>
      <w:r/>
      <w:bookmarkStart w:id="100" w:name="_Toc16938528"/>
      <w:r>
        <w:rPr>
          <w:rFonts w:ascii="Arial" w:hAnsi="Arial" w:cs="Arial"/>
          <w:color w:val="auto"/>
          <w:sz w:val="28"/>
          <w:szCs w:val="28"/>
          <w:highlight w:val="none"/>
        </w:rPr>
        <w:t xml:space="preserve">8、招标文件的修改</w:t>
      </w:r>
      <w:bookmarkEnd w:id="97"/>
      <w:r/>
      <w:bookmarkEnd w:id="98"/>
      <w:r/>
      <w:bookmarkEnd w:id="99"/>
      <w:r/>
      <w:bookmarkEnd w:id="100"/>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8.1 在投标截止时间</w:t>
      </w:r>
      <w:r>
        <w:rPr>
          <w:rFonts w:ascii="仿宋_GB2312" w:eastAsia="仿宋_GB2312" w:cs="仿宋_GB2312"/>
          <w:color w:val="auto"/>
          <w:highlight w:val="none"/>
        </w:rPr>
        <w:t xml:space="preserve">前</w:t>
      </w:r>
      <w:r>
        <w:rPr>
          <w:rFonts w:hint="eastAsia" w:ascii="宋体" w:hAnsi="宋体" w:eastAsia="宋体" w:cs="宋体"/>
          <w:color w:val="auto"/>
          <w:highlight w:val="none"/>
        </w:rPr>
        <w:t xml:space="preserve">，采购</w:t>
      </w:r>
      <w:r>
        <w:rPr>
          <w:rFonts w:hint="eastAsia" w:ascii="宋体" w:hAnsi="宋体" w:eastAsia="宋体" w:cs="宋体"/>
          <w:color w:val="auto"/>
          <w:highlight w:val="none"/>
          <w:lang w:val="en-US" w:eastAsia="zh-CN"/>
        </w:rPr>
        <w:t xml:space="preserve">代理机构或采购人</w:t>
      </w:r>
      <w:r>
        <w:rPr>
          <w:rFonts w:hint="eastAsia" w:ascii="宋体" w:hAnsi="宋体" w:eastAsia="宋体" w:cs="宋体"/>
          <w:color w:val="auto"/>
          <w:highlight w:val="none"/>
        </w:rPr>
        <w:t xml:space="preserve">可以对招标文件进行修改。</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8.2 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有权按照法定的要求推迟投标截止日期和开标日期。</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8.3 招标文件的修改将在</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盐城市政府采购网</w:t>
      </w:r>
      <w:r>
        <w:rPr>
          <w:rFonts w:hint="eastAsia" w:ascii="宋体" w:hAnsi="宋体" w:eastAsia="宋体" w:cs="宋体"/>
          <w:color w:val="auto"/>
          <w:highlight w:val="none"/>
        </w:rPr>
        <w:t xml:space="preserve">公布，补充文件将作为招标文件的组成部分，并对投标人具有约束力。</w:t>
      </w:r>
      <w:r/>
    </w:p>
    <w:p>
      <w:pPr>
        <w:pStyle w:val="824"/>
        <w:ind w:firstLine="321"/>
        <w:jc w:val="both"/>
        <w:keepLines/>
        <w:keepNext/>
        <w:spacing w:before="145" w:beforeAutospacing="0" w:after="145" w:afterAutospacing="0" w:line="360" w:lineRule="auto"/>
        <w:rPr>
          <w:rFonts w:ascii="Times New Roman" w:hAnsi="Times New Roman" w:cs="Times New Roman"/>
          <w:b/>
          <w:color w:val="auto"/>
          <w:sz w:val="32"/>
          <w:szCs w:val="32"/>
          <w:highlight w:val="none"/>
        </w:rPr>
        <w:outlineLvl w:val="1"/>
      </w:pPr>
      <w:r/>
      <w:bookmarkStart w:id="101" w:name="_Toc26248"/>
      <w:r/>
      <w:bookmarkStart w:id="102" w:name="_Toc120614216"/>
      <w:r/>
      <w:bookmarkStart w:id="103" w:name="_Toc20541"/>
      <w:r/>
      <w:bookmarkStart w:id="104" w:name="_Toc20823285"/>
      <w:r/>
      <w:bookmarkStart w:id="105" w:name="_Toc513029213"/>
      <w:r/>
      <w:bookmarkStart w:id="106" w:name="_Toc462564072"/>
      <w:r/>
      <w:bookmarkStart w:id="107" w:name="_Toc22471"/>
      <w:r/>
      <w:bookmarkStart w:id="108" w:name="_Toc16938529"/>
      <w:r>
        <w:rPr>
          <w:rFonts w:ascii="Times New Roman" w:hAnsi="Times New Roman" w:cs="Times New Roman"/>
          <w:b/>
          <w:color w:val="auto"/>
          <w:sz w:val="32"/>
          <w:szCs w:val="32"/>
          <w:highlight w:val="none"/>
        </w:rPr>
        <w:t xml:space="preserve">三、投标文件的编制</w:t>
      </w:r>
      <w:bookmarkEnd w:id="101"/>
      <w:r/>
      <w:bookmarkEnd w:id="102"/>
      <w:r/>
      <w:bookmarkEnd w:id="103"/>
      <w:r/>
      <w:bookmarkEnd w:id="104"/>
      <w:r/>
      <w:bookmarkEnd w:id="105"/>
      <w:r/>
      <w:bookmarkEnd w:id="106"/>
      <w:r/>
      <w:bookmarkEnd w:id="107"/>
      <w:r/>
      <w:bookmarkEnd w:id="108"/>
      <w:r/>
      <w:r/>
    </w:p>
    <w:p>
      <w:pPr>
        <w:pStyle w:val="824"/>
        <w:ind w:firstLine="560"/>
        <w:jc w:val="both"/>
        <w:keepLines/>
        <w:keepNext/>
        <w:spacing w:beforeAutospacing="0" w:afterAutospacing="0"/>
        <w:rPr>
          <w:color w:val="auto"/>
          <w:highlight w:val="none"/>
        </w:rPr>
      </w:pPr>
      <w:r/>
      <w:bookmarkStart w:id="109" w:name="_Toc462564073"/>
      <w:r/>
      <w:bookmarkStart w:id="110" w:name="_Toc20823286"/>
      <w:r/>
      <w:bookmarkStart w:id="111" w:name="_Toc16938530"/>
      <w:r/>
      <w:bookmarkStart w:id="112" w:name="_Toc513029214"/>
      <w:r>
        <w:rPr>
          <w:rFonts w:ascii="Arial" w:hAnsi="Arial" w:cs="Arial"/>
          <w:color w:val="auto"/>
          <w:sz w:val="28"/>
          <w:szCs w:val="28"/>
          <w:highlight w:val="none"/>
        </w:rPr>
        <w:t xml:space="preserve">9、投标文件的语言及度量衡单位</w:t>
      </w:r>
      <w:bookmarkEnd w:id="109"/>
      <w:r/>
      <w:bookmarkEnd w:id="110"/>
      <w:r/>
      <w:bookmarkEnd w:id="111"/>
      <w:r/>
      <w:bookmarkEnd w:id="112"/>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9.1 投标人提交的投标文件以及投标人与采购</w:t>
      </w:r>
      <w:r>
        <w:rPr>
          <w:rFonts w:hint="eastAsia" w:ascii="宋体" w:hAnsi="宋体" w:eastAsia="宋体" w:cs="宋体"/>
          <w:color w:val="auto"/>
          <w:highlight w:val="none"/>
          <w:lang w:val="en-US" w:eastAsia="zh-CN"/>
        </w:rPr>
        <w:t xml:space="preserve">人及采购代理机构</w:t>
      </w:r>
      <w:r>
        <w:rPr>
          <w:rFonts w:hint="eastAsia" w:ascii="宋体" w:hAnsi="宋体" w:eastAsia="宋体" w:cs="宋体"/>
          <w:color w:val="auto"/>
          <w:highlight w:val="none"/>
        </w:rPr>
        <w:t xml:space="preserve">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pStyle w:val="824"/>
        <w:ind w:firstLine="420"/>
        <w:jc w:val="both"/>
        <w:keepLines/>
        <w:keepNext/>
        <w:spacing w:beforeAutospacing="0" w:afterAutospacing="0"/>
        <w:rPr>
          <w:color w:val="auto"/>
          <w:highlight w:val="none"/>
        </w:rPr>
      </w:pPr>
      <w:r/>
      <w:bookmarkStart w:id="113" w:name="_Toc513029215"/>
      <w:r/>
      <w:bookmarkStart w:id="114" w:name="_Toc462564074"/>
      <w:r/>
      <w:bookmarkStart w:id="115" w:name="_Toc16938531"/>
      <w:r/>
      <w:bookmarkStart w:id="116" w:name="_Toc20823287"/>
      <w:r>
        <w:rPr>
          <w:rFonts w:ascii="Arial" w:hAnsi="Arial" w:cs="Arial"/>
          <w:color w:val="auto"/>
          <w:sz w:val="28"/>
          <w:szCs w:val="28"/>
          <w:highlight w:val="none"/>
        </w:rPr>
        <w:t xml:space="preserve">10、投标文件构成</w:t>
      </w:r>
      <w:bookmarkEnd w:id="113"/>
      <w:r/>
      <w:bookmarkEnd w:id="114"/>
      <w:r/>
      <w:bookmarkEnd w:id="115"/>
      <w:r/>
      <w:bookmarkEnd w:id="116"/>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10.2 如标书制作工具中格式和内容与</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盐城市政府采购网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发布的招标文件不一致，请以</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盐城市政府采购网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发布的招标文件为准。</w:t>
      </w:r>
      <w:r/>
    </w:p>
    <w:p>
      <w:pPr>
        <w:pStyle w:val="824"/>
        <w:ind w:firstLine="420"/>
        <w:jc w:val="both"/>
        <w:keepLines/>
        <w:keepNext/>
        <w:spacing w:beforeAutospacing="0" w:afterAutospacing="0"/>
        <w:rPr>
          <w:color w:val="auto"/>
          <w:highlight w:val="none"/>
        </w:rPr>
      </w:pPr>
      <w:r/>
      <w:bookmarkStart w:id="117" w:name="_Toc14577355"/>
      <w:r/>
      <w:bookmarkStart w:id="118" w:name="_Toc513029219"/>
      <w:r/>
      <w:bookmarkStart w:id="119" w:name="_Toc14577357"/>
      <w:r/>
      <w:bookmarkStart w:id="120" w:name="_Toc49090508"/>
      <w:r/>
      <w:bookmarkStart w:id="121" w:name="_Toc49090507"/>
      <w:r/>
      <w:bookmarkStart w:id="122" w:name="_Toc49090509"/>
      <w:r/>
      <w:bookmarkStart w:id="123" w:name="_Toc513029216"/>
      <w:r/>
      <w:bookmarkStart w:id="124" w:name="_Toc14577354"/>
      <w:r/>
      <w:bookmarkStart w:id="125" w:name="_Hlt26668975"/>
      <w:r/>
      <w:bookmarkStart w:id="126" w:name="_Hlt26670360"/>
      <w:r/>
      <w:bookmarkStart w:id="127" w:name="_Hlt26954838"/>
      <w:r>
        <w:rPr>
          <w:rFonts w:ascii="Arial" w:hAnsi="Arial" w:cs="Arial"/>
          <w:color w:val="auto"/>
          <w:sz w:val="28"/>
          <w:szCs w:val="28"/>
          <w:highlight w:val="none"/>
        </w:rPr>
        <w:t xml:space="preserve">11、证明投标人及投标标的符合招标文件规定的文件</w:t>
      </w:r>
      <w:bookmarkEnd w:id="117"/>
      <w:r/>
      <w:bookmarkEnd w:id="118"/>
      <w:r/>
      <w:bookmarkEnd w:id="119"/>
      <w:r/>
      <w:bookmarkEnd w:id="120"/>
      <w:r/>
      <w:bookmarkEnd w:id="121"/>
      <w:r/>
      <w:bookmarkEnd w:id="122"/>
      <w:r/>
      <w:bookmarkEnd w:id="123"/>
      <w:r/>
      <w:bookmarkEnd w:id="124"/>
      <w:r/>
      <w:r/>
    </w:p>
    <w:p>
      <w:pPr>
        <w:pStyle w:val="82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11.1 投标人应按照招标文件要求提交证明文件，证明其及投标标的符合招标文件规定。</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824"/>
        <w:ind w:firstLine="420"/>
        <w:jc w:val="both"/>
        <w:keepLines/>
        <w:keepNext/>
        <w:spacing w:beforeAutospacing="0" w:afterAutospacing="0"/>
        <w:rPr>
          <w:color w:val="auto"/>
          <w:highlight w:val="none"/>
        </w:rPr>
      </w:pPr>
      <w:r>
        <w:rPr>
          <w:rFonts w:ascii="Arial" w:hAnsi="Arial" w:cs="Arial"/>
          <w:color w:val="auto"/>
          <w:sz w:val="28"/>
          <w:szCs w:val="28"/>
          <w:highlight w:val="none"/>
        </w:rPr>
        <w:t xml:space="preserve">12、投标分项报价表</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12.1 投标人应按照招标文件规定格式填报投标分项报价表。</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824"/>
        <w:ind w:firstLine="420"/>
        <w:jc w:val="both"/>
        <w:keepLines/>
        <w:keepNext/>
        <w:spacing w:beforeAutospacing="0" w:afterAutospacing="0"/>
        <w:rPr>
          <w:color w:val="auto"/>
          <w:highlight w:val="none"/>
        </w:rPr>
      </w:pPr>
      <w:r/>
      <w:bookmarkStart w:id="128" w:name="_Hlt26670486"/>
      <w:r/>
      <w:bookmarkStart w:id="129" w:name="_Hlt26954846"/>
      <w:r/>
      <w:bookmarkStart w:id="130" w:name="_Hlt26954731"/>
      <w:r/>
      <w:bookmarkStart w:id="131" w:name="_Hlt26670482"/>
      <w:r/>
      <w:bookmarkStart w:id="132" w:name="_Hlt26954848"/>
      <w:r>
        <w:rPr>
          <w:rFonts w:ascii="Arial" w:hAnsi="Arial" w:cs="Arial"/>
          <w:color w:val="auto"/>
          <w:sz w:val="28"/>
          <w:szCs w:val="28"/>
          <w:highlight w:val="none"/>
        </w:rPr>
        <w:t xml:space="preserve">13、技术要求响应及偏离表、商务要求响应及偏离表</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13.1 投标人需对招标文件中的技术要求与商务要求逐项作出响应或偏离，并说明原因。</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13.2 投标人可在投标文件中提供认为需要的其他技术文件或说明。</w:t>
      </w:r>
      <w:r/>
    </w:p>
    <w:p>
      <w:pPr>
        <w:pStyle w:val="824"/>
        <w:ind w:firstLine="420"/>
        <w:jc w:val="both"/>
        <w:keepLines/>
        <w:keepNext/>
        <w:spacing w:beforeAutospacing="0" w:afterAutospacing="0"/>
        <w:rPr>
          <w:color w:val="auto"/>
          <w:highlight w:val="none"/>
        </w:rPr>
      </w:pPr>
      <w:r>
        <w:rPr>
          <w:rFonts w:ascii="Arial" w:hAnsi="Arial" w:cs="Arial"/>
          <w:color w:val="auto"/>
          <w:sz w:val="28"/>
          <w:szCs w:val="28"/>
          <w:highlight w:val="none"/>
        </w:rPr>
        <w:t xml:space="preserve">14、服务承诺、培训计划、人员安排及其他</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14.2 投标人需根据招标文件要求提供培训计划。</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14.3  投标人需根据招标文件要求提供所投标的的主要组成部分、功能设计、实现思路及关键技术等。</w:t>
      </w:r>
      <w:r/>
    </w:p>
    <w:p>
      <w:pPr>
        <w:pStyle w:val="824"/>
        <w:ind w:firstLine="420"/>
        <w:jc w:val="both"/>
        <w:keepLines/>
        <w:keepNext/>
        <w:spacing w:beforeAutospacing="0" w:afterAutospacing="0"/>
        <w:rPr>
          <w:color w:val="auto"/>
          <w:highlight w:val="none"/>
        </w:rPr>
      </w:pPr>
      <w:r/>
      <w:bookmarkStart w:id="133" w:name="_Toc14577359"/>
      <w:r/>
      <w:bookmarkStart w:id="134" w:name="_Toc49090510"/>
      <w:r>
        <w:rPr>
          <w:rFonts w:ascii="Arial" w:hAnsi="Arial" w:cs="Arial"/>
          <w:color w:val="auto"/>
          <w:sz w:val="28"/>
          <w:szCs w:val="28"/>
          <w:highlight w:val="none"/>
        </w:rPr>
        <w:t xml:space="preserve">15、投标函和开标一览表</w:t>
      </w:r>
      <w:bookmarkEnd w:id="133"/>
      <w:r/>
      <w:bookmarkEnd w:id="134"/>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15.1 投标人应按照招标文件中提供的格式完整、正确填写投标函、开标一览表。</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24"/>
        <w:ind w:firstLine="420"/>
        <w:jc w:val="both"/>
        <w:keepLines/>
        <w:keepNext/>
        <w:spacing w:beforeAutospacing="0" w:afterAutospacing="0"/>
        <w:rPr>
          <w:color w:val="auto"/>
          <w:highlight w:val="none"/>
        </w:rPr>
      </w:pPr>
      <w:r/>
      <w:bookmarkStart w:id="135" w:name="_Toc49090511"/>
      <w:r/>
      <w:bookmarkStart w:id="136" w:name="_Toc14577360"/>
      <w:r>
        <w:rPr>
          <w:rFonts w:ascii="Arial" w:hAnsi="Arial" w:cs="Arial"/>
          <w:color w:val="auto"/>
          <w:sz w:val="28"/>
          <w:szCs w:val="28"/>
          <w:highlight w:val="none"/>
        </w:rPr>
        <w:t xml:space="preserve">16、投标有效期</w:t>
      </w:r>
      <w:bookmarkEnd w:id="135"/>
      <w:r/>
      <w:bookmarkEnd w:id="136"/>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16.1投标有效期为开标之日后</w:t>
      </w:r>
      <w:r>
        <w:rPr>
          <w:rFonts w:ascii="仿宋_GB2312" w:eastAsia="仿宋_GB2312" w:cs="仿宋_GB2312"/>
          <w:b/>
          <w:color w:val="auto"/>
          <w:highlight w:val="none"/>
          <w:u w:val="single"/>
        </w:rPr>
        <w:t xml:space="preserve">六十（60）天</w:t>
      </w:r>
      <w:r>
        <w:rPr>
          <w:rFonts w:hint="eastAsia" w:ascii="宋体" w:hAnsi="宋体" w:eastAsia="宋体" w:cs="宋体"/>
          <w:color w:val="auto"/>
          <w:highlight w:val="none"/>
        </w:rPr>
        <w:t xml:space="preserve">。投标有效期比规定短的将被视为未实质性响应招标文件而予以拒绝。</w:t>
      </w:r>
      <w:r/>
    </w:p>
    <w:p>
      <w:pPr>
        <w:pStyle w:val="824"/>
        <w:ind w:firstLine="420"/>
        <w:jc w:val="both"/>
        <w:keepLines/>
        <w:keepNext/>
        <w:spacing w:beforeAutospacing="0" w:afterAutospacing="0"/>
        <w:rPr>
          <w:color w:val="auto"/>
          <w:highlight w:val="none"/>
        </w:rPr>
      </w:pPr>
      <w:r>
        <w:rPr>
          <w:rFonts w:ascii="Arial" w:hAnsi="Arial" w:cs="Arial"/>
          <w:color w:val="auto"/>
          <w:sz w:val="28"/>
          <w:szCs w:val="28"/>
          <w:highlight w:val="none"/>
        </w:rPr>
        <w:t xml:space="preserve">17、投标有效期的延长</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17.1在特殊情况下，采购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的这一要求而放弃投标，同意延长投标有效期的投标人既不能要求也不允许修改其投标文件。受投标有效期约束的所有权利与义务均延长至新的有效期。</w:t>
      </w:r>
      <w:r/>
    </w:p>
    <w:p>
      <w:pPr>
        <w:pStyle w:val="824"/>
        <w:ind w:firstLine="321"/>
        <w:jc w:val="both"/>
        <w:keepLines/>
        <w:keepNext/>
        <w:spacing w:before="145" w:beforeAutospacing="0" w:after="145" w:afterAutospacing="0" w:line="360" w:lineRule="auto"/>
        <w:rPr>
          <w:rFonts w:ascii="Times New Roman" w:hAnsi="Times New Roman" w:cs="Times New Roman"/>
          <w:b/>
          <w:color w:val="auto"/>
          <w:sz w:val="32"/>
          <w:szCs w:val="32"/>
          <w:highlight w:val="none"/>
        </w:rPr>
        <w:outlineLvl w:val="1"/>
      </w:pPr>
      <w:r/>
      <w:bookmarkStart w:id="137" w:name="_Toc11776"/>
      <w:r/>
      <w:bookmarkStart w:id="138" w:name="_Toc3098"/>
      <w:r/>
      <w:bookmarkStart w:id="139" w:name="_Toc120614217"/>
      <w:r/>
      <w:bookmarkStart w:id="140" w:name="_Toc16938540"/>
      <w:r/>
      <w:bookmarkStart w:id="141" w:name="_Toc26604"/>
      <w:r/>
      <w:bookmarkStart w:id="142" w:name="_Toc513029224"/>
      <w:r/>
      <w:bookmarkStart w:id="143" w:name="_Toc20823296"/>
      <w:r/>
      <w:bookmarkStart w:id="144" w:name="_Hlt26954739"/>
      <w:r/>
      <w:bookmarkStart w:id="145" w:name="_Hlt26954852"/>
      <w:r>
        <w:rPr>
          <w:rFonts w:ascii="Times New Roman" w:hAnsi="Times New Roman" w:cs="Times New Roman"/>
          <w:b/>
          <w:color w:val="auto"/>
          <w:sz w:val="32"/>
          <w:szCs w:val="32"/>
          <w:highlight w:val="none"/>
        </w:rPr>
        <w:t xml:space="preserve">四、投标文件的递交</w:t>
      </w:r>
      <w:bookmarkEnd w:id="137"/>
      <w:r/>
      <w:bookmarkEnd w:id="138"/>
      <w:r/>
      <w:bookmarkEnd w:id="139"/>
      <w:r/>
      <w:bookmarkEnd w:id="140"/>
      <w:r/>
      <w:bookmarkEnd w:id="141"/>
      <w:r/>
      <w:bookmarkEnd w:id="142"/>
      <w:r/>
      <w:bookmarkEnd w:id="143"/>
      <w:r/>
      <w:r/>
    </w:p>
    <w:p>
      <w:pPr>
        <w:pStyle w:val="824"/>
        <w:ind w:firstLine="420"/>
        <w:jc w:val="both"/>
        <w:keepLines/>
        <w:keepNext/>
        <w:spacing w:beforeAutospacing="0" w:afterAutospacing="0"/>
        <w:rPr>
          <w:color w:val="auto"/>
          <w:highlight w:val="none"/>
        </w:rPr>
      </w:pPr>
      <w:r/>
      <w:bookmarkStart w:id="146" w:name="_Toc16938541"/>
      <w:r/>
      <w:bookmarkStart w:id="147" w:name="_Toc20823297"/>
      <w:r/>
      <w:bookmarkStart w:id="148" w:name="_Toc513029225"/>
      <w:r/>
      <w:bookmarkStart w:id="149" w:name="_Toc462564084"/>
      <w:r>
        <w:rPr>
          <w:rFonts w:ascii="Arial" w:hAnsi="Arial" w:cs="Arial"/>
          <w:color w:val="auto"/>
          <w:sz w:val="28"/>
          <w:szCs w:val="28"/>
          <w:highlight w:val="none"/>
        </w:rPr>
        <w:t xml:space="preserve">18、电子</w:t>
      </w:r>
      <w:r>
        <w:rPr>
          <w:rFonts w:hint="eastAsia" w:ascii="黑体" w:hAnsi="宋体" w:eastAsia="黑体" w:cs="黑体"/>
          <w:color w:val="auto"/>
          <w:sz w:val="28"/>
          <w:szCs w:val="28"/>
          <w:highlight w:val="none"/>
        </w:rPr>
        <w:t xml:space="preserve">投标文件</w:t>
      </w:r>
      <w:bookmarkEnd w:id="146"/>
      <w:r/>
      <w:bookmarkEnd w:id="147"/>
      <w:r/>
      <w:bookmarkEnd w:id="148"/>
      <w:r/>
      <w:bookmarkEnd w:id="149"/>
      <w:r>
        <w:rPr>
          <w:rFonts w:hint="eastAsia" w:ascii="黑体" w:hAnsi="宋体" w:eastAsia="黑体" w:cs="黑体"/>
          <w:color w:val="auto"/>
          <w:sz w:val="28"/>
          <w:szCs w:val="28"/>
          <w:highlight w:val="none"/>
        </w:rPr>
        <w:t xml:space="preserve">的递交</w:t>
      </w:r>
      <w:r/>
    </w:p>
    <w:p>
      <w:pPr>
        <w:pStyle w:val="824"/>
        <w:ind w:left="525"/>
        <w:jc w:val="both"/>
        <w:spacing w:beforeAutospacing="0" w:afterAutospacing="0"/>
        <w:rPr>
          <w:color w:val="auto"/>
          <w:highlight w:val="none"/>
        </w:rPr>
      </w:pPr>
      <w:r>
        <w:rPr>
          <w:rFonts w:hint="eastAsia" w:ascii="宋体" w:hAnsi="宋体" w:eastAsia="宋体" w:cs="宋体"/>
          <w:color w:val="auto"/>
          <w:highlight w:val="none"/>
        </w:rPr>
        <w:t xml:space="preserve">18.1投标人应当按照《操作手册》规定，在投标截止时间前制作并上传电子投标</w:t>
      </w:r>
      <w:r/>
    </w:p>
    <w:p>
      <w:pPr>
        <w:pStyle w:val="824"/>
        <w:jc w:val="both"/>
        <w:spacing w:beforeAutospacing="0" w:afterAutospacing="0"/>
        <w:rPr>
          <w:color w:val="auto"/>
          <w:highlight w:val="none"/>
        </w:rPr>
      </w:pPr>
      <w:r>
        <w:rPr>
          <w:rFonts w:hint="eastAsia" w:ascii="宋体" w:hAnsi="宋体" w:eastAsia="宋体" w:cs="宋体"/>
          <w:color w:val="auto"/>
          <w:highlight w:val="none"/>
        </w:rPr>
        <w:t xml:space="preserve">文件。</w:t>
      </w:r>
      <w:bookmarkStart w:id="150" w:name="_Toc20823298"/>
      <w:r/>
      <w:bookmarkEnd w:id="150"/>
      <w:r/>
      <w:bookmarkStart w:id="151" w:name="_Toc16938542"/>
      <w:r/>
      <w:bookmarkEnd w:id="151"/>
      <w:r/>
      <w:bookmarkStart w:id="152" w:name="_Toc513029226"/>
      <w:r/>
      <w:r/>
    </w:p>
    <w:p>
      <w:pPr>
        <w:pStyle w:val="824"/>
        <w:ind w:firstLine="420"/>
        <w:jc w:val="both"/>
        <w:keepLines/>
        <w:keepNext/>
        <w:spacing w:before="280" w:beforeAutospacing="0" w:after="290" w:afterAutospacing="0" w:line="374" w:lineRule="auto"/>
        <w:rPr>
          <w:color w:val="auto"/>
          <w:highlight w:val="none"/>
        </w:rPr>
      </w:pPr>
      <w:r>
        <w:rPr>
          <w:rFonts w:ascii="Arial" w:hAnsi="Arial" w:cs="Arial"/>
          <w:color w:val="auto"/>
          <w:sz w:val="28"/>
          <w:szCs w:val="28"/>
          <w:highlight w:val="none"/>
        </w:rPr>
        <w:t xml:space="preserve">19、投标截止日期</w:t>
      </w:r>
      <w:r/>
    </w:p>
    <w:p>
      <w:pPr>
        <w:pStyle w:val="824"/>
        <w:ind w:firstLine="480"/>
        <w:jc w:val="both"/>
        <w:spacing w:beforeAutospacing="0" w:afterAutospacing="0" w:line="0" w:lineRule="atLeast"/>
        <w:rPr>
          <w:color w:val="auto"/>
          <w:highlight w:val="none"/>
        </w:rPr>
      </w:pPr>
      <w:r>
        <w:rPr>
          <w:rFonts w:hint="eastAsia" w:ascii="宋体" w:hAnsi="宋体" w:eastAsia="宋体" w:cs="宋体"/>
          <w:i/>
          <w:color w:val="auto"/>
          <w:highlight w:val="none"/>
          <w:u w:val="single"/>
        </w:rPr>
        <w:t xml:space="preserve">19.1 投标人上传电子投标文件的时间不得迟于招标公告中规定的投标截止时间。</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19.2 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可以按照规定，通过修改招标文件酌情延长投标截止日期，在此情况下，投标人的所有权利和义务以及投标人受制的截止日期均应以延长后新的截止日期为准。</w:t>
      </w:r>
      <w:r/>
    </w:p>
    <w:p>
      <w:pPr>
        <w:pStyle w:val="824"/>
        <w:ind w:firstLine="420"/>
        <w:jc w:val="both"/>
        <w:keepLines/>
        <w:keepNext/>
        <w:spacing w:beforeAutospacing="0" w:afterAutospacing="0"/>
        <w:rPr>
          <w:color w:val="auto"/>
          <w:highlight w:val="none"/>
        </w:rPr>
      </w:pPr>
      <w:r/>
      <w:bookmarkStart w:id="153" w:name="_Toc16938543"/>
      <w:r/>
      <w:bookmarkStart w:id="154" w:name="_Toc513029227"/>
      <w:r/>
      <w:bookmarkStart w:id="155" w:name="_Toc20823299"/>
      <w:r>
        <w:rPr>
          <w:rFonts w:ascii="Arial" w:hAnsi="Arial" w:cs="Arial"/>
          <w:color w:val="auto"/>
          <w:sz w:val="28"/>
          <w:szCs w:val="28"/>
          <w:highlight w:val="none"/>
        </w:rPr>
        <w:t xml:space="preserve">20、投标文件</w:t>
      </w:r>
      <w:bookmarkEnd w:id="153"/>
      <w:r/>
      <w:bookmarkEnd w:id="154"/>
      <w:r/>
      <w:bookmarkEnd w:id="155"/>
      <w:r>
        <w:rPr>
          <w:rFonts w:ascii="Arial" w:hAnsi="Arial" w:cs="Arial"/>
          <w:color w:val="auto"/>
          <w:sz w:val="28"/>
          <w:szCs w:val="28"/>
          <w:highlight w:val="none"/>
        </w:rPr>
        <w:t xml:space="preserve">的拒收</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20.1 采购</w:t>
      </w:r>
      <w:r>
        <w:rPr>
          <w:rFonts w:hint="eastAsia" w:ascii="宋体" w:hAnsi="宋体" w:eastAsia="宋体" w:cs="宋体"/>
          <w:color w:val="auto"/>
          <w:highlight w:val="none"/>
          <w:lang w:val="en-US" w:eastAsia="zh-CN"/>
        </w:rPr>
        <w:t xml:space="preserve">人及采购代理机构</w:t>
      </w:r>
      <w:r>
        <w:rPr>
          <w:rFonts w:hint="eastAsia" w:ascii="宋体" w:hAnsi="宋体" w:eastAsia="宋体" w:cs="宋体"/>
          <w:color w:val="auto"/>
          <w:highlight w:val="none"/>
        </w:rPr>
        <w:t xml:space="preserve">拒绝接收在其规定的投标截止时间后上传的任何投标文件。</w:t>
      </w:r>
      <w:r/>
    </w:p>
    <w:p>
      <w:pPr>
        <w:pStyle w:val="824"/>
        <w:ind w:firstLine="420"/>
        <w:jc w:val="both"/>
        <w:keepLines/>
        <w:keepNext/>
        <w:spacing w:beforeAutospacing="0" w:afterAutospacing="0"/>
        <w:rPr>
          <w:color w:val="auto"/>
          <w:highlight w:val="none"/>
        </w:rPr>
      </w:pPr>
      <w:r/>
      <w:bookmarkStart w:id="156" w:name="_Toc16938544"/>
      <w:r/>
      <w:bookmarkStart w:id="157" w:name="_Toc513029228"/>
      <w:r/>
      <w:bookmarkStart w:id="158" w:name="_Toc20823300"/>
      <w:r>
        <w:rPr>
          <w:rFonts w:ascii="Arial" w:hAnsi="Arial" w:cs="Arial"/>
          <w:color w:val="auto"/>
          <w:sz w:val="28"/>
          <w:szCs w:val="28"/>
          <w:highlight w:val="none"/>
        </w:rPr>
        <w:t xml:space="preserve">21、投标文件的撤回和修改</w:t>
      </w:r>
      <w:bookmarkEnd w:id="156"/>
      <w:r/>
      <w:bookmarkEnd w:id="157"/>
      <w:r/>
      <w:bookmarkEnd w:id="158"/>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21.1 投标文件的撤回</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21.1.1 电子投标文件的撤回</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21.1.2 投标人撤回电子投标文件，则认为其不再参与本项目投标活动。</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21.2 投标文件的修改</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21.2.1投标人可在投标截止时间前，对其电子投标文件进行修改，具体操作方法见《操作手册》。</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21.2.2 在投标截止时间之后，投标人不得对其电子投标文件作任何修改。</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21.3 在投标截止时间至招标文件中规定的投标有效期满之间的这段时间内，投标人不得撤回其投标。</w:t>
      </w:r>
      <w:r/>
    </w:p>
    <w:p>
      <w:pPr>
        <w:pStyle w:val="824"/>
        <w:ind w:firstLine="321"/>
        <w:jc w:val="both"/>
        <w:keepLines/>
        <w:keepNext/>
        <w:spacing w:before="145" w:beforeAutospacing="0" w:after="145" w:afterAutospacing="0" w:line="360" w:lineRule="auto"/>
        <w:rPr>
          <w:rFonts w:ascii="Times New Roman" w:hAnsi="Times New Roman" w:cs="Times New Roman"/>
          <w:b/>
          <w:color w:val="auto"/>
          <w:sz w:val="32"/>
          <w:szCs w:val="32"/>
          <w:highlight w:val="none"/>
        </w:rPr>
        <w:outlineLvl w:val="1"/>
      </w:pPr>
      <w:r/>
      <w:bookmarkStart w:id="159" w:name="_Toc120614218"/>
      <w:r/>
      <w:bookmarkStart w:id="160" w:name="_Toc5933"/>
      <w:r/>
      <w:bookmarkStart w:id="161" w:name="_Toc20823301"/>
      <w:r/>
      <w:bookmarkStart w:id="162" w:name="_Toc30324"/>
      <w:r/>
      <w:bookmarkStart w:id="163" w:name="_Toc513029229"/>
      <w:r/>
      <w:bookmarkStart w:id="164" w:name="_Toc16938545"/>
      <w:r/>
      <w:bookmarkStart w:id="165" w:name="_Toc23375"/>
      <w:r>
        <w:rPr>
          <w:rFonts w:ascii="Times New Roman" w:hAnsi="Times New Roman" w:cs="Times New Roman"/>
          <w:b/>
          <w:color w:val="auto"/>
          <w:sz w:val="32"/>
          <w:szCs w:val="32"/>
          <w:highlight w:val="none"/>
        </w:rPr>
        <w:t xml:space="preserve">五、开标与评标</w:t>
      </w:r>
      <w:bookmarkEnd w:id="159"/>
      <w:r/>
      <w:bookmarkEnd w:id="160"/>
      <w:r/>
      <w:bookmarkEnd w:id="161"/>
      <w:r/>
      <w:bookmarkEnd w:id="162"/>
      <w:r/>
      <w:bookmarkEnd w:id="163"/>
      <w:r/>
      <w:bookmarkEnd w:id="164"/>
      <w:r/>
      <w:bookmarkEnd w:id="165"/>
      <w:r/>
      <w:r/>
    </w:p>
    <w:p>
      <w:pPr>
        <w:pStyle w:val="824"/>
        <w:ind w:firstLine="420"/>
        <w:jc w:val="both"/>
        <w:keepLines/>
        <w:keepNext/>
        <w:spacing w:beforeAutospacing="0" w:afterAutospacing="0"/>
        <w:rPr>
          <w:color w:val="auto"/>
          <w:highlight w:val="none"/>
        </w:rPr>
      </w:pPr>
      <w:r/>
      <w:bookmarkStart w:id="166" w:name="_Toc513029230"/>
      <w:r/>
      <w:bookmarkStart w:id="167" w:name="_Toc20823302"/>
      <w:r/>
      <w:bookmarkStart w:id="168" w:name="_Toc16938546"/>
      <w:r>
        <w:rPr>
          <w:rFonts w:ascii="Arial" w:hAnsi="Arial" w:cs="Arial"/>
          <w:color w:val="auto"/>
          <w:sz w:val="28"/>
          <w:szCs w:val="28"/>
          <w:highlight w:val="none"/>
        </w:rPr>
        <w:t xml:space="preserve">22、开标</w:t>
      </w:r>
      <w:bookmarkEnd w:id="166"/>
      <w:r/>
      <w:bookmarkEnd w:id="167"/>
      <w:r/>
      <w:bookmarkEnd w:id="168"/>
      <w:r/>
      <w:r/>
    </w:p>
    <w:p>
      <w:pPr>
        <w:pStyle w:val="824"/>
        <w:ind w:firstLine="360"/>
        <w:jc w:val="both"/>
        <w:spacing w:beforeAutospacing="0" w:afterAutospacing="0"/>
        <w:rPr>
          <w:color w:val="auto"/>
          <w:highlight w:val="none"/>
        </w:rPr>
      </w:pPr>
      <w:r>
        <w:rPr>
          <w:rFonts w:hint="eastAsia" w:ascii="宋体" w:hAnsi="宋体" w:eastAsia="宋体" w:cs="宋体"/>
          <w:color w:val="auto"/>
          <w:highlight w:val="none"/>
        </w:rPr>
        <w:t xml:space="preserve">22.1 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22.2开标仪式由采购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组织。苏采云系统将自动对项目进行开标，并宣布各投标人名称和投标价格。</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22.3投标人在开标过程中涉及到的投标文件解密、开标结果确认等工作，应按照《操作手册》规定执行。</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22.4投标人如果对开标过程和开标记录有疑义，应当根据《操作手册》规定提出，如 苏采云系统中《开标记录表》宣布后5分钟内未提出的，视同认可开标结果。</w:t>
      </w:r>
      <w:r/>
    </w:p>
    <w:p>
      <w:pPr>
        <w:pStyle w:val="824"/>
        <w:ind w:firstLine="420"/>
        <w:jc w:val="both"/>
        <w:keepLines/>
        <w:keepNext/>
        <w:spacing w:beforeAutospacing="0" w:afterAutospacing="0"/>
        <w:rPr>
          <w:color w:val="auto"/>
          <w:highlight w:val="none"/>
        </w:rPr>
      </w:pPr>
      <w:r/>
      <w:bookmarkStart w:id="169" w:name="_Toc513029231"/>
      <w:r/>
      <w:bookmarkStart w:id="170" w:name="_Toc16938547"/>
      <w:r/>
      <w:bookmarkStart w:id="171" w:name="_Toc20823303"/>
      <w:r>
        <w:rPr>
          <w:rFonts w:ascii="Arial" w:hAnsi="Arial" w:cs="Arial"/>
          <w:color w:val="auto"/>
          <w:sz w:val="28"/>
          <w:szCs w:val="28"/>
          <w:highlight w:val="none"/>
        </w:rPr>
        <w:t xml:space="preserve">23、评标委员会</w:t>
      </w:r>
      <w:bookmarkEnd w:id="169"/>
      <w:r/>
      <w:bookmarkEnd w:id="170"/>
      <w:r/>
      <w:bookmarkEnd w:id="171"/>
      <w:r/>
      <w:r/>
    </w:p>
    <w:p>
      <w:pPr>
        <w:pStyle w:val="82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开标后，采购</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rPr>
        <w:t xml:space="preserve">将立即组织评标委员会（以下简称评委会）进行评标。</w:t>
      </w:r>
      <w:r/>
    </w:p>
    <w:p>
      <w:pPr>
        <w:pStyle w:val="82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23.2 评委会由采购人代表和有关技术、经济等方面的专家组成，且人员构成符合政府采购有关规定。</w:t>
      </w:r>
      <w:r/>
    </w:p>
    <w:p>
      <w:pPr>
        <w:pStyle w:val="82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23.3评委会独立工作，负责评审所有投标文件并确定中标侯选人。</w:t>
      </w:r>
      <w:r/>
    </w:p>
    <w:p>
      <w:pPr>
        <w:pStyle w:val="824"/>
        <w:ind w:firstLine="420"/>
        <w:jc w:val="both"/>
        <w:keepLines/>
        <w:keepNext/>
        <w:spacing w:beforeAutospacing="0" w:afterAutospacing="0"/>
        <w:rPr>
          <w:color w:val="auto"/>
          <w:highlight w:val="none"/>
        </w:rPr>
      </w:pPr>
      <w:r>
        <w:rPr>
          <w:rFonts w:hint="eastAsia" w:ascii="黑体" w:hAnsi="宋体" w:eastAsia="黑体" w:cs="黑体"/>
          <w:color w:val="auto"/>
          <w:sz w:val="28"/>
          <w:szCs w:val="28"/>
          <w:highlight w:val="none"/>
        </w:rPr>
        <w:t xml:space="preserve">24．评标过程的保密与公正</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24.1凡是与审查、澄清、评价和比较投标的有关资料以及授标建议等，采购人、评委、采购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均不得向投标人或与评标无关的其他人员透露。</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24.2在评标过程中，投标人不得以任何行为影响评标过程，否则其投标文件将被作为无效投标文件。</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24.3 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和评标委员会不向未中标的投标人解释未中标原因，也不公布评标过程中的相关细节。</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24.4 采用综合评分法的项目，未中标的投标人可于中标结果公告期限届满之日起通过苏采云系统查看自己的评审得分及排序情况。</w:t>
      </w:r>
      <w:r/>
    </w:p>
    <w:p>
      <w:pPr>
        <w:pStyle w:val="824"/>
        <w:ind w:firstLine="420"/>
        <w:jc w:val="both"/>
        <w:keepLines/>
        <w:keepNext/>
        <w:spacing w:beforeAutospacing="0" w:afterAutospacing="0"/>
        <w:rPr>
          <w:color w:val="auto"/>
          <w:highlight w:val="none"/>
        </w:rPr>
      </w:pPr>
      <w:r/>
      <w:bookmarkStart w:id="172" w:name="_Toc20823304"/>
      <w:r/>
      <w:bookmarkStart w:id="173" w:name="_Toc513029232"/>
      <w:r/>
      <w:bookmarkStart w:id="174" w:name="_Toc16938548"/>
      <w:r>
        <w:rPr>
          <w:rFonts w:ascii="Arial" w:hAnsi="Arial" w:cs="Arial"/>
          <w:color w:val="auto"/>
          <w:sz w:val="28"/>
          <w:szCs w:val="28"/>
          <w:highlight w:val="none"/>
        </w:rPr>
        <w:t xml:space="preserve">25．投标文件的澄清</w:t>
      </w:r>
      <w:bookmarkEnd w:id="172"/>
      <w:r/>
      <w:bookmarkEnd w:id="173"/>
      <w:r/>
      <w:bookmarkEnd w:id="174"/>
      <w:r/>
      <w:r/>
    </w:p>
    <w:p>
      <w:pPr>
        <w:pStyle w:val="824"/>
        <w:ind w:firstLine="480"/>
        <w:jc w:val="both"/>
        <w:spacing w:beforeAutospacing="0" w:afterAutospacing="0" w:line="0" w:lineRule="atLeast"/>
        <w:rPr>
          <w:color w:val="auto"/>
          <w:highlight w:val="none"/>
        </w:rPr>
      </w:pPr>
      <w:r/>
      <w:bookmarkStart w:id="175" w:name="_Toc16938549"/>
      <w:r/>
      <w:bookmarkStart w:id="176" w:name="_Toc513029233"/>
      <w:r/>
      <w:bookmarkStart w:id="177" w:name="_Toc20823305"/>
      <w:r>
        <w:rPr>
          <w:rFonts w:hint="eastAsia" w:ascii="宋体" w:hAnsi="宋体" w:eastAsia="宋体" w:cs="宋体"/>
          <w:color w:val="auto"/>
          <w:highlight w:val="none"/>
        </w:rPr>
        <w:t xml:space="preserve">25.1评标期间，评委会对投标文件中含义不明确、同类问题表述不一致或者有明显文字和计算错误的内容 ，有权要求投标人作出必要的澄清、说明或者补正。</w:t>
      </w:r>
      <w:bookmarkEnd w:id="175"/>
      <w:r/>
      <w:bookmarkEnd w:id="176"/>
      <w:r/>
      <w:bookmarkEnd w:id="177"/>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评标委员会并非对每个投标人都做澄清要求。</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25.3 接到评委会澄清、说明和补正要求的投标人如未按规定做出澄清、说明和补正，其风险由投标人自行承担。</w:t>
      </w:r>
      <w:r/>
    </w:p>
    <w:p>
      <w:pPr>
        <w:pStyle w:val="824"/>
        <w:ind w:firstLine="420"/>
        <w:jc w:val="both"/>
        <w:keepLines/>
        <w:keepNext/>
        <w:spacing w:beforeAutospacing="0" w:afterAutospacing="0"/>
        <w:rPr>
          <w:color w:val="auto"/>
          <w:highlight w:val="none"/>
        </w:rPr>
      </w:pPr>
      <w:r>
        <w:rPr>
          <w:rFonts w:ascii="Arial" w:hAnsi="Arial" w:cs="Arial"/>
          <w:color w:val="auto"/>
          <w:sz w:val="28"/>
          <w:szCs w:val="28"/>
          <w:highlight w:val="none"/>
        </w:rPr>
        <w:t xml:space="preserve">26、对投标文件的初审</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26.1投标文件初审分为资格审查和符合性审查。</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26.1.3 未通过资格审查或符合性审查的投标人，采购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将在苏采云系统中告知未通过资格审查或符合性审查的原因，评审结束后，采购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将不再告知未通过资格审查或符合性审查的原因。</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26.3如果投标文件实质上没有响应招标文件的要求，评委会将予以拒绝，投标人不得通过修改或撤销不合要求的偏离或保留而使其投标成为实质性响应的投标。</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26.4评委会将对确定为实质性响应的投标进行进一步审核，看其是否有计算上或累加上的算术错误，修正错误的原则如下：</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24"/>
        <w:ind w:firstLine="480"/>
        <w:jc w:val="both"/>
        <w:spacing w:beforeAutospacing="0" w:afterAutospacing="0" w:line="0" w:lineRule="atLeast"/>
        <w:rPr>
          <w:color w:val="auto"/>
          <w:highlight w:val="none"/>
        </w:rPr>
      </w:pPr>
      <w:r/>
      <w:bookmarkStart w:id="178" w:name="_Toc20823306"/>
      <w:r/>
      <w:bookmarkStart w:id="179" w:name="_Toc513029234"/>
      <w:r/>
      <w:bookmarkStart w:id="180" w:name="_Toc16938550"/>
      <w:r>
        <w:rPr>
          <w:rFonts w:hint="eastAsia" w:ascii="宋体" w:hAnsi="宋体" w:eastAsia="宋体" w:cs="宋体"/>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8"/>
      <w:r/>
      <w:bookmarkEnd w:id="179"/>
      <w:r/>
      <w:bookmarkEnd w:id="180"/>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4"/>
        <w:ind w:firstLine="4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824"/>
        <w:ind w:firstLine="4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26.7投标人在开、评标全过程中应保持通讯畅通，及时登录苏采云系统查阅、答复相关信息，并安排专人与采购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及评标委员会联系。</w:t>
      </w:r>
      <w:r/>
    </w:p>
    <w:p>
      <w:pPr>
        <w:pStyle w:val="824"/>
        <w:ind w:firstLine="420"/>
        <w:jc w:val="both"/>
        <w:keepLines/>
        <w:keepNext/>
        <w:spacing w:beforeAutospacing="0" w:afterAutospacing="0"/>
        <w:rPr>
          <w:color w:val="auto"/>
          <w:highlight w:val="none"/>
        </w:rPr>
      </w:pPr>
      <w:r>
        <w:rPr>
          <w:rFonts w:ascii="Arial" w:hAnsi="Arial" w:cs="Arial"/>
          <w:color w:val="auto"/>
          <w:sz w:val="28"/>
          <w:szCs w:val="28"/>
          <w:highlight w:val="none"/>
        </w:rPr>
        <w:t xml:space="preserve">27、无效投标条款和废标条款</w:t>
      </w:r>
      <w:r/>
    </w:p>
    <w:p>
      <w:pPr>
        <w:pStyle w:val="824"/>
        <w:ind w:left="479"/>
        <w:jc w:val="both"/>
        <w:spacing w:beforeAutospacing="0" w:afterAutospacing="0" w:line="0" w:lineRule="atLeast"/>
        <w:rPr>
          <w:color w:val="auto"/>
          <w:highlight w:val="none"/>
        </w:rPr>
      </w:pPr>
      <w:r/>
      <w:bookmarkStart w:id="181" w:name="_Toc513029235"/>
      <w:r/>
      <w:bookmarkStart w:id="182" w:name="_Toc20823307"/>
      <w:r/>
      <w:bookmarkStart w:id="183" w:name="_Toc16938551"/>
      <w:r>
        <w:rPr>
          <w:rFonts w:hint="eastAsia" w:ascii="宋体" w:hAnsi="宋体" w:eastAsia="宋体" w:cs="宋体"/>
          <w:color w:val="auto"/>
          <w:highlight w:val="none"/>
        </w:rPr>
        <w:t xml:space="preserve">27.1无效投标条款</w:t>
      </w:r>
      <w:bookmarkEnd w:id="181"/>
      <w:r/>
      <w:bookmarkEnd w:id="182"/>
      <w:r/>
      <w:bookmarkEnd w:id="183"/>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27.1.1 投标人在苏采云系统规定的时间内未成功解密电子投标文件的。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27.1.2 投标人未按照招标文件要求上传电子投标文件的。</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27.1.3同一投标人提交两个（含两个）以上不同的投标报价的。</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27.1.4投标人不具备招标文件中规定资格要求的。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27.1.5投标人的报价超过了采购预算或最高限价的。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27.1.6未通过符合性审查的。</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27.1.9  投标文件含有采购人不能接受的附加条件的。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27.1.12 投标文件未按照招标文件要求加盖CA电子公章的。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27.1.13其他法律、法规及本招标文件规定的属无效投标的情形。</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27.2废标条款</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27.2.1符合专业条件的供应商或者对招标文件作实质响应的供应商不足三家的。27.2.2出现影响采购公正的违法、违规行为的。</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27.2.3因重大变故，采购任务取消的。</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27.2.4评标委员会认定招标文件存在歧义、重大缺陷导致评审工作无法进行。</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27.2.5 因苏采云系统系统故障原因造成开标不成功的。</w:t>
      </w:r>
      <w:r/>
    </w:p>
    <w:p>
      <w:pPr>
        <w:pStyle w:val="824"/>
        <w:ind w:left="4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27.3.1如出现投标截止时间结束后参加投标的供应商或者在评标期间对招标文件做出实质响应的供应商不足三家情况，按政府采购相关规定执行。</w:t>
      </w:r>
      <w:r/>
    </w:p>
    <w:p>
      <w:pPr>
        <w:pStyle w:val="824"/>
        <w:ind w:firstLine="321"/>
        <w:jc w:val="both"/>
        <w:keepLines/>
        <w:keepNext/>
        <w:spacing w:before="145" w:beforeAutospacing="0" w:after="145" w:afterAutospacing="0" w:line="360" w:lineRule="auto"/>
        <w:rPr>
          <w:rFonts w:ascii="Times New Roman" w:hAnsi="Times New Roman" w:cs="Times New Roman"/>
          <w:b/>
          <w:color w:val="auto"/>
          <w:sz w:val="32"/>
          <w:szCs w:val="32"/>
          <w:highlight w:val="none"/>
        </w:rPr>
        <w:outlineLvl w:val="1"/>
      </w:pPr>
      <w:r/>
      <w:bookmarkStart w:id="184" w:name="_Toc10192"/>
      <w:r/>
      <w:bookmarkStart w:id="185" w:name="_Toc11217"/>
      <w:r/>
      <w:bookmarkStart w:id="186" w:name="_Toc120614219"/>
      <w:r/>
      <w:bookmarkStart w:id="187" w:name="_Toc3984"/>
      <w:r>
        <w:rPr>
          <w:rFonts w:ascii="Times New Roman" w:hAnsi="Times New Roman" w:cs="Times New Roman"/>
          <w:b/>
          <w:color w:val="auto"/>
          <w:sz w:val="32"/>
          <w:szCs w:val="32"/>
          <w:highlight w:val="none"/>
        </w:rPr>
        <w:t xml:space="preserve">六、定标</w:t>
      </w:r>
      <w:bookmarkEnd w:id="184"/>
      <w:r/>
      <w:bookmarkEnd w:id="185"/>
      <w:r/>
      <w:bookmarkEnd w:id="186"/>
      <w:r/>
      <w:bookmarkEnd w:id="187"/>
      <w:r/>
      <w:r/>
    </w:p>
    <w:p>
      <w:pPr>
        <w:pStyle w:val="824"/>
        <w:ind w:firstLine="600"/>
        <w:jc w:val="both"/>
        <w:keepLines/>
        <w:keepNext/>
        <w:spacing w:beforeAutospacing="0" w:afterAutospacing="0"/>
        <w:rPr>
          <w:color w:val="auto"/>
          <w:highlight w:val="none"/>
        </w:rPr>
      </w:pPr>
      <w:r/>
      <w:bookmarkStart w:id="188" w:name="_Toc20823310"/>
      <w:r/>
      <w:bookmarkStart w:id="189" w:name="_Toc16938554"/>
      <w:r/>
      <w:bookmarkStart w:id="190" w:name="_Toc513029238"/>
      <w:r>
        <w:rPr>
          <w:rFonts w:hint="eastAsia" w:ascii="黑体" w:hAnsi="宋体" w:eastAsia="黑体" w:cs="黑体"/>
          <w:color w:val="auto"/>
          <w:sz w:val="30"/>
          <w:szCs w:val="30"/>
          <w:highlight w:val="none"/>
        </w:rPr>
        <w:t xml:space="preserve">28、</w:t>
      </w:r>
      <w:bookmarkEnd w:id="188"/>
      <w:r>
        <w:rPr>
          <w:rFonts w:hint="eastAsia" w:ascii="黑体" w:hAnsi="宋体" w:eastAsia="黑体" w:cs="黑体"/>
          <w:color w:val="auto"/>
          <w:sz w:val="30"/>
          <w:szCs w:val="30"/>
          <w:highlight w:val="none"/>
        </w:rPr>
        <w:t xml:space="preserve">确定</w:t>
      </w:r>
      <w:bookmarkEnd w:id="189"/>
      <w:r/>
      <w:bookmarkEnd w:id="190"/>
      <w:r>
        <w:rPr>
          <w:rFonts w:hint="eastAsia" w:ascii="黑体" w:hAnsi="宋体" w:eastAsia="黑体" w:cs="黑体"/>
          <w:color w:val="auto"/>
          <w:sz w:val="30"/>
          <w:szCs w:val="30"/>
          <w:highlight w:val="none"/>
        </w:rPr>
        <w:t xml:space="preserve">中标单位</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28.1中标候选人的选取原则和数量见招标文件第五章规定。 </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28.2 采购人应根据评委会推荐的中标候选人确定中标人。</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28.3 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将在</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盐城市政府采购网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rPr>
        <w:t xml:space="preserve">发布中标公告，公告期限为1个工作日。</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28.4  若有充分证据证明，中标人出现下列情况之一的，一经查实，将被取消中标资格：</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28.4.1提供虚假材料谋取中标的。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28.4.2向采购人、采购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行贿或者提供其他不正当利益的。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28.4.3属于本文件规定的无效条件，但在评标过程中又未被评委会发现的。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28.4.4与采购人或者其他供应商恶意串通的。</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28.4.5采取不正当手段诋毁、排挤其他供应商的。</w:t>
      </w:r>
      <w:r/>
    </w:p>
    <w:p>
      <w:pPr>
        <w:pStyle w:val="824"/>
        <w:ind w:firstLine="480"/>
        <w:jc w:val="both"/>
        <w:spacing w:beforeAutospacing="0" w:afterAutospacing="0" w:line="0" w:lineRule="atLeast"/>
        <w:rPr>
          <w:color w:val="auto"/>
          <w:highlight w:val="none"/>
        </w:rPr>
      </w:pPr>
      <w:r/>
      <w:bookmarkStart w:id="191" w:name="_Toc200451960"/>
      <w:r>
        <w:rPr>
          <w:rFonts w:hint="eastAsia" w:ascii="宋体" w:hAnsi="宋体" w:eastAsia="宋体" w:cs="宋体"/>
          <w:color w:val="auto"/>
          <w:highlight w:val="none"/>
        </w:rPr>
        <w:t xml:space="preserve">28.5.</w:t>
      </w:r>
      <w:r>
        <w:rPr>
          <w:rFonts w:ascii="Times New Roman" w:hAnsi="Times New Roman"/>
          <w:color w:val="auto"/>
          <w:sz w:val="21"/>
          <w:szCs w:val="21"/>
          <w:highlight w:val="none"/>
        </w:rPr>
        <w:t xml:space="preserve"> </w:t>
      </w:r>
      <w:r>
        <w:rPr>
          <w:rFonts w:ascii="Times New Roman" w:hAnsi="Times New Roman"/>
          <w:color w:val="auto"/>
          <w:highlight w:val="none"/>
        </w:rPr>
        <w:t xml:space="preserve">有下列情形之一的，视为投标人串通投标，投标无效：</w:t>
      </w:r>
      <w:bookmarkEnd w:id="191"/>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28.5.1不同投标人的投标文件由同一单位或者个人编制；</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28.5.2不同投标人委托同一单位或者个人办理投标事宜；</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28.5.3 不同投标人的投标文件载明的项目管理成员或者联系人员为同一人；</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28.5.4不同投标人的投标文件异常一致或者投标报价呈规律性差异；</w:t>
      </w:r>
      <w:r/>
    </w:p>
    <w:p>
      <w:pPr>
        <w:pStyle w:val="824"/>
        <w:ind w:firstLine="600"/>
        <w:jc w:val="both"/>
        <w:keepLines/>
        <w:keepNext/>
        <w:spacing w:beforeAutospacing="0" w:afterAutospacing="0"/>
        <w:rPr>
          <w:color w:val="auto"/>
          <w:highlight w:val="none"/>
        </w:rPr>
      </w:pPr>
      <w:r>
        <w:rPr>
          <w:rFonts w:hint="eastAsia" w:ascii="黑体" w:hAnsi="宋体" w:eastAsia="黑体" w:cs="黑体"/>
          <w:color w:val="auto"/>
          <w:sz w:val="30"/>
          <w:szCs w:val="30"/>
          <w:highlight w:val="none"/>
        </w:rPr>
        <w:t xml:space="preserve">29、质疑处理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或采购人提出质疑。上述应知其权益受到损害之日，是指：</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29.2.1</w:t>
      </w:r>
      <w:r>
        <w:rPr>
          <w:rFonts w:ascii="Times New Roman" w:hAnsi="Times New Roman"/>
          <w:color w:val="auto"/>
          <w:highlight w:val="none"/>
        </w:rPr>
        <w:t xml:space="preserve">对可以质疑的采购文件提出质疑的，为收到采购文件之日或者采购文件公告期限届满之日；</w:t>
      </w:r>
      <w:r>
        <w:rPr>
          <w:rFonts w:ascii="Times New Roman" w:hAnsi="Times New Roman"/>
          <w:color w:val="auto"/>
          <w:highlight w:val="none"/>
        </w:rPr>
        <w:br/>
      </w:r>
      <w:r>
        <w:rPr>
          <w:rFonts w:ascii="Times New Roman" w:hAnsi="Times New Roman"/>
          <w:color w:val="auto"/>
          <w:highlight w:val="none"/>
        </w:rPr>
        <w:t xml:space="preserve">   </w:t>
      </w:r>
      <w:r>
        <w:rPr>
          <w:rFonts w:hint="eastAsia" w:ascii="宋体" w:hAnsi="宋体" w:eastAsia="宋体" w:cs="宋体"/>
          <w:color w:val="auto"/>
          <w:highlight w:val="none"/>
        </w:rPr>
        <w:t xml:space="preserve">29.2.2</w:t>
      </w:r>
      <w:r>
        <w:rPr>
          <w:rFonts w:ascii="Times New Roman" w:hAnsi="Times New Roman"/>
          <w:color w:val="auto"/>
          <w:highlight w:val="none"/>
        </w:rPr>
        <w:t xml:space="preserve">对采购过程提出质疑的，为各采购程序环节结束之日；</w:t>
      </w:r>
      <w:r>
        <w:rPr>
          <w:rFonts w:ascii="Times New Roman" w:hAnsi="Times New Roman"/>
          <w:color w:val="auto"/>
          <w:highlight w:val="none"/>
        </w:rPr>
        <w:br/>
      </w:r>
      <w:r>
        <w:rPr>
          <w:rFonts w:ascii="Times New Roman" w:hAnsi="Times New Roman"/>
          <w:color w:val="auto"/>
          <w:highlight w:val="none"/>
        </w:rPr>
        <w:t xml:space="preserve">   </w:t>
      </w:r>
      <w:r>
        <w:rPr>
          <w:rFonts w:hint="eastAsia" w:ascii="宋体" w:hAnsi="宋体" w:eastAsia="宋体" w:cs="宋体"/>
          <w:color w:val="auto"/>
          <w:highlight w:val="none"/>
        </w:rPr>
        <w:t xml:space="preserve">29.2.3</w:t>
      </w:r>
      <w:r>
        <w:rPr>
          <w:rFonts w:ascii="Times New Roman" w:hAnsi="Times New Roman"/>
          <w:color w:val="auto"/>
          <w:highlight w:val="none"/>
        </w:rPr>
        <w:t xml:space="preserve">对中标或者成交结果提出质疑的，为中标或者成交结果公告期限届满之日。</w:t>
      </w:r>
      <w:r/>
    </w:p>
    <w:p>
      <w:pPr>
        <w:pStyle w:val="824"/>
        <w:ind w:firstLine="480"/>
        <w:jc w:val="both"/>
        <w:spacing w:beforeAutospacing="0" w:afterAutospacing="0" w:line="0" w:lineRule="atLeast"/>
        <w:rPr>
          <w:color w:val="auto"/>
          <w:highlight w:val="none"/>
        </w:rPr>
      </w:pPr>
      <w:r>
        <w:rPr>
          <w:rFonts w:ascii="Times New Roman" w:hAnsi="Times New Roman"/>
          <w:color w:val="auto"/>
          <w:highlight w:val="none"/>
        </w:rPr>
        <w:t xml:space="preserve">供应商应当在法定质疑期内一次性提出针对同一采购程序环节的质疑。供应商如在法定期限内对同一采购程序环节提出多次质疑的，采购</w:t>
      </w:r>
      <w:r>
        <w:rPr>
          <w:rFonts w:hint="eastAsia" w:ascii="Times New Roman" w:hAnsi="Times New Roman"/>
          <w:color w:val="auto"/>
          <w:highlight w:val="none"/>
          <w:lang w:eastAsia="zh-CN"/>
        </w:rPr>
        <w:t xml:space="preserve">代理机构</w:t>
      </w:r>
      <w:r>
        <w:rPr>
          <w:rFonts w:ascii="Times New Roman" w:hAnsi="Times New Roman"/>
          <w:color w:val="auto"/>
          <w:highlight w:val="none"/>
        </w:rPr>
        <w:t xml:space="preserve">、采购人将只对供应商第一次质疑作出答复。</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24"/>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提出，由采购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负责答复。</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只接收以纸质原件形式送达的质疑,采购人和采购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不接受未填写快递运单的快件。</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29.5 以下情形的质疑不予受理</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29.5.2 超出政府采购法定期限的质疑。</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29.5.4 未参加投标活动的供应商或在投标活动中自身权益未受到损害的供应商所提出的质疑。</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29.5.5供应商组成联合体参加投标，联合体中任何一方或多方未按要求签字、盖章、加盖公章的质疑。</w:t>
      </w:r>
      <w:r/>
    </w:p>
    <w:p>
      <w:pPr>
        <w:pStyle w:val="824"/>
        <w:ind w:firstLine="46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供应商提出书面质疑必须有理、有据，不得捏造事实、提供虚假材料进行恶意质疑。否则，一经查实，采购</w:t>
      </w:r>
      <w:r>
        <w:rPr>
          <w:rFonts w:hint="eastAsia" w:ascii="宋体" w:hAnsi="宋体" w:eastAsia="宋体" w:cs="宋体"/>
          <w:color w:val="auto"/>
          <w:highlight w:val="none"/>
          <w:lang w:eastAsia="zh-CN"/>
        </w:rPr>
        <w:t xml:space="preserve">人及采购代理机构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824"/>
        <w:ind w:firstLine="600"/>
        <w:jc w:val="both"/>
        <w:keepLines/>
        <w:keepNext/>
        <w:spacing w:beforeAutospacing="0" w:afterAutospacing="0"/>
        <w:rPr>
          <w:color w:val="auto"/>
          <w:highlight w:val="none"/>
        </w:rPr>
      </w:pPr>
      <w:r>
        <w:rPr>
          <w:rFonts w:hint="eastAsia" w:ascii="黑体" w:hAnsi="宋体" w:eastAsia="黑体" w:cs="黑体"/>
          <w:color w:val="auto"/>
          <w:sz w:val="30"/>
          <w:szCs w:val="30"/>
          <w:highlight w:val="none"/>
        </w:rPr>
        <w:t xml:space="preserve">30、中标通知书</w:t>
      </w:r>
      <w:r/>
    </w:p>
    <w:p>
      <w:pPr>
        <w:pStyle w:val="824"/>
        <w:ind w:firstLine="6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30.l</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中标结果确定后，采购</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4"/>
        <w:ind w:firstLine="6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24"/>
        <w:ind w:firstLine="321"/>
        <w:jc w:val="both"/>
        <w:keepLines/>
        <w:keepNext/>
        <w:spacing w:before="145" w:beforeAutospacing="0" w:after="145" w:afterAutospacing="0" w:line="360" w:lineRule="auto"/>
        <w:rPr>
          <w:rFonts w:ascii="Times New Roman" w:hAnsi="Times New Roman" w:cs="Times New Roman"/>
          <w:b/>
          <w:color w:val="auto"/>
          <w:sz w:val="32"/>
          <w:szCs w:val="32"/>
          <w:highlight w:val="none"/>
        </w:rPr>
        <w:outlineLvl w:val="1"/>
      </w:pPr>
      <w:r/>
      <w:bookmarkStart w:id="192" w:name="_Toc120614220"/>
      <w:r/>
      <w:bookmarkStart w:id="193" w:name="_Toc954"/>
      <w:r/>
      <w:bookmarkStart w:id="194" w:name="_Toc513029236"/>
      <w:r/>
      <w:bookmarkStart w:id="195" w:name="_Toc29344"/>
      <w:r/>
      <w:bookmarkStart w:id="196" w:name="_Toc16938552"/>
      <w:r/>
      <w:bookmarkStart w:id="197" w:name="_Toc20823308"/>
      <w:r/>
      <w:bookmarkStart w:id="198" w:name="_Toc22493"/>
      <w:r>
        <w:rPr>
          <w:rFonts w:ascii="Times New Roman" w:hAnsi="Times New Roman" w:cs="Times New Roman"/>
          <w:b/>
          <w:color w:val="auto"/>
          <w:sz w:val="32"/>
          <w:szCs w:val="32"/>
          <w:highlight w:val="none"/>
        </w:rPr>
        <w:t xml:space="preserve">七、授予合同</w:t>
      </w:r>
      <w:bookmarkEnd w:id="192"/>
      <w:r/>
      <w:bookmarkEnd w:id="193"/>
      <w:r/>
      <w:bookmarkEnd w:id="194"/>
      <w:r/>
      <w:bookmarkEnd w:id="195"/>
      <w:r/>
      <w:bookmarkEnd w:id="196"/>
      <w:r/>
      <w:bookmarkEnd w:id="197"/>
      <w:r/>
      <w:bookmarkEnd w:id="198"/>
      <w:r/>
      <w:r/>
    </w:p>
    <w:p>
      <w:pPr>
        <w:pStyle w:val="824"/>
        <w:ind w:firstLine="600"/>
        <w:jc w:val="both"/>
        <w:keepLines/>
        <w:keepNext/>
        <w:spacing w:beforeAutospacing="0" w:afterAutospacing="0"/>
        <w:rPr>
          <w:color w:val="auto"/>
          <w:highlight w:val="none"/>
        </w:rPr>
      </w:pPr>
      <w:r/>
      <w:bookmarkStart w:id="199" w:name="_Toc20823309"/>
      <w:r/>
      <w:bookmarkStart w:id="200" w:name="_Toc513029237"/>
      <w:r/>
      <w:bookmarkStart w:id="201" w:name="_Toc16938553"/>
      <w:r>
        <w:rPr>
          <w:rFonts w:hint="eastAsia" w:ascii="黑体" w:hAnsi="宋体" w:eastAsia="黑体" w:cs="黑体"/>
          <w:color w:val="auto"/>
          <w:sz w:val="30"/>
          <w:szCs w:val="30"/>
          <w:highlight w:val="none"/>
        </w:rPr>
        <w:t xml:space="preserve">31. 签订合同</w:t>
      </w:r>
      <w:bookmarkEnd w:id="199"/>
      <w:r/>
      <w:bookmarkEnd w:id="200"/>
      <w:r/>
      <w:bookmarkEnd w:id="201"/>
      <w:r/>
      <w:r/>
    </w:p>
    <w:p>
      <w:pPr>
        <w:pStyle w:val="824"/>
        <w:ind w:firstLine="6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31.l中标人应当在中标通知书发出之日起三十日内，按照招标文件确定的事项与采购人签订政府采购合同。</w:t>
      </w:r>
      <w:r/>
    </w:p>
    <w:p>
      <w:pPr>
        <w:pStyle w:val="824"/>
        <w:ind w:firstLine="6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31.2</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招标文件、中标人的投标文件及招标过程中有关澄清、承诺文件均应作为合同附件。</w:t>
      </w:r>
      <w:r/>
    </w:p>
    <w:p>
      <w:pPr>
        <w:pStyle w:val="824"/>
        <w:ind w:firstLine="6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24"/>
        <w:ind w:firstLine="600"/>
        <w:jc w:val="both"/>
        <w:keepLines/>
        <w:keepNext/>
        <w:spacing w:beforeAutospacing="0" w:afterAutospacing="0"/>
        <w:rPr>
          <w:color w:val="auto"/>
          <w:highlight w:val="none"/>
        </w:rPr>
      </w:pPr>
      <w:r>
        <w:rPr>
          <w:rFonts w:hint="eastAsia" w:ascii="黑体" w:hAnsi="宋体" w:eastAsia="黑体" w:cs="黑体"/>
          <w:color w:val="auto"/>
          <w:sz w:val="30"/>
          <w:szCs w:val="30"/>
          <w:highlight w:val="none"/>
        </w:rPr>
        <w:t xml:space="preserve">32、货物（包含与货物相关的服务）的追加</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24"/>
        <w:ind w:firstLine="600"/>
        <w:jc w:val="both"/>
        <w:keepLines/>
        <w:keepNext/>
        <w:spacing w:beforeAutospacing="0" w:afterAutospacing="0"/>
        <w:rPr>
          <w:color w:val="auto"/>
          <w:highlight w:val="none"/>
        </w:rPr>
      </w:pPr>
      <w:r/>
      <w:bookmarkStart w:id="202" w:name="_Toc120614221"/>
      <w:r/>
      <w:bookmarkStart w:id="203" w:name="_Toc479757207"/>
      <w:r/>
      <w:bookmarkStart w:id="204" w:name="_Toc20823314"/>
      <w:r/>
      <w:bookmarkStart w:id="205" w:name="_Toc513029242"/>
      <w:r/>
      <w:bookmarkStart w:id="206" w:name="_Toc16938558"/>
      <w:r>
        <w:rPr>
          <w:rFonts w:hint="eastAsia" w:ascii="黑体" w:hAnsi="宋体" w:eastAsia="黑体" w:cs="黑体"/>
          <w:color w:val="auto"/>
          <w:sz w:val="30"/>
          <w:szCs w:val="30"/>
          <w:highlight w:val="none"/>
        </w:rPr>
        <w:t xml:space="preserve">33、政府采购履约资金扶持政策</w:t>
      </w:r>
      <w:bookmarkEnd w:id="202"/>
      <w:r/>
      <w:bookmarkEnd w:id="203"/>
      <w:r/>
      <w:bookmarkEnd w:id="204"/>
      <w:r/>
      <w:bookmarkEnd w:id="205"/>
      <w:r/>
      <w:bookmarkEnd w:id="206"/>
      <w:r/>
      <w:r/>
    </w:p>
    <w:p>
      <w:pPr>
        <w:pStyle w:val="824"/>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24"/>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24"/>
        <w:ind w:firstLine="1760"/>
        <w:jc w:val="center"/>
        <w:keepNext/>
        <w:spacing w:beforeAutospacing="0" w:afterAutospacing="0"/>
        <w:rPr>
          <w:color w:val="auto"/>
          <w:highlight w:val="none"/>
        </w:rPr>
        <w:outlineLvl w:val="0"/>
      </w:pPr>
      <w:r/>
      <w:bookmarkStart w:id="207" w:name="_Toc2232"/>
      <w:r>
        <w:rPr>
          <w:rFonts w:hint="eastAsia" w:ascii="黑体" w:hAnsi="宋体" w:eastAsia="黑体" w:cs="黑体"/>
          <w:color w:val="auto"/>
          <w:sz w:val="44"/>
          <w:szCs w:val="44"/>
          <w:highlight w:val="none"/>
        </w:rPr>
        <w:t xml:space="preserve">第三章  合同文本</w:t>
      </w:r>
      <w:bookmarkEnd w:id="207"/>
      <w:r/>
      <w:r/>
    </w:p>
    <w:p>
      <w:pPr>
        <w:pStyle w:val="824"/>
        <w:ind w:firstLine="480"/>
        <w:jc w:val="both"/>
        <w:spacing w:beforeAutospacing="0" w:afterAutospacing="0" w:line="0" w:lineRule="atLeast"/>
        <w:rPr>
          <w:color w:val="auto"/>
          <w:highlight w:val="none"/>
        </w:rPr>
      </w:pPr>
      <w:r/>
      <w:bookmarkStart w:id="208" w:name="_Toc16938559"/>
      <w:r/>
      <w:bookmarkStart w:id="209" w:name="_Toc20823315"/>
      <w:r/>
      <w:bookmarkStart w:id="210" w:name="_Toc513029243"/>
      <w:r>
        <w:rPr>
          <w:rFonts w:hint="eastAsia" w:ascii="宋体" w:hAnsi="宋体" w:eastAsia="宋体" w:cs="宋体"/>
          <w:color w:val="auto"/>
          <w:highlight w:val="none"/>
        </w:rPr>
        <w:t xml:space="preserve">以下为中标后签定本项目合同的通用条款，中标人不得提出实质性的修改。</w:t>
      </w:r>
      <w:bookmarkEnd w:id="208"/>
      <w:r/>
      <w:bookmarkEnd w:id="209"/>
      <w:r/>
      <w:bookmarkEnd w:id="210"/>
      <w:r/>
      <w:r/>
    </w:p>
    <w:p>
      <w:pPr>
        <w:pStyle w:val="824"/>
        <w:jc w:val="center"/>
        <w:spacing w:before="145" w:beforeAutospacing="0" w:after="145" w:afterAutospacing="0"/>
        <w:rPr>
          <w:rFonts w:hint="eastAsia" w:ascii="宋体" w:hAnsi="宋体" w:eastAsia="宋体" w:cs="宋体"/>
          <w:b/>
          <w:color w:val="auto"/>
          <w:sz w:val="30"/>
          <w:szCs w:val="30"/>
          <w:highlight w:val="none"/>
        </w:rPr>
        <w:outlineLvl w:val="1"/>
      </w:pPr>
      <w:r/>
      <w:bookmarkStart w:id="211" w:name="_Toc23059"/>
      <w:r/>
      <w:bookmarkStart w:id="212" w:name="_Toc16277"/>
      <w:r/>
      <w:bookmarkStart w:id="213" w:name="_Toc23753"/>
      <w:r>
        <w:rPr>
          <w:rFonts w:hint="eastAsia" w:ascii="宋体" w:hAnsi="宋体" w:eastAsia="宋体" w:cs="宋体"/>
          <w:b/>
          <w:color w:val="auto"/>
          <w:sz w:val="30"/>
          <w:szCs w:val="30"/>
          <w:highlight w:val="none"/>
        </w:rPr>
        <w:t xml:space="preserve">盐城市政府采购合同（货物）</w:t>
      </w:r>
      <w:bookmarkEnd w:id="211"/>
      <w:r/>
      <w:bookmarkEnd w:id="212"/>
      <w:r/>
      <w:bookmarkEnd w:id="213"/>
      <w:r/>
      <w:r/>
    </w:p>
    <w:p>
      <w:pPr>
        <w:pStyle w:val="824"/>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（合同编号</w:t>
      </w:r>
      <w:r>
        <w:rPr>
          <w:rFonts w:hint="eastAsia" w:ascii="宋体" w:hAnsi="宋体" w:eastAsia="宋体" w:cs="宋体"/>
          <w:b/>
          <w:color w:val="auto"/>
          <w:sz w:val="30"/>
          <w:szCs w:val="30"/>
          <w:highlight w:val="none"/>
          <w:lang w:eastAsia="zh-CN"/>
        </w:rPr>
        <w:t xml:space="preserve">：JSZC-320903-JSRJ-G2024-0024</w:t>
      </w:r>
      <w:r>
        <w:rPr>
          <w:rFonts w:hint="eastAsia" w:ascii="宋体" w:hAnsi="宋体" w:eastAsia="宋体" w:cs="宋体"/>
          <w:b/>
          <w:color w:val="auto"/>
          <w:sz w:val="30"/>
          <w:szCs w:val="30"/>
          <w:highlight w:val="none"/>
        </w:rPr>
        <w:t xml:space="preserve">）</w:t>
      </w:r>
      <w:r/>
    </w:p>
    <w:p>
      <w:pPr>
        <w:pStyle w:val="824"/>
        <w:jc w:val="both"/>
        <w:spacing w:before="120" w:beforeAutospacing="0" w:after="120" w:afterAutospacing="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u w:val="single"/>
          <w:lang w:eastAsia="zh-CN"/>
        </w:rPr>
        <w:t xml:space="preserve">盐城市盐都区第二人民医院电子胃肠镜及相关伴随服务采购项目</w:t>
      </w:r>
      <w:r/>
    </w:p>
    <w:p>
      <w:pPr>
        <w:pStyle w:val="824"/>
        <w:jc w:val="both"/>
        <w:spacing w:before="120" w:beforeAutospacing="0" w:after="120" w:afterAutospacing="0"/>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lang w:val="en-US" w:eastAsia="zh-CN"/>
        </w:rPr>
        <w:t xml:space="preserve">                          </w:t>
      </w:r>
      <w:r/>
    </w:p>
    <w:p>
      <w:pPr>
        <w:pStyle w:val="824"/>
        <w:jc w:val="both"/>
        <w:spacing w:before="120" w:beforeAutospacing="0" w:after="120" w:afterAutospacing="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甲    方：</w:t>
      </w:r>
      <w:r>
        <w:rPr>
          <w:rFonts w:hint="eastAsia" w:ascii="宋体" w:hAnsi="宋体" w:eastAsia="宋体" w:cs="宋体"/>
          <w:color w:val="auto"/>
          <w:highlight w:val="none"/>
          <w:u w:val="single"/>
          <w:lang w:eastAsia="zh-CN"/>
        </w:rPr>
        <w:t xml:space="preserve">盐城市盐都区第二人民医院</w:t>
      </w:r>
      <w:r/>
    </w:p>
    <w:p>
      <w:pPr>
        <w:pStyle w:val="824"/>
        <w:jc w:val="both"/>
        <w:spacing w:before="120" w:beforeAutospacing="0" w:after="12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乙    方：</w:t>
      </w:r>
      <w:r>
        <w:rPr>
          <w:rFonts w:hint="eastAsia" w:ascii="宋体" w:hAnsi="宋体" w:eastAsia="宋体" w:cs="宋体"/>
          <w:color w:val="auto"/>
          <w:highlight w:val="none"/>
          <w:u w:val="single"/>
        </w:rPr>
        <w:t xml:space="preserve">                     </w:t>
      </w:r>
      <w:r/>
    </w:p>
    <w:p>
      <w:pPr>
        <w:pStyle w:val="824"/>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依据《中华人民共和国民法典</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甲、乙双方根据 </w:t>
      </w:r>
      <w:r>
        <w:rPr>
          <w:rFonts w:hint="eastAsia" w:ascii="宋体" w:hAnsi="宋体" w:eastAsia="宋体" w:cs="宋体"/>
          <w:color w:val="auto"/>
          <w:highlight w:val="none"/>
          <w:lang w:eastAsia="zh-CN"/>
        </w:rPr>
        <w:t xml:space="preserve">盐城市盐都区第二人民医院电子胃肠镜及相关伴随服务采购项目</w:t>
      </w:r>
      <w:r>
        <w:rPr>
          <w:rFonts w:hint="eastAsia" w:ascii="宋体" w:hAnsi="宋体" w:eastAsia="宋体" w:cs="宋体"/>
          <w:color w:val="auto"/>
          <w:highlight w:val="none"/>
        </w:rPr>
        <w:t xml:space="preserve"> 项目公开招标的结果，签署本合同。</w:t>
      </w:r>
      <w:r/>
    </w:p>
    <w:p>
      <w:pPr>
        <w:pStyle w:val="824"/>
        <w:jc w:val="both"/>
        <w:spacing w:before="120" w:beforeAutospacing="0" w:after="120" w:afterAutospacing="0"/>
        <w:rPr>
          <w:color w:val="auto"/>
          <w:highlight w:val="none"/>
        </w:rPr>
        <w:outlineLvl w:val="1"/>
      </w:pPr>
      <w:r/>
      <w:bookmarkStart w:id="214" w:name="_Toc7222"/>
      <w:r/>
      <w:bookmarkStart w:id="215" w:name="_Toc30835"/>
      <w:r/>
      <w:bookmarkStart w:id="216" w:name="_Toc24823"/>
      <w:r>
        <w:rPr>
          <w:rFonts w:hint="eastAsia" w:ascii="宋体" w:hAnsi="宋体" w:eastAsia="宋体" w:cs="宋体"/>
          <w:b/>
          <w:color w:val="auto"/>
          <w:highlight w:val="none"/>
        </w:rPr>
        <w:t xml:space="preserve">一、合同内容</w:t>
      </w:r>
      <w:bookmarkEnd w:id="214"/>
      <w:r/>
      <w:bookmarkEnd w:id="215"/>
      <w:r/>
      <w:bookmarkEnd w:id="216"/>
      <w:r/>
      <w:r/>
    </w:p>
    <w:p>
      <w:pPr>
        <w:pStyle w:val="824"/>
        <w:jc w:val="both"/>
        <w:spacing w:before="120" w:beforeAutospacing="0" w:after="120" w:afterAutospacing="0"/>
        <w:rPr>
          <w:color w:val="auto"/>
          <w:highlight w:val="none"/>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盐城市盐都区第二人民医院</w:t>
      </w:r>
      <w:r>
        <w:rPr>
          <w:rFonts w:hint="eastAsia" w:ascii="宋体" w:hAnsi="宋体" w:eastAsia="宋体" w:cs="宋体"/>
          <w:color w:val="auto"/>
          <w:highlight w:val="none"/>
        </w:rPr>
        <w:t xml:space="preserve">DR供货及相关伴随服务</w:t>
      </w:r>
      <w:r/>
    </w:p>
    <w:p>
      <w:pPr>
        <w:pStyle w:val="824"/>
        <w:jc w:val="both"/>
        <w:spacing w:before="120" w:beforeAutospacing="0" w:after="12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1.2 标的质量：</w:t>
      </w:r>
      <w:r>
        <w:rPr>
          <w:rFonts w:hint="eastAsia" w:ascii="宋体" w:hAnsi="宋体" w:eastAsia="宋体" w:cs="宋体"/>
          <w:color w:val="auto"/>
          <w:highlight w:val="none"/>
          <w:lang w:val="en-US" w:eastAsia="zh-CN"/>
        </w:rPr>
        <w:t xml:space="preserve">合格</w:t>
      </w:r>
      <w:r/>
    </w:p>
    <w:p>
      <w:pPr>
        <w:pStyle w:val="824"/>
        <w:jc w:val="both"/>
        <w:spacing w:before="120" w:beforeAutospacing="0" w:after="12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1.3 标的数量（规模）：</w:t>
      </w:r>
      <w:r>
        <w:rPr>
          <w:rFonts w:hint="eastAsia" w:ascii="宋体" w:hAnsi="宋体" w:eastAsia="宋体" w:cs="宋体"/>
          <w:color w:val="auto"/>
          <w:highlight w:val="none"/>
          <w:lang w:val="en-US" w:eastAsia="zh-CN"/>
        </w:rPr>
        <w:t xml:space="preserve">1</w:t>
      </w:r>
      <w:r/>
    </w:p>
    <w:p>
      <w:pPr>
        <w:pStyle w:val="824"/>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1.4 履行时间（期限）：</w:t>
      </w:r>
      <w:r>
        <w:rPr>
          <w:rFonts w:hint="eastAsia" w:ascii="宋体" w:hAnsi="宋体" w:eastAsia="宋体" w:cs="宋体"/>
          <w:color w:val="auto"/>
          <w:highlight w:val="none"/>
          <w:lang w:val="en-US" w:eastAsia="zh-CN"/>
        </w:rPr>
        <w:t xml:space="preserve">合同签订后30日内</w:t>
      </w:r>
      <w:r/>
    </w:p>
    <w:p>
      <w:pPr>
        <w:pStyle w:val="824"/>
        <w:jc w:val="both"/>
        <w:spacing w:before="120" w:beforeAutospacing="0" w:after="12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1.5 履行地点：</w:t>
      </w:r>
      <w:r>
        <w:rPr>
          <w:rFonts w:hint="eastAsia" w:ascii="宋体" w:hAnsi="宋体" w:eastAsia="宋体" w:cs="宋体"/>
          <w:color w:val="auto"/>
          <w:highlight w:val="none"/>
          <w:lang w:eastAsia="zh-CN"/>
        </w:rPr>
        <w:t xml:space="preserve">盐城市盐都区第二人民医院</w:t>
      </w:r>
      <w:r/>
    </w:p>
    <w:p>
      <w:pPr>
        <w:pStyle w:val="824"/>
        <w:jc w:val="both"/>
        <w:spacing w:before="120" w:beforeAutospacing="0" w:after="120" w:afterAutospacing="0"/>
        <w:rPr>
          <w:color w:val="auto"/>
          <w:highlight w:val="none"/>
        </w:rPr>
      </w:pPr>
      <w:r>
        <w:rPr>
          <w:rFonts w:hint="eastAsia" w:ascii="宋体" w:hAnsi="宋体" w:eastAsia="宋体" w:cs="宋体"/>
          <w:color w:val="auto"/>
          <w:highlight w:val="none"/>
          <w:lang w:val="en-US" w:eastAsia="zh-CN"/>
        </w:rPr>
        <w:t xml:space="preserve">1.6质保期限：不低于24个</w:t>
      </w:r>
      <w:r>
        <w:rPr>
          <w:rFonts w:hint="eastAsia" w:ascii="宋体" w:hAnsi="宋体" w:cs="Calibri"/>
          <w:color w:val="auto"/>
          <w:sz w:val="24"/>
          <w:highlight w:val="none"/>
          <w:lang w:val="en-US" w:eastAsia="zh-CN"/>
        </w:rPr>
        <w:t xml:space="preserve">月</w:t>
      </w:r>
      <w:r/>
    </w:p>
    <w:p>
      <w:pPr>
        <w:pStyle w:val="824"/>
        <w:jc w:val="both"/>
        <w:spacing w:before="120" w:beforeAutospacing="0" w:after="120" w:afterAutospacing="0"/>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履行</w:t>
      </w:r>
      <w:r>
        <w:rPr>
          <w:rFonts w:hint="eastAsia" w:ascii="宋体" w:hAnsi="宋体" w:eastAsia="宋体" w:cs="宋体"/>
          <w:color w:val="auto"/>
          <w:highlight w:val="none"/>
          <w:lang w:val="en-US" w:eastAsia="zh-CN"/>
        </w:rPr>
        <w:t xml:space="preserve">方式：乙方送货上门并完成安装调试；</w:t>
      </w:r>
      <w:r/>
    </w:p>
    <w:p>
      <w:pPr>
        <w:pStyle w:val="824"/>
        <w:jc w:val="both"/>
        <w:spacing w:before="120" w:beforeAutospacing="0" w:after="120" w:afterAutospacing="0"/>
        <w:rPr>
          <w:color w:val="auto"/>
          <w:highlight w:val="none"/>
        </w:rPr>
        <w:outlineLvl w:val="1"/>
      </w:pPr>
      <w:r/>
      <w:bookmarkStart w:id="217" w:name="_Toc27499"/>
      <w:r/>
      <w:bookmarkStart w:id="218" w:name="_Toc18682"/>
      <w:r/>
      <w:bookmarkStart w:id="219" w:name="_Toc19064"/>
      <w:r>
        <w:rPr>
          <w:rFonts w:hint="eastAsia" w:ascii="宋体" w:hAnsi="宋体" w:eastAsia="宋体" w:cs="宋体"/>
          <w:b/>
          <w:color w:val="auto"/>
          <w:highlight w:val="none"/>
        </w:rPr>
        <w:t xml:space="preserve">二、合同金额</w:t>
      </w:r>
      <w:bookmarkEnd w:id="217"/>
      <w:r/>
      <w:bookmarkEnd w:id="218"/>
      <w:r/>
      <w:bookmarkEnd w:id="219"/>
      <w:r/>
      <w:r/>
    </w:p>
    <w:p>
      <w:pPr>
        <w:pStyle w:val="824"/>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2.1 本合同金额为（大写）：_______圆（___元）人民币或其他币种。</w:t>
      </w:r>
      <w:r/>
    </w:p>
    <w:p>
      <w:pPr>
        <w:pStyle w:val="824"/>
        <w:jc w:val="both"/>
        <w:spacing w:before="120" w:beforeAutospacing="0" w:after="120" w:afterAutospacing="0"/>
        <w:rPr>
          <w:color w:val="auto"/>
          <w:highlight w:val="none"/>
        </w:rPr>
        <w:outlineLvl w:val="1"/>
      </w:pPr>
      <w:r/>
      <w:bookmarkStart w:id="220" w:name="_Toc4672"/>
      <w:r/>
      <w:bookmarkStart w:id="221" w:name="_Toc22959"/>
      <w:r/>
      <w:bookmarkStart w:id="222" w:name="_Toc27501"/>
      <w:r>
        <w:rPr>
          <w:rFonts w:hint="eastAsia" w:ascii="宋体" w:hAnsi="宋体" w:eastAsia="宋体" w:cs="宋体"/>
          <w:b/>
          <w:color w:val="auto"/>
          <w:highlight w:val="none"/>
        </w:rPr>
        <w:t xml:space="preserve">三、技术资料</w:t>
      </w:r>
      <w:bookmarkEnd w:id="220"/>
      <w:r/>
      <w:bookmarkEnd w:id="221"/>
      <w:r/>
      <w:bookmarkEnd w:id="222"/>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3.1乙方应按招标文件规定的时间向甲方提供使用货物(包含与货物相关的服务)的有关技术资料。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4"/>
        <w:ind w:left="412" w:hanging="412"/>
        <w:jc w:val="both"/>
        <w:spacing w:before="120" w:beforeAutospacing="0" w:after="120" w:afterAutospacing="0"/>
        <w:rPr>
          <w:color w:val="auto"/>
          <w:highlight w:val="none"/>
        </w:rPr>
        <w:outlineLvl w:val="1"/>
      </w:pPr>
      <w:r/>
      <w:bookmarkStart w:id="223" w:name="_Toc22293"/>
      <w:r/>
      <w:bookmarkStart w:id="224" w:name="_Toc27336"/>
      <w:r/>
      <w:bookmarkStart w:id="225" w:name="_Toc21937"/>
      <w:r>
        <w:rPr>
          <w:rFonts w:hint="eastAsia" w:ascii="宋体" w:hAnsi="宋体" w:eastAsia="宋体" w:cs="宋体"/>
          <w:b/>
          <w:color w:val="auto"/>
          <w:highlight w:val="none"/>
        </w:rPr>
        <w:t xml:space="preserve">四、知识产权</w:t>
      </w:r>
      <w:bookmarkEnd w:id="223"/>
      <w:r/>
      <w:bookmarkEnd w:id="224"/>
      <w:r/>
      <w:bookmarkEnd w:id="225"/>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824"/>
        <w:jc w:val="both"/>
        <w:spacing w:before="120" w:beforeAutospacing="0" w:after="120" w:afterAutospacing="0"/>
        <w:rPr>
          <w:color w:val="auto"/>
          <w:highlight w:val="none"/>
        </w:rPr>
        <w:outlineLvl w:val="1"/>
      </w:pPr>
      <w:r/>
      <w:bookmarkStart w:id="226" w:name="_Toc11711"/>
      <w:r/>
      <w:bookmarkStart w:id="227" w:name="_Toc1029"/>
      <w:r/>
      <w:bookmarkStart w:id="228" w:name="_Toc5426"/>
      <w:r>
        <w:rPr>
          <w:rFonts w:hint="eastAsia" w:ascii="宋体" w:hAnsi="宋体" w:eastAsia="宋体" w:cs="宋体"/>
          <w:b/>
          <w:color w:val="auto"/>
          <w:highlight w:val="none"/>
        </w:rPr>
        <w:t xml:space="preserve">五、产权担保</w:t>
      </w:r>
      <w:bookmarkEnd w:id="226"/>
      <w:r/>
      <w:bookmarkEnd w:id="227"/>
      <w:r/>
      <w:bookmarkEnd w:id="228"/>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乙方保证所交付的货物（包含与货物相关的服务）的所有权完全属于乙方且无任何抵押、查封等产权瑕疵。</w:t>
      </w:r>
      <w:r/>
    </w:p>
    <w:p>
      <w:pPr>
        <w:pStyle w:val="824"/>
        <w:ind w:left="410" w:hanging="410"/>
        <w:jc w:val="both"/>
        <w:spacing w:before="120" w:beforeAutospacing="0" w:after="120" w:afterAutospacing="0"/>
        <w:rPr>
          <w:color w:val="auto"/>
          <w:highlight w:val="none"/>
        </w:rPr>
        <w:outlineLvl w:val="1"/>
      </w:pPr>
      <w:r/>
      <w:bookmarkStart w:id="229" w:name="_Toc28415"/>
      <w:r/>
      <w:bookmarkStart w:id="230" w:name="_Toc1742"/>
      <w:r/>
      <w:bookmarkStart w:id="231" w:name="_Toc19396"/>
      <w:r>
        <w:rPr>
          <w:rFonts w:hint="eastAsia" w:ascii="宋体" w:hAnsi="宋体" w:eastAsia="宋体" w:cs="宋体"/>
          <w:b/>
          <w:color w:val="auto"/>
          <w:highlight w:val="none"/>
        </w:rPr>
        <w:t xml:space="preserve">六、履约保证金</w:t>
      </w:r>
      <w:bookmarkEnd w:id="229"/>
      <w:r/>
      <w:bookmarkEnd w:id="230"/>
      <w:r/>
      <w:bookmarkEnd w:id="231"/>
      <w:r/>
      <w:r/>
    </w:p>
    <w:p>
      <w:pPr>
        <w:pStyle w:val="824"/>
        <w:ind w:left="408" w:hanging="408"/>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6.1 乙方交纳人民币_________元作为本合同的履约保证金。</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采购人对AA评级及以上政府采购供应商（需提供信用管理部门备案的第三方信用报告）免收履约保证金或降低履约保证金缴纳比例。</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6.2.1</w:t>
      </w:r>
      <w:r>
        <w:rPr>
          <w:rFonts w:hint="eastAsia" w:ascii="宋体" w:hAnsi="宋体" w:eastAsia="宋体" w:cs="宋体"/>
          <w:color w:val="auto"/>
          <w:sz w:val="24"/>
          <w:highlight w:val="none"/>
        </w:rPr>
        <w:t xml:space="preserve">供应商应当以支票、汇票、本票或者金融机构、担保机构出具的保函等非现金形式提交</w:t>
      </w:r>
      <w:r>
        <w:rPr>
          <w:rFonts w:hint="eastAsia" w:ascii="宋体" w:hAnsi="宋体" w:eastAsia="宋体" w:cs="宋体"/>
          <w:color w:val="auto"/>
          <w:sz w:val="24"/>
          <w:highlight w:val="none"/>
          <w:lang w:eastAsia="zh-CN"/>
        </w:rPr>
        <w:t xml:space="preserve">履约保证金</w:t>
      </w:r>
      <w:r>
        <w:rPr>
          <w:rFonts w:hint="eastAsia" w:ascii="宋体" w:hAnsi="宋体" w:eastAsia="宋体" w:cs="宋体"/>
          <w:color w:val="auto"/>
          <w:sz w:val="24"/>
          <w:highlight w:val="none"/>
        </w:rPr>
        <w:t xml:space="preserve">。依据《关于在全省政府采购领域推行电子履约保函（保险）的通知》，鼓励供应商自愿使用</w:t>
      </w:r>
      <w:r>
        <w:rPr>
          <w:rFonts w:hint="eastAsia" w:ascii="宋体" w:hAnsi="宋体" w:eastAsia="宋体" w:cs="宋体"/>
          <w:color w:val="auto"/>
          <w:sz w:val="24"/>
          <w:highlight w:val="none"/>
          <w:lang w:eastAsia="zh-CN"/>
        </w:rPr>
        <w:t xml:space="preserve">电子</w:t>
      </w:r>
      <w:r>
        <w:rPr>
          <w:rFonts w:hint="eastAsia" w:ascii="宋体" w:hAnsi="宋体" w:eastAsia="宋体" w:cs="宋体"/>
          <w:color w:val="auto"/>
          <w:sz w:val="24"/>
          <w:highlight w:val="none"/>
        </w:rPr>
        <w:t xml:space="preserve">履约保函（保险）代替缴纳履约保证金</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 如以履约保函（保险）形式缴纳履约保证金，供应商可通过政府采购电子履约保函（保险）平台（www.jsdzbh.com）在线申请履约保函（保险）。</w:t>
      </w:r>
      <w:r/>
    </w:p>
    <w:p>
      <w:pPr>
        <w:pStyle w:val="824"/>
        <w:ind w:left="408" w:hanging="408"/>
        <w:jc w:val="both"/>
        <w:spacing w:before="120" w:beforeAutospacing="0" w:after="120" w:afterAutospacing="0"/>
        <w:rPr>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24"/>
        <w:jc w:val="both"/>
        <w:spacing w:before="145" w:beforeAutospacing="0" w:after="145" w:afterAutospacing="0"/>
        <w:rPr>
          <w:color w:val="auto"/>
          <w:highlight w:val="none"/>
        </w:rPr>
        <w:outlineLvl w:val="1"/>
      </w:pPr>
      <w:r/>
      <w:bookmarkStart w:id="232" w:name="_Toc1609"/>
      <w:r/>
      <w:bookmarkStart w:id="233" w:name="_Toc16358"/>
      <w:r/>
      <w:bookmarkStart w:id="234" w:name="_Toc9905"/>
      <w:r>
        <w:rPr>
          <w:rFonts w:hint="eastAsia" w:ascii="宋体" w:hAnsi="宋体" w:eastAsia="宋体" w:cs="宋体"/>
          <w:b/>
          <w:color w:val="auto"/>
          <w:highlight w:val="none"/>
        </w:rPr>
        <w:t xml:space="preserve">七、合同转包或分包</w:t>
      </w:r>
      <w:bookmarkEnd w:id="232"/>
      <w:r/>
      <w:bookmarkEnd w:id="233"/>
      <w:r/>
      <w:bookmarkEnd w:id="234"/>
      <w:r/>
      <w:r/>
    </w:p>
    <w:p>
      <w:pPr>
        <w:pStyle w:val="824"/>
        <w:jc w:val="both"/>
        <w:spacing w:before="145" w:beforeAutospacing="0" w:after="145" w:afterAutospacing="0"/>
        <w:rPr>
          <w:color w:val="auto"/>
          <w:highlight w:val="none"/>
        </w:rPr>
      </w:pPr>
      <w:r>
        <w:rPr>
          <w:rFonts w:hint="eastAsia" w:ascii="宋体" w:hAnsi="宋体" w:eastAsia="宋体" w:cs="宋体"/>
          <w:color w:val="auto"/>
          <w:highlight w:val="none"/>
        </w:rPr>
        <w:t xml:space="preserve">7.1乙方不得将合同标的转包给他人履行。</w:t>
      </w:r>
      <w:r/>
    </w:p>
    <w:p>
      <w:pPr>
        <w:pStyle w:val="824"/>
        <w:jc w:val="both"/>
        <w:spacing w:before="145" w:beforeAutospacing="0" w:after="145" w:afterAutospacing="0"/>
        <w:rPr>
          <w:color w:val="auto"/>
          <w:highlight w:val="none"/>
        </w:rPr>
      </w:pPr>
      <w:r>
        <w:rPr>
          <w:rFonts w:hint="eastAsia" w:ascii="宋体" w:hAnsi="宋体" w:eastAsia="宋体" w:cs="宋体"/>
          <w:color w:val="auto"/>
          <w:highlight w:val="none"/>
        </w:rPr>
        <w:t xml:space="preserve">7.2乙方不得将合同标的分包给他人履行。</w:t>
      </w:r>
      <w:r/>
    </w:p>
    <w:p>
      <w:pPr>
        <w:pStyle w:val="824"/>
        <w:jc w:val="both"/>
        <w:spacing w:before="145" w:beforeAutospacing="0" w:after="145" w:afterAutospacing="0"/>
        <w:rPr>
          <w:color w:val="auto"/>
          <w:highlight w:val="none"/>
        </w:rPr>
      </w:pPr>
      <w:r>
        <w:rPr>
          <w:rFonts w:hint="eastAsia" w:ascii="宋体" w:hAnsi="宋体" w:eastAsia="宋体" w:cs="宋体"/>
          <w:color w:val="auto"/>
          <w:highlight w:val="none"/>
        </w:rPr>
        <w:t xml:space="preserve">7.3乙方如有转包或未经甲方同意的分包行为，甲方有权给予终止合同。</w:t>
      </w:r>
      <w:r/>
    </w:p>
    <w:p>
      <w:pPr>
        <w:pStyle w:val="824"/>
        <w:jc w:val="both"/>
        <w:spacing w:before="120" w:beforeAutospacing="0" w:after="120" w:afterAutospacing="0"/>
        <w:rPr>
          <w:color w:val="auto"/>
          <w:highlight w:val="none"/>
        </w:rPr>
        <w:outlineLvl w:val="1"/>
      </w:pPr>
      <w:r/>
      <w:bookmarkStart w:id="235" w:name="_Toc17312"/>
      <w:r/>
      <w:bookmarkStart w:id="236" w:name="_Toc16201"/>
      <w:r/>
      <w:bookmarkStart w:id="237" w:name="_Toc13819"/>
      <w:r>
        <w:rPr>
          <w:rFonts w:hint="eastAsia" w:ascii="宋体" w:hAnsi="宋体" w:eastAsia="宋体" w:cs="宋体"/>
          <w:b/>
          <w:color w:val="auto"/>
          <w:highlight w:val="none"/>
        </w:rPr>
        <w:t xml:space="preserve">八、合同款项支付</w:t>
      </w:r>
      <w:bookmarkEnd w:id="235"/>
      <w:r/>
      <w:bookmarkEnd w:id="236"/>
      <w:r/>
      <w:bookmarkEnd w:id="237"/>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8.1合同款项的支付方式及进度安排</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在财政资金到位的前提下：合同签订后20日内支付合同总金额的30%作为预付款；货物到场且安装结束，经甲方验收合格，退还履约保证金，试用6个月后付至合同总金额的100%。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8.2当采购数量与实际使用数量不一致时，乙方应根据实际使用量供货，合同的最终结算金额按实际使用量乘以成交单价进行计算。</w:t>
      </w:r>
      <w:r/>
    </w:p>
    <w:p>
      <w:pPr>
        <w:pStyle w:val="824"/>
        <w:jc w:val="both"/>
        <w:spacing w:before="145" w:beforeAutospacing="0" w:after="145" w:afterAutospacing="0"/>
        <w:rPr>
          <w:color w:val="auto"/>
          <w:highlight w:val="none"/>
        </w:rPr>
        <w:outlineLvl w:val="1"/>
      </w:pPr>
      <w:r/>
      <w:bookmarkStart w:id="238" w:name="_Toc7764"/>
      <w:r/>
      <w:bookmarkStart w:id="239" w:name="_Toc24684"/>
      <w:r/>
      <w:bookmarkStart w:id="240" w:name="_Toc20049"/>
      <w:r>
        <w:rPr>
          <w:rFonts w:hint="eastAsia" w:ascii="宋体" w:hAnsi="宋体" w:eastAsia="宋体" w:cs="宋体"/>
          <w:b/>
          <w:color w:val="auto"/>
          <w:highlight w:val="none"/>
        </w:rPr>
        <w:t xml:space="preserve">九、税费</w:t>
      </w:r>
      <w:bookmarkEnd w:id="238"/>
      <w:r/>
      <w:bookmarkEnd w:id="239"/>
      <w:r/>
      <w:bookmarkEnd w:id="240"/>
      <w:r/>
      <w:r/>
    </w:p>
    <w:p>
      <w:pPr>
        <w:pStyle w:val="824"/>
        <w:jc w:val="both"/>
        <w:spacing w:before="145" w:beforeAutospacing="0" w:after="145" w:afterAutospacing="0"/>
        <w:rPr>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824"/>
        <w:ind w:left="412" w:hanging="412"/>
        <w:jc w:val="both"/>
        <w:spacing w:before="120" w:beforeAutospacing="0" w:after="120" w:afterAutospacing="0"/>
        <w:rPr>
          <w:color w:val="auto"/>
          <w:highlight w:val="none"/>
        </w:rPr>
        <w:outlineLvl w:val="1"/>
      </w:pPr>
      <w:r/>
      <w:bookmarkStart w:id="241" w:name="_Toc14013"/>
      <w:r/>
      <w:bookmarkStart w:id="242" w:name="_Toc2493"/>
      <w:r/>
      <w:bookmarkStart w:id="243" w:name="_Toc301"/>
      <w:r>
        <w:rPr>
          <w:rFonts w:hint="eastAsia" w:ascii="宋体" w:hAnsi="宋体" w:eastAsia="宋体" w:cs="宋体"/>
          <w:b/>
          <w:color w:val="auto"/>
          <w:highlight w:val="none"/>
        </w:rPr>
        <w:t xml:space="preserve">十、质量保修范围和保修期及售后服务</w:t>
      </w:r>
      <w:bookmarkEnd w:id="241"/>
      <w:r/>
      <w:bookmarkEnd w:id="242"/>
      <w:r/>
      <w:bookmarkEnd w:id="243"/>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乙方应按招标文件规定的货物性能、技术要求、质量标准向甲方提供未经使用的全新产品。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乙方提供的货物在质量期内因货物本身的质量问题发生故障，乙方应负责免费更换。对达不到技术要求者，根据实际情况，经双方协商，可按以下办法处理：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⑴更换：由乙方承担所发生的全部费用。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⑵贬值处理：由甲乙双方合议定价。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⑶退货处理：乙方应退还甲方支付的合同款，同时应承担该货物的直接费用（运输、保险、检验、货款利息及银行手续费等）。</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如在使用过程中发生质量问题，乙方在接到甲方通知后在_________小时内到达甲方现场。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在质保期内，乙方应对货物出现的质量及安全问题负责处理解决并承担一切费用。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10.5上述的货物免费保修期为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个月</w:t>
      </w:r>
      <w:r>
        <w:rPr>
          <w:rFonts w:hint="eastAsia" w:ascii="宋体" w:hAnsi="宋体" w:eastAsia="宋体" w:cs="宋体"/>
          <w:color w:val="auto"/>
          <w:sz w:val="24"/>
          <w:highlight w:val="none"/>
        </w:rPr>
        <w:t xml:space="preserve">（自交货验收合格之日起计），因人为因素出现的故障不在免费保修范围内。超过保修期的机器设备，终生维修，维修时只收部件成本费。</w:t>
      </w:r>
      <w:r/>
    </w:p>
    <w:p>
      <w:pPr>
        <w:pStyle w:val="824"/>
        <w:jc w:val="both"/>
        <w:spacing w:before="120" w:beforeAutospacing="0" w:after="120" w:afterAutospacing="0"/>
        <w:rPr>
          <w:color w:val="auto"/>
          <w:highlight w:val="none"/>
        </w:rPr>
        <w:outlineLvl w:val="1"/>
      </w:pPr>
      <w:r/>
      <w:bookmarkStart w:id="244" w:name="_Toc17827"/>
      <w:r/>
      <w:bookmarkStart w:id="245" w:name="_Toc922"/>
      <w:r/>
      <w:bookmarkStart w:id="246" w:name="_Toc31204"/>
      <w:r>
        <w:rPr>
          <w:rFonts w:hint="eastAsia" w:ascii="宋体" w:hAnsi="宋体" w:eastAsia="宋体" w:cs="宋体"/>
          <w:b/>
          <w:color w:val="auto"/>
          <w:highlight w:val="none"/>
        </w:rPr>
        <w:t xml:space="preserve">十一、项目验收</w:t>
      </w:r>
      <w:bookmarkEnd w:id="244"/>
      <w:r/>
      <w:bookmarkEnd w:id="245"/>
      <w:r/>
      <w:bookmarkEnd w:id="246"/>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甲方依法组织履约验收工作。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对于实际使用人和甲方分离的项目，甲方邀请实际使用人参与验收。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4"/>
        <w:jc w:val="both"/>
        <w:spacing w:before="120" w:beforeAutospacing="0" w:after="120" w:afterAutospacing="0"/>
        <w:rPr>
          <w:color w:val="auto"/>
          <w:highlight w:val="none"/>
        </w:rPr>
        <w:outlineLvl w:val="1"/>
      </w:pPr>
      <w:r/>
      <w:bookmarkStart w:id="247" w:name="_Toc15028"/>
      <w:r/>
      <w:bookmarkStart w:id="248" w:name="_Toc27424"/>
      <w:r/>
      <w:bookmarkStart w:id="249" w:name="_Toc25464"/>
      <w:r>
        <w:rPr>
          <w:rFonts w:hint="eastAsia" w:ascii="宋体" w:hAnsi="宋体" w:eastAsia="宋体" w:cs="宋体"/>
          <w:b/>
          <w:color w:val="auto"/>
          <w:highlight w:val="none"/>
        </w:rPr>
        <w:t xml:space="preserve">十二、货物的包装、发运及运输</w:t>
      </w:r>
      <w:bookmarkEnd w:id="247"/>
      <w:r/>
      <w:bookmarkEnd w:id="248"/>
      <w:r/>
      <w:bookmarkEnd w:id="249"/>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使用说明书、质量检验证明书、随配附件和工具以及清单一并附于货物内。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乙方在货物发运手续办理完毕后24小时内或货到甲方48小时前通知甲方，以准备接货。</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货物在交付甲方前发生的风险均由乙方负责。</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 货物在规定的交付期限内由乙方送达甲方指定的地点视为交付，乙方同时需通知甲方货物已送达。</w:t>
      </w:r>
      <w:r/>
    </w:p>
    <w:p>
      <w:pPr>
        <w:pStyle w:val="824"/>
        <w:jc w:val="both"/>
        <w:spacing w:before="120" w:beforeAutospacing="0" w:after="120" w:afterAutospacing="0"/>
        <w:rPr>
          <w:color w:val="auto"/>
          <w:highlight w:val="none"/>
        </w:rPr>
        <w:outlineLvl w:val="1"/>
      </w:pPr>
      <w:r/>
      <w:bookmarkStart w:id="250" w:name="_Toc21753"/>
      <w:r/>
      <w:bookmarkStart w:id="251" w:name="_Toc17683"/>
      <w:r/>
      <w:bookmarkStart w:id="252" w:name="_Toc17418"/>
      <w:r>
        <w:rPr>
          <w:rFonts w:hint="eastAsia" w:ascii="宋体" w:hAnsi="宋体" w:eastAsia="宋体" w:cs="宋体"/>
          <w:b/>
          <w:color w:val="auto"/>
          <w:highlight w:val="none"/>
        </w:rPr>
        <w:t xml:space="preserve">十三、违约责任</w:t>
      </w:r>
      <w:bookmarkEnd w:id="250"/>
      <w:r/>
      <w:bookmarkEnd w:id="251"/>
      <w:r/>
      <w:bookmarkEnd w:id="252"/>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甲方无正当理由拒收货物的，甲方向乙方偿付拒收货款总值</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rPr>
        <w:t xml:space="preserve">的违约金。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甲方无故逾期验收和办理货款支付手续的,甲方应按逾期付款总额每日</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rPr>
        <w:t xml:space="preserve">向乙方支付违约金。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的违约金，如造成甲方损失超过违约金的，超出部分由乙方继续承担赔偿责任。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24"/>
        <w:jc w:val="both"/>
        <w:spacing w:before="120" w:beforeAutospacing="0" w:after="120" w:afterAutospacing="0"/>
        <w:rPr>
          <w:color w:val="auto"/>
          <w:highlight w:val="none"/>
        </w:rPr>
        <w:outlineLvl w:val="1"/>
      </w:pPr>
      <w:r/>
      <w:bookmarkStart w:id="253" w:name="_Toc5983"/>
      <w:r/>
      <w:bookmarkStart w:id="254" w:name="_Toc23894"/>
      <w:r/>
      <w:bookmarkStart w:id="255" w:name="_Toc8173"/>
      <w:r>
        <w:rPr>
          <w:rFonts w:hint="eastAsia" w:ascii="宋体" w:hAnsi="宋体" w:eastAsia="宋体" w:cs="宋体"/>
          <w:b/>
          <w:color w:val="auto"/>
          <w:highlight w:val="none"/>
        </w:rPr>
        <w:t xml:space="preserve">十四、不可抗力事件处理</w:t>
      </w:r>
      <w:bookmarkEnd w:id="253"/>
      <w:r/>
      <w:bookmarkEnd w:id="254"/>
      <w:r/>
      <w:bookmarkEnd w:id="255"/>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在合同有效期内，任何一方因不可抗力事件导致不能履行合同，则合同履行期可延长，其延长期与不可抗力影响期相同。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不可抗力事件发生后，应立即通知对方，并寄送有关权威机构出具的证明。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不可抗力事件延续120天以上，双方应通过友好协商，确定是否继续履行合同。</w:t>
      </w:r>
      <w:r/>
    </w:p>
    <w:p>
      <w:pPr>
        <w:pStyle w:val="824"/>
        <w:jc w:val="both"/>
        <w:spacing w:before="120" w:beforeAutospacing="0" w:after="120" w:afterAutospacing="0"/>
        <w:rPr>
          <w:color w:val="auto"/>
          <w:highlight w:val="none"/>
        </w:rPr>
        <w:outlineLvl w:val="1"/>
      </w:pPr>
      <w:r/>
      <w:bookmarkStart w:id="256" w:name="_Toc27834"/>
      <w:r/>
      <w:bookmarkStart w:id="257" w:name="_Toc25800"/>
      <w:r/>
      <w:bookmarkStart w:id="258" w:name="_Toc16462"/>
      <w:r>
        <w:rPr>
          <w:rFonts w:hint="eastAsia" w:ascii="宋体" w:hAnsi="宋体" w:eastAsia="宋体" w:cs="宋体"/>
          <w:b/>
          <w:color w:val="auto"/>
          <w:highlight w:val="none"/>
        </w:rPr>
        <w:t xml:space="preserve">十五、解决争议的方法</w:t>
      </w:r>
      <w:bookmarkEnd w:id="256"/>
      <w:r/>
      <w:bookmarkEnd w:id="257"/>
      <w:r/>
      <w:bookmarkEnd w:id="258"/>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15.1甲乙双方因合同签订、履行而发生的一切争议，应通过友好协商解决。如协商不成由甲方住所地人民法院管辖。</w:t>
      </w:r>
      <w:r/>
    </w:p>
    <w:p>
      <w:pPr>
        <w:pStyle w:val="824"/>
        <w:jc w:val="both"/>
        <w:spacing w:before="120" w:beforeAutospacing="0" w:after="120" w:afterAutospacing="0"/>
        <w:rPr>
          <w:color w:val="auto"/>
          <w:highlight w:val="none"/>
        </w:rPr>
        <w:outlineLvl w:val="1"/>
      </w:pPr>
      <w:r/>
      <w:bookmarkStart w:id="259" w:name="_Toc26227"/>
      <w:r/>
      <w:bookmarkStart w:id="260" w:name="_Toc31889"/>
      <w:r/>
      <w:bookmarkStart w:id="261" w:name="_Toc22052"/>
      <w:r>
        <w:rPr>
          <w:rFonts w:hint="eastAsia" w:ascii="宋体" w:hAnsi="宋体" w:eastAsia="宋体" w:cs="宋体"/>
          <w:b/>
          <w:color w:val="auto"/>
          <w:highlight w:val="none"/>
        </w:rPr>
        <w:t xml:space="preserve">十六、合同生效及其它</w:t>
      </w:r>
      <w:bookmarkEnd w:id="259"/>
      <w:r/>
      <w:bookmarkEnd w:id="260"/>
      <w:r/>
      <w:bookmarkEnd w:id="261"/>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合同经双方法定代表人或授权委托代表人签字并加盖单位公章后生效。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16.2本合同未尽事宜，遵照《民法典》、《政府采购法》有关条文执行。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本合同正本一式两份，具有同等法律效力，甲方、乙方各执一份。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          </w:t>
      </w:r>
      <w:r/>
    </w:p>
    <w:p>
      <w:pPr>
        <w:spacing w:line="360" w:lineRule="auto"/>
        <w:rPr>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pStyle w:val="824"/>
        <w:jc w:val="center"/>
        <w:spacing w:before="120" w:beforeAutospacing="0" w:after="120" w:afterAutospacing="0" w:line="0" w:lineRule="atLeast"/>
        <w:rPr>
          <w:color w:val="auto"/>
          <w:highlight w:val="none"/>
        </w:rPr>
      </w:pPr>
      <w:r>
        <w:rPr>
          <w:color w:val="auto"/>
          <w:highlight w:val="none"/>
        </w:rPr>
        <w:t xml:space="preserve"> </w:t>
      </w:r>
      <w:r/>
    </w:p>
    <w:p>
      <w:pPr>
        <w:pStyle w:val="824"/>
        <w:jc w:val="center"/>
        <w:spacing w:before="120" w:beforeAutospacing="0" w:after="120" w:afterAutospacing="0" w:line="0" w:lineRule="atLeast"/>
        <w:rPr>
          <w:rFonts w:hint="eastAsia" w:ascii="宋体" w:hAnsi="宋体" w:eastAsia="宋体" w:cs="宋体"/>
          <w:color w:val="auto"/>
          <w:highlight w:val="none"/>
        </w:rPr>
        <w:outlineLvl w:val="0"/>
      </w:pPr>
      <w:r/>
      <w:bookmarkStart w:id="262" w:name="_Toc7943"/>
      <w:r>
        <w:rPr>
          <w:rFonts w:hint="eastAsia" w:ascii="宋体" w:hAnsi="宋体" w:eastAsia="宋体" w:cs="宋体"/>
          <w:color w:val="auto"/>
          <w:highlight w:val="none"/>
        </w:rPr>
        <w:t xml:space="preserve">年    月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bookmarkEnd w:id="262"/>
      <w:r/>
      <w:bookmarkStart w:id="263" w:name="_Toc479757211"/>
      <w:r/>
      <w:bookmarkStart w:id="264" w:name="_Toc16938590"/>
      <w:r/>
      <w:bookmarkStart w:id="265" w:name="_Toc462564139"/>
      <w:r/>
      <w:bookmarkStart w:id="266" w:name="_Hlt16619350"/>
      <w:r/>
      <w:bookmarkStart w:id="267" w:name="_Toc20823346"/>
      <w:r/>
      <w:bookmarkStart w:id="268" w:name="_Toc120614244"/>
      <w:r/>
      <w:bookmarkStart w:id="269" w:name="_Hlt16619369"/>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color w:val="auto"/>
          <w:highlight w:val="none"/>
        </w:rPr>
        <w:outlineLvl w:val="0"/>
      </w:pPr>
      <w:r/>
      <w:bookmarkStart w:id="270" w:name="_Toc25492"/>
      <w:r>
        <w:rPr>
          <w:rFonts w:hint="eastAsia" w:ascii="黑体" w:hAnsi="宋体" w:eastAsia="黑体" w:cs="黑体"/>
          <w:color w:val="auto"/>
          <w:sz w:val="44"/>
          <w:szCs w:val="44"/>
          <w:highlight w:val="none"/>
        </w:rPr>
        <w:t xml:space="preserve">第</w:t>
      </w:r>
      <w:bookmarkEnd w:id="263"/>
      <w:r>
        <w:rPr>
          <w:rFonts w:hint="eastAsia" w:ascii="黑体" w:hAnsi="宋体" w:eastAsia="黑体" w:cs="黑体"/>
          <w:color w:val="auto"/>
          <w:sz w:val="44"/>
          <w:szCs w:val="44"/>
          <w:highlight w:val="none"/>
        </w:rPr>
        <w:t xml:space="preserve">四章 采购需求</w:t>
      </w:r>
      <w:bookmarkEnd w:id="264"/>
      <w:r/>
      <w:bookmarkEnd w:id="265"/>
      <w:r/>
      <w:bookmarkEnd w:id="266"/>
      <w:r/>
      <w:bookmarkEnd w:id="267"/>
      <w:r/>
      <w:bookmarkEnd w:id="268"/>
      <w:r/>
      <w:bookmarkEnd w:id="270"/>
      <w:r/>
      <w:r/>
    </w:p>
    <w:p>
      <w:pPr>
        <w:pStyle w:val="824"/>
        <w:jc w:val="both"/>
        <w:spacing w:beforeAutospacing="0" w:afterAutospacing="0" w:line="360" w:lineRule="auto"/>
        <w:rPr>
          <w:color w:val="auto"/>
          <w:highlight w:val="none"/>
        </w:rPr>
      </w:pPr>
      <w:r/>
      <w:bookmarkStart w:id="271" w:name="_Toc26554093"/>
      <w:r/>
      <w:bookmarkStart w:id="272" w:name="_Toc49090575"/>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rPr>
        <w:t xml:space="preserve">项目属性:</w:t>
      </w:r>
      <w:r>
        <w:rPr>
          <w:rFonts w:hint="eastAsia" w:ascii="宋体" w:hAnsi="宋体" w:eastAsia="宋体" w:cs="宋体"/>
          <w:color w:val="auto"/>
          <w:highlight w:val="none"/>
        </w:rPr>
        <w:t xml:space="preserve">货物类项目。</w:t>
      </w:r>
      <w:bookmarkEnd w:id="271"/>
      <w:r/>
      <w:bookmarkEnd w:id="272"/>
      <w:r/>
      <w:r/>
    </w:p>
    <w:p>
      <w:pPr>
        <w:pStyle w:val="824"/>
        <w:jc w:val="both"/>
        <w:spacing w:beforeAutospacing="0" w:afterAutospacing="0"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采购需求</w:t>
      </w:r>
      <w:r>
        <w:rPr>
          <w:rFonts w:hint="eastAsia" w:ascii="宋体" w:hAnsi="宋体" w:eastAsia="宋体" w:cs="宋体"/>
          <w:b/>
          <w:bCs/>
          <w:color w:val="auto"/>
          <w:highlight w:val="none"/>
          <w:lang w:eastAsia="zh-CN"/>
        </w:rPr>
        <w:t xml:space="preserve">：</w:t>
      </w:r>
      <w:r/>
    </w:p>
    <w:p>
      <w:pPr>
        <w:pStyle w:val="824"/>
        <w:numPr>
          <w:ilvl w:val="0"/>
          <w:numId w:val="1"/>
        </w:numPr>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lang w:val="en-US" w:eastAsia="zh-CN"/>
        </w:rPr>
        <w:t xml:space="preserve">不接受</w:t>
      </w:r>
      <w:r>
        <w:rPr>
          <w:rFonts w:hint="eastAsia" w:ascii="宋体" w:hAnsi="宋体" w:eastAsia="宋体" w:cs="宋体"/>
          <w:color w:val="auto"/>
          <w:highlight w:val="none"/>
        </w:rPr>
        <w:t xml:space="preserve">进口产品投标</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采购需求中必须满足的实质性要求</w:t>
      </w:r>
      <w:r>
        <w:rPr>
          <w:rFonts w:hint="eastAsia" w:ascii="宋体" w:hAnsi="宋体" w:eastAsia="宋体" w:cs="宋体"/>
          <w:color w:val="auto"/>
          <w:highlight w:val="none"/>
          <w:lang w:eastAsia="zh-CN"/>
        </w:rPr>
        <w:t xml:space="preserve">：</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lang w:eastAsia="zh-CN"/>
        </w:rPr>
        <w:t xml:space="preserve">主机和光源采用分体式设计，光源散热性好，保证图像处理器稳定性，延长主机寿命（提供产品实物图片作为证明材料）</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lang w:eastAsia="zh-CN"/>
        </w:rPr>
        <w:t xml:space="preserve">、配置至少包含：</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1同品牌医用内窥镜图像处理器：1台</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2同品牌医用内窥镜冷光源：1台</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2.3同品牌高清电子胃镜（检查镜）1根</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2.4同品牌高清电子胃镜（治疗镜）1根</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2.5同品牌高清电子肠镜（治疗镜）1根</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2.6高清显示器1台</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2.7内镜专用台车1辆</w:t>
      </w:r>
      <w:r/>
    </w:p>
    <w:p>
      <w:pPr>
        <w:pStyle w:val="824"/>
        <w:numPr>
          <w:ilvl w:val="0"/>
          <w:numId w:val="0"/>
        </w:numPr>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采购标的中的核心产品</w:t>
      </w:r>
      <w:r>
        <w:rPr>
          <w:rFonts w:hint="eastAsia" w:ascii="宋体" w:hAnsi="宋体" w:eastAsia="宋体" w:cs="宋体"/>
          <w:color w:val="auto"/>
          <w:highlight w:val="none"/>
          <w:lang w:eastAsia="zh-CN"/>
        </w:rPr>
        <w:t xml:space="preserve">：高清电子</w:t>
      </w:r>
      <w:r>
        <w:rPr>
          <w:rFonts w:hint="eastAsia" w:ascii="宋体" w:hAnsi="宋体" w:eastAsia="宋体" w:cs="宋体"/>
          <w:color w:val="auto"/>
          <w:highlight w:val="none"/>
          <w:lang w:val="en-US" w:eastAsia="zh-CN"/>
        </w:rPr>
        <w:t xml:space="preserve">胃、</w:t>
      </w:r>
      <w:r>
        <w:rPr>
          <w:rFonts w:hint="eastAsia" w:ascii="宋体" w:hAnsi="宋体" w:eastAsia="宋体" w:cs="宋体"/>
          <w:color w:val="auto"/>
          <w:highlight w:val="none"/>
          <w:lang w:eastAsia="zh-CN"/>
        </w:rPr>
        <w:t xml:space="preserve">肠镜</w:t>
      </w:r>
      <w:r>
        <w:rPr>
          <w:rFonts w:hint="eastAsia" w:ascii="宋体" w:hAnsi="宋体" w:eastAsia="宋体" w:cs="宋体"/>
          <w:color w:val="auto"/>
          <w:highlight w:val="none"/>
        </w:rPr>
        <w:t xml:space="preserve">。</w:t>
      </w:r>
      <w:r/>
    </w:p>
    <w:p>
      <w:pPr>
        <w:pStyle w:val="824"/>
        <w:numPr>
          <w:ilvl w:val="0"/>
          <w:numId w:val="0"/>
        </w:numPr>
        <w:jc w:val="both"/>
        <w:spacing w:beforeAutospacing="0" w:afterAutospacing="0" w:line="360" w:lineRule="auto"/>
        <w:rPr>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采购标的对应的中小企业划分标准所属行业一览表</w:t>
      </w:r>
      <w:r/>
    </w:p>
    <w:tbl>
      <w:tblPr>
        <w:tblStyle w:val="816"/>
        <w:tblW w:w="934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57"/>
        <w:gridCol w:w="4438"/>
        <w:gridCol w:w="3852"/>
      </w:tblGrid>
      <w:tr>
        <w:trPr>
          <w:jc w:val="center"/>
          <w:tblCellSpacing w:w="0" w:type="dxa"/>
          <w:trHeight w:val="611"/>
        </w:trPr>
        <w:tc>
          <w:tcPr>
            <w:shd w:val="clear" w:color="auto" w:fill="auto"/>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611"/>
        </w:trPr>
        <w:tc>
          <w:tcPr>
            <w:shd w:val="clear" w:color="auto" w:fill="auto"/>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lang w:eastAsia="zh-CN"/>
              </w:rPr>
              <w:t xml:space="preserve">高清电子</w:t>
            </w:r>
            <w:r>
              <w:rPr>
                <w:rFonts w:hint="eastAsia" w:ascii="宋体" w:hAnsi="宋体" w:eastAsia="宋体" w:cs="宋体"/>
                <w:color w:val="auto"/>
                <w:highlight w:val="none"/>
                <w:lang w:val="en-US" w:eastAsia="zh-CN"/>
              </w:rPr>
              <w:t xml:space="preserve">胃、</w:t>
            </w:r>
            <w:r>
              <w:rPr>
                <w:rFonts w:hint="eastAsia" w:ascii="宋体" w:hAnsi="宋体" w:eastAsia="宋体" w:cs="宋体"/>
                <w:color w:val="auto"/>
                <w:highlight w:val="none"/>
                <w:lang w:eastAsia="zh-CN"/>
              </w:rPr>
              <w:t xml:space="preserve">肠镜</w:t>
            </w:r>
            <w:r>
              <w:rPr>
                <w:rFonts w:hint="eastAsia" w:ascii="宋体" w:hAnsi="宋体" w:cs="宋体"/>
                <w:color w:val="auto"/>
                <w:sz w:val="24"/>
                <w:szCs w:val="24"/>
                <w:highlight w:val="none"/>
                <w:lang w:eastAsia="zh-CN"/>
              </w:rPr>
              <w:t xml:space="preserve">供货及相关伴随服务</w:t>
            </w:r>
            <w:r/>
          </w:p>
        </w:tc>
        <w:tc>
          <w:tcPr>
            <w:shd w:val="clear" w:color="auto" w:fill="auto"/>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sz w:val="24"/>
                <w:szCs w:val="24"/>
                <w:highlight w:val="none"/>
                <w:u w:val="single"/>
              </w:rPr>
              <w:t xml:space="preserve">工业</w:t>
            </w:r>
            <w:r>
              <w:rPr>
                <w:color w:val="auto"/>
                <w:highlight w:val="none"/>
              </w:rPr>
              <w:t xml:space="preserve"> </w:t>
            </w:r>
            <w:r/>
          </w:p>
        </w:tc>
      </w:tr>
    </w:tbl>
    <w:p>
      <w:pPr>
        <w:pStyle w:val="824"/>
        <w:numPr>
          <w:ilvl w:val="0"/>
          <w:numId w:val="2"/>
        </w:numPr>
        <w:jc w:val="both"/>
        <w:spacing w:beforeAutospacing="0" w:afterAutospacing="0" w:line="0" w:lineRule="atLeast"/>
        <w:rPr>
          <w:b/>
          <w:bCs/>
          <w:color w:val="auto"/>
          <w:highlight w:val="none"/>
        </w:rPr>
      </w:pPr>
      <w:r>
        <w:rPr>
          <w:rFonts w:hint="eastAsia" w:ascii="宋体" w:hAnsi="宋体" w:eastAsia="宋体" w:cs="宋体"/>
          <w:b/>
          <w:bCs/>
          <w:color w:val="auto"/>
          <w:highlight w:val="none"/>
        </w:rPr>
        <w:t xml:space="preserve">技术要求</w:t>
      </w:r>
      <w:r>
        <w:rPr>
          <w:rFonts w:hint="eastAsia" w:ascii="宋体" w:hAnsi="宋体" w:eastAsia="宋体" w:cs="宋体"/>
          <w:b/>
          <w:bCs/>
          <w:color w:val="auto"/>
          <w:highlight w:val="none"/>
          <w:lang w:eastAsia="zh-CN"/>
        </w:rPr>
        <w:t xml:space="preserve">：</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胃肠镜系统设备参数要求：</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▲1、主机和光源采用分体式设计，光源散热性好，保证图像处理器稳定性，延长主机寿命（提供产品实物图片作为证明材料）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▲2、配置至少包含：</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2.1同品牌医用内窥镜图像处理器：1台</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2.2同品牌医用内窥镜冷光源：1台</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2.3同品牌高清电子胃镜（检查镜）1根</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2.4同品牌高清电子胃镜（治疗镜）1根</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2.5同品牌高清电子肠镜（治疗镜）1根</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2.6高清显示器1台</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2.7内镜专用台车1辆</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一、图像处理器：1台</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1、高清电子内镜设备，输出视频分辨率1920x1080，</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2、信号输出方式：SDI、DVI等至少三种接口，</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3、USB端口：具有实时存储视频图像功能，可通过USB接口一键导出当前检查数据</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4、可实时进行图像保存和视频录制功能，支持图像查看、视频回放</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★5、具备特殊光染色功能，光学染色，非电子染色，染色模式≥3种，具有蓝色、绿色波长的窄带光；（提供技术白皮书或检测报告并标明相应项，作为证明材料）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6、测光模式可调节：具有平均测光/峰值测光/混合（自动)测光模式</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★7、具有电子放大功能，≥3档可调，最大能放大4倍（提供技术白皮书或检测报告）</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★9、双光双画面模式：可支持实时同步显示白光与分光染色图像于同一画面同步实时显示，方便直观对比黏膜细节病灶；（提供技术白皮书或检测报告并标明相应项，作为证明材料）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10、镜体一键式热插拔，视频信号光纤或激光传输，速度快，抗干扰强</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11、色调调节功能：红色、蓝色，饱和度调节（提供技术白皮书或检测报告并标明相应项，作为证明材料）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12、轮廓调节功能：多档可调，可凸显强调内镜下图像的轮廓</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13、构造调节功能：多档可调</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14、降噪功能：可降低图像的噪点，更好保证临床图像效果</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15、可兼容同品牌的常规胃肠镜、超细胃镜、放大胃肠镜、硬度可调肠镜（提供注册证并标明相应项，作为证明材料）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二、冷光源：1台</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1、采用≥5路LED光源，由各路LED光源合束实现照明的医用冷光源（提供技术白皮书或检测报告并标明相应项，作为证明材料）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2、支持白光和不少于3种特殊光源照明模式</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3、气泵气量可调，气泵流量具有关闭、低、中、高档可选</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4、光源主灯平均使用寿命：≥20000小时（提供技术白皮书或检测报告并标明相应项，作为证明材料）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5、色温：5000K-7000K</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6、具有透光功能，开启后，光源以最大亮度和最小亮度闪烁输出，用于对镜体头端部的定位</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三、高清电子胃镜（检查镜）1根</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★1、视角≥145°</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2、景深：2-100mm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★3、有效工作长度内（含头端部），最大外径≤9.2mm，具备辅助送水功能</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4、最小器械孔通道≥2.8mm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★5、弯曲角度：上≥210°下≥120° 左≥100° 右≥100°（提供技术白皮书或检测报告并标明相应项，作为证明材料）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6、有效工作长度1100mm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7、镜体操作部具有不少于4个远程控制按钮,可自定义功能</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四、高清电子胃镜（治疗镜）1根</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★1、视角≥145°</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2、景深：2-100mm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★3、有效工作长度内（含头端部），最大外径≤9.8mm，具备辅助送水功能（提供技术白皮书或检测报告并标明相应项，作为证明材料）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★4、最小器械孔通道≥3.2mm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5、弯曲角度：上≥210°下≥120° 左≥100° 右≥100°（提供技术白皮书或检测报告并标明相应项，作为证明材料）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6、有效工作长度1100mm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7、镜体操作部具有不少于4个远程控制按钮,可自定义功能</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五、高清电子肠镜（治疗镜）1根</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★1、视角≥170°</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2、景深：2-100mm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★3、有效工作长度内（含头端部），最大外径≤10.8mm，具备辅助送水功能（提供技术白皮书或检测报告并标明相应项，作为证明材料）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★4、最小器械孔通道≥3.7mm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5、弯曲角度：上180°下180°，左160°右160°</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6、有效工作长度1300mm</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7、镜体操作部具有不少于4个远程控制按钮,可自定义功能</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8、具有硬度可调功能，镜身软硬可变，可对内镜的硬度进行调整（提供技术白皮书或检测报告并标明相应项，作为证明材料）</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六、医用监视器</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1、分辨率：不低于1080P；</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2、尺寸≥21英寸；</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3、屏幕工艺:彩色，液晶显示屏，防眩，硬涂层;</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4、图像可调:具有亮度、饱和度、清晰度、比例缩放等调节功能；</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七、台车1辆</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1、专业设计的内镜专用台车</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2、带键盘托盘</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3、层板高度多层可调</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4、由两种方式悬挂镜体，可同时悬挂两条内镜</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5、具有显示器挂架及内镜挂架;</w:t>
      </w:r>
      <w:r/>
    </w:p>
    <w:p>
      <w:pPr>
        <w:pStyle w:val="824"/>
        <w:numPr>
          <w:ilvl w:val="0"/>
          <w:numId w:val="0"/>
        </w:numPr>
        <w:jc w:val="both"/>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6、具有防水及耐腐蚀性，安全可靠；</w:t>
      </w:r>
      <w:r/>
    </w:p>
    <w:p>
      <w:pPr>
        <w:pStyle w:val="824"/>
        <w:numPr>
          <w:ilvl w:val="0"/>
          <w:numId w:val="0"/>
        </w:numPr>
        <w:jc w:val="both"/>
        <w:spacing w:beforeAutospacing="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（二）商务要求：</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1、财务要求：财务状况良好</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2、交付时间：合同签订后30日内</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3、交付地点：盐城市盐都区第二人民医院</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4、付款条件：乙方出具税务发票，由甲方支付。在财政资金到位的前提下：</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合同签订后20日内支付合同总金额的30%作为预付款；货物到场且安装结束，经甲方验收合格，退还履约保证金，试用6个月后付至合同总金额的100%。</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5、包装和运输：包装完好，由供应商运输到交付地点，并安装</w:t>
      </w:r>
      <w:r/>
    </w:p>
    <w:p>
      <w:pPr>
        <w:pStyle w:val="824"/>
        <w:numPr>
          <w:ilvl w:val="0"/>
          <w:numId w:val="0"/>
        </w:numPr>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6、售后服务：不少于24个月</w:t>
      </w:r>
      <w:r/>
    </w:p>
    <w:p>
      <w:pPr>
        <w:pStyle w:val="824"/>
        <w:jc w:val="both"/>
        <w:spacing w:beforeAutospacing="0" w:afterAutospacing="0" w:line="0" w:lineRule="atLeas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602"/>
        <w:jc w:val="both"/>
        <w:spacing w:beforeAutospacing="0" w:afterAutospacing="0"/>
        <w:rPr>
          <w:color w:val="auto"/>
          <w:highlight w:val="none"/>
        </w:rPr>
      </w:pPr>
      <w:r>
        <w:rPr>
          <w:color w:val="auto"/>
          <w:highlight w:val="none"/>
        </w:rPr>
        <w:t xml:space="preserve"> </w:t>
      </w:r>
      <w:bookmarkStart w:id="273" w:name="_Toc120614281"/>
      <w:r/>
      <w:r/>
    </w:p>
    <w:p>
      <w:pPr>
        <w:pStyle w:val="824"/>
        <w:ind w:firstLine="602"/>
        <w:jc w:val="both"/>
        <w:spacing w:beforeAutospacing="0" w:afterAutospacing="0"/>
        <w:rPr>
          <w:color w:val="auto"/>
          <w:highlight w:val="none"/>
        </w:rPr>
      </w:pPr>
      <w:r>
        <w:rPr>
          <w:color w:val="auto"/>
          <w:highlight w:val="none"/>
        </w:rPr>
      </w:r>
      <w:r/>
    </w:p>
    <w:p>
      <w:pPr>
        <w:pStyle w:val="824"/>
        <w:jc w:val="center"/>
        <w:keepNext/>
        <w:spacing w:beforeAutospacing="0" w:afterAutospacing="0"/>
        <w:rPr>
          <w:color w:val="auto"/>
          <w:highlight w:val="none"/>
        </w:rPr>
        <w:outlineLvl w:val="0"/>
      </w:pPr>
      <w:r/>
      <w:bookmarkStart w:id="274" w:name="_Toc15636"/>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274"/>
      <w:r/>
      <w:r/>
    </w:p>
    <w:p>
      <w:pPr>
        <w:pStyle w:val="824"/>
        <w:jc w:val="both"/>
        <w:spacing w:beforeAutospacing="0" w:afterAutospacing="0"/>
        <w:rPr>
          <w:color w:val="auto"/>
          <w:highlight w:val="none"/>
        </w:rPr>
      </w:pPr>
      <w:r>
        <w:rPr>
          <w:color w:val="auto"/>
          <w:highlight w:val="none"/>
        </w:rPr>
        <w:t xml:space="preserve"> </w:t>
      </w:r>
      <w:r/>
    </w:p>
    <w:p>
      <w:pPr>
        <w:pStyle w:val="824"/>
        <w:ind w:firstLine="439"/>
        <w:spacing w:before="120" w:beforeAutospacing="0" w:after="120" w:afterAutospacing="0" w:line="360" w:lineRule="auto"/>
        <w:rPr>
          <w:color w:val="auto"/>
          <w:highlight w:val="none"/>
        </w:rPr>
      </w:pP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Arial" w:hAnsi="Arial" w:cs="Arial"/>
          <w:color w:val="auto"/>
          <w:highlight w:val="none"/>
          <w:lang w:val="en-US" w:eastAsia="zh-CN"/>
        </w:rPr>
        <w:t xml:space="preserve">3</w:t>
      </w:r>
      <w:r>
        <w:rPr>
          <w:rFonts w:ascii="Arial" w:hAnsi="Arial" w:cs="Arial"/>
          <w:color w:val="auto"/>
          <w:highlight w:val="none"/>
        </w:rPr>
        <w:t xml:space="preserve">名中标候选人。</w:t>
      </w:r>
      <w:r/>
    </w:p>
    <w:p>
      <w:pPr>
        <w:pStyle w:val="824"/>
        <w:ind w:firstLine="441"/>
        <w:spacing w:before="120" w:beforeAutospacing="0" w:after="120" w:afterAutospacing="0" w:line="360" w:lineRule="auto"/>
        <w:rPr>
          <w:color w:val="auto"/>
          <w:highlight w:val="none"/>
        </w:rPr>
        <w:outlineLvl w:val="1"/>
      </w:pPr>
      <w:r/>
      <w:bookmarkStart w:id="275" w:name="_Toc31313"/>
      <w:r>
        <w:rPr>
          <w:rFonts w:hint="eastAsia" w:ascii="宋体" w:hAnsi="宋体" w:eastAsia="宋体" w:cs="宋体"/>
          <w:b/>
          <w:color w:val="auto"/>
          <w:highlight w:val="none"/>
        </w:rPr>
        <w:t xml:space="preserve">政府采购政策功能落实</w:t>
      </w:r>
      <w:bookmarkEnd w:id="275"/>
      <w:r/>
      <w:r/>
    </w:p>
    <w:p>
      <w:pPr>
        <w:pStyle w:val="824"/>
        <w:ind w:firstLine="480"/>
        <w:spacing w:before="120" w:beforeAutospacing="0" w:after="120" w:afterAutospacing="0" w:line="0" w:lineRule="atLeast"/>
        <w:rPr>
          <w:color w:val="auto"/>
          <w:highlight w:val="none"/>
        </w:rPr>
        <w:outlineLvl w:val="1"/>
      </w:pPr>
      <w:r/>
      <w:bookmarkStart w:id="276" w:name="_Toc26576"/>
      <w:r>
        <w:rPr>
          <w:rFonts w:hint="eastAsia" w:ascii="宋体" w:hAnsi="宋体" w:eastAsia="宋体" w:cs="宋体"/>
          <w:color w:val="auto"/>
          <w:highlight w:val="none"/>
        </w:rPr>
        <w:t xml:space="preserve">1、小微型企业价格扣除</w:t>
      </w:r>
      <w:bookmarkEnd w:id="276"/>
      <w:r/>
      <w:r/>
    </w:p>
    <w:p>
      <w:pPr>
        <w:pStyle w:val="824"/>
        <w:ind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（1）本项目对小型和微型企业产品给予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的扣除价格，用扣除后的价格参与评审。</w:t>
      </w:r>
      <w:r/>
    </w:p>
    <w:p>
      <w:pPr>
        <w:pStyle w:val="824"/>
        <w:ind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824"/>
        <w:ind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24"/>
        <w:ind w:firstLine="480"/>
        <w:spacing w:before="120" w:beforeAutospacing="0" w:after="120" w:afterAutospacing="0" w:line="0" w:lineRule="atLeast"/>
        <w:rPr>
          <w:color w:val="auto"/>
          <w:highlight w:val="none"/>
        </w:rPr>
        <w:outlineLvl w:val="1"/>
      </w:pPr>
      <w:r/>
      <w:bookmarkStart w:id="277" w:name="_Toc26720"/>
      <w:r>
        <w:rPr>
          <w:rFonts w:hint="eastAsia" w:ascii="宋体" w:hAnsi="宋体" w:eastAsia="宋体" w:cs="宋体"/>
          <w:color w:val="auto"/>
          <w:highlight w:val="none"/>
        </w:rPr>
        <w:t xml:space="preserve">2、残疾人福利单位价格扣除</w:t>
      </w:r>
      <w:bookmarkEnd w:id="277"/>
      <w:r/>
      <w:r/>
    </w:p>
    <w:p>
      <w:pPr>
        <w:pStyle w:val="824"/>
        <w:ind w:left="120" w:firstLine="36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扣除价格</w:t>
      </w:r>
      <w:r/>
    </w:p>
    <w:p>
      <w:pPr>
        <w:pStyle w:val="824"/>
        <w:ind w:left="120"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24"/>
        <w:ind w:left="120"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24"/>
        <w:ind w:firstLine="480"/>
        <w:spacing w:before="120" w:beforeAutospacing="0" w:after="120" w:afterAutospacing="0" w:line="0" w:lineRule="atLeast"/>
        <w:rPr>
          <w:color w:val="auto"/>
          <w:highlight w:val="none"/>
        </w:rPr>
        <w:outlineLvl w:val="1"/>
      </w:pPr>
      <w:r/>
      <w:bookmarkStart w:id="278" w:name="_Toc8570"/>
      <w:r>
        <w:rPr>
          <w:rFonts w:hint="eastAsia" w:ascii="宋体" w:hAnsi="宋体" w:eastAsia="宋体" w:cs="宋体"/>
          <w:color w:val="auto"/>
          <w:highlight w:val="none"/>
        </w:rPr>
        <w:t xml:space="preserve">3、监狱和戒毒企业价格扣除</w:t>
      </w:r>
      <w:bookmarkEnd w:id="278"/>
      <w:r/>
      <w:r/>
    </w:p>
    <w:p>
      <w:pPr>
        <w:pStyle w:val="824"/>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扣除价格</w:t>
      </w:r>
      <w:r/>
    </w:p>
    <w:p>
      <w:pPr>
        <w:pStyle w:val="824"/>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4"/>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24"/>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24"/>
        <w:ind w:firstLine="480"/>
        <w:spacing w:before="120" w:beforeAutospacing="0" w:after="120" w:afterAutospacing="0" w:line="0" w:lineRule="atLeast"/>
        <w:rPr>
          <w:rFonts w:ascii="宋体" w:hAnsi="宋体" w:eastAsia="宋体" w:cs="宋体"/>
          <w:i w:val="0"/>
          <w:iCs w:val="0"/>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w:t>
      </w:r>
      <w:r>
        <w:rPr>
          <w:rFonts w:hint="eastAsia" w:ascii="宋体" w:hAnsi="宋体" w:eastAsia="宋体" w:cs="宋体"/>
          <w:i w:val="0"/>
          <w:iCs w:val="0"/>
          <w:color w:val="auto"/>
          <w:highlight w:val="none"/>
        </w:rPr>
        <w:t xml:space="preserve">监狱企业）的合同份额占到合同总金额30%以上的，给予联合体或者大中型企业</w:t>
      </w:r>
      <w:r>
        <w:rPr>
          <w:rFonts w:hint="eastAsia" w:ascii="宋体" w:hAnsi="宋体" w:eastAsia="宋体" w:cs="宋体"/>
          <w:i w:val="0"/>
          <w:iCs w:val="0"/>
          <w:color w:val="auto"/>
          <w:highlight w:val="none"/>
          <w:u w:val="single"/>
        </w:rPr>
        <w:t xml:space="preserve">6%</w:t>
      </w:r>
      <w:r>
        <w:rPr>
          <w:rFonts w:hint="eastAsia" w:ascii="宋体" w:hAnsi="宋体" w:eastAsia="宋体" w:cs="宋体"/>
          <w:i w:val="0"/>
          <w:iCs w:val="0"/>
          <w:color w:val="auto"/>
          <w:highlight w:val="none"/>
        </w:rPr>
        <w:t xml:space="preserve">的价格扣除，用扣除后的价格参与评审。</w:t>
      </w:r>
      <w:r/>
    </w:p>
    <w:p>
      <w:pPr>
        <w:pStyle w:val="824"/>
        <w:ind w:firstLine="480"/>
        <w:spacing w:before="120" w:beforeAutospacing="0" w:after="120" w:afterAutospacing="0" w:line="0" w:lineRule="atLeast"/>
        <w:rPr>
          <w:rFonts w:ascii="宋体" w:hAnsi="宋体" w:eastAsia="宋体" w:cs="宋体"/>
          <w:i w:val="0"/>
          <w:iCs w:val="0"/>
          <w:color w:val="auto"/>
          <w:highlight w:val="none"/>
          <w:u w:val="single"/>
        </w:rPr>
      </w:pPr>
      <w:r>
        <w:rPr>
          <w:rFonts w:hint="eastAsia" w:ascii="宋体" w:hAnsi="宋体" w:eastAsia="宋体" w:cs="宋体"/>
          <w:i w:val="0"/>
          <w:iCs w:val="0"/>
          <w:color w:val="auto"/>
          <w:highlight w:val="none"/>
        </w:rPr>
        <w:t xml:space="preserve">6、联合体各方均为小型、微型企业（残疾人福利单位、监狱企业）的，联合体享受</w:t>
      </w:r>
      <w:r>
        <w:rPr>
          <w:rFonts w:hint="eastAsia" w:ascii="宋体" w:hAnsi="宋体" w:eastAsia="宋体" w:cs="宋体"/>
          <w:i w:val="0"/>
          <w:iCs w:val="0"/>
          <w:color w:val="auto"/>
          <w:highlight w:val="none"/>
          <w:u w:val="single"/>
        </w:rPr>
        <w:t xml:space="preserve">20%</w:t>
      </w:r>
      <w:r>
        <w:rPr>
          <w:rFonts w:hint="eastAsia" w:ascii="宋体" w:hAnsi="宋体" w:eastAsia="宋体" w:cs="宋体"/>
          <w:i w:val="0"/>
          <w:iCs w:val="0"/>
          <w:color w:val="auto"/>
          <w:highlight w:val="none"/>
        </w:rPr>
        <w:t xml:space="preserve">扣除价格</w:t>
      </w:r>
      <w:r>
        <w:rPr>
          <w:rFonts w:hint="eastAsia" w:ascii="宋体" w:hAnsi="宋体" w:eastAsia="宋体" w:cs="宋体"/>
          <w:i w:val="0"/>
          <w:iCs w:val="0"/>
          <w:color w:val="auto"/>
          <w:highlight w:val="none"/>
          <w:u w:val="single"/>
        </w:rPr>
        <w:t xml:space="preserve">。</w:t>
      </w:r>
      <w:r/>
    </w:p>
    <w:p>
      <w:pPr>
        <w:ind w:firstLine="480"/>
        <w:rPr>
          <w:rFonts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val="0"/>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val="0"/>
          <w:iCs w:val="0"/>
          <w:color w:val="auto"/>
          <w:sz w:val="24"/>
          <w:highlight w:val="none"/>
        </w:rPr>
        <w:t xml:space="preserve">。其他条件相同情况下，应当优先采购节能产品、环境标志产品。</w:t>
      </w:r>
      <w:r/>
    </w:p>
    <w:p>
      <w:pPr>
        <w:ind w:firstLine="480"/>
        <w:rPr>
          <w:rFonts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8、供应商对于投标产品的商品包装、快递包装应按照《关于印发《商品包装政府采购需求标准（试行）》、《快递包装政府采购需求标准（试行）》的通知》</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财办库〔2020〕123号</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执行。</w:t>
      </w:r>
      <w:r/>
    </w:p>
    <w:p>
      <w:pPr>
        <w:ind w:firstLine="480"/>
        <w:rPr>
          <w:rFonts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9、本文件中若涉及到数据中心采购，应按照《&lt;绿色数据中心政府采购需求标准（试行）&gt;的通知》（财库〔2023〕7号）执行。</w:t>
      </w:r>
      <w:r/>
    </w:p>
    <w:p>
      <w:pPr>
        <w:pStyle w:val="824"/>
        <w:ind w:firstLine="473"/>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10、根据《江苏省政府采购信用管理暂行办法》的规定，供应商信用评价结果为三星的扣2分，评价结果为二星的扣3分，评价结果为一星的扣4分。</w:t>
      </w:r>
      <w:r/>
    </w:p>
    <w:p>
      <w:pPr>
        <w:ind w:firstLine="422"/>
        <w:spacing w:line="500" w:lineRule="exact"/>
        <w:rPr>
          <w:rFonts w:hint="eastAsia" w:ascii="宋体" w:hAnsi="宋体" w:eastAsia="宋体" w:cs="宋体"/>
          <w:b/>
          <w:bCs/>
          <w:color w:val="auto"/>
          <w:sz w:val="24"/>
          <w:szCs w:val="24"/>
          <w:highlight w:val="none"/>
        </w:rPr>
      </w:pPr>
      <w:r>
        <w:rPr>
          <w:rFonts w:hint="eastAsia" w:ascii="宋体" w:hAnsi="宋体" w:eastAsia="宋体" w:cs="宋体"/>
          <w:b/>
          <w:color w:val="auto"/>
          <w:highlight w:val="none"/>
        </w:rPr>
        <w:t xml:space="preserve">评标方法与评标标准</w:t>
      </w:r>
      <w:r>
        <w:rPr>
          <w:rFonts w:hint="eastAsia" w:ascii="宋体" w:hAnsi="宋体" w:eastAsia="宋体" w:cs="宋体"/>
          <w:b/>
          <w:color w:val="auto"/>
          <w:highlight w:val="none"/>
          <w:lang w:eastAsia="zh-CN"/>
        </w:rPr>
        <w:t xml:space="preserve">：</w:t>
      </w:r>
      <w:r>
        <w:rPr>
          <w:rFonts w:hint="eastAsia" w:ascii="宋体" w:hAnsi="宋体" w:eastAsia="宋体" w:cs="宋体"/>
          <w:b/>
          <w:bCs/>
          <w:color w:val="auto"/>
          <w:sz w:val="24"/>
          <w:szCs w:val="24"/>
          <w:highlight w:val="none"/>
        </w:rPr>
        <w:t xml:space="preserve">本项目评分总分值为100分。</w:t>
      </w:r>
      <w:r/>
    </w:p>
    <w:tbl>
      <w:tblPr>
        <w:tblStyle w:val="816"/>
        <w:tblW w:w="512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09"/>
        <w:gridCol w:w="1050"/>
        <w:gridCol w:w="605"/>
        <w:gridCol w:w="6476"/>
      </w:tblGrid>
      <w:tr>
        <w:trPr>
          <w:jc w:val="center"/>
          <w:trHeight w:val="626"/>
        </w:trPr>
        <w:tc>
          <w:tcPr>
            <w:tcBorders>
              <w:top w:val="single" w:color="auto" w:sz="4"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6" w:space="0"/>
              <w:bottom w:val="single" w:color="auto" w:sz="6" w:space="0"/>
              <w:right w:val="single" w:color="auto" w:sz="6" w:space="0"/>
            </w:tcBorders>
            <w:tcW w:w="10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评审因素</w:t>
            </w:r>
            <w:r/>
          </w:p>
        </w:tc>
        <w:tc>
          <w:tcPr>
            <w:tcBorders>
              <w:top w:val="single" w:color="auto" w:sz="4"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65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评审要求或标准</w:t>
            </w:r>
            <w:r/>
          </w:p>
        </w:tc>
      </w:tr>
      <w:tr>
        <w:trPr>
          <w:jc w:val="center"/>
          <w:trHeight w:val="2111"/>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pacing w:val="-12"/>
                <w:sz w:val="24"/>
                <w:szCs w:val="24"/>
                <w:highlight w:val="none"/>
              </w:rPr>
              <w:suppressLineNumbers w:val="0"/>
            </w:pPr>
            <w:r>
              <w:rPr>
                <w:rFonts w:hint="eastAsia" w:ascii="宋体" w:hAnsi="宋体" w:eastAsia="宋体" w:cs="宋体"/>
                <w:color w:val="auto"/>
                <w:sz w:val="24"/>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30</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lang w:val="zh-CN" w:eastAsia="zh-CN" w:bidi="ar-SA"/>
              </w:rPr>
              <w:outlineLvl w:val="9"/>
              <w:suppressLineNumbers w:val="0"/>
            </w:pPr>
            <w:r>
              <w:rPr>
                <w:rFonts w:hint="eastAsia" w:ascii="宋体" w:hAnsi="宋体" w:eastAsia="宋体" w:cs="宋体"/>
                <w:b w:val="0"/>
                <w:bCs w:val="0"/>
                <w:color w:val="auto"/>
                <w:sz w:val="24"/>
                <w:szCs w:val="24"/>
                <w:highlight w:val="none"/>
                <w:lang w:val="zh-CN" w:eastAsia="zh-CN" w:bidi="ar-SA"/>
              </w:rPr>
              <w:t xml:space="preserve">价格分应当采用低价优先法计算，即满足招标文件要求且报价价格最低的为评标基准价，其价格分为满分。其他响应供应商的价格分统一按照下列公式计算：</w:t>
            </w:r>
            <w:r/>
          </w:p>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lang w:val="zh-CN" w:eastAsia="zh-CN" w:bidi="ar-SA"/>
              </w:rPr>
              <w:outlineLvl w:val="9"/>
              <w:suppressLineNumbers w:val="0"/>
            </w:pPr>
            <w:r>
              <w:rPr>
                <w:rFonts w:hint="eastAsia" w:ascii="宋体" w:hAnsi="宋体" w:eastAsia="宋体" w:cs="宋体"/>
                <w:b w:val="0"/>
                <w:bCs w:val="0"/>
                <w:color w:val="auto"/>
                <w:sz w:val="24"/>
                <w:szCs w:val="24"/>
                <w:highlight w:val="none"/>
                <w:lang w:val="zh-CN" w:eastAsia="zh-CN" w:bidi="ar-SA"/>
              </w:rPr>
              <w:t xml:space="preserve">报价得分=(评审基准价／</w:t>
            </w:r>
            <w:r>
              <w:rPr>
                <w:rFonts w:hint="eastAsia" w:ascii="宋体" w:hAnsi="宋体" w:eastAsia="宋体"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zh-CN" w:eastAsia="zh-CN" w:bidi="ar-SA"/>
              </w:rPr>
              <w:t xml:space="preserve">报价)×价格分分值</w:t>
            </w:r>
            <w:r/>
          </w:p>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zh-CN" w:eastAsia="zh-CN" w:bidi="ar-SA"/>
              </w:rPr>
              <w:t xml:space="preserve">评审标过程中，不得去掉报价中的最高报价和最低报价。因落实政府采购政策进行价格调整的，以调整后的价格计算评审基准价和</w:t>
            </w:r>
            <w:r>
              <w:rPr>
                <w:rFonts w:hint="eastAsia" w:ascii="宋体" w:hAnsi="宋体" w:eastAsia="宋体"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zh-CN" w:eastAsia="zh-CN" w:bidi="ar-SA"/>
              </w:rPr>
              <w:t xml:space="preserve">报价。</w:t>
            </w:r>
            <w:r/>
          </w:p>
        </w:tc>
      </w:tr>
      <w:tr>
        <w:trPr>
          <w:jc w:val="center"/>
          <w:trHeight w:val="752"/>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业绩</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lang w:val="zh-CN" w:eastAsia="zh-CN" w:bidi="ar-SA"/>
              </w:rPr>
              <w:outlineLvl w:val="9"/>
              <w:suppressLineNumbers w:val="0"/>
            </w:pPr>
            <w:r>
              <w:rPr>
                <w:rFonts w:hint="eastAsia" w:ascii="宋体" w:hAnsi="宋体" w:cs="宋体"/>
                <w:b w:val="0"/>
                <w:bCs w:val="0"/>
                <w:color w:val="auto"/>
                <w:sz w:val="24"/>
                <w:szCs w:val="24"/>
                <w:highlight w:val="none"/>
                <w:lang w:val="en-US" w:eastAsia="zh-CN" w:bidi="ar-SA"/>
              </w:rPr>
              <w:t xml:space="preserve">提供</w:t>
            </w:r>
            <w:r>
              <w:rPr>
                <w:rFonts w:hint="eastAsia" w:ascii="宋体" w:hAnsi="宋体" w:eastAsia="宋体" w:cs="宋体"/>
                <w:b w:val="0"/>
                <w:bCs w:val="0"/>
                <w:color w:val="auto"/>
                <w:sz w:val="24"/>
                <w:szCs w:val="24"/>
                <w:highlight w:val="none"/>
                <w:lang w:val="zh-CN"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21</w:t>
            </w:r>
            <w:r>
              <w:rPr>
                <w:rFonts w:hint="eastAsia" w:ascii="宋体" w:hAnsi="宋体" w:eastAsia="宋体" w:cs="宋体"/>
                <w:b w:val="0"/>
                <w:bCs w:val="0"/>
                <w:color w:val="auto"/>
                <w:sz w:val="24"/>
                <w:szCs w:val="24"/>
                <w:highlight w:val="none"/>
                <w:lang w:val="zh-CN" w:eastAsia="zh-CN" w:bidi="ar-SA"/>
              </w:rPr>
              <w:t xml:space="preserve">年1月1日以来（以合同签订时间为准）</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胃肠镜</w:t>
            </w:r>
            <w:r>
              <w:rPr>
                <w:rFonts w:hint="eastAsia" w:ascii="宋体" w:hAnsi="宋体" w:cs="宋体"/>
                <w:b w:val="0"/>
                <w:bCs w:val="0"/>
                <w:color w:val="auto"/>
                <w:sz w:val="24"/>
                <w:szCs w:val="24"/>
                <w:highlight w:val="none"/>
                <w:lang w:val="en-US" w:eastAsia="zh-CN" w:bidi="ar-SA"/>
              </w:rPr>
              <w:t xml:space="preserve">（主机）</w:t>
            </w:r>
            <w:r>
              <w:rPr>
                <w:rFonts w:hint="eastAsia" w:ascii="宋体" w:hAnsi="宋体" w:eastAsia="宋体" w:cs="宋体"/>
                <w:b w:val="0"/>
                <w:bCs w:val="0"/>
                <w:color w:val="auto"/>
                <w:sz w:val="24"/>
                <w:szCs w:val="24"/>
                <w:highlight w:val="none"/>
                <w:lang w:val="en-US" w:eastAsia="zh-CN" w:bidi="ar-SA"/>
              </w:rPr>
              <w:t xml:space="preserve">同品牌、同类型产品</w:t>
            </w:r>
            <w:r>
              <w:rPr>
                <w:rFonts w:hint="eastAsia" w:ascii="宋体" w:hAnsi="宋体" w:eastAsia="宋体" w:cs="宋体"/>
                <w:b w:val="0"/>
                <w:bCs w:val="0"/>
                <w:color w:val="auto"/>
                <w:sz w:val="24"/>
                <w:szCs w:val="24"/>
                <w:highlight w:val="none"/>
                <w:lang w:val="zh-CN" w:eastAsia="zh-CN" w:bidi="ar-SA"/>
              </w:rPr>
              <w:t xml:space="preserve">的业绩</w:t>
            </w:r>
            <w:r>
              <w:rPr>
                <w:rFonts w:hint="eastAsia" w:ascii="宋体" w:hAnsi="宋体" w:cs="宋体"/>
                <w:b w:val="0"/>
                <w:bCs w:val="0"/>
                <w:color w:val="auto"/>
                <w:sz w:val="24"/>
                <w:szCs w:val="24"/>
                <w:highlight w:val="none"/>
                <w:lang w:val="en-US" w:eastAsia="zh-CN" w:bidi="ar-SA"/>
              </w:rPr>
              <w:t xml:space="preserve">的得3分</w:t>
            </w:r>
            <w:r>
              <w:rPr>
                <w:rFonts w:hint="eastAsia" w:ascii="宋体" w:hAnsi="宋体" w:eastAsia="宋体" w:cs="宋体"/>
                <w:b w:val="0"/>
                <w:bCs w:val="0"/>
                <w:color w:val="auto"/>
                <w:sz w:val="24"/>
                <w:szCs w:val="24"/>
                <w:highlight w:val="none"/>
                <w:lang w:val="zh-CN" w:eastAsia="zh-CN" w:bidi="ar-SA"/>
              </w:rPr>
              <w:t xml:space="preserve">，每</w:t>
            </w:r>
            <w:r>
              <w:rPr>
                <w:rFonts w:hint="eastAsia" w:ascii="宋体" w:hAnsi="宋体" w:cs="宋体"/>
                <w:b w:val="0"/>
                <w:bCs w:val="0"/>
                <w:color w:val="auto"/>
                <w:sz w:val="24"/>
                <w:szCs w:val="24"/>
                <w:highlight w:val="none"/>
                <w:lang w:val="en-US" w:eastAsia="zh-CN" w:bidi="ar-SA"/>
              </w:rPr>
              <w:t xml:space="preserve">多</w:t>
            </w:r>
            <w:r>
              <w:rPr>
                <w:rFonts w:hint="eastAsia" w:ascii="宋体" w:hAnsi="宋体" w:eastAsia="宋体" w:cs="宋体"/>
                <w:b w:val="0"/>
                <w:bCs w:val="0"/>
                <w:color w:val="auto"/>
                <w:sz w:val="24"/>
                <w:szCs w:val="24"/>
                <w:highlight w:val="none"/>
                <w:lang w:val="zh-CN" w:eastAsia="zh-CN" w:bidi="ar-SA"/>
              </w:rPr>
              <w:t xml:space="preserve">提供一</w:t>
            </w:r>
            <w:r>
              <w:rPr>
                <w:rFonts w:hint="eastAsia" w:ascii="宋体" w:hAnsi="宋体" w:eastAsia="宋体" w:cs="宋体"/>
                <w:b w:val="0"/>
                <w:bCs w:val="0"/>
                <w:color w:val="auto"/>
                <w:sz w:val="24"/>
                <w:szCs w:val="24"/>
                <w:highlight w:val="none"/>
                <w:lang w:val="en-US" w:eastAsia="zh-CN" w:bidi="ar-SA"/>
              </w:rPr>
              <w:t xml:space="preserve">项</w:t>
            </w:r>
            <w:r>
              <w:rPr>
                <w:rFonts w:hint="eastAsia" w:ascii="宋体" w:hAnsi="宋体" w:eastAsia="宋体" w:cs="宋体"/>
                <w:b w:val="0"/>
                <w:bCs w:val="0"/>
                <w:color w:val="auto"/>
                <w:sz w:val="24"/>
                <w:szCs w:val="24"/>
                <w:highlight w:val="none"/>
                <w:lang w:val="zh-CN" w:eastAsia="zh-CN" w:bidi="ar-SA"/>
              </w:rPr>
              <w:t xml:space="preserve">业绩</w:t>
            </w:r>
            <w:r>
              <w:rPr>
                <w:rFonts w:hint="eastAsia" w:ascii="宋体" w:hAnsi="宋体" w:eastAsia="宋体" w:cs="宋体"/>
                <w:b w:val="0"/>
                <w:bCs w:val="0"/>
                <w:color w:val="auto"/>
                <w:sz w:val="24"/>
                <w:szCs w:val="24"/>
                <w:highlight w:val="none"/>
                <w:lang w:val="en-US" w:eastAsia="zh-CN" w:bidi="ar-SA"/>
              </w:rPr>
              <w:t xml:space="preserve">加</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zh-CN" w:eastAsia="zh-CN" w:bidi="ar-SA"/>
              </w:rPr>
              <w:t xml:space="preserve">分，最高得</w:t>
            </w: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zh-CN" w:eastAsia="zh-CN" w:bidi="ar-SA"/>
              </w:rPr>
              <w:t xml:space="preserve">分；</w:t>
            </w:r>
            <w:r/>
          </w:p>
          <w:p>
            <w:pPr>
              <w:ind w:left="0" w:right="0"/>
              <w:keepLines w:val="0"/>
              <w:keepNext w:val="0"/>
              <w:spacing w:before="0" w:beforeAutospacing="0" w:after="0" w:afterAutospacing="0"/>
              <w:rPr>
                <w:rFonts w:hint="eastAsia"/>
                <w:color w:val="auto"/>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（以上业绩需提供网址清晰可辨的中标公告截图</w:t>
            </w:r>
            <w:r>
              <w:rPr>
                <w:rFonts w:hint="eastAsia" w:ascii="宋体" w:hAnsi="宋体" w:cs="宋体"/>
                <w:b w:val="0"/>
                <w:bCs w:val="0"/>
                <w:color w:val="auto"/>
                <w:sz w:val="24"/>
                <w:szCs w:val="24"/>
                <w:highlight w:val="none"/>
                <w:lang w:val="en-US" w:eastAsia="zh-CN" w:bidi="ar-SA"/>
              </w:rPr>
              <w:t xml:space="preserve">及</w:t>
            </w:r>
            <w:r>
              <w:rPr>
                <w:rFonts w:hint="eastAsia" w:ascii="宋体" w:hAnsi="宋体" w:eastAsia="宋体" w:cs="宋体"/>
                <w:b w:val="0"/>
                <w:bCs w:val="0"/>
                <w:color w:val="auto"/>
                <w:sz w:val="24"/>
                <w:szCs w:val="24"/>
                <w:highlight w:val="none"/>
                <w:lang w:val="en-US" w:eastAsia="zh-CN" w:bidi="ar-SA"/>
              </w:rPr>
              <w:t xml:space="preserve">合同复印件；所提供资料内容必须完整，不得隐藏数据和文字，否则不得分）</w:t>
            </w:r>
            <w:r/>
          </w:p>
        </w:tc>
      </w:tr>
      <w:tr>
        <w:trPr>
          <w:jc w:val="center"/>
          <w:trHeight w:val="2411"/>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认证</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 胃肠镜生产厂商具备有效期内的ISO9001质量管理体系认证证书、ISO14001环境管理体系认证证书、ISO45001职业健康管理体系认证证书、13485医疗器械管理体系认证证书、每提供一份得1 分，不提供不得分，最多得4分。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须提供加盖投标人公章的证书复印件及认证证书查询官网“全国认证认可信息公共服务平台（</w:t>
            </w: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HYPERLINK "http://cx.cnca.cn/CertECloud/index/index/page" </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http://cx.cnca.cn/CertECloud/index/index/page</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”）相关有效信息截图，不提供或不在有效期范围内不得分。</w:t>
            </w:r>
            <w:r/>
          </w:p>
        </w:tc>
      </w:tr>
      <w:tr>
        <w:trPr>
          <w:jc w:val="center"/>
          <w:trHeight w:val="913"/>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售后服务</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pStyle w:val="817"/>
              <w:numPr>
                <w:ilvl w:val="0"/>
                <w:numId w:val="3"/>
              </w:numPr>
              <w:ind w:left="0" w:right="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投标人承诺投标的胃肠镜</w:t>
            </w:r>
            <w:r>
              <w:rPr>
                <w:rFonts w:hint="eastAsia" w:ascii="宋体" w:hAnsi="宋体" w:eastAsia="宋体" w:cs="宋体"/>
                <w:color w:val="auto"/>
                <w:sz w:val="24"/>
                <w:szCs w:val="24"/>
                <w:highlight w:val="none"/>
              </w:rPr>
              <w:t xml:space="preserve">满足采购人免费</w:t>
            </w:r>
            <w:r>
              <w:rPr>
                <w:rFonts w:hint="eastAsia" w:ascii="宋体" w:hAnsi="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质保</w:t>
            </w:r>
            <w:r>
              <w:rPr>
                <w:rFonts w:hint="eastAsia" w:ascii="宋体" w:hAnsi="宋体" w:eastAsia="宋体" w:cs="宋体"/>
                <w:color w:val="auto"/>
                <w:sz w:val="24"/>
                <w:szCs w:val="24"/>
                <w:highlight w:val="none"/>
                <w:lang w:val="en-US" w:eastAsia="zh-CN"/>
              </w:rPr>
              <w:t xml:space="preserve">在2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基础上，</w:t>
            </w:r>
            <w:r>
              <w:rPr>
                <w:rFonts w:hint="eastAsia" w:ascii="宋体" w:hAnsi="宋体" w:eastAsia="宋体" w:cs="宋体"/>
                <w:color w:val="auto"/>
                <w:sz w:val="24"/>
                <w:szCs w:val="24"/>
                <w:highlight w:val="none"/>
              </w:rPr>
              <w:t xml:space="preserve">整机免费</w:t>
            </w:r>
            <w:r>
              <w:rPr>
                <w:rFonts w:hint="eastAsia" w:ascii="宋体" w:hAnsi="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质保</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延长</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加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 </w:t>
            </w:r>
            <w:r>
              <w:rPr>
                <w:rFonts w:hint="eastAsia" w:ascii="宋体" w:hAnsi="宋体" w:eastAsia="宋体" w:cs="宋体"/>
                <w:color w:val="auto"/>
                <w:sz w:val="24"/>
                <w:szCs w:val="24"/>
                <w:highlight w:val="none"/>
                <w:lang w:val="en-US" w:eastAsia="zh-CN"/>
              </w:rPr>
              <w:t xml:space="preserve">加</w:t>
            </w:r>
            <w:r>
              <w:rPr>
                <w:rFonts w:hint="eastAsia" w:ascii="宋体" w:hAnsi="宋体" w:eastAsia="宋体" w:cs="宋体"/>
                <w:color w:val="auto"/>
                <w:sz w:val="24"/>
                <w:szCs w:val="24"/>
                <w:highlight w:val="none"/>
              </w:rPr>
              <w:t xml:space="preserve">3 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格式后附）</w:t>
            </w:r>
            <w:r>
              <w:rPr>
                <w:rFonts w:hint="eastAsia" w:ascii="宋体" w:hAnsi="宋体" w:eastAsia="宋体" w:cs="宋体"/>
                <w:color w:val="auto"/>
                <w:sz w:val="24"/>
                <w:szCs w:val="24"/>
                <w:highlight w:val="none"/>
              </w:rPr>
              <w:t xml:space="preserve">。</w:t>
            </w:r>
            <w:r/>
          </w:p>
          <w:p>
            <w:pPr>
              <w:pStyle w:val="817"/>
              <w:numPr>
                <w:ilvl w:val="0"/>
                <w:numId w:val="0"/>
              </w:numPr>
              <w:ind w:left="0" w:right="0"/>
              <w:jc w:val="both"/>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承诺在质保期满后只收</w:t>
            </w:r>
            <w:r>
              <w:rPr>
                <w:rFonts w:hint="eastAsia" w:ascii="宋体" w:hAnsi="宋体" w:eastAsia="宋体" w:cs="宋体"/>
                <w:color w:val="auto"/>
                <w:sz w:val="24"/>
                <w:szCs w:val="24"/>
                <w:highlight w:val="none"/>
                <w:lang w:val="en-US" w:eastAsia="zh-CN"/>
              </w:rPr>
              <w:t xml:space="preserve">材料、配件</w:t>
            </w:r>
            <w:r>
              <w:rPr>
                <w:rFonts w:hint="eastAsia" w:ascii="宋体" w:hAnsi="宋体" w:eastAsia="宋体" w:cs="宋体"/>
                <w:color w:val="auto"/>
                <w:sz w:val="24"/>
                <w:szCs w:val="24"/>
                <w:highlight w:val="none"/>
              </w:rPr>
              <w:t xml:space="preserve">成本费、不收人工费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差旅费等其他费用</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2分，不提供</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格式后附）</w:t>
            </w:r>
            <w:r/>
          </w:p>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承诺终身提供零配件</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2分，不提供</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格式后附）</w:t>
            </w:r>
            <w:r/>
          </w:p>
          <w:p>
            <w:pPr>
              <w:pStyle w:val="817"/>
              <w:ind w:left="0" w:right="0"/>
              <w:jc w:val="both"/>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4、投标胃肠镜生产厂商在江苏省内有售后服务人员得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分，（提供厂家认证的售后人员证书及在</w:t>
            </w:r>
            <w:r>
              <w:rPr>
                <w:rFonts w:hint="eastAsia" w:ascii="宋体" w:hAnsi="宋体" w:cs="宋体"/>
                <w:color w:val="auto"/>
                <w:sz w:val="24"/>
                <w:szCs w:val="24"/>
                <w:highlight w:val="none"/>
                <w:lang w:val="en-US" w:eastAsia="zh-CN"/>
              </w:rPr>
              <w:t xml:space="preserve">售后服务人员</w:t>
            </w:r>
            <w:r>
              <w:rPr>
                <w:rFonts w:hint="eastAsia" w:ascii="宋体" w:hAnsi="宋体" w:eastAsia="宋体" w:cs="宋体"/>
                <w:color w:val="auto"/>
                <w:sz w:val="24"/>
                <w:szCs w:val="24"/>
                <w:highlight w:val="none"/>
                <w:lang w:val="en-US" w:eastAsia="zh-CN"/>
              </w:rPr>
              <w:t xml:space="preserve">开标前近3个月内任意一个月在省内缴纳社保的证明材料复印件）。</w:t>
            </w:r>
            <w:r/>
          </w:p>
        </w:tc>
      </w:tr>
      <w:tr>
        <w:trPr>
          <w:jc w:val="center"/>
          <w:trHeight w:val="2042"/>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参数响应情况</w:t>
            </w:r>
            <w:r/>
          </w:p>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28</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基础分为</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分，由评标委员会根据投标设备参数的响应情况，评定为正负偏离后，如投标有一项负偏离的，扣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分，如有一项★（星号）参数不能满足的，扣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分，依次类推</w:t>
            </w:r>
            <w:r>
              <w:rPr>
                <w:rFonts w:hint="eastAsia" w:ascii="宋体" w:hAnsi="宋体" w:eastAsia="宋体" w:cs="宋体"/>
                <w:color w:val="auto"/>
                <w:sz w:val="24"/>
                <w:szCs w:val="24"/>
                <w:highlight w:val="none"/>
                <w:lang w:val="en-US" w:eastAsia="zh-CN"/>
              </w:rPr>
              <w:t xml:space="preserve">扣完为止；标注▲（三角形）参数不接受负偏离，如有负偏离视同未实质性响应招标文件，符合性评审不予通过。</w:t>
            </w:r>
            <w:r/>
          </w:p>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参数需求中列明的参数均为最低标准，不满足即为负偏离。</w:t>
            </w:r>
            <w:r/>
          </w:p>
        </w:tc>
      </w:tr>
      <w:tr>
        <w:trPr>
          <w:jc w:val="center"/>
          <w:trHeight w:val="1267"/>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供货、安装方案</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根据投标供应商提供的</w:t>
            </w:r>
            <w:r>
              <w:rPr>
                <w:rFonts w:hint="eastAsia" w:ascii="宋体" w:hAnsi="宋体" w:eastAsia="宋体" w:cs="宋体"/>
                <w:color w:val="auto"/>
                <w:sz w:val="24"/>
                <w:szCs w:val="24"/>
                <w:highlight w:val="none"/>
                <w:lang w:val="en-US" w:eastAsia="zh-CN"/>
              </w:rPr>
              <w:t xml:space="preserve">供货、安装方案</w:t>
            </w:r>
            <w:r>
              <w:rPr>
                <w:rFonts w:hint="eastAsia" w:ascii="宋体" w:hAnsi="宋体" w:eastAsia="宋体" w:cs="宋体"/>
                <w:color w:val="auto"/>
                <w:sz w:val="24"/>
                <w:szCs w:val="24"/>
                <w:highlight w:val="none"/>
              </w:rPr>
              <w:t xml:space="preserve">进行综合评审，</w:t>
            </w:r>
            <w:r>
              <w:rPr>
                <w:rFonts w:hint="eastAsia" w:ascii="宋体" w:hAnsi="宋体" w:eastAsia="宋体" w:cs="宋体"/>
                <w:color w:val="auto"/>
                <w:sz w:val="24"/>
                <w:szCs w:val="24"/>
                <w:highlight w:val="none"/>
                <w:lang w:val="en-US" w:eastAsia="zh-CN"/>
              </w:rPr>
              <w:t xml:space="preserve">供货方案的合理、供货期保障措施得力、安装</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科学合理得10.0分，方案合理、可行、有细微缺陷得8.0分，方案可行、措施不得力得6.0分，未提供方案或有重大缺陷本项不得分</w:t>
            </w:r>
            <w:r>
              <w:rPr>
                <w:rFonts w:hint="eastAsia" w:ascii="宋体" w:hAnsi="宋体" w:eastAsia="宋体" w:cs="宋体"/>
                <w:color w:val="auto"/>
                <w:sz w:val="24"/>
                <w:szCs w:val="24"/>
                <w:highlight w:val="none"/>
              </w:rPr>
              <w:t xml:space="preserve">。</w:t>
            </w:r>
            <w:r/>
          </w:p>
        </w:tc>
      </w:tr>
      <w:tr>
        <w:trPr>
          <w:jc w:val="center"/>
          <w:trHeight w:val="1150"/>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rPr>
              <w:t xml:space="preserve">服务方案</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pStyle w:val="817"/>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根据投标供应商提供的售后服务方案进行综合评审，</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售后服务应答时间</w:t>
            </w:r>
            <w:r>
              <w:rPr>
                <w:rFonts w:hint="eastAsia" w:ascii="宋体" w:hAnsi="宋体" w:eastAsia="宋体" w:cs="宋体"/>
                <w:color w:val="auto"/>
                <w:sz w:val="24"/>
                <w:szCs w:val="24"/>
                <w:highlight w:val="none"/>
                <w:lang w:val="en-US" w:eastAsia="zh-CN"/>
              </w:rPr>
              <w:t xml:space="preserve">短</w:t>
            </w:r>
            <w:r>
              <w:rPr>
                <w:rFonts w:hint="eastAsia" w:ascii="宋体" w:hAnsi="宋体" w:eastAsia="宋体" w:cs="宋体"/>
                <w:color w:val="auto"/>
                <w:sz w:val="24"/>
                <w:szCs w:val="24"/>
                <w:highlight w:val="none"/>
              </w:rPr>
              <w:t xml:space="preserve">、处理时间</w:t>
            </w:r>
            <w:r>
              <w:rPr>
                <w:rFonts w:hint="eastAsia" w:ascii="宋体" w:hAnsi="宋体" w:eastAsia="宋体" w:cs="宋体"/>
                <w:color w:val="auto"/>
                <w:sz w:val="24"/>
                <w:szCs w:val="24"/>
                <w:highlight w:val="none"/>
                <w:lang w:val="en-US" w:eastAsia="zh-CN"/>
              </w:rPr>
              <w:t xml:space="preserve">短</w:t>
            </w:r>
            <w:r>
              <w:rPr>
                <w:rFonts w:hint="eastAsia" w:ascii="宋体" w:hAnsi="宋体" w:eastAsia="宋体" w:cs="宋体"/>
                <w:color w:val="auto"/>
                <w:sz w:val="24"/>
                <w:szCs w:val="24"/>
                <w:highlight w:val="none"/>
              </w:rPr>
              <w:t xml:space="preserve">、应急解决方案</w:t>
            </w:r>
            <w:r>
              <w:rPr>
                <w:rFonts w:hint="eastAsia" w:ascii="宋体" w:hAnsi="宋体" w:eastAsia="宋体" w:cs="宋体"/>
                <w:color w:val="auto"/>
                <w:sz w:val="24"/>
                <w:szCs w:val="24"/>
                <w:highlight w:val="none"/>
                <w:lang w:val="en-US" w:eastAsia="zh-CN"/>
              </w:rPr>
              <w:t xml:space="preserve">科学合理得10.0分，方案合理、可行、有细微缺陷得8.0分，方案可行、措施不得力得6.0分，未提供方案或有重大缺陷本项不得分</w:t>
            </w:r>
            <w:r>
              <w:rPr>
                <w:rFonts w:hint="eastAsia" w:ascii="宋体" w:hAnsi="宋体" w:eastAsia="宋体" w:cs="宋体"/>
                <w:color w:val="auto"/>
                <w:sz w:val="24"/>
                <w:szCs w:val="24"/>
                <w:highlight w:val="none"/>
              </w:rPr>
              <w:t xml:space="preserve">。</w:t>
            </w:r>
            <w:r/>
          </w:p>
        </w:tc>
      </w:tr>
      <w:tr>
        <w:trPr>
          <w:jc w:val="center"/>
          <w:trHeight w:val="1150"/>
        </w:trPr>
        <w:tc>
          <w:tcPr>
            <w:tcBorders>
              <w:top w:val="single" w:color="auto" w:sz="6" w:space="0"/>
              <w:left w:val="single" w:color="auto" w:sz="4" w:space="0"/>
              <w:bottom w:val="single" w:color="auto" w:sz="6"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062" w:type="dxa"/>
            <w:vAlign w:val="center"/>
            <w:textDirection w:val="lrTb"/>
            <w:noWrap w:val="false"/>
          </w:tcPr>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highlight w:val="none"/>
              </w:rPr>
              <w:t xml:space="preserve">节能</w:t>
            </w:r>
            <w:r/>
          </w:p>
        </w:tc>
        <w:tc>
          <w:tcPr>
            <w:tcBorders>
              <w:top w:val="single" w:color="auto" w:sz="6" w:space="0"/>
              <w:left w:val="single" w:color="auto" w:sz="6" w:space="0"/>
              <w:bottom w:val="single" w:color="auto" w:sz="6" w:space="0"/>
              <w:right w:val="single" w:color="auto" w:sz="6" w:space="0"/>
            </w:tcBorders>
            <w:tcW w:w="612" w:type="dxa"/>
            <w:vAlign w:val="center"/>
            <w:textDirection w:val="lrTb"/>
            <w:noWrap w:val="false"/>
          </w:tcPr>
          <w:p>
            <w:pPr>
              <w:pStyle w:val="817"/>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4" w:space="0"/>
            </w:tcBorders>
            <w:tcW w:w="6548" w:type="dxa"/>
            <w:vAlign w:val="center"/>
            <w:textDirection w:val="lrTb"/>
            <w:noWrap w:val="false"/>
          </w:tcPr>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r>
      <w:tr>
        <w:trPr>
          <w:jc w:val="center"/>
          <w:trHeight w:val="1150"/>
        </w:trPr>
        <w:tc>
          <w:tcPr>
            <w:tcBorders>
              <w:top w:val="single" w:color="auto" w:sz="6" w:space="0"/>
              <w:left w:val="single" w:color="auto" w:sz="4" w:space="0"/>
              <w:bottom w:val="single" w:color="auto" w:sz="4" w:space="0"/>
              <w:right w:val="single" w:color="auto" w:sz="6" w:space="0"/>
            </w:tcBorders>
            <w:tcW w:w="6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4" w:space="0"/>
              <w:right w:val="single" w:color="auto" w:sz="6" w:space="0"/>
            </w:tcBorders>
            <w:tcW w:w="1062" w:type="dxa"/>
            <w:vAlign w:val="center"/>
            <w:textDirection w:val="lrTb"/>
            <w:noWrap w:val="false"/>
          </w:tcPr>
          <w:p>
            <w:pPr>
              <w:pStyle w:val="817"/>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highlight w:val="none"/>
              </w:rPr>
              <w:t xml:space="preserve">环保</w:t>
            </w:r>
            <w:r/>
          </w:p>
        </w:tc>
        <w:tc>
          <w:tcPr>
            <w:tcBorders>
              <w:top w:val="single" w:color="auto" w:sz="6" w:space="0"/>
              <w:left w:val="single" w:color="auto" w:sz="6" w:space="0"/>
              <w:bottom w:val="single" w:color="auto" w:sz="4" w:space="0"/>
              <w:right w:val="single" w:color="auto" w:sz="6" w:space="0"/>
            </w:tcBorders>
            <w:tcW w:w="612" w:type="dxa"/>
            <w:vAlign w:val="center"/>
            <w:textDirection w:val="lrTb"/>
            <w:noWrap w:val="false"/>
          </w:tcPr>
          <w:p>
            <w:pPr>
              <w:pStyle w:val="817"/>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4" w:space="0"/>
              <w:right w:val="single" w:color="auto" w:sz="4" w:space="0"/>
            </w:tcBorders>
            <w:tcW w:w="6548" w:type="dxa"/>
            <w:vAlign w:val="center"/>
            <w:textDirection w:val="lrTb"/>
            <w:noWrap w:val="false"/>
          </w:tcPr>
          <w:p>
            <w:pPr>
              <w:pStyle w:val="817"/>
              <w:ind w:left="0" w:right="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24"/>
        <w:jc w:val="center"/>
        <w:keepNext/>
        <w:spacing w:beforeAutospacing="0" w:afterAutospacing="0"/>
        <w:rPr>
          <w:rFonts w:hint="eastAsia" w:ascii="黑体" w:hAnsi="宋体" w:eastAsia="黑体" w:cs="黑体"/>
          <w:color w:val="auto"/>
          <w:sz w:val="44"/>
          <w:szCs w:val="44"/>
          <w:highlight w:val="none"/>
        </w:rPr>
        <w:outlineLvl w:val="0"/>
      </w:pPr>
      <w:r/>
      <w:bookmarkStart w:id="279" w:name="_Toc17405"/>
      <w:r/>
      <w:r/>
    </w:p>
    <w:p>
      <w:pPr>
        <w:pStyle w:val="824"/>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824"/>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w:t>
      </w:r>
      <w:bookmarkEnd w:id="279"/>
      <w:r>
        <w:rPr>
          <w:rFonts w:hint="eastAsia" w:ascii="黑体" w:hAnsi="宋体" w:eastAsia="黑体" w:cs="黑体"/>
          <w:color w:val="auto"/>
          <w:sz w:val="44"/>
          <w:szCs w:val="44"/>
          <w:highlight w:val="none"/>
        </w:rPr>
        <w:t xml:space="preserve"> </w:t>
      </w:r>
      <w:r/>
    </w:p>
    <w:p>
      <w:pPr>
        <w:pStyle w:val="824"/>
        <w:jc w:val="center"/>
        <w:spacing w:beforeAutospacing="0" w:afterAutospacing="0"/>
        <w:rPr>
          <w:rFonts w:hint="eastAsia" w:ascii="宋体" w:hAnsi="宋体" w:eastAsia="宋体" w:cs="宋体"/>
          <w:b/>
          <w:color w:val="auto"/>
          <w:sz w:val="72"/>
          <w:szCs w:val="72"/>
          <w:highlight w:val="none"/>
        </w:rPr>
      </w:pPr>
      <w:r/>
      <w:bookmarkStart w:id="280" w:name="_Toc120614282"/>
      <w:r/>
      <w:bookmarkEnd w:id="280"/>
      <w:r/>
      <w:bookmarkStart w:id="281" w:name="_Toc49090576"/>
      <w:r/>
      <w:bookmarkEnd w:id="281"/>
      <w:r/>
      <w:bookmarkStart w:id="282" w:name="_Toc26554094"/>
      <w:r/>
      <w:bookmarkStart w:id="283" w:name="_Hlt26671244"/>
      <w:r/>
      <w:bookmarkStart w:id="284" w:name="_Hlt26955039"/>
      <w:r/>
      <w:r/>
    </w:p>
    <w:p>
      <w:pPr>
        <w:pStyle w:val="82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2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24"/>
        <w:jc w:val="both"/>
        <w:spacing w:beforeAutospacing="0" w:afterAutospacing="0"/>
        <w:rPr>
          <w:color w:val="auto"/>
          <w:highlight w:val="none"/>
        </w:rPr>
        <w:outlineLvl w:val="1"/>
      </w:pPr>
      <w:r/>
      <w:bookmarkStart w:id="285" w:name="_Toc14446"/>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bookmarkEnd w:id="285"/>
      <w:r/>
      <w:r/>
    </w:p>
    <w:p>
      <w:pPr>
        <w:pStyle w:val="82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ind w:left="480"/>
        <w:jc w:val="both"/>
        <w:spacing w:beforeAutospacing="0" w:afterAutospacing="0"/>
        <w:rPr>
          <w:i w:val="0"/>
          <w:iCs/>
          <w:color w:val="auto"/>
          <w:highlight w:val="none"/>
        </w:rPr>
        <w:outlineLvl w:val="1"/>
      </w:pPr>
      <w:r/>
      <w:bookmarkStart w:id="286" w:name="_Toc14050"/>
      <w:r>
        <w:rPr>
          <w:rFonts w:hint="eastAsia" w:ascii="宋体" w:hAnsi="宋体" w:eastAsia="宋体" w:cs="宋体"/>
          <w:i w:val="0"/>
          <w:iCs/>
          <w:color w:val="auto"/>
          <w:highlight w:val="none"/>
          <w:u w:val="single"/>
        </w:rPr>
        <w:t xml:space="preserve">一、法人或者其他组织的营业执照等证明文件，自然人的身份证明</w:t>
      </w:r>
      <w:bookmarkEnd w:id="286"/>
      <w:r/>
      <w:r/>
    </w:p>
    <w:p>
      <w:pPr>
        <w:ind w:firstLine="480"/>
        <w:jc w:val="left"/>
        <w:tabs>
          <w:tab w:val="left" w:pos="1331" w:leader="none"/>
        </w:tabs>
        <w:rPr>
          <w:rFonts w:hint="eastAsia" w:ascii="宋体" w:hAnsi="宋体" w:eastAsia="宋体" w:cs="宋体"/>
          <w:i w:val="0"/>
          <w:iCs/>
          <w:color w:val="auto"/>
          <w:sz w:val="24"/>
          <w:szCs w:val="24"/>
          <w:highlight w:val="none"/>
          <w:u w:val="single"/>
          <w:lang w:val="en-US" w:eastAsia="zh-CN" w:bidi="ar-SA"/>
        </w:rPr>
      </w:pPr>
      <w:r>
        <w:rPr>
          <w:rFonts w:hint="eastAsia" w:ascii="宋体" w:hAnsi="宋体" w:eastAsia="宋体" w:cs="宋体"/>
          <w:i w:val="0"/>
          <w:iCs/>
          <w:color w:val="auto"/>
          <w:sz w:val="24"/>
          <w:szCs w:val="24"/>
          <w:highlight w:val="none"/>
          <w:u w:val="single"/>
          <w:lang w:val="en-US" w:eastAsia="zh-CN" w:bidi="ar-SA"/>
        </w:rPr>
        <w:t xml:space="preserve">二、上一年度的财务状况报表（至少提供资产负债表、利润表、现金流量表，</w:t>
      </w:r>
      <w:r/>
    </w:p>
    <w:p>
      <w:pPr>
        <w:pStyle w:val="824"/>
        <w:ind w:left="480"/>
        <w:jc w:val="both"/>
        <w:spacing w:beforeAutospacing="0" w:afterAutospacing="0"/>
        <w:rPr>
          <w:i w:val="0"/>
          <w:iCs/>
          <w:color w:val="auto"/>
          <w:highlight w:val="none"/>
        </w:rPr>
      </w:pPr>
      <w:r>
        <w:rPr>
          <w:rFonts w:hint="eastAsia" w:ascii="宋体" w:hAnsi="宋体" w:eastAsia="宋体" w:cs="宋体"/>
          <w:i w:val="0"/>
          <w:iCs/>
          <w:color w:val="auto"/>
          <w:highlight w:val="none"/>
          <w:u w:val="single"/>
        </w:rPr>
        <w:t xml:space="preserve">投标人成立不满一年无需提供）</w:t>
      </w:r>
      <w:r/>
    </w:p>
    <w:p>
      <w:pPr>
        <w:pStyle w:val="824"/>
        <w:ind w:left="480"/>
        <w:jc w:val="both"/>
        <w:spacing w:beforeAutospacing="0" w:afterAutospacing="0"/>
        <w:rPr>
          <w:rFonts w:hint="eastAsia" w:ascii="宋体" w:hAnsi="宋体" w:eastAsia="宋体" w:cs="宋体"/>
          <w:i w:val="0"/>
          <w:iCs/>
          <w:color w:val="auto"/>
          <w:highlight w:val="none"/>
          <w:u w:val="single"/>
        </w:rPr>
        <w:outlineLvl w:val="1"/>
      </w:pPr>
      <w:r/>
      <w:bookmarkStart w:id="287" w:name="_Toc6430"/>
      <w:r>
        <w:rPr>
          <w:rFonts w:hint="eastAsia" w:ascii="宋体" w:hAnsi="宋体" w:eastAsia="宋体" w:cs="宋体"/>
          <w:i w:val="0"/>
          <w:iCs/>
          <w:color w:val="auto"/>
          <w:highlight w:val="none"/>
          <w:u w:val="single"/>
          <w:lang w:val="en-US" w:eastAsia="zh-CN"/>
        </w:rPr>
        <w:t xml:space="preserve">三</w:t>
      </w:r>
      <w:r>
        <w:rPr>
          <w:rFonts w:hint="eastAsia" w:ascii="宋体" w:hAnsi="宋体" w:eastAsia="宋体" w:cs="宋体"/>
          <w:i w:val="0"/>
          <w:iCs/>
          <w:color w:val="auto"/>
          <w:highlight w:val="none"/>
          <w:u w:val="single"/>
        </w:rPr>
        <w:t xml:space="preserve">、具备履行合同所必需的设备和专业技术能力的书面声明</w:t>
      </w:r>
      <w:bookmarkEnd w:id="287"/>
      <w:r/>
      <w:r/>
    </w:p>
    <w:p>
      <w:pPr>
        <w:pStyle w:val="824"/>
        <w:ind w:left="480"/>
        <w:jc w:val="both"/>
        <w:spacing w:beforeAutospacing="0" w:afterAutospacing="0"/>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lang w:val="en-US" w:eastAsia="zh-CN"/>
        </w:rPr>
        <w:t xml:space="preserve">四</w:t>
      </w:r>
      <w:r>
        <w:rPr>
          <w:rFonts w:hint="eastAsia" w:ascii="宋体" w:hAnsi="宋体" w:eastAsia="宋体" w:cs="宋体"/>
          <w:i w:val="0"/>
          <w:iCs/>
          <w:color w:val="auto"/>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4"/>
        <w:ind w:firstLine="480"/>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u w:val="single"/>
        </w:rPr>
        <w:t xml:space="preserve">五、参加政府采购活动前 3 年内在经营活动中没有重大违法记录的书面声明</w:t>
      </w:r>
      <w:r/>
    </w:p>
    <w:p>
      <w:pPr>
        <w:pStyle w:val="824"/>
        <w:ind w:firstLine="480"/>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u w:val="single"/>
        </w:rPr>
        <w:t xml:space="preserve">六、特定资格要求的证明文件（如果本项目设置特定资格要求，则需要提供）</w:t>
      </w:r>
      <w:r/>
    </w:p>
    <w:p>
      <w:pPr>
        <w:pStyle w:val="824"/>
        <w:ind w:firstLine="480"/>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u w:val="single"/>
        </w:rPr>
        <w:t xml:space="preserve">七、法人授权书</w:t>
      </w:r>
      <w:r/>
    </w:p>
    <w:p>
      <w:pPr>
        <w:pStyle w:val="824"/>
        <w:ind w:firstLine="480"/>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u w:val="single"/>
        </w:rPr>
        <w:t xml:space="preserve">八、投标函</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九、小微企业声明函</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十、残疾人福利性单位声明函</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十一、投标分项报价表</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十</w:t>
      </w:r>
      <w:r>
        <w:rPr>
          <w:rFonts w:hint="eastAsia" w:ascii="宋体" w:hAnsi="宋体" w:eastAsia="宋体" w:cs="宋体"/>
          <w:i w:val="0"/>
          <w:iCs/>
          <w:color w:val="auto"/>
          <w:highlight w:val="none"/>
          <w:u w:val="single"/>
          <w:lang w:val="en-US" w:eastAsia="zh-CN"/>
        </w:rPr>
        <w:t xml:space="preserve">二</w:t>
      </w:r>
      <w:r>
        <w:rPr>
          <w:rFonts w:hint="eastAsia" w:ascii="宋体" w:hAnsi="宋体" w:eastAsia="宋体" w:cs="宋体"/>
          <w:i w:val="0"/>
          <w:iCs/>
          <w:color w:val="auto"/>
          <w:highlight w:val="none"/>
          <w:u w:val="single"/>
        </w:rPr>
        <w:t xml:space="preserve">、技术要求响应及偏离表</w:t>
      </w:r>
      <w:r/>
    </w:p>
    <w:p>
      <w:pPr>
        <w:pStyle w:val="824"/>
        <w:ind w:firstLine="480"/>
        <w:jc w:val="both"/>
        <w:spacing w:beforeAutospacing="0" w:afterAutospacing="0" w:line="0" w:lineRule="atLeast"/>
        <w:rPr>
          <w:rFonts w:hint="default" w:ascii="宋体" w:hAnsi="宋体" w:eastAsia="宋体" w:cs="宋体"/>
          <w:i w:val="0"/>
          <w:iCs/>
          <w:color w:val="auto"/>
          <w:highlight w:val="none"/>
          <w:u w:val="single"/>
          <w:lang w:val="en-US" w:eastAsia="zh-CN"/>
        </w:rPr>
      </w:pPr>
      <w:r>
        <w:rPr>
          <w:rFonts w:hint="eastAsia" w:ascii="宋体" w:hAnsi="宋体" w:eastAsia="宋体" w:cs="宋体"/>
          <w:i w:val="0"/>
          <w:iCs/>
          <w:color w:val="auto"/>
          <w:highlight w:val="none"/>
          <w:u w:val="single"/>
          <w:lang w:val="en-US" w:eastAsia="zh-CN"/>
        </w:rPr>
        <w:t xml:space="preserve">十三、技术参数证明材料</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十四、商务要求响应及偏离表</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十五、开标一览表</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lang w:val="zh-CN"/>
        </w:rPr>
      </w:pPr>
      <w:r>
        <w:rPr>
          <w:rFonts w:hint="eastAsia" w:ascii="宋体" w:hAnsi="宋体" w:eastAsia="宋体" w:cs="宋体"/>
          <w:i w:val="0"/>
          <w:iCs/>
          <w:color w:val="auto"/>
          <w:highlight w:val="none"/>
          <w:u w:val="single"/>
          <w:lang w:val="en-US" w:eastAsia="zh-CN"/>
        </w:rPr>
        <w:t xml:space="preserve">十六、</w:t>
      </w:r>
      <w:r>
        <w:rPr>
          <w:rFonts w:hint="eastAsia" w:ascii="宋体" w:hAnsi="宋体" w:eastAsia="宋体" w:cs="宋体"/>
          <w:i w:val="0"/>
          <w:iCs/>
          <w:color w:val="auto"/>
          <w:highlight w:val="none"/>
          <w:u w:val="single"/>
          <w:lang w:val="zh-CN"/>
        </w:rPr>
        <w:t xml:space="preserve">备品备件明细表</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lang w:val="en-US" w:eastAsia="zh-CN"/>
        </w:rPr>
        <w:t xml:space="preserve">十七、</w:t>
      </w:r>
      <w:r>
        <w:rPr>
          <w:rFonts w:hint="eastAsia" w:ascii="宋体" w:hAnsi="宋体" w:eastAsia="宋体" w:cs="宋体"/>
          <w:i w:val="0"/>
          <w:iCs/>
          <w:color w:val="auto"/>
          <w:highlight w:val="none"/>
          <w:u w:val="single"/>
        </w:rPr>
        <w:t xml:space="preserve">设备主要部件更换报价表</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lang w:val="en-US" w:eastAsia="zh-CN"/>
        </w:rPr>
        <w:t xml:space="preserve">十八、</w:t>
      </w:r>
      <w:r>
        <w:rPr>
          <w:rFonts w:hint="eastAsia" w:ascii="宋体" w:hAnsi="宋体" w:eastAsia="宋体" w:cs="宋体"/>
          <w:i w:val="0"/>
          <w:iCs/>
          <w:color w:val="auto"/>
          <w:highlight w:val="none"/>
          <w:u w:val="single"/>
        </w:rPr>
        <w:t xml:space="preserve">易损件明细表</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lang w:val="en-US" w:eastAsia="zh-CN"/>
        </w:rPr>
      </w:pPr>
      <w:r>
        <w:rPr>
          <w:rFonts w:hint="eastAsia" w:ascii="宋体" w:hAnsi="宋体" w:eastAsia="宋体" w:cs="宋体"/>
          <w:i w:val="0"/>
          <w:iCs/>
          <w:color w:val="auto"/>
          <w:highlight w:val="none"/>
          <w:u w:val="single"/>
          <w:lang w:val="en-US" w:eastAsia="zh-CN"/>
        </w:rPr>
        <w:t xml:space="preserve">十九、质保承诺函</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lang w:val="en-US" w:eastAsia="zh-CN"/>
        </w:rPr>
        <w:t xml:space="preserve">二十、脱保后服务承诺</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lang w:val="en-US" w:eastAsia="zh-CN"/>
        </w:rPr>
      </w:pPr>
      <w:r>
        <w:rPr>
          <w:rFonts w:hint="eastAsia" w:ascii="宋体" w:hAnsi="宋体" w:eastAsia="宋体" w:cs="宋体"/>
          <w:i w:val="0"/>
          <w:iCs/>
          <w:color w:val="auto"/>
          <w:highlight w:val="none"/>
          <w:u w:val="single"/>
          <w:lang w:val="en-US" w:eastAsia="zh-CN"/>
        </w:rPr>
        <w:t xml:space="preserve">二十一、脱保后配件供应（保障）承诺</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lang w:val="en-US" w:eastAsia="zh-CN"/>
        </w:rPr>
        <w:t xml:space="preserve">二十二</w:t>
      </w:r>
      <w:r>
        <w:rPr>
          <w:rFonts w:hint="eastAsia" w:ascii="宋体" w:hAnsi="宋体" w:eastAsia="宋体" w:cs="宋体"/>
          <w:i w:val="0"/>
          <w:iCs/>
          <w:color w:val="auto"/>
          <w:highlight w:val="none"/>
          <w:u w:val="single"/>
        </w:rPr>
        <w:t xml:space="preserve">、技术方案、服务承诺、培训承诺等</w:t>
      </w:r>
      <w:r/>
    </w:p>
    <w:p>
      <w:pPr>
        <w:pStyle w:val="824"/>
        <w:ind w:firstLine="480"/>
        <w:jc w:val="both"/>
        <w:spacing w:beforeAutospacing="0" w:afterAutospacing="0" w:line="0" w:lineRule="atLeast"/>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lang w:val="en-US" w:eastAsia="zh-CN"/>
        </w:rPr>
        <w:t xml:space="preserve">二十三</w:t>
      </w:r>
      <w:r>
        <w:rPr>
          <w:rFonts w:hint="eastAsia" w:ascii="宋体" w:hAnsi="宋体" w:eastAsia="宋体" w:cs="宋体"/>
          <w:i w:val="0"/>
          <w:iCs/>
          <w:color w:val="auto"/>
          <w:highlight w:val="none"/>
          <w:u w:val="single"/>
        </w:rPr>
        <w:t xml:space="preserve">、盐城市政府采购事前信用承诺书</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ind w:firstLine="480"/>
        <w:jc w:val="both"/>
        <w:spacing w:beforeAutospacing="0" w:afterAutospacing="0" w:line="0" w:lineRule="atLeast"/>
        <w:rPr>
          <w:color w:val="auto"/>
          <w:highlight w:val="none"/>
        </w:rPr>
      </w:pPr>
      <w:r>
        <w:rPr>
          <w:color w:val="auto"/>
          <w:highlight w:val="none"/>
        </w:rPr>
      </w:r>
      <w:r/>
    </w:p>
    <w:p>
      <w:pPr>
        <w:pStyle w:val="82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投标人成立不满一年无需提供</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outlineLvl w:val="1"/>
      </w:pPr>
      <w:r/>
      <w:bookmarkStart w:id="288" w:name="_Toc18126"/>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bookmarkEnd w:id="288"/>
      <w:r/>
      <w:r/>
    </w:p>
    <w:p>
      <w:pPr>
        <w:pStyle w:val="82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4"/>
        <w:jc w:val="both"/>
        <w:spacing w:beforeAutospacing="0" w:afterAutospacing="0"/>
        <w:rPr>
          <w:color w:val="auto"/>
          <w:highlight w:val="none"/>
        </w:rPr>
        <w:outlineLvl w:val="1"/>
      </w:pPr>
      <w:r/>
      <w:bookmarkStart w:id="289" w:name="_Toc14595"/>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bookmarkEnd w:id="289"/>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outlineLvl w:val="1"/>
      </w:pPr>
      <w:r/>
      <w:bookmarkStart w:id="290" w:name="_Toc18243"/>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290"/>
      <w:r/>
      <w:r/>
    </w:p>
    <w:p>
      <w:pPr>
        <w:pStyle w:val="824"/>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824"/>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2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outlineLvl w:val="1"/>
      </w:pPr>
      <w:r/>
      <w:bookmarkStart w:id="291" w:name="_Toc10713"/>
      <w:r>
        <w:rPr>
          <w:rFonts w:hint="eastAsia" w:ascii="黑体" w:hAnsi="宋体" w:eastAsia="黑体" w:cs="黑体"/>
          <w:i/>
          <w:color w:val="auto"/>
          <w:sz w:val="32"/>
          <w:szCs w:val="32"/>
          <w:highlight w:val="none"/>
          <w:u w:val="single"/>
        </w:rPr>
        <w:t xml:space="preserve">六、特定资格要求的证明文件</w:t>
      </w:r>
      <w:bookmarkEnd w:id="291"/>
      <w:r/>
      <w:r/>
    </w:p>
    <w:p>
      <w:pPr>
        <w:pStyle w:val="82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24"/>
        <w:jc w:val="center"/>
        <w:spacing w:beforeAutospacing="0" w:afterAutospacing="0"/>
        <w:rPr>
          <w:rFonts w:ascii="黑体" w:hAnsi="宋体" w:eastAsia="黑体" w:cs="黑体"/>
          <w:i/>
          <w:color w:val="auto"/>
          <w:sz w:val="32"/>
          <w:szCs w:val="32"/>
          <w:highlight w:val="none"/>
          <w:u w:val="single"/>
        </w:rPr>
      </w:pPr>
      <w:r/>
      <w:bookmarkStart w:id="292" w:name="_Toc120614284"/>
      <w:r/>
      <w:r/>
    </w:p>
    <w:p>
      <w:pPr>
        <w:rPr>
          <w:rFonts w:hint="eastAsia" w:ascii="黑体" w:hAnsi="宋体" w:eastAsia="黑体" w:cs="黑体"/>
          <w:i/>
          <w:color w:val="auto"/>
          <w:sz w:val="32"/>
          <w:szCs w:val="32"/>
          <w:highlight w:val="none"/>
          <w:u w:val="single"/>
        </w:rPr>
      </w:pPr>
      <w:r/>
      <w:bookmarkStart w:id="293" w:name="_Toc26184"/>
      <w:r>
        <w:rPr>
          <w:rFonts w:hint="eastAsia" w:ascii="黑体" w:hAnsi="宋体" w:eastAsia="黑体" w:cs="黑体"/>
          <w:i/>
          <w:color w:val="auto"/>
          <w:sz w:val="32"/>
          <w:szCs w:val="32"/>
          <w:highlight w:val="none"/>
          <w:u w:val="single"/>
        </w:rPr>
        <w:br w:type="page" w:clear="all"/>
      </w:r>
      <w:r/>
    </w:p>
    <w:p>
      <w:pPr>
        <w:pStyle w:val="824"/>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七、法人授权书</w:t>
      </w:r>
      <w:bookmarkEnd w:id="293"/>
      <w:r/>
      <w:r/>
    </w:p>
    <w:p>
      <w:pPr>
        <w:pStyle w:val="82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2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24"/>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24"/>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24"/>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2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2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294" w:name="_Hlt26671380"/>
      <w:r/>
      <w:bookmarkStart w:id="295" w:name="_Hlt26955070"/>
      <w:r/>
      <w:bookmarkStart w:id="296" w:name="_格式3__银行出具的资信证明"/>
      <w:r>
        <w:rPr>
          <w:rFonts w:ascii="Times New Roman" w:hAnsi="Times New Roman"/>
          <w:color w:val="auto"/>
          <w:highlight w:val="none"/>
          <w:u w:val="single"/>
        </w:rPr>
        <w:t xml:space="preserve">                                         </w:t>
      </w:r>
      <w:r/>
    </w:p>
    <w:p>
      <w:pPr>
        <w:pStyle w:val="824"/>
        <w:ind w:firstLine="420"/>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line="0" w:lineRule="atLeast"/>
        <w:rPr>
          <w:color w:val="auto"/>
          <w:highlight w:val="none"/>
        </w:rPr>
      </w:pPr>
      <w:r>
        <w:rPr>
          <w:color w:val="auto"/>
          <w:highlight w:val="none"/>
        </w:rPr>
        <w:t xml:space="preserve"> </w:t>
      </w:r>
      <w:r/>
    </w:p>
    <w:p>
      <w:pPr>
        <w:pStyle w:val="824"/>
        <w:jc w:val="center"/>
        <w:keepLines/>
        <w:keepNext/>
        <w:spacing w:before="260" w:beforeAutospacing="0" w:after="260" w:afterAutospacing="0" w:line="415" w:lineRule="auto"/>
        <w:rPr>
          <w:color w:val="auto"/>
          <w:highlight w:val="none"/>
        </w:rPr>
        <w:outlineLvl w:val="1"/>
      </w:pPr>
      <w:r>
        <w:rPr>
          <w:rFonts w:hint="eastAsia" w:ascii="宋体" w:hAnsi="宋体" w:eastAsia="宋体" w:cs="宋体"/>
          <w:b/>
          <w:color w:val="auto"/>
          <w:highlight w:val="none"/>
        </w:rPr>
        <w:br w:type="page" w:clear="all"/>
      </w:r>
      <w:bookmarkStart w:id="297" w:name="_Toc8154"/>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八、投标函</w:t>
      </w:r>
      <w:bookmarkEnd w:id="297"/>
      <w:r/>
      <w:r/>
    </w:p>
    <w:p>
      <w:pPr>
        <w:pStyle w:val="824"/>
        <w:spacing w:beforeAutospacing="0" w:afterAutospacing="0" w:line="0" w:lineRule="atLeast"/>
        <w:rPr>
          <w:rFonts w:hint="default" w:eastAsia="宋体"/>
          <w:color w:val="auto"/>
          <w:highlight w:val="none"/>
          <w:u w:val="singl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2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24"/>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2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24"/>
        <w:ind w:firstLine="240"/>
        <w:jc w:val="center"/>
        <w:spacing w:beforeAutospacing="0" w:afterAutospacing="0" w:line="0" w:lineRule="atLeast"/>
        <w:rPr>
          <w:color w:val="auto"/>
          <w:highlight w:val="none"/>
        </w:rPr>
      </w:pPr>
      <w:r>
        <w:rPr>
          <w:color w:val="auto"/>
          <w:highlight w:val="none"/>
        </w:rPr>
        <w:t xml:space="preserve"> </w:t>
      </w:r>
      <w:r/>
    </w:p>
    <w:p>
      <w:pPr>
        <w:pStyle w:val="824"/>
        <w:ind w:firstLine="240"/>
        <w:jc w:val="center"/>
        <w:spacing w:beforeAutospacing="0" w:afterAutospacing="0" w:line="0" w:lineRule="atLeast"/>
        <w:rPr>
          <w:color w:val="auto"/>
          <w:highlight w:val="none"/>
        </w:rPr>
      </w:pPr>
      <w:r>
        <w:rPr>
          <w:color w:val="auto"/>
          <w:highlight w:val="none"/>
        </w:rPr>
        <w:t xml:space="preserve"> </w:t>
      </w:r>
      <w:r/>
    </w:p>
    <w:p>
      <w:pPr>
        <w:pStyle w:val="824"/>
        <w:ind w:firstLine="240"/>
        <w:jc w:val="center"/>
        <w:spacing w:beforeAutospacing="0" w:afterAutospacing="0" w:line="0" w:lineRule="atLeast"/>
        <w:rPr>
          <w:color w:val="auto"/>
          <w:highlight w:val="none"/>
        </w:rPr>
      </w:pPr>
      <w:r>
        <w:rPr>
          <w:color w:val="auto"/>
          <w:highlight w:val="none"/>
        </w:rPr>
        <w:t xml:space="preserve"> </w:t>
      </w:r>
      <w:r/>
    </w:p>
    <w:p>
      <w:pPr>
        <w:pStyle w:val="824"/>
        <w:ind w:firstLine="240"/>
        <w:jc w:val="center"/>
        <w:spacing w:beforeAutospacing="0" w:afterAutospacing="0" w:line="0" w:lineRule="atLeast"/>
        <w:rPr>
          <w:color w:val="auto"/>
          <w:highlight w:val="none"/>
        </w:rPr>
      </w:pPr>
      <w:r>
        <w:rPr>
          <w:color w:val="auto"/>
          <w:highlight w:val="none"/>
        </w:rPr>
        <w:t xml:space="preserve"> </w:t>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r>
      <w:r/>
    </w:p>
    <w:p>
      <w:pPr>
        <w:pStyle w:val="824"/>
        <w:ind w:firstLine="240"/>
        <w:jc w:val="center"/>
        <w:spacing w:beforeAutospacing="0" w:afterAutospacing="0" w:line="0" w:lineRule="atLeast"/>
        <w:rPr>
          <w:color w:val="auto"/>
          <w:highlight w:val="none"/>
        </w:rPr>
      </w:pPr>
      <w:r>
        <w:rPr>
          <w:color w:val="auto"/>
          <w:highlight w:val="none"/>
        </w:rPr>
        <w:t xml:space="preserve"> </w:t>
      </w:r>
      <w:r/>
    </w:p>
    <w:p>
      <w:pPr>
        <w:pStyle w:val="824"/>
        <w:ind w:firstLine="321"/>
        <w:jc w:val="center"/>
        <w:spacing w:beforeAutospacing="0" w:afterAutospacing="0" w:line="0" w:lineRule="atLeast"/>
        <w:rPr>
          <w:color w:val="auto"/>
          <w:highlight w:val="none"/>
        </w:rPr>
        <w:outlineLvl w:val="1"/>
      </w:pPr>
      <w:r/>
      <w:bookmarkStart w:id="298" w:name="_Toc5171"/>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eastAsia="zh-CN"/>
        </w:rPr>
        <w:t xml:space="preserve">中、</w:t>
      </w:r>
      <w:r>
        <w:rPr>
          <w:rFonts w:hint="eastAsia" w:ascii="黑体" w:hAnsi="宋体" w:eastAsia="黑体" w:cs="黑体"/>
          <w:b/>
          <w:color w:val="auto"/>
          <w:sz w:val="32"/>
          <w:szCs w:val="32"/>
          <w:highlight w:val="none"/>
        </w:rPr>
        <w:t xml:space="preserve">小微企业声明函（货物）</w:t>
      </w:r>
      <w:bookmarkEnd w:id="298"/>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（项目名称）（分包号：**）</w:t>
      </w:r>
      <w:r>
        <w:rPr>
          <w:rFonts w:hint="eastAsia" w:ascii="宋体" w:hAnsi="宋体" w:eastAsia="宋体" w:cs="宋体"/>
          <w:color w:val="auto"/>
          <w:highlight w:val="none"/>
        </w:rPr>
        <w:t xml:space="preserve">的采购活动，提供的货物全部由符合政策要求的</w:t>
      </w:r>
      <w:r>
        <w:rPr>
          <w:rFonts w:hint="eastAsia" w:ascii="宋体" w:hAnsi="宋体" w:eastAsia="宋体" w:cs="宋体"/>
          <w:color w:val="auto"/>
          <w:highlight w:val="none"/>
          <w:lang w:eastAsia="zh-CN"/>
        </w:rPr>
        <w:t xml:space="preserve">中、</w:t>
      </w:r>
      <w:r>
        <w:rPr>
          <w:rFonts w:hint="eastAsia" w:ascii="宋体" w:hAnsi="宋体" w:eastAsia="宋体" w:cs="宋体"/>
          <w:color w:val="auto"/>
          <w:highlight w:val="none"/>
        </w:rPr>
        <w:t xml:space="preserve">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2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24"/>
        <w:ind w:right="720"/>
        <w:jc w:val="both"/>
        <w:spacing w:beforeAutospacing="0" w:afterAutospacing="0" w:line="0" w:lineRule="atLeast"/>
        <w:rPr>
          <w:color w:val="auto"/>
          <w:highlight w:val="none"/>
        </w:rPr>
      </w:pPr>
      <w:r>
        <w:rPr>
          <w:color w:val="auto"/>
          <w:highlight w:val="none"/>
        </w:rPr>
        <w:t xml:space="preserve"> </w:t>
      </w:r>
      <w:r/>
    </w:p>
    <w:p>
      <w:pPr>
        <w:pStyle w:val="82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24"/>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24"/>
        <w:ind w:firstLine="36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4"/>
        <w:jc w:val="center"/>
        <w:spacing w:beforeAutospacing="0" w:afterAutospacing="0" w:line="0" w:lineRule="atLeast"/>
        <w:rPr>
          <w:color w:val="auto"/>
          <w:highlight w:val="none"/>
        </w:rPr>
        <w:outlineLvl w:val="1"/>
      </w:pPr>
      <w:r>
        <w:rPr>
          <w:rFonts w:hint="eastAsia" w:ascii="黑体" w:hAnsi="宋体" w:eastAsia="黑体" w:cs="黑体"/>
          <w:b/>
          <w:color w:val="auto"/>
          <w:sz w:val="32"/>
          <w:szCs w:val="32"/>
          <w:highlight w:val="none"/>
        </w:rPr>
        <w:br w:type="page" w:clear="all"/>
      </w:r>
      <w:bookmarkStart w:id="299" w:name="_Toc19174"/>
      <w:r>
        <w:rPr>
          <w:rFonts w:hint="eastAsia" w:ascii="黑体" w:hAnsi="宋体" w:eastAsia="黑体" w:cs="黑体"/>
          <w:b/>
          <w:color w:val="auto"/>
          <w:sz w:val="32"/>
          <w:szCs w:val="32"/>
          <w:highlight w:val="none"/>
        </w:rPr>
        <w:t xml:space="preserve"> 十、残疾人福利性单位声明函</w:t>
      </w:r>
      <w:bookmarkEnd w:id="299"/>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4"/>
        <w:ind w:firstLine="48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24"/>
        <w:ind w:firstLine="624"/>
        <w:jc w:val="both"/>
        <w:spacing w:beforeAutospacing="0" w:afterAutospacing="0" w:line="0" w:lineRule="atLeast"/>
        <w:rPr>
          <w:color w:val="auto"/>
          <w:highlight w:val="none"/>
        </w:rPr>
      </w:pPr>
      <w:r>
        <w:rPr>
          <w:color w:val="auto"/>
          <w:highlight w:val="none"/>
        </w:rPr>
        <w:t xml:space="preserve"> </w:t>
      </w:r>
      <w:r/>
    </w:p>
    <w:p>
      <w:pPr>
        <w:pStyle w:val="824"/>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4"/>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line="0" w:lineRule="atLeast"/>
        <w:rPr>
          <w:color w:val="auto"/>
          <w:highlight w:val="none"/>
        </w:rPr>
      </w:pPr>
      <w:r>
        <w:rPr>
          <w:color w:val="auto"/>
          <w:highlight w:val="none"/>
        </w:rPr>
        <w:t xml:space="preserve"> </w:t>
      </w:r>
      <w:r/>
    </w:p>
    <w:p>
      <w:pPr>
        <w:pStyle w:val="824"/>
        <w:jc w:val="center"/>
        <w:spacing w:beforeAutospacing="0" w:afterAutospacing="0"/>
        <w:rPr>
          <w:color w:val="auto"/>
          <w:highlight w:val="none"/>
        </w:rPr>
        <w:outlineLvl w:val="1"/>
      </w:pPr>
      <w:r/>
      <w:bookmarkStart w:id="300" w:name="_Toc18119"/>
      <w:r>
        <w:rPr>
          <w:rFonts w:hint="eastAsia" w:ascii="黑体" w:hAnsi="宋体" w:eastAsia="黑体" w:cs="黑体"/>
          <w:b/>
          <w:color w:val="auto"/>
          <w:sz w:val="32"/>
          <w:szCs w:val="32"/>
          <w:highlight w:val="none"/>
        </w:rPr>
        <w:t xml:space="preserve">十一、投标分项报价表（分包号：***）</w:t>
      </w:r>
      <w:bookmarkEnd w:id="300"/>
      <w:r/>
      <w:r/>
    </w:p>
    <w:tbl>
      <w:tblPr>
        <w:tblStyle w:val="81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4"/>
              <w:jc w:val="both"/>
              <w:spacing w:beforeAutospacing="0" w:afterAutospacing="0"/>
              <w:rPr>
                <w:color w:val="auto"/>
                <w:highlight w:val="none"/>
              </w:rPr>
            </w:pPr>
            <w:r>
              <w:rPr>
                <w:color w:val="auto"/>
                <w:highlight w:val="none"/>
              </w:rPr>
              <w:t xml:space="preserve"> </w:t>
            </w:r>
            <w:r/>
          </w:p>
        </w:tc>
      </w:tr>
    </w:tbl>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24"/>
        <w:jc w:val="both"/>
        <w:spacing w:beforeAutospacing="0" w:afterAutospacing="0"/>
        <w:rPr>
          <w:color w:val="auto"/>
          <w:highlight w:val="none"/>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24"/>
        <w:jc w:val="center"/>
        <w:spacing w:beforeAutospacing="0" w:afterAutospacing="0"/>
        <w:rPr>
          <w:color w:val="auto"/>
          <w:highlight w:val="none"/>
        </w:rPr>
        <w:outlineLvl w:val="1"/>
      </w:pPr>
      <w:r/>
      <w:bookmarkStart w:id="301" w:name="_Toc8617"/>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bookmarkEnd w:id="301"/>
      <w:r/>
      <w:r/>
    </w:p>
    <w:tbl>
      <w:tblPr>
        <w:tblStyle w:val="816"/>
        <w:tblW w:w="870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289"/>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证明材</w:t>
            </w:r>
            <w:r/>
          </w:p>
          <w:p>
            <w:pPr>
              <w:pStyle w:val="824"/>
              <w:jc w:val="center"/>
              <w:spacing w:beforeAutospacing="0" w:afterAutospacing="0"/>
              <w:rPr>
                <w:rFonts w:hint="default" w:eastAsia="宋体"/>
                <w:color w:val="auto"/>
                <w:highlight w:val="none"/>
                <w:lang w:val="en-US" w:eastAsia="zh-CN"/>
              </w:rPr>
            </w:pPr>
            <w:r>
              <w:rPr>
                <w:rFonts w:hint="eastAsia" w:ascii="宋体" w:hAnsi="宋体" w:eastAsia="宋体" w:cs="宋体"/>
                <w:color w:val="auto"/>
                <w:highlight w:val="none"/>
              </w:rPr>
              <w:t xml:space="preserve">料</w:t>
            </w:r>
            <w:r>
              <w:rPr>
                <w:rFonts w:hint="eastAsia" w:ascii="宋体" w:hAnsi="宋体" w:eastAsia="宋体" w:cs="宋体"/>
                <w:color w:val="auto"/>
                <w:highlight w:val="none"/>
                <w:lang w:val="en-US" w:eastAsia="zh-CN"/>
              </w:rPr>
              <w:t xml:space="preserve">页码</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24"/>
              <w:jc w:val="center"/>
              <w:spacing w:beforeAutospacing="0" w:afterAutospacing="0"/>
              <w:rPr>
                <w:color w:val="auto"/>
                <w:highlight w:val="none"/>
              </w:rPr>
            </w:pPr>
            <w:r>
              <w:rPr>
                <w:color w:val="auto"/>
                <w:highlight w:val="none"/>
              </w:rPr>
              <w:t xml:space="preserve"> </w:t>
            </w:r>
            <w:r/>
          </w:p>
        </w:tc>
      </w:tr>
    </w:tbl>
    <w:p>
      <w:pPr>
        <w:pStyle w:val="82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center"/>
        <w:spacing w:beforeAutospacing="0" w:afterAutospacing="0"/>
        <w:rPr>
          <w:rFonts w:hint="default"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rPr>
        <w:t xml:space="preserve"> </w:t>
      </w:r>
      <w:r>
        <w:rPr>
          <w:rFonts w:hint="eastAsia" w:ascii="黑体" w:hAnsi="宋体" w:eastAsia="黑体" w:cs="黑体"/>
          <w:b/>
          <w:color w:val="auto"/>
          <w:sz w:val="32"/>
          <w:szCs w:val="32"/>
          <w:highlight w:val="none"/>
          <w:lang w:val="en-US" w:eastAsia="zh-CN"/>
        </w:rPr>
        <w:t xml:space="preserve">十三、技术参数证明材料</w:t>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bookmarkStart w:id="302" w:name="_Hlt26955054"/>
      <w:r>
        <w:rPr>
          <w:rFonts w:hint="eastAsia" w:ascii="黑体" w:hAnsi="宋体" w:eastAsia="黑体" w:cs="黑体"/>
          <w:b/>
          <w:color w:val="auto"/>
          <w:sz w:val="32"/>
          <w:szCs w:val="32"/>
          <w:highlight w:val="none"/>
        </w:rPr>
        <w:t xml:space="preserve">十四、商务要求响应及偏离表</w:t>
      </w:r>
      <w:r/>
    </w:p>
    <w:tbl>
      <w:tblPr>
        <w:tblStyle w:val="816"/>
        <w:tblW w:w="8040" w:type="dxa"/>
        <w:tblCellSpacing w:w="0" w:type="dxa"/>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6"/>
        <w:gridCol w:w="2608"/>
        <w:gridCol w:w="1539"/>
      </w:tblGrid>
      <w:tr>
        <w:trPr>
          <w:tblCellSpacing w:w="0" w:type="dxa"/>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303" w:name="_Hlt24879081"/>
            <w:r/>
            <w:bookmarkStart w:id="304" w:name="_Hlt26955064"/>
            <w:r/>
            <w:bookmarkStart w:id="305" w:name="_Hlt26671372"/>
            <w:r/>
            <w:bookmarkStart w:id="306" w:name="_Hlt26671343"/>
            <w:r/>
            <w:bookmarkStart w:id="307" w:name="_Hlt26580838"/>
            <w:r/>
            <w:bookmarkStart w:id="308" w:name="_Hlt26955056"/>
            <w:r/>
            <w:bookmarkStart w:id="309" w:name="_Hlt26782999"/>
            <w:r/>
            <w:bookmarkStart w:id="310" w:name="_Hlt26609391"/>
            <w:r>
              <w:rPr>
                <w:rFonts w:ascii="宋体" w:hAnsi="宋体" w:eastAsia="宋体" w:cs="宋体"/>
                <w:color w:val="auto"/>
                <w:sz w:val="24"/>
                <w:szCs w:val="24"/>
                <w:highlight w:val="none"/>
              </w:rPr>
              <w:t xml:space="preserve">项目</w:t>
            </w:r>
            <w:bookmarkEnd w:id="303"/>
            <w:r/>
            <w:bookmarkEnd w:id="304"/>
            <w:r/>
            <w:bookmarkEnd w:id="305"/>
            <w:r/>
            <w:bookmarkEnd w:id="306"/>
            <w:r/>
            <w:bookmarkEnd w:id="307"/>
            <w:r/>
            <w:bookmarkEnd w:id="308"/>
            <w:r/>
            <w:bookmarkEnd w:id="309"/>
            <w:r/>
            <w:bookmarkEnd w:id="310"/>
            <w:r/>
            <w:r/>
          </w:p>
        </w:tc>
        <w:tc>
          <w:tcPr>
            <w:shd w:val="clear" w:color="auto" w:fill="auto"/>
            <w:tcW w:w="3026"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招标文件要求</w:t>
            </w:r>
            <w:r/>
          </w:p>
        </w:tc>
        <w:tc>
          <w:tcPr>
            <w:shd w:val="clear" w:color="auto" w:fill="auto"/>
            <w:tcW w:w="2608"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是否响应</w:t>
            </w:r>
            <w:r/>
          </w:p>
        </w:tc>
        <w:tc>
          <w:tcPr>
            <w:shd w:val="clear" w:color="auto" w:fill="auto"/>
            <w:tcW w:w="1539"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投标人的承诺或说明</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ind w:left="43"/>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ind w:left="43"/>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both"/>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ind w:left="43"/>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ind w:left="43"/>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both"/>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ind w:left="43"/>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ind w:left="43"/>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both"/>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both"/>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r>
        <w:trPr>
          <w:tblCellSpacing w:w="0" w:type="dxa"/>
          <w:trHeight w:val="640"/>
        </w:trPr>
        <w:tc>
          <w:tcPr>
            <w:shd w:val="clear" w:color="auto" w:fill="auto"/>
            <w:tcW w:w="867"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W w:w="3026"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2608"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c>
          <w:tcPr>
            <w:shd w:val="clear" w:color="auto" w:fill="auto"/>
            <w:tcW w:w="1539" w:type="dxa"/>
            <w:vAlign w:val="center"/>
            <w:textDirection w:val="lrTb"/>
            <w:noWrap w:val="false"/>
          </w:tcPr>
          <w:p>
            <w:pPr>
              <w:pStyle w:val="824"/>
              <w:jc w:val="center"/>
              <w:keepLines w:val="0"/>
              <w:keepNext w:val="0"/>
              <w:spacing w:before="156"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w:t>
            </w:r>
            <w:r/>
          </w:p>
        </w:tc>
      </w:tr>
    </w:tbl>
    <w:p>
      <w:pPr>
        <w:pStyle w:val="82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4"/>
        <w:jc w:val="both"/>
        <w:spacing w:beforeAutospacing="0" w:afterAutospacing="0" w:line="480" w:lineRule="auto"/>
        <w:rPr>
          <w:color w:val="auto"/>
          <w:highlight w:val="none"/>
        </w:rPr>
      </w:pPr>
      <w:r>
        <w:rPr>
          <w:color w:val="auto"/>
          <w:highlight w:val="none"/>
        </w:rPr>
        <w:t xml:space="preserve"> </w:t>
      </w:r>
      <w:r/>
    </w:p>
    <w:p>
      <w:pPr>
        <w:pStyle w:val="824"/>
        <w:jc w:val="both"/>
        <w:spacing w:beforeAutospacing="0" w:afterAutospacing="0" w:line="480" w:lineRule="auto"/>
        <w:rPr>
          <w:color w:val="auto"/>
          <w:highlight w:val="none"/>
        </w:rPr>
      </w:pPr>
      <w:r>
        <w:rPr>
          <w:color w:val="auto"/>
          <w:highlight w:val="none"/>
        </w:rPr>
        <w:t xml:space="preserve"> </w:t>
      </w:r>
      <w:r/>
    </w:p>
    <w:p>
      <w:pPr>
        <w:pStyle w:val="824"/>
        <w:jc w:val="center"/>
        <w:spacing w:beforeAutospacing="0" w:afterAutospacing="0"/>
        <w:rPr>
          <w:color w:val="auto"/>
          <w:highlight w:val="none"/>
        </w:rPr>
      </w:pPr>
      <w:r/>
      <w:bookmarkStart w:id="311" w:name="_Toc462564146"/>
      <w:r/>
      <w:bookmarkStart w:id="312" w:name="_Hlt26609389"/>
      <w:r/>
      <w:bookmarkStart w:id="313" w:name="_Hlt26955066"/>
      <w:r/>
      <w:bookmarkStart w:id="314" w:name="_格式2__法定代表人授权书"/>
      <w:r/>
      <w:bookmarkStart w:id="315" w:name="_Hlt26671374"/>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pPr>
      <w:r>
        <w:rPr>
          <w:color w:val="auto"/>
          <w:highlight w:val="none"/>
        </w:rPr>
        <w:t xml:space="preserve"> </w:t>
      </w:r>
      <w:r/>
    </w:p>
    <w:p>
      <w:pPr>
        <w:pStyle w:val="824"/>
        <w:jc w:val="center"/>
        <w:spacing w:beforeAutospacing="0" w:afterAutospacing="0"/>
        <w:rPr>
          <w:color w:val="auto"/>
          <w:highlight w:val="none"/>
        </w:rPr>
        <w:outlineLvl w:val="1"/>
      </w:pPr>
      <w:r/>
      <w:bookmarkStart w:id="316" w:name="_Toc23075"/>
      <w:r>
        <w:rPr>
          <w:rFonts w:hint="eastAsia" w:ascii="黑体" w:hAnsi="宋体" w:eastAsia="黑体" w:cs="黑体"/>
          <w:b/>
          <w:i/>
          <w:color w:val="auto"/>
          <w:sz w:val="32"/>
          <w:szCs w:val="32"/>
          <w:highlight w:val="none"/>
          <w:u w:val="single"/>
        </w:rPr>
        <w:t xml:space="preserve">十五、开标一览表</w:t>
      </w:r>
      <w:bookmarkEnd w:id="316"/>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24"/>
        <w:ind w:firstLine="480"/>
        <w:jc w:val="left"/>
        <w:spacing w:beforeAutospacing="0" w:afterAutospacing="0"/>
        <w:rPr>
          <w:color w:val="auto"/>
          <w:highlight w:val="none"/>
        </w:rPr>
      </w:pPr>
      <w:r>
        <w:rPr>
          <w:rFonts w:hint="eastAsia" w:ascii="宋体" w:hAnsi="宋体" w:eastAsia="宋体" w:cs="宋体"/>
          <w:color w:val="auto"/>
          <w:highlight w:val="none"/>
        </w:rPr>
        <w:t xml:space="preserve">招标号：                                   分包号：</w:t>
      </w:r>
      <w:r/>
    </w:p>
    <w:tbl>
      <w:tblPr>
        <w:tblStyle w:val="816"/>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4"/>
              <w:jc w:val="both"/>
              <w:spacing w:beforeAutospacing="0" w:afterAutospacing="0"/>
              <w:rPr>
                <w:color w:val="auto"/>
                <w:highlight w:val="none"/>
              </w:rPr>
            </w:pPr>
            <w:r>
              <w:rPr>
                <w:rFonts w:hint="eastAsia" w:ascii="宋体" w:hAnsi="宋体" w:eastAsia="宋体" w:cs="宋体"/>
                <w:color w:val="auto"/>
                <w:highlight w:val="none"/>
              </w:rPr>
              <w:t xml:space="preserve">                      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24"/>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24"/>
              <w:spacing w:beforeAutospacing="0" w:afterAutospacing="0" w:line="0" w:lineRule="atLeast"/>
              <w:rPr>
                <w:color w:val="auto"/>
                <w:highlight w:val="none"/>
              </w:rPr>
            </w:pPr>
            <w:r>
              <w:rPr>
                <w:color w:val="auto"/>
                <w:highlight w:val="none"/>
              </w:rPr>
              <w:t xml:space="preserve"> </w:t>
            </w:r>
            <w:r/>
          </w:p>
        </w:tc>
      </w:tr>
    </w:tbl>
    <w:p>
      <w:pPr>
        <w:pStyle w:val="824"/>
        <w:jc w:val="both"/>
        <w:spacing w:beforeAutospacing="0" w:afterAutospacing="0"/>
        <w:rPr>
          <w:color w:val="auto"/>
          <w:highlight w:val="none"/>
        </w:rPr>
      </w:pPr>
      <w:r>
        <w:rPr>
          <w:color w:val="auto"/>
          <w:highlight w:val="none"/>
        </w:rPr>
        <w:t xml:space="preserve"> </w:t>
      </w:r>
      <w:r/>
    </w:p>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24"/>
        <w:jc w:val="both"/>
        <w:spacing w:beforeAutospacing="0" w:afterAutospacing="0"/>
        <w:rPr>
          <w:color w:val="auto"/>
          <w:highlight w:val="none"/>
        </w:rPr>
      </w:pPr>
      <w:r>
        <w:rPr>
          <w:color w:val="auto"/>
          <w:highlight w:val="none"/>
        </w:rPr>
        <w:t xml:space="preserve"> </w:t>
      </w:r>
      <w:r/>
    </w:p>
    <w:p>
      <w:pPr>
        <w:pStyle w:val="824"/>
        <w:jc w:val="both"/>
        <w:spacing w:beforeAutospacing="0" w:afterAutospacing="0"/>
        <w:rPr>
          <w:color w:val="auto"/>
          <w:highlight w:val="none"/>
        </w:rPr>
      </w:pPr>
      <w:r>
        <w:rPr>
          <w:color w:val="auto"/>
          <w:highlight w:val="none"/>
        </w:rPr>
        <w:t xml:space="preserve"> </w:t>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320" w:after="160"/>
        <w:rPr>
          <w:rFonts w:ascii="宋体" w:hAnsi="宋体" w:cs="黑体"/>
          <w:b/>
          <w:bCs/>
          <w:color w:val="auto"/>
          <w:sz w:val="32"/>
          <w:szCs w:val="32"/>
          <w:highlight w:val="none"/>
          <w:lang w:val="zh-CN"/>
        </w:rPr>
        <w:outlineLvl w:val="1"/>
      </w:pPr>
      <w:r>
        <w:rPr>
          <w:color w:val="auto"/>
          <w:highlight w:val="none"/>
        </w:rPr>
        <w:tab/>
      </w:r>
      <w:bookmarkStart w:id="317" w:name="_Toc4304"/>
      <w:r/>
      <w:bookmarkStart w:id="318" w:name="_Toc30534"/>
      <w:r>
        <w:rPr>
          <w:rFonts w:hint="eastAsia" w:ascii="宋体" w:hAnsi="宋体" w:cs="宋体"/>
          <w:b/>
          <w:bCs/>
          <w:color w:val="auto"/>
          <w:sz w:val="32"/>
          <w:szCs w:val="32"/>
          <w:highlight w:val="none"/>
          <w:lang w:val="en-US" w:eastAsia="zh-CN"/>
        </w:rPr>
        <w:t xml:space="preserve">十六、</w:t>
      </w:r>
      <w:bookmarkStart w:id="319" w:name="_Toc24137"/>
      <w:r/>
      <w:bookmarkStart w:id="320" w:name="_Toc23556"/>
      <w:r/>
      <w:bookmarkStart w:id="321" w:name="_Toc5960"/>
      <w:r/>
      <w:bookmarkStart w:id="322" w:name="_Toc3252"/>
      <w:r/>
      <w:bookmarkStart w:id="323" w:name="_Toc9999"/>
      <w:r/>
      <w:bookmarkStart w:id="324" w:name="_Toc28600"/>
      <w:r/>
      <w:bookmarkStart w:id="325" w:name="_Toc4117"/>
      <w:r/>
      <w:bookmarkStart w:id="326" w:name="_Toc6073"/>
      <w:r/>
      <w:bookmarkStart w:id="327" w:name="_Toc21813"/>
      <w:r/>
      <w:bookmarkStart w:id="328" w:name="_Toc18210"/>
      <w:r/>
      <w:bookmarkStart w:id="329" w:name="_Toc16326"/>
      <w:r/>
      <w:bookmarkStart w:id="330" w:name="_Toc17187"/>
      <w:r/>
      <w:bookmarkStart w:id="331" w:name="_Toc32369"/>
      <w:r/>
      <w:bookmarkStart w:id="332" w:name="_Toc7925"/>
      <w:r/>
      <w:bookmarkStart w:id="333" w:name="_Toc21400"/>
      <w:r/>
      <w:bookmarkStart w:id="334" w:name="_Toc22038"/>
      <w:r/>
      <w:bookmarkStart w:id="335" w:name="_Toc13345"/>
      <w:r/>
      <w:bookmarkStart w:id="336" w:name="_Toc30375"/>
      <w:r/>
      <w:bookmarkStart w:id="337" w:name="_Toc30673"/>
      <w:r/>
      <w:bookmarkStart w:id="338" w:name="_Toc19682"/>
      <w:r/>
      <w:bookmarkStart w:id="339" w:name="_Toc2178"/>
      <w:r/>
      <w:bookmarkStart w:id="340" w:name="_Toc18697"/>
      <w:r/>
      <w:bookmarkStart w:id="341" w:name="_Toc26440"/>
      <w:r/>
      <w:bookmarkStart w:id="342" w:name="_Toc5954"/>
      <w:r/>
      <w:bookmarkStart w:id="343" w:name="_Toc22944"/>
      <w:r/>
      <w:bookmarkStart w:id="344" w:name="_Toc21545"/>
      <w:r/>
      <w:bookmarkStart w:id="345" w:name="_Toc5352"/>
      <w:r/>
      <w:bookmarkStart w:id="346" w:name="_Toc31926"/>
      <w:r/>
      <w:bookmarkStart w:id="347" w:name="_Toc24339"/>
      <w:r/>
      <w:bookmarkStart w:id="348" w:name="_Toc11662"/>
      <w:r/>
      <w:bookmarkStart w:id="349" w:name="_Toc6849"/>
      <w:r/>
      <w:bookmarkStart w:id="350" w:name="_Toc20558"/>
      <w:r/>
      <w:bookmarkStart w:id="351" w:name="_Toc6482"/>
      <w:r/>
      <w:bookmarkStart w:id="352" w:name="_Toc28895"/>
      <w:r/>
      <w:bookmarkStart w:id="353" w:name="_Toc31998"/>
      <w:r/>
      <w:bookmarkStart w:id="354" w:name="_Toc5559"/>
      <w:r/>
      <w:bookmarkStart w:id="355" w:name="_Toc22373"/>
      <w:r/>
      <w:bookmarkStart w:id="356" w:name="_Toc11224"/>
      <w:r/>
      <w:bookmarkStart w:id="357" w:name="_Toc21423"/>
      <w:r/>
      <w:bookmarkStart w:id="358" w:name="_Toc21126"/>
      <w:r/>
      <w:bookmarkStart w:id="359" w:name="_Toc23848"/>
      <w:r>
        <w:rPr>
          <w:rFonts w:hint="eastAsia" w:ascii="宋体" w:hAnsi="宋体" w:cs="黑体"/>
          <w:b/>
          <w:bCs/>
          <w:color w:val="auto"/>
          <w:sz w:val="36"/>
          <w:szCs w:val="36"/>
          <w:highlight w:val="none"/>
          <w:lang w:val="zh-CN"/>
        </w:rPr>
        <w:t xml:space="preserve">备品备件明细表</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tbl>
      <w:tblPr>
        <w:tblStyle w:val="816"/>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2160"/>
        <w:gridCol w:w="1620"/>
        <w:gridCol w:w="1260"/>
        <w:gridCol w:w="1239"/>
        <w:gridCol w:w="2001"/>
      </w:tblGrid>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序号</w:t>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备品备件</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名称</w:t>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型号及规格</w:t>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数量</w:t>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单价</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（元）</w:t>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备注</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（如是外购请注明产地、制造商）</w:t>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bl>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jc w:val="center"/>
        <w:spacing w:before="320" w:after="160"/>
        <w:rPr>
          <w:rFonts w:hint="eastAsia" w:ascii="宋体" w:hAnsi="宋体" w:cs="黑体"/>
          <w:b/>
          <w:bCs/>
          <w:color w:val="auto"/>
          <w:sz w:val="36"/>
          <w:szCs w:val="36"/>
          <w:highlight w:val="none"/>
          <w:lang w:val="en-US" w:eastAsia="zh-CN"/>
        </w:rPr>
        <w:outlineLvl w:val="9"/>
      </w:pPr>
      <w:r/>
      <w:bookmarkStart w:id="360" w:name="_Toc3261"/>
      <w:r/>
      <w:bookmarkStart w:id="361" w:name="_Toc18003"/>
      <w:r/>
      <w:bookmarkStart w:id="362" w:name="_Toc454"/>
      <w:r/>
      <w:bookmarkStart w:id="363" w:name="_Toc1381"/>
      <w:r/>
      <w:bookmarkStart w:id="364" w:name="_Toc23361"/>
      <w:r/>
      <w:bookmarkStart w:id="365" w:name="_Toc15583"/>
      <w:r/>
      <w:bookmarkStart w:id="366" w:name="_Toc28754"/>
      <w:r/>
      <w:bookmarkStart w:id="367" w:name="_Toc18770"/>
      <w:r/>
      <w:bookmarkStart w:id="368" w:name="_Toc733"/>
      <w:r/>
      <w:bookmarkStart w:id="369" w:name="_Toc32163"/>
      <w:r/>
      <w:bookmarkStart w:id="370" w:name="_Toc15747"/>
      <w:r/>
      <w:bookmarkStart w:id="371" w:name="_Toc6192"/>
      <w:r/>
      <w:bookmarkStart w:id="372" w:name="_Toc15996"/>
      <w:r/>
      <w:bookmarkStart w:id="373" w:name="_Toc28264"/>
      <w:r/>
      <w:bookmarkStart w:id="374" w:name="_Toc26731"/>
      <w:r/>
      <w:bookmarkStart w:id="375" w:name="_Toc12099"/>
      <w:r/>
      <w:bookmarkStart w:id="376" w:name="_Toc150"/>
      <w:r/>
      <w:bookmarkStart w:id="377" w:name="_Toc18355"/>
      <w:r/>
      <w:bookmarkStart w:id="378" w:name="_Toc8267"/>
      <w:r/>
      <w:bookmarkStart w:id="379" w:name="_Toc27952"/>
      <w:r/>
      <w:bookmarkStart w:id="380" w:name="_Toc27530"/>
      <w:r/>
      <w:bookmarkStart w:id="381" w:name="_Toc23288"/>
      <w:r/>
      <w:bookmarkStart w:id="382" w:name="_Toc1508"/>
      <w:r/>
      <w:bookmarkStart w:id="383" w:name="_Toc5830"/>
      <w:r/>
      <w:bookmarkStart w:id="384" w:name="_Toc18801"/>
      <w:r/>
      <w:bookmarkStart w:id="385" w:name="_Toc25216"/>
      <w:r/>
      <w:bookmarkStart w:id="386" w:name="_Toc16334"/>
      <w:r/>
      <w:bookmarkStart w:id="387" w:name="_Toc8621"/>
      <w:r/>
      <w:bookmarkStart w:id="388" w:name="_Toc14358"/>
      <w:r/>
      <w:bookmarkStart w:id="389" w:name="_Toc13334"/>
      <w:r/>
      <w:bookmarkStart w:id="390" w:name="_Toc12457"/>
      <w:r/>
      <w:bookmarkStart w:id="391" w:name="_Toc23599"/>
      <w:r/>
      <w:bookmarkStart w:id="392" w:name="_Toc7351"/>
      <w:r/>
      <w:bookmarkStart w:id="393" w:name="_Toc5501"/>
      <w:r/>
      <w:bookmarkStart w:id="394" w:name="_Toc9485"/>
      <w:r/>
      <w:bookmarkStart w:id="395" w:name="_Toc21790"/>
      <w:r/>
      <w:bookmarkStart w:id="396" w:name="_Toc6986"/>
      <w:r/>
      <w:bookmarkStart w:id="397" w:name="_Toc17593"/>
      <w:r/>
      <w:bookmarkStart w:id="398" w:name="_Toc7955"/>
      <w:r/>
      <w:bookmarkStart w:id="399" w:name="_Toc23321"/>
      <w:r/>
      <w:bookmarkStart w:id="400" w:name="_Toc19787"/>
      <w:r/>
      <w:bookmarkStart w:id="401" w:name="_Toc11693"/>
      <w:r/>
      <w:r/>
    </w:p>
    <w:p>
      <w:pPr>
        <w:jc w:val="center"/>
        <w:spacing w:before="320" w:after="160"/>
        <w:rPr>
          <w:rFonts w:ascii="宋体" w:hAnsi="宋体" w:cs="黑体"/>
          <w:b/>
          <w:bCs/>
          <w:color w:val="auto"/>
          <w:sz w:val="36"/>
          <w:szCs w:val="36"/>
          <w:highlight w:val="none"/>
        </w:rPr>
        <w:outlineLvl w:val="1"/>
      </w:pPr>
      <w:r/>
      <w:bookmarkStart w:id="402" w:name="_Toc9819"/>
      <w:r>
        <w:rPr>
          <w:rFonts w:hint="eastAsia" w:ascii="宋体" w:hAnsi="宋体" w:cs="黑体"/>
          <w:b/>
          <w:bCs/>
          <w:color w:val="auto"/>
          <w:sz w:val="36"/>
          <w:szCs w:val="36"/>
          <w:highlight w:val="none"/>
          <w:lang w:val="en-US" w:eastAsia="zh-CN"/>
        </w:rPr>
        <w:t xml:space="preserve">十七、</w:t>
      </w:r>
      <w:r>
        <w:rPr>
          <w:rFonts w:hint="eastAsia" w:ascii="宋体" w:hAnsi="宋体" w:cs="黑体"/>
          <w:b/>
          <w:bCs/>
          <w:color w:val="auto"/>
          <w:sz w:val="36"/>
          <w:szCs w:val="36"/>
          <w:highlight w:val="none"/>
        </w:rPr>
        <w:t xml:space="preserve">设备主要部件更换报价表</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设备名称：</w:t>
      </w:r>
      <w:r/>
    </w:p>
    <w:tbl>
      <w:tblPr>
        <w:tblStyle w:val="816"/>
        <w:tblW w:w="7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2160"/>
        <w:gridCol w:w="1620"/>
        <w:gridCol w:w="1239"/>
        <w:gridCol w:w="2001"/>
      </w:tblGrid>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序号</w:t>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rPr>
              <w:t xml:space="preserve">部件</w:t>
            </w:r>
            <w:r>
              <w:rPr>
                <w:rFonts w:hint="eastAsia" w:ascii="宋体" w:hAnsi="宋体" w:cs="宋体"/>
                <w:color w:val="auto"/>
                <w:sz w:val="24"/>
                <w:highlight w:val="none"/>
                <w:lang w:val="zh-CN"/>
              </w:rPr>
              <w:t xml:space="preserve">名称</w:t>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型号及规格</w:t>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单价</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（元）</w:t>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备注</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（如是外购请注明产地、制造商）</w:t>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bl>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480" w:lineRule="exact"/>
        <w:rPr>
          <w:rFonts w:ascii="宋体" w:hAnsi="Courier New"/>
          <w:b/>
          <w:color w:val="auto"/>
          <w:sz w:val="36"/>
          <w:szCs w:val="36"/>
          <w:highlight w:val="none"/>
        </w:rPr>
        <w:outlineLvl w:val="1"/>
      </w:pPr>
      <w:r/>
      <w:bookmarkStart w:id="403" w:name="_Toc11100"/>
      <w:r/>
      <w:bookmarkStart w:id="404" w:name="_Toc27260"/>
      <w:r/>
      <w:bookmarkStart w:id="405" w:name="_Toc5903"/>
      <w:r/>
      <w:bookmarkStart w:id="406" w:name="_Toc12308"/>
      <w:r/>
      <w:bookmarkStart w:id="407" w:name="_Toc2387"/>
      <w:r/>
      <w:bookmarkStart w:id="408" w:name="_Toc31716"/>
      <w:r/>
      <w:bookmarkStart w:id="409" w:name="_Toc10581"/>
      <w:r/>
      <w:bookmarkStart w:id="410" w:name="_Toc1476"/>
      <w:r/>
      <w:bookmarkStart w:id="411" w:name="_Toc17905"/>
      <w:r/>
      <w:bookmarkStart w:id="412" w:name="_Toc17790"/>
      <w:r/>
      <w:bookmarkStart w:id="413" w:name="_Toc9055"/>
      <w:r/>
      <w:bookmarkStart w:id="414" w:name="_Toc25550"/>
      <w:r/>
      <w:bookmarkStart w:id="415" w:name="_Toc21899"/>
      <w:r/>
      <w:bookmarkStart w:id="416" w:name="_Toc31911"/>
      <w:r/>
      <w:bookmarkStart w:id="417" w:name="_Toc5328"/>
      <w:r/>
      <w:bookmarkStart w:id="418" w:name="_Toc8979"/>
      <w:r/>
      <w:bookmarkStart w:id="419" w:name="_Toc2789"/>
      <w:r/>
      <w:bookmarkStart w:id="420" w:name="_Toc26473"/>
      <w:r/>
      <w:bookmarkStart w:id="421" w:name="_Toc2177"/>
      <w:r/>
      <w:bookmarkStart w:id="422" w:name="_Toc16210"/>
      <w:r/>
      <w:bookmarkStart w:id="423" w:name="_Toc13329"/>
      <w:r/>
      <w:bookmarkStart w:id="424" w:name="_Toc11075"/>
      <w:r/>
      <w:bookmarkStart w:id="425" w:name="_Toc25045"/>
      <w:r/>
      <w:bookmarkStart w:id="426" w:name="_Toc7324"/>
      <w:r/>
      <w:bookmarkStart w:id="427" w:name="_Toc3626"/>
      <w:r/>
      <w:bookmarkStart w:id="428" w:name="_Toc20793"/>
      <w:r/>
      <w:bookmarkStart w:id="429" w:name="_Toc12187"/>
      <w:r/>
      <w:bookmarkStart w:id="430" w:name="_Toc13276"/>
      <w:r/>
      <w:bookmarkStart w:id="431" w:name="_Toc16"/>
      <w:r/>
      <w:bookmarkStart w:id="432" w:name="_Toc4732"/>
      <w:r/>
      <w:bookmarkStart w:id="433" w:name="_Toc32201"/>
      <w:r/>
      <w:bookmarkStart w:id="434" w:name="_Toc15606"/>
      <w:r/>
      <w:bookmarkStart w:id="435" w:name="_Toc14099"/>
      <w:r/>
      <w:bookmarkStart w:id="436" w:name="_Toc4499"/>
      <w:r/>
      <w:bookmarkStart w:id="437" w:name="_Toc23414"/>
      <w:r/>
      <w:bookmarkStart w:id="438" w:name="_Toc27383"/>
      <w:r/>
      <w:bookmarkStart w:id="439" w:name="_Toc21913"/>
      <w:r/>
      <w:bookmarkStart w:id="440" w:name="_Toc28230"/>
      <w:r/>
      <w:bookmarkStart w:id="441" w:name="_Toc11477"/>
      <w:r/>
      <w:bookmarkStart w:id="442" w:name="_Toc30345"/>
      <w:r/>
      <w:bookmarkStart w:id="443" w:name="_Toc7066"/>
      <w:r/>
      <w:bookmarkStart w:id="444" w:name="_Toc20292"/>
      <w:r/>
      <w:bookmarkStart w:id="445" w:name="_Toc25414"/>
      <w:r>
        <w:rPr>
          <w:rFonts w:hint="eastAsia" w:ascii="宋体" w:hAnsi="Courier New"/>
          <w:b/>
          <w:color w:val="auto"/>
          <w:sz w:val="36"/>
          <w:szCs w:val="36"/>
          <w:highlight w:val="none"/>
          <w:lang w:val="en-US" w:eastAsia="zh-CN"/>
        </w:rPr>
        <w:t xml:space="preserve">十八、</w:t>
      </w:r>
      <w:r>
        <w:rPr>
          <w:rFonts w:hint="eastAsia" w:ascii="宋体" w:hAnsi="Courier New"/>
          <w:b/>
          <w:color w:val="auto"/>
          <w:sz w:val="36"/>
          <w:szCs w:val="36"/>
          <w:highlight w:val="none"/>
        </w:rPr>
        <w:t xml:space="preserve">易损件明细表</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tbl>
      <w:tblPr>
        <w:tblStyle w:val="816"/>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2160"/>
        <w:gridCol w:w="1620"/>
        <w:gridCol w:w="1260"/>
        <w:gridCol w:w="1239"/>
        <w:gridCol w:w="2001"/>
      </w:tblGrid>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序号</w:t>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易损件名称</w:t>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型号及规格</w:t>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数量</w:t>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单价</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（元）</w:t>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备注</w:t>
            </w:r>
            <w:r/>
          </w:p>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（如是外购请注明产地、制造商）</w:t>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r>
        <w:trPr>
          <w:jc w:val="center"/>
          <w:trHeight w:val="979"/>
        </w:trPr>
        <w:tc>
          <w:tcPr>
            <w:tcW w:w="74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1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c>
          <w:tcPr>
            <w:tcW w:w="20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highlight w:val="none"/>
                <w:lang w:val="zh-CN"/>
              </w:rPr>
              <w:suppressLineNumbers w:val="0"/>
            </w:pPr>
            <w:r>
              <w:rPr>
                <w:rFonts w:hint="eastAsia" w:ascii="宋体" w:hAnsi="宋体" w:cs="宋体"/>
                <w:color w:val="auto"/>
                <w:sz w:val="24"/>
                <w:highlight w:val="none"/>
                <w:lang w:val="zh-CN"/>
              </w:rPr>
            </w:r>
            <w:r/>
          </w:p>
        </w:tc>
      </w:tr>
    </w:tbl>
    <w:p>
      <w:pPr>
        <w:pStyle w:val="82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jc w:val="center"/>
        <w:spacing w:line="40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br w:type="page" w:clear="all"/>
      </w:r>
      <w:r/>
    </w:p>
    <w:p>
      <w:pPr>
        <w:numPr>
          <w:ilvl w:val="0"/>
          <w:numId w:val="0"/>
        </w:numPr>
        <w:jc w:val="center"/>
        <w:spacing w:line="400" w:lineRule="exact"/>
        <w:rPr>
          <w:rFonts w:hint="eastAsia" w:ascii="黑体" w:hAnsi="黑体" w:eastAsia="黑体" w:cs="黑体"/>
          <w:b w:val="0"/>
          <w:bCs/>
          <w:color w:val="auto"/>
          <w:sz w:val="32"/>
          <w:szCs w:val="32"/>
          <w:highlight w:val="none"/>
          <w:lang w:val="en-US" w:eastAsia="zh-CN"/>
        </w:rPr>
        <w:outlineLvl w:val="1"/>
      </w:pPr>
      <w:r/>
      <w:bookmarkStart w:id="446" w:name="_Toc19960"/>
      <w:r/>
      <w:bookmarkStart w:id="447" w:name="_Toc20604"/>
      <w:r/>
      <w:bookmarkStart w:id="448" w:name="_Toc14396"/>
      <w:r/>
      <w:bookmarkStart w:id="449" w:name="_Toc31360"/>
      <w:r/>
      <w:bookmarkStart w:id="450" w:name="_Toc22266"/>
      <w:r/>
      <w:bookmarkStart w:id="451" w:name="_Toc4768"/>
      <w:r/>
      <w:bookmarkStart w:id="452" w:name="_Toc11571"/>
      <w:r/>
      <w:bookmarkStart w:id="453" w:name="_Toc9914"/>
      <w:r/>
      <w:bookmarkStart w:id="454" w:name="_Toc27606"/>
      <w:r/>
      <w:bookmarkStart w:id="455" w:name="_Toc27724"/>
      <w:r/>
      <w:bookmarkStart w:id="456" w:name="_Toc6478"/>
      <w:r/>
      <w:bookmarkStart w:id="457" w:name="_Toc14559"/>
      <w:r/>
      <w:bookmarkStart w:id="458" w:name="_Toc2721"/>
      <w:r/>
      <w:bookmarkStart w:id="459" w:name="_Toc22196"/>
      <w:r/>
      <w:bookmarkStart w:id="460" w:name="_Toc31318"/>
      <w:r/>
      <w:bookmarkStart w:id="461" w:name="_Toc690"/>
      <w:r/>
      <w:bookmarkStart w:id="462" w:name="_Toc31932"/>
      <w:r/>
      <w:bookmarkStart w:id="463" w:name="_Toc343"/>
      <w:r/>
      <w:bookmarkStart w:id="464" w:name="_Toc17380"/>
      <w:r/>
      <w:bookmarkStart w:id="465" w:name="_Toc12147"/>
      <w:r/>
      <w:bookmarkStart w:id="466" w:name="_Toc13637"/>
      <w:r/>
      <w:bookmarkStart w:id="467" w:name="_Toc22539"/>
      <w:r/>
      <w:bookmarkStart w:id="468" w:name="_Toc27338"/>
      <w:r/>
      <w:bookmarkStart w:id="469" w:name="_Toc27745"/>
      <w:r/>
      <w:bookmarkStart w:id="470" w:name="_Toc3654"/>
      <w:r/>
      <w:bookmarkStart w:id="471" w:name="_Toc32355"/>
      <w:r/>
      <w:bookmarkStart w:id="472" w:name="_Toc23252"/>
      <w:r/>
      <w:bookmarkStart w:id="473" w:name="_Toc11097"/>
      <w:r/>
      <w:bookmarkStart w:id="474" w:name="_Toc11584"/>
      <w:r/>
      <w:bookmarkStart w:id="475" w:name="_Toc18704"/>
      <w:r/>
      <w:bookmarkStart w:id="476" w:name="_Toc1990"/>
      <w:r/>
      <w:bookmarkStart w:id="477" w:name="_Toc31189"/>
      <w:r/>
      <w:bookmarkStart w:id="478" w:name="_Toc10759"/>
      <w:r/>
      <w:bookmarkStart w:id="479" w:name="_Toc74"/>
      <w:r/>
      <w:bookmarkStart w:id="480" w:name="_Toc987"/>
      <w:r/>
      <w:bookmarkStart w:id="481" w:name="_Toc26176"/>
      <w:r/>
      <w:bookmarkStart w:id="482" w:name="_Toc19943"/>
      <w:r/>
      <w:bookmarkStart w:id="483" w:name="_Toc12739"/>
      <w:r/>
      <w:bookmarkStart w:id="484" w:name="_Toc29234"/>
      <w:r/>
      <w:bookmarkStart w:id="485" w:name="_Toc26981"/>
      <w:r/>
      <w:bookmarkStart w:id="486" w:name="_Toc5582"/>
      <w:r/>
      <w:bookmarkStart w:id="487" w:name="_Toc20284"/>
      <w:r/>
      <w:bookmarkStart w:id="488" w:name="_Toc18905"/>
      <w:r>
        <w:rPr>
          <w:rFonts w:hint="eastAsia" w:ascii="黑体" w:hAnsi="黑体" w:eastAsia="黑体" w:cs="黑体"/>
          <w:b w:val="0"/>
          <w:bCs/>
          <w:color w:val="auto"/>
          <w:sz w:val="32"/>
          <w:szCs w:val="32"/>
          <w:highlight w:val="none"/>
          <w:lang w:val="en-US" w:eastAsia="zh-CN"/>
        </w:rPr>
        <w:t xml:space="preserve">十九、质保承诺函</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我单位承诺我单位投标设备中</w:t>
      </w:r>
      <w:r>
        <w:rPr>
          <w:rFonts w:hint="eastAsia" w:ascii="宋体" w:hAnsi="宋体" w:eastAsia="宋体" w:cs="Times New Roman"/>
          <w:b w:val="0"/>
          <w:bCs w:val="0"/>
          <w:color w:val="auto"/>
          <w:sz w:val="24"/>
          <w:szCs w:val="24"/>
          <w:highlight w:val="none"/>
          <w:u w:val="single"/>
          <w:lang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none"/>
          <w:lang w:val="en-US" w:eastAsia="zh-CN"/>
        </w:rPr>
        <w:t xml:space="preserve">设备</w:t>
      </w:r>
      <w:r>
        <w:rPr>
          <w:rFonts w:hint="eastAsia" w:ascii="宋体" w:hAnsi="宋体" w:eastAsia="宋体" w:cs="Times New Roman"/>
          <w:b w:val="0"/>
          <w:bCs w:val="0"/>
          <w:color w:val="auto"/>
          <w:sz w:val="24"/>
          <w:szCs w:val="24"/>
          <w:highlight w:val="none"/>
          <w:lang w:val="en-US" w:eastAsia="zh-CN"/>
        </w:rPr>
        <w:t xml:space="preserve">原厂质保期为</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val="en-US" w:eastAsia="zh-CN"/>
        </w:rPr>
        <w:t xml:space="preserve">个月，质保期内由设备生产厂商提供质保服务。</w:t>
      </w:r>
      <w:r/>
    </w:p>
    <w:p>
      <w:pPr>
        <w:jc w:val="center"/>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both"/>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center"/>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pStyle w:val="824"/>
        <w:ind w:firstLine="480"/>
        <w:jc w:val="both"/>
        <w:spacing w:beforeAutospacing="0" w:afterAutospacing="0"/>
        <w:rPr>
          <w:color w:val="auto"/>
          <w:highlight w:val="none"/>
        </w:rPr>
      </w:pPr>
      <w:r>
        <w:rPr>
          <w:rFonts w:hint="eastAsia" w:ascii="宋体" w:hAnsi="宋体"/>
          <w:color w:val="auto"/>
          <w:sz w:val="24"/>
          <w:highlight w:val="none"/>
          <w:lang w:val="en-US" w:eastAsia="zh-CN"/>
        </w:rPr>
        <w:t xml:space="preserve">          </w:t>
      </w:r>
      <w:r>
        <w:rPr>
          <w:rFonts w:hint="eastAsia" w:ascii="宋体" w:hAnsi="宋体" w:eastAsia="宋体" w:cs="宋体"/>
          <w:color w:val="auto"/>
          <w:highlight w:val="none"/>
        </w:rPr>
        <w:t xml:space="preserve">投标人全称（加盖CA电子签章）：</w:t>
      </w:r>
      <w:r/>
    </w:p>
    <w:p>
      <w:pPr>
        <w:jc w:val="both"/>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p>
    <w:p>
      <w:pPr>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                                               日期：    年   月    日</w:t>
      </w:r>
      <w:r/>
    </w:p>
    <w:p>
      <w:pPr>
        <w:pStyle w:val="823"/>
        <w:rPr>
          <w:rFonts w:hint="eastAsia" w:ascii="宋体" w:hAnsi="宋体"/>
          <w:color w:val="auto"/>
          <w:sz w:val="24"/>
          <w:highlight w:val="none"/>
        </w:rPr>
      </w:pPr>
      <w:r>
        <w:rPr>
          <w:rFonts w:hint="eastAsia" w:ascii="宋体" w:hAnsi="宋体"/>
          <w:color w:val="auto"/>
          <w:sz w:val="24"/>
          <w:highlight w:val="none"/>
        </w:rPr>
      </w:r>
      <w:r/>
    </w:p>
    <w:p>
      <w:pPr>
        <w:pStyle w:val="823"/>
        <w:rPr>
          <w:rFonts w:hint="eastAsia" w:ascii="宋体" w:hAnsi="宋体"/>
          <w:color w:val="auto"/>
          <w:sz w:val="24"/>
          <w:highlight w:val="none"/>
        </w:rPr>
      </w:pPr>
      <w:r>
        <w:rPr>
          <w:rFonts w:hint="eastAsia" w:ascii="宋体" w:hAnsi="宋体"/>
          <w:color w:val="auto"/>
          <w:sz w:val="24"/>
          <w:highlight w:val="none"/>
        </w:rPr>
      </w:r>
      <w:r/>
    </w:p>
    <w:p>
      <w:pPr>
        <w:numPr>
          <w:ilvl w:val="0"/>
          <w:numId w:val="0"/>
        </w:numPr>
        <w:ind w:firstLine="0"/>
        <w:jc w:val="center"/>
        <w:spacing w:line="400" w:lineRule="exact"/>
        <w:widowControl/>
        <w:rPr>
          <w:rFonts w:hint="eastAsia" w:ascii="黑体" w:hAnsi="黑体" w:eastAsia="黑体" w:cs="黑体"/>
          <w:b w:val="0"/>
          <w:bCs/>
          <w:color w:val="auto"/>
          <w:sz w:val="32"/>
          <w:szCs w:val="32"/>
          <w:highlight w:val="none"/>
          <w:lang w:val="en-US" w:eastAsia="zh-CN"/>
        </w:rPr>
        <w:outlineLvl w:val="9"/>
      </w:pPr>
      <w:r/>
      <w:bookmarkStart w:id="489" w:name="_Toc24495"/>
      <w:r/>
      <w:bookmarkStart w:id="490" w:name="_Toc28330"/>
      <w:r/>
      <w:bookmarkStart w:id="491" w:name="_Toc29563"/>
      <w:r/>
      <w:bookmarkStart w:id="492" w:name="_Toc21230"/>
      <w:r/>
      <w:bookmarkStart w:id="493" w:name="_Toc6743"/>
      <w:r/>
      <w:bookmarkStart w:id="494" w:name="_Toc10718"/>
      <w:r/>
      <w:bookmarkStart w:id="495" w:name="_Toc16650"/>
      <w:r/>
      <w:bookmarkStart w:id="496" w:name="_Toc20642"/>
      <w:r/>
      <w:bookmarkStart w:id="497" w:name="_Toc18387"/>
      <w:r/>
      <w:bookmarkStart w:id="498" w:name="_Toc14469"/>
      <w:r/>
      <w:bookmarkStart w:id="499" w:name="_Toc7629"/>
      <w:r/>
      <w:bookmarkStart w:id="500" w:name="_Toc22188"/>
      <w:r/>
      <w:bookmarkStart w:id="501" w:name="_Toc30562"/>
      <w:r/>
      <w:bookmarkStart w:id="502" w:name="_Toc458"/>
      <w:r/>
      <w:bookmarkStart w:id="503" w:name="_Toc6742"/>
      <w:r/>
      <w:bookmarkStart w:id="504" w:name="_Toc7210"/>
      <w:r/>
      <w:bookmarkStart w:id="505" w:name="_Toc532"/>
      <w:r/>
      <w:bookmarkStart w:id="506" w:name="_Toc16404"/>
      <w:r/>
      <w:bookmarkStart w:id="507" w:name="_Toc4609"/>
      <w:r/>
      <w:bookmarkStart w:id="508" w:name="_Toc16747"/>
      <w:r/>
      <w:bookmarkStart w:id="509" w:name="_Toc11735"/>
      <w:r/>
      <w:bookmarkStart w:id="510" w:name="_Toc735"/>
      <w:r/>
      <w:bookmarkStart w:id="511" w:name="_Toc31155"/>
      <w:r/>
      <w:bookmarkStart w:id="512" w:name="_Toc17205"/>
      <w:r/>
      <w:bookmarkStart w:id="513" w:name="_Toc30201"/>
      <w:r/>
      <w:bookmarkStart w:id="514" w:name="_Toc4007"/>
      <w:r/>
      <w:bookmarkStart w:id="515" w:name="_Toc18468"/>
      <w:r/>
      <w:r/>
    </w:p>
    <w:p>
      <w:pPr>
        <w:numPr>
          <w:ilvl w:val="0"/>
          <w:numId w:val="0"/>
        </w:numPr>
        <w:ind w:firstLine="0"/>
        <w:jc w:val="center"/>
        <w:spacing w:line="400" w:lineRule="exact"/>
        <w:widowControl/>
        <w:rPr>
          <w:rFonts w:hint="eastAsia" w:ascii="黑体" w:hAnsi="黑体" w:eastAsia="黑体" w:cs="黑体"/>
          <w:b w:val="0"/>
          <w:bCs/>
          <w:color w:val="auto"/>
          <w:sz w:val="32"/>
          <w:szCs w:val="32"/>
          <w:highlight w:val="none"/>
          <w:lang w:val="en-US" w:eastAsia="zh-CN"/>
        </w:rPr>
        <w:outlineLvl w:val="9"/>
      </w:pPr>
      <w:r>
        <w:rPr>
          <w:rFonts w:hint="eastAsia" w:ascii="黑体" w:hAnsi="黑体" w:eastAsia="黑体" w:cs="黑体"/>
          <w:b w:val="0"/>
          <w:bCs/>
          <w:color w:val="auto"/>
          <w:sz w:val="32"/>
          <w:szCs w:val="32"/>
          <w:highlight w:val="none"/>
          <w:lang w:val="en-US" w:eastAsia="zh-CN"/>
        </w:rPr>
      </w:r>
      <w:r/>
    </w:p>
    <w:p>
      <w:pPr>
        <w:numPr>
          <w:ilvl w:val="0"/>
          <w:numId w:val="0"/>
        </w:numPr>
        <w:ind w:firstLine="0"/>
        <w:jc w:val="center"/>
        <w:spacing w:line="400" w:lineRule="exact"/>
        <w:widowControl/>
        <w:rPr>
          <w:rFonts w:hint="eastAsia" w:ascii="黑体" w:hAnsi="黑体" w:eastAsia="黑体" w:cs="黑体"/>
          <w:b w:val="0"/>
          <w:bCs/>
          <w:color w:val="auto"/>
          <w:sz w:val="32"/>
          <w:szCs w:val="32"/>
          <w:highlight w:val="none"/>
          <w:lang w:val="en-US" w:eastAsia="zh-CN"/>
        </w:rPr>
        <w:outlineLvl w:val="9"/>
      </w:pPr>
      <w:r>
        <w:rPr>
          <w:rFonts w:hint="eastAsia" w:ascii="黑体" w:hAnsi="黑体" w:eastAsia="黑体" w:cs="黑体"/>
          <w:b w:val="0"/>
          <w:bCs/>
          <w:color w:val="auto"/>
          <w:sz w:val="32"/>
          <w:szCs w:val="32"/>
          <w:highlight w:val="none"/>
          <w:lang w:val="en-US" w:eastAsia="zh-CN"/>
        </w:rPr>
      </w:r>
      <w:r/>
    </w:p>
    <w:p>
      <w:pPr>
        <w:numPr>
          <w:ilvl w:val="0"/>
          <w:numId w:val="0"/>
        </w:numPr>
        <w:ind w:firstLine="0"/>
        <w:jc w:val="center"/>
        <w:spacing w:line="400" w:lineRule="exact"/>
        <w:widowControl/>
        <w:rPr>
          <w:rFonts w:hint="eastAsia" w:ascii="宋体" w:hAnsi="宋体" w:cs="宋体"/>
          <w:color w:val="auto"/>
          <w:szCs w:val="21"/>
          <w:highlight w:val="none"/>
          <w:lang w:val="en-US" w:eastAsia="zh-CN"/>
        </w:rPr>
        <w:outlineLvl w:val="1"/>
      </w:pPr>
      <w:r/>
      <w:bookmarkStart w:id="516" w:name="_Toc16226"/>
      <w:r/>
      <w:bookmarkStart w:id="517" w:name="_Toc19904"/>
      <w:r>
        <w:rPr>
          <w:rFonts w:hint="eastAsia" w:ascii="黑体" w:hAnsi="黑体" w:eastAsia="黑体" w:cs="黑体"/>
          <w:b w:val="0"/>
          <w:bCs/>
          <w:color w:val="auto"/>
          <w:sz w:val="32"/>
          <w:szCs w:val="32"/>
          <w:highlight w:val="none"/>
          <w:lang w:val="en-US" w:eastAsia="zh-CN"/>
        </w:rPr>
        <w:t xml:space="preserve">二十、</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Start w:id="518" w:name="_Toc28356"/>
      <w:r/>
      <w:bookmarkStart w:id="519" w:name="_Toc12820"/>
      <w:r/>
      <w:bookmarkStart w:id="520" w:name="_Toc24858"/>
      <w:r/>
      <w:bookmarkStart w:id="521" w:name="_Toc20569"/>
      <w:r/>
      <w:bookmarkStart w:id="522" w:name="_Toc8999"/>
      <w:r/>
      <w:bookmarkStart w:id="523" w:name="_Toc8127"/>
      <w:r/>
      <w:bookmarkStart w:id="524" w:name="_Toc27990"/>
      <w:r/>
      <w:bookmarkStart w:id="525" w:name="_Toc7529"/>
      <w:r/>
      <w:bookmarkStart w:id="526" w:name="_Toc12126"/>
      <w:r/>
      <w:bookmarkStart w:id="527" w:name="_Toc17028"/>
      <w:r/>
      <w:bookmarkStart w:id="528" w:name="_Toc22957"/>
      <w:r/>
      <w:bookmarkStart w:id="529" w:name="_Toc12584"/>
      <w:r/>
      <w:bookmarkStart w:id="530" w:name="_Toc23360"/>
      <w:r/>
      <w:bookmarkStart w:id="531" w:name="_Toc30926"/>
      <w:r/>
      <w:bookmarkStart w:id="532" w:name="_Toc29613"/>
      <w:r/>
      <w:bookmarkStart w:id="533" w:name="_Toc27356"/>
      <w:r/>
      <w:bookmarkStart w:id="534" w:name="_Toc15054"/>
      <w:r/>
      <w:bookmarkStart w:id="535" w:name="_Toc26789"/>
      <w:r/>
      <w:bookmarkStart w:id="536" w:name="_Toc20396"/>
      <w:r>
        <w:rPr>
          <w:rFonts w:hint="eastAsia" w:ascii="黑体" w:hAnsi="黑体" w:eastAsia="黑体" w:cs="黑体"/>
          <w:bCs/>
          <w:color w:val="auto"/>
          <w:sz w:val="32"/>
          <w:szCs w:val="32"/>
          <w:highlight w:val="none"/>
          <w:lang w:val="en-US" w:eastAsia="zh-CN"/>
        </w:rPr>
        <w:t xml:space="preserve">脱保后服务承诺</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我单位承诺我单位投标设备</w:t>
      </w:r>
      <w:r>
        <w:rPr>
          <w:rFonts w:hint="eastAsia" w:ascii="宋体" w:hAnsi="宋体" w:cs="宋体"/>
          <w:color w:val="auto"/>
          <w:szCs w:val="21"/>
          <w:highlight w:val="none"/>
        </w:rPr>
        <w:t xml:space="preserve">质保期满后收</w:t>
      </w:r>
      <w:r>
        <w:rPr>
          <w:rFonts w:hint="eastAsia" w:ascii="宋体" w:hAnsi="宋体" w:cs="宋体"/>
          <w:color w:val="auto"/>
          <w:szCs w:val="21"/>
          <w:highlight w:val="none"/>
          <w:lang w:val="en-US" w:eastAsia="zh-CN"/>
        </w:rPr>
        <w:t xml:space="preserve">取配件</w:t>
      </w:r>
      <w:r>
        <w:rPr>
          <w:rFonts w:hint="eastAsia" w:ascii="宋体" w:hAnsi="宋体" w:cs="宋体"/>
          <w:color w:val="auto"/>
          <w:szCs w:val="21"/>
          <w:highlight w:val="none"/>
        </w:rPr>
        <w:t xml:space="preserve">成本费、人工费</w:t>
      </w:r>
      <w:r>
        <w:rPr>
          <w:rFonts w:hint="eastAsia" w:ascii="宋体" w:hAnsi="宋体" w:cs="宋体"/>
          <w:color w:val="auto"/>
          <w:szCs w:val="21"/>
          <w:highlight w:val="none"/>
          <w:lang w:val="en-US" w:eastAsia="zh-CN"/>
        </w:rPr>
        <w:t xml:space="preserve">按</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标准收取，其他费用按</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标准收取</w:t>
      </w:r>
      <w:r>
        <w:rPr>
          <w:rFonts w:hint="eastAsia" w:ascii="宋体" w:hAnsi="宋体" w:eastAsia="宋体" w:cs="Times New Roman"/>
          <w:b w:val="0"/>
          <w:bCs w:val="0"/>
          <w:color w:val="auto"/>
          <w:sz w:val="24"/>
          <w:szCs w:val="24"/>
          <w:highlight w:val="none"/>
          <w:lang w:val="en-US" w:eastAsia="zh-CN"/>
        </w:rPr>
        <w:t xml:space="preserve">。</w:t>
      </w:r>
      <w:r/>
    </w:p>
    <w:p>
      <w:pPr>
        <w:jc w:val="center"/>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both"/>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center"/>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center"/>
        <w:spacing w:line="360" w:lineRule="auto"/>
        <w:rPr>
          <w:rFonts w:hint="eastAsia" w:ascii="宋体" w:hAnsi="宋体"/>
          <w:color w:val="auto"/>
          <w:sz w:val="24"/>
          <w:highlight w:val="none"/>
          <w:u w:val="single"/>
        </w:rPr>
      </w:pPr>
      <w:r>
        <w:rPr>
          <w:rFonts w:hint="eastAsia" w:ascii="宋体" w:hAnsi="宋体"/>
          <w:color w:val="auto"/>
          <w:sz w:val="24"/>
          <w:highlight w:val="none"/>
          <w:lang w:val="en-US" w:eastAsia="zh-CN"/>
        </w:rPr>
        <w:t xml:space="preserve">                </w:t>
      </w:r>
      <w:r>
        <w:rPr>
          <w:rFonts w:hint="eastAsia" w:ascii="宋体" w:hAnsi="宋体" w:eastAsia="宋体" w:cs="宋体"/>
          <w:color w:val="auto"/>
          <w:highlight w:val="none"/>
        </w:rPr>
        <w:t xml:space="preserve">投标人全称（加盖CA电子签章）：</w:t>
      </w:r>
      <w:r/>
    </w:p>
    <w:p>
      <w:pPr>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                                               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numPr>
          <w:ilvl w:val="0"/>
          <w:numId w:val="0"/>
        </w:numPr>
        <w:ind w:firstLine="0"/>
        <w:jc w:val="center"/>
        <w:spacing w:line="400" w:lineRule="exact"/>
        <w:widowControl/>
        <w:rPr>
          <w:rFonts w:hint="eastAsia" w:ascii="宋体" w:hAnsi="宋体" w:cs="宋体"/>
          <w:color w:val="auto"/>
          <w:szCs w:val="21"/>
          <w:highlight w:val="none"/>
          <w:lang w:val="en-US" w:eastAsia="zh-CN"/>
        </w:rPr>
        <w:outlineLvl w:val="1"/>
      </w:pPr>
      <w:r>
        <w:rPr>
          <w:rFonts w:hint="eastAsia" w:ascii="黑体" w:hAnsi="黑体" w:eastAsia="黑体" w:cs="黑体"/>
          <w:b w:val="0"/>
          <w:bCs/>
          <w:color w:val="auto"/>
          <w:sz w:val="32"/>
          <w:szCs w:val="32"/>
          <w:highlight w:val="none"/>
          <w:lang w:val="en-US" w:eastAsia="zh-CN"/>
        </w:rPr>
        <w:br w:type="page" w:clear="all"/>
      </w:r>
      <w:bookmarkStart w:id="537" w:name="_Toc14293"/>
      <w:r/>
      <w:bookmarkStart w:id="538" w:name="_Toc7121"/>
      <w:r>
        <w:rPr>
          <w:rFonts w:hint="eastAsia" w:ascii="黑体" w:hAnsi="黑体" w:eastAsia="黑体" w:cs="黑体"/>
          <w:b w:val="0"/>
          <w:bCs/>
          <w:color w:val="auto"/>
          <w:sz w:val="32"/>
          <w:szCs w:val="32"/>
          <w:highlight w:val="none"/>
          <w:lang w:val="en-US" w:eastAsia="zh-CN"/>
        </w:rPr>
        <w:t xml:space="preserve">二十一、</w:t>
      </w:r>
      <w:r>
        <w:rPr>
          <w:rFonts w:hint="eastAsia" w:ascii="黑体" w:hAnsi="黑体" w:eastAsia="黑体" w:cs="黑体"/>
          <w:bCs/>
          <w:color w:val="auto"/>
          <w:sz w:val="32"/>
          <w:szCs w:val="32"/>
          <w:highlight w:val="none"/>
          <w:lang w:val="en-US" w:eastAsia="zh-CN"/>
        </w:rPr>
        <w:t xml:space="preserve">脱保后配件供应（保障）承诺</w:t>
      </w:r>
      <w:bookmarkEnd w:id="537"/>
      <w:r/>
      <w:bookmarkEnd w:id="538"/>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我单位承诺我单位投标设备</w:t>
      </w:r>
      <w:r>
        <w:rPr>
          <w:rFonts w:hint="eastAsia" w:ascii="宋体" w:hAnsi="宋体" w:cs="宋体"/>
          <w:color w:val="auto"/>
          <w:szCs w:val="21"/>
          <w:highlight w:val="none"/>
        </w:rPr>
        <w:t xml:space="preserve">质保期满后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（具体时限内）</w:t>
      </w:r>
      <w:r>
        <w:rPr>
          <w:rFonts w:hint="eastAsia" w:ascii="宋体" w:hAnsi="宋体" w:cs="宋体"/>
          <w:color w:val="auto"/>
          <w:szCs w:val="21"/>
          <w:highlight w:val="none"/>
          <w:lang w:val="en-US" w:eastAsia="zh-CN"/>
        </w:rPr>
        <w:t xml:space="preserve">保障零配件的供应</w:t>
      </w:r>
      <w:r>
        <w:rPr>
          <w:rFonts w:hint="eastAsia" w:ascii="宋体" w:hAnsi="宋体" w:eastAsia="宋体" w:cs="Times New Roman"/>
          <w:b w:val="0"/>
          <w:bCs w:val="0"/>
          <w:color w:val="auto"/>
          <w:sz w:val="24"/>
          <w:szCs w:val="24"/>
          <w:highlight w:val="none"/>
          <w:lang w:val="en-US" w:eastAsia="zh-CN"/>
        </w:rPr>
        <w:t xml:space="preserve">。</w:t>
      </w:r>
      <w:r/>
    </w:p>
    <w:p>
      <w:pPr>
        <w:jc w:val="center"/>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both"/>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center"/>
        <w:spacing w:line="400" w:lineRule="exact"/>
        <w:rPr>
          <w:rFonts w:hint="eastAsia" w:ascii="黑体" w:hAnsi="黑体" w:eastAsia="黑体" w:cs="黑体"/>
          <w:b w:val="0"/>
          <w:bCs/>
          <w:color w:val="auto"/>
          <w:sz w:val="32"/>
          <w:szCs w:val="32"/>
          <w:highlight w:val="none"/>
        </w:rPr>
        <w:outlineLvl w:val="9"/>
      </w:pPr>
      <w:r>
        <w:rPr>
          <w:rFonts w:hint="eastAsia" w:ascii="黑体" w:hAnsi="黑体" w:eastAsia="黑体" w:cs="黑体"/>
          <w:b w:val="0"/>
          <w:bCs/>
          <w:color w:val="auto"/>
          <w:sz w:val="32"/>
          <w:szCs w:val="32"/>
          <w:highlight w:val="none"/>
        </w:rPr>
      </w:r>
      <w:r/>
    </w:p>
    <w:p>
      <w:pPr>
        <w:jc w:val="center"/>
        <w:spacing w:line="360" w:lineRule="auto"/>
        <w:rPr>
          <w:rFonts w:hint="eastAsia" w:ascii="宋体" w:hAnsi="宋体"/>
          <w:color w:val="auto"/>
          <w:sz w:val="24"/>
          <w:highlight w:val="none"/>
          <w:u w:val="single"/>
        </w:rPr>
      </w:pPr>
      <w:r>
        <w:rPr>
          <w:rFonts w:hint="eastAsia" w:ascii="宋体" w:hAnsi="宋体"/>
          <w:color w:val="auto"/>
          <w:sz w:val="24"/>
          <w:highlight w:val="none"/>
          <w:lang w:val="en-US" w:eastAsia="zh-CN"/>
        </w:rPr>
        <w:t xml:space="preserve">             </w:t>
      </w:r>
      <w:r>
        <w:rPr>
          <w:rFonts w:hint="eastAsia" w:ascii="宋体" w:hAnsi="宋体" w:eastAsia="宋体" w:cs="宋体"/>
          <w:color w:val="auto"/>
          <w:highlight w:val="none"/>
        </w:rPr>
        <w:t xml:space="preserve">投标人全称（加盖CA电子签章）：</w:t>
      </w:r>
      <w:r/>
    </w:p>
    <w:p>
      <w:pPr>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                                               日期：    年   月    日</w:t>
      </w:r>
      <w:r/>
    </w:p>
    <w:p>
      <w:pPr>
        <w:jc w:val="center"/>
        <w:spacing w:before="50" w:after="50"/>
        <w:widowControl/>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jc w:val="center"/>
        <w:spacing w:before="50" w:after="50"/>
        <w:widowControl/>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jc w:val="center"/>
        <w:spacing w:before="50" w:after="50"/>
        <w:widowControl/>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lang w:val="en-US" w:eastAsia="zh-CN"/>
        </w:rPr>
        <w:t xml:space="preserve">二十二</w:t>
      </w:r>
      <w:r>
        <w:rPr>
          <w:rFonts w:hint="eastAsia" w:ascii="宋体" w:hAnsi="宋体" w:eastAsia="宋体" w:cs="宋体"/>
          <w:color w:val="auto"/>
          <w:sz w:val="32"/>
          <w:szCs w:val="32"/>
          <w:highlight w:val="none"/>
        </w:rPr>
        <w:t xml:space="preserve">、技术方案、服务承诺、培训承诺等</w:t>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br w:type="page" w:clear="all"/>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lang w:val="en-US" w:eastAsia="zh-CN"/>
        </w:rPr>
        <w:t xml:space="preserve">二十三</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24"/>
        <w:jc w:val="center"/>
        <w:spacing w:beforeAutospacing="0" w:afterAutospacing="0"/>
        <w:rPr>
          <w:color w:val="auto"/>
          <w:highlight w:val="none"/>
        </w:rPr>
      </w:pPr>
      <w:r>
        <w:rPr>
          <w:color w:val="auto"/>
          <w:highlight w:val="none"/>
        </w:rPr>
      </w:r>
      <w:bookmarkEnd w:id="13"/>
      <w:r/>
      <w:bookmarkEnd w:id="72"/>
      <w:r/>
      <w:bookmarkEnd w:id="125"/>
      <w:r/>
      <w:bookmarkEnd w:id="126"/>
      <w:r/>
      <w:bookmarkEnd w:id="127"/>
      <w:r/>
      <w:bookmarkEnd w:id="128"/>
      <w:r/>
      <w:bookmarkEnd w:id="129"/>
      <w:r/>
      <w:bookmarkEnd w:id="130"/>
      <w:r/>
      <w:bookmarkEnd w:id="131"/>
      <w:r/>
      <w:bookmarkEnd w:id="132"/>
      <w:r/>
      <w:bookmarkEnd w:id="144"/>
      <w:r/>
      <w:bookmarkEnd w:id="145"/>
      <w:r/>
      <w:bookmarkEnd w:id="152"/>
      <w:r/>
      <w:bookmarkEnd w:id="269"/>
      <w:r/>
      <w:bookmarkEnd w:id="273"/>
      <w:r/>
      <w:bookmarkEnd w:id="282"/>
      <w:r/>
      <w:bookmarkEnd w:id="283"/>
      <w:r/>
      <w:bookmarkEnd w:id="284"/>
      <w:r/>
      <w:bookmarkEnd w:id="292"/>
      <w:r/>
      <w:bookmarkEnd w:id="294"/>
      <w:r/>
      <w:bookmarkEnd w:id="295"/>
      <w:r/>
      <w:bookmarkEnd w:id="296"/>
      <w:r/>
      <w:bookmarkEnd w:id="302"/>
      <w:r/>
      <w:bookmarkEnd w:id="311"/>
      <w:r/>
      <w:bookmarkEnd w:id="312"/>
      <w:r/>
      <w:bookmarkEnd w:id="313"/>
      <w:r/>
      <w:bookmarkEnd w:id="314"/>
      <w:r/>
      <w:bookmarkEnd w:id="315"/>
      <w:r/>
      <w:r/>
    </w:p>
    <w:p>
      <w:pPr>
        <w:pStyle w:val="82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4"/>
        <w:jc w:val="both"/>
        <w:spacing w:before="290" w:beforeAutospacing="0" w:afterAutospacing="0" w:line="360" w:lineRule="auto"/>
        <w:rPr>
          <w:rFonts w:ascii="宋体" w:hAnsi="宋体" w:eastAsia="宋体" w:cs="宋体"/>
          <w:color w:val="auto"/>
          <w:highlight w:val="none"/>
        </w:rPr>
        <w:outlineLvl w:val="1"/>
      </w:pPr>
      <w:r/>
      <w:bookmarkStart w:id="539" w:name="_Toc23409"/>
      <w:r>
        <w:rPr>
          <w:rFonts w:hint="eastAsia" w:ascii="宋体" w:hAnsi="宋体" w:eastAsia="宋体" w:cs="宋体"/>
          <w:color w:val="auto"/>
          <w:highlight w:val="none"/>
        </w:rPr>
        <w:t xml:space="preserve">一、质疑供应商基本信息</w:t>
      </w:r>
      <w:bookmarkEnd w:id="539"/>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outlineLvl w:val="1"/>
      </w:pPr>
      <w:r/>
      <w:bookmarkStart w:id="540" w:name="_Toc7279"/>
      <w:r>
        <w:rPr>
          <w:rFonts w:hint="eastAsia" w:ascii="宋体" w:hAnsi="宋体" w:eastAsia="宋体" w:cs="宋体"/>
          <w:color w:val="auto"/>
          <w:highlight w:val="none"/>
        </w:rPr>
        <w:t xml:space="preserve">二、质疑项目基本情况</w:t>
      </w:r>
      <w:bookmarkEnd w:id="540"/>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outlineLvl w:val="1"/>
      </w:pPr>
      <w:r/>
      <w:bookmarkStart w:id="541" w:name="_Toc7667"/>
      <w:r>
        <w:rPr>
          <w:rFonts w:hint="eastAsia" w:ascii="宋体" w:hAnsi="宋体" w:eastAsia="宋体" w:cs="宋体"/>
          <w:color w:val="auto"/>
          <w:highlight w:val="none"/>
        </w:rPr>
        <w:t xml:space="preserve">三、质疑事项具体内容</w:t>
      </w:r>
      <w:bookmarkEnd w:id="541"/>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4"/>
        <w:jc w:val="both"/>
        <w:spacing w:beforeAutospacing="0" w:afterAutospacing="0" w:line="360" w:lineRule="auto"/>
        <w:rPr>
          <w:rFonts w:ascii="宋体" w:hAnsi="宋体" w:eastAsia="宋体" w:cs="宋体"/>
          <w:color w:val="auto"/>
          <w:highlight w:val="none"/>
        </w:rPr>
        <w:outlineLvl w:val="1"/>
      </w:pPr>
      <w:r/>
      <w:bookmarkStart w:id="542" w:name="_Toc13346"/>
      <w:r>
        <w:rPr>
          <w:rFonts w:hint="eastAsia" w:ascii="宋体" w:hAnsi="宋体" w:eastAsia="宋体" w:cs="宋体"/>
          <w:color w:val="auto"/>
          <w:highlight w:val="none"/>
        </w:rPr>
        <w:t xml:space="preserve">四、与质疑事项相关的质疑请求</w:t>
      </w:r>
      <w:bookmarkEnd w:id="542"/>
      <w:r/>
      <w:r/>
    </w:p>
    <w:p>
      <w:pPr>
        <w:pStyle w:val="8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4"/>
        <w:spacing w:beforeAutospacing="0" w:afterAutospacing="0"/>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3"/>
    <w:next w:val="813"/>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5"/>
    <w:link w:val="640"/>
    <w:uiPriority w:val="9"/>
    <w:rPr>
      <w:rFonts w:ascii="Arial" w:hAnsi="Arial" w:eastAsia="Arial" w:cs="Arial"/>
      <w:sz w:val="40"/>
      <w:szCs w:val="40"/>
    </w:rPr>
  </w:style>
  <w:style w:type="character" w:styleId="642">
    <w:name w:val="Heading 2 Char"/>
    <w:basedOn w:val="815"/>
    <w:link w:val="814"/>
    <w:uiPriority w:val="9"/>
    <w:rPr>
      <w:rFonts w:ascii="Arial" w:hAnsi="Arial" w:eastAsia="Arial" w:cs="Arial"/>
      <w:sz w:val="34"/>
    </w:rPr>
  </w:style>
  <w:style w:type="paragraph" w:styleId="643">
    <w:name w:val="Heading 3"/>
    <w:basedOn w:val="813"/>
    <w:next w:val="813"/>
    <w:link w:val="644"/>
    <w:uiPriority w:val="9"/>
    <w:unhideWhenUsed/>
    <w:qFormat/>
    <w:pPr>
      <w:keepLines/>
      <w:keepNext/>
      <w:spacing w:before="320" w:after="200"/>
      <w:outlineLvl w:val="2"/>
    </w:pPr>
    <w:rPr>
      <w:rFonts w:ascii="Arial" w:hAnsi="Arial" w:eastAsia="Arial" w:cs="Arial"/>
      <w:sz w:val="30"/>
      <w:szCs w:val="30"/>
    </w:rPr>
  </w:style>
  <w:style w:type="character" w:styleId="644">
    <w:name w:val="Heading 3 Char"/>
    <w:basedOn w:val="815"/>
    <w:link w:val="643"/>
    <w:uiPriority w:val="9"/>
    <w:rPr>
      <w:rFonts w:ascii="Arial" w:hAnsi="Arial" w:eastAsia="Arial" w:cs="Arial"/>
      <w:sz w:val="30"/>
      <w:szCs w:val="30"/>
    </w:rPr>
  </w:style>
  <w:style w:type="paragraph" w:styleId="645">
    <w:name w:val="Heading 4"/>
    <w:basedOn w:val="813"/>
    <w:next w:val="813"/>
    <w:link w:val="646"/>
    <w:uiPriority w:val="9"/>
    <w:unhideWhenUsed/>
    <w:qFormat/>
    <w:pPr>
      <w:keepLines/>
      <w:keepNext/>
      <w:spacing w:before="320" w:after="200"/>
      <w:outlineLvl w:val="3"/>
    </w:pPr>
    <w:rPr>
      <w:rFonts w:ascii="Arial" w:hAnsi="Arial" w:eastAsia="Arial" w:cs="Arial"/>
      <w:b/>
      <w:bCs/>
      <w:sz w:val="26"/>
      <w:szCs w:val="26"/>
    </w:rPr>
  </w:style>
  <w:style w:type="character" w:styleId="646">
    <w:name w:val="Heading 4 Char"/>
    <w:basedOn w:val="815"/>
    <w:link w:val="645"/>
    <w:uiPriority w:val="9"/>
    <w:rPr>
      <w:rFonts w:ascii="Arial" w:hAnsi="Arial" w:eastAsia="Arial" w:cs="Arial"/>
      <w:b/>
      <w:bCs/>
      <w:sz w:val="26"/>
      <w:szCs w:val="26"/>
    </w:rPr>
  </w:style>
  <w:style w:type="paragraph" w:styleId="647">
    <w:name w:val="Heading 5"/>
    <w:basedOn w:val="813"/>
    <w:next w:val="813"/>
    <w:link w:val="648"/>
    <w:uiPriority w:val="9"/>
    <w:unhideWhenUsed/>
    <w:qFormat/>
    <w:pPr>
      <w:keepLines/>
      <w:keepNext/>
      <w:spacing w:before="320" w:after="200"/>
      <w:outlineLvl w:val="4"/>
    </w:pPr>
    <w:rPr>
      <w:rFonts w:ascii="Arial" w:hAnsi="Arial" w:eastAsia="Arial" w:cs="Arial"/>
      <w:b/>
      <w:bCs/>
      <w:sz w:val="24"/>
      <w:szCs w:val="24"/>
    </w:rPr>
  </w:style>
  <w:style w:type="character" w:styleId="648">
    <w:name w:val="Heading 5 Char"/>
    <w:basedOn w:val="815"/>
    <w:link w:val="647"/>
    <w:uiPriority w:val="9"/>
    <w:rPr>
      <w:rFonts w:ascii="Arial" w:hAnsi="Arial" w:eastAsia="Arial" w:cs="Arial"/>
      <w:b/>
      <w:bCs/>
      <w:sz w:val="24"/>
      <w:szCs w:val="24"/>
    </w:rPr>
  </w:style>
  <w:style w:type="paragraph" w:styleId="649">
    <w:name w:val="Heading 6"/>
    <w:basedOn w:val="813"/>
    <w:next w:val="813"/>
    <w:link w:val="650"/>
    <w:uiPriority w:val="9"/>
    <w:unhideWhenUsed/>
    <w:qFormat/>
    <w:pPr>
      <w:keepLines/>
      <w:keepNext/>
      <w:spacing w:before="320" w:after="200"/>
      <w:outlineLvl w:val="5"/>
    </w:pPr>
    <w:rPr>
      <w:rFonts w:ascii="Arial" w:hAnsi="Arial" w:eastAsia="Arial" w:cs="Arial"/>
      <w:b/>
      <w:bCs/>
      <w:sz w:val="22"/>
      <w:szCs w:val="22"/>
    </w:rPr>
  </w:style>
  <w:style w:type="character" w:styleId="650">
    <w:name w:val="Heading 6 Char"/>
    <w:basedOn w:val="815"/>
    <w:link w:val="649"/>
    <w:uiPriority w:val="9"/>
    <w:rPr>
      <w:rFonts w:ascii="Arial" w:hAnsi="Arial" w:eastAsia="Arial" w:cs="Arial"/>
      <w:b/>
      <w:bCs/>
      <w:sz w:val="22"/>
      <w:szCs w:val="22"/>
    </w:rPr>
  </w:style>
  <w:style w:type="paragraph" w:styleId="651">
    <w:name w:val="Heading 7"/>
    <w:basedOn w:val="813"/>
    <w:next w:val="813"/>
    <w:link w:val="652"/>
    <w:uiPriority w:val="9"/>
    <w:unhideWhenUsed/>
    <w:qFormat/>
    <w:pPr>
      <w:keepLines/>
      <w:keepNext/>
      <w:spacing w:before="320" w:after="200"/>
      <w:outlineLvl w:val="6"/>
    </w:pPr>
    <w:rPr>
      <w:rFonts w:ascii="Arial" w:hAnsi="Arial" w:eastAsia="Arial" w:cs="Arial"/>
      <w:b/>
      <w:bCs/>
      <w:i/>
      <w:iCs/>
      <w:sz w:val="22"/>
      <w:szCs w:val="22"/>
    </w:rPr>
  </w:style>
  <w:style w:type="character" w:styleId="652">
    <w:name w:val="Heading 7 Char"/>
    <w:basedOn w:val="815"/>
    <w:link w:val="651"/>
    <w:uiPriority w:val="9"/>
    <w:rPr>
      <w:rFonts w:ascii="Arial" w:hAnsi="Arial" w:eastAsia="Arial" w:cs="Arial"/>
      <w:b/>
      <w:bCs/>
      <w:i/>
      <w:iCs/>
      <w:sz w:val="22"/>
      <w:szCs w:val="22"/>
    </w:rPr>
  </w:style>
  <w:style w:type="paragraph" w:styleId="653">
    <w:name w:val="Heading 8"/>
    <w:basedOn w:val="813"/>
    <w:next w:val="813"/>
    <w:link w:val="654"/>
    <w:uiPriority w:val="9"/>
    <w:unhideWhenUsed/>
    <w:qFormat/>
    <w:pPr>
      <w:keepLines/>
      <w:keepNext/>
      <w:spacing w:before="320" w:after="200"/>
      <w:outlineLvl w:val="7"/>
    </w:pPr>
    <w:rPr>
      <w:rFonts w:ascii="Arial" w:hAnsi="Arial" w:eastAsia="Arial" w:cs="Arial"/>
      <w:i/>
      <w:iCs/>
      <w:sz w:val="22"/>
      <w:szCs w:val="22"/>
    </w:rPr>
  </w:style>
  <w:style w:type="character" w:styleId="654">
    <w:name w:val="Heading 8 Char"/>
    <w:basedOn w:val="815"/>
    <w:link w:val="653"/>
    <w:uiPriority w:val="9"/>
    <w:rPr>
      <w:rFonts w:ascii="Arial" w:hAnsi="Arial" w:eastAsia="Arial" w:cs="Arial"/>
      <w:i/>
      <w:iCs/>
      <w:sz w:val="22"/>
      <w:szCs w:val="22"/>
    </w:rPr>
  </w:style>
  <w:style w:type="paragraph" w:styleId="655">
    <w:name w:val="Heading 9"/>
    <w:basedOn w:val="813"/>
    <w:next w:val="813"/>
    <w:link w:val="656"/>
    <w:uiPriority w:val="9"/>
    <w:unhideWhenUsed/>
    <w:qFormat/>
    <w:pPr>
      <w:keepLines/>
      <w:keepNext/>
      <w:spacing w:before="320" w:after="200"/>
      <w:outlineLvl w:val="8"/>
    </w:pPr>
    <w:rPr>
      <w:rFonts w:ascii="Arial" w:hAnsi="Arial" w:eastAsia="Arial" w:cs="Arial"/>
      <w:i/>
      <w:iCs/>
      <w:sz w:val="21"/>
      <w:szCs w:val="21"/>
    </w:rPr>
  </w:style>
  <w:style w:type="character" w:styleId="656">
    <w:name w:val="Heading 9 Char"/>
    <w:basedOn w:val="815"/>
    <w:link w:val="655"/>
    <w:uiPriority w:val="9"/>
    <w:rPr>
      <w:rFonts w:ascii="Arial" w:hAnsi="Arial" w:eastAsia="Arial" w:cs="Arial"/>
      <w:i/>
      <w:iCs/>
      <w:sz w:val="21"/>
      <w:szCs w:val="21"/>
    </w:rPr>
  </w:style>
  <w:style w:type="paragraph" w:styleId="657">
    <w:name w:val="List Paragraph"/>
    <w:basedOn w:val="813"/>
    <w:uiPriority w:val="34"/>
    <w:qFormat/>
    <w:pPr>
      <w:contextualSpacing/>
      <w:ind w:left="720"/>
    </w:pPr>
  </w:style>
  <w:style w:type="paragraph" w:styleId="658">
    <w:name w:val="No Spacing"/>
    <w:uiPriority w:val="1"/>
    <w:qFormat/>
    <w:pPr>
      <w:spacing w:before="0" w:after="0" w:line="240" w:lineRule="auto"/>
    </w:pPr>
  </w:style>
  <w:style w:type="paragraph" w:styleId="659">
    <w:name w:val="Title"/>
    <w:basedOn w:val="813"/>
    <w:next w:val="813"/>
    <w:link w:val="660"/>
    <w:uiPriority w:val="10"/>
    <w:qFormat/>
    <w:pPr>
      <w:contextualSpacing/>
      <w:spacing w:before="300" w:after="200"/>
    </w:pPr>
    <w:rPr>
      <w:sz w:val="48"/>
      <w:szCs w:val="48"/>
    </w:rPr>
  </w:style>
  <w:style w:type="character" w:styleId="660">
    <w:name w:val="Title Char"/>
    <w:basedOn w:val="815"/>
    <w:link w:val="659"/>
    <w:uiPriority w:val="10"/>
    <w:rPr>
      <w:sz w:val="48"/>
      <w:szCs w:val="48"/>
    </w:rPr>
  </w:style>
  <w:style w:type="paragraph" w:styleId="661">
    <w:name w:val="Subtitle"/>
    <w:basedOn w:val="813"/>
    <w:next w:val="813"/>
    <w:link w:val="662"/>
    <w:uiPriority w:val="11"/>
    <w:qFormat/>
    <w:pPr>
      <w:spacing w:before="200" w:after="200"/>
    </w:pPr>
    <w:rPr>
      <w:sz w:val="24"/>
      <w:szCs w:val="24"/>
    </w:rPr>
  </w:style>
  <w:style w:type="character" w:styleId="662">
    <w:name w:val="Subtitle Char"/>
    <w:basedOn w:val="815"/>
    <w:link w:val="661"/>
    <w:uiPriority w:val="11"/>
    <w:rPr>
      <w:sz w:val="24"/>
      <w:szCs w:val="24"/>
    </w:rPr>
  </w:style>
  <w:style w:type="paragraph" w:styleId="663">
    <w:name w:val="Quote"/>
    <w:basedOn w:val="813"/>
    <w:next w:val="813"/>
    <w:link w:val="664"/>
    <w:uiPriority w:val="29"/>
    <w:qFormat/>
    <w:pPr>
      <w:ind w:left="720" w:right="720"/>
    </w:pPr>
    <w:rPr>
      <w:i/>
    </w:rPr>
  </w:style>
  <w:style w:type="character" w:styleId="664">
    <w:name w:val="Quote Char"/>
    <w:link w:val="663"/>
    <w:uiPriority w:val="29"/>
    <w:rPr>
      <w:i/>
    </w:rPr>
  </w:style>
  <w:style w:type="paragraph" w:styleId="665">
    <w:name w:val="Intense Quote"/>
    <w:basedOn w:val="813"/>
    <w:next w:val="813"/>
    <w:link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name w:val="Intense Quote Char"/>
    <w:link w:val="665"/>
    <w:uiPriority w:val="30"/>
    <w:rPr>
      <w:i/>
    </w:rPr>
  </w:style>
  <w:style w:type="character" w:styleId="667">
    <w:name w:val="Header Char"/>
    <w:basedOn w:val="815"/>
    <w:link w:val="820"/>
    <w:uiPriority w:val="99"/>
  </w:style>
  <w:style w:type="character" w:styleId="668">
    <w:name w:val="Footer Char"/>
    <w:basedOn w:val="815"/>
    <w:link w:val="819"/>
    <w:uiPriority w:val="99"/>
  </w:style>
  <w:style w:type="paragraph" w:styleId="669">
    <w:name w:val="Caption"/>
    <w:basedOn w:val="813"/>
    <w:next w:val="813"/>
    <w:uiPriority w:val="35"/>
    <w:semiHidden/>
    <w:unhideWhenUsed/>
    <w:qFormat/>
    <w:pPr>
      <w:spacing w:line="276" w:lineRule="auto"/>
    </w:pPr>
    <w:rPr>
      <w:b/>
      <w:bCs/>
      <w:color w:val="4f81bd" w:themeColor="accent1"/>
      <w:sz w:val="18"/>
      <w:szCs w:val="18"/>
    </w:rPr>
  </w:style>
  <w:style w:type="character" w:styleId="670">
    <w:name w:val="Caption Char"/>
    <w:basedOn w:val="669"/>
    <w:link w:val="819"/>
    <w:uiPriority w:val="99"/>
  </w:style>
  <w:style w:type="table" w:styleId="671">
    <w:name w:val="Table Grid"/>
    <w:basedOn w:val="81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3"/>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5"/>
    <w:uiPriority w:val="99"/>
    <w:unhideWhenUsed/>
    <w:rPr>
      <w:vertAlign w:val="superscript"/>
    </w:rPr>
  </w:style>
  <w:style w:type="paragraph" w:styleId="801">
    <w:name w:val="endnote text"/>
    <w:basedOn w:val="813"/>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5"/>
    <w:uiPriority w:val="99"/>
    <w:semiHidden/>
    <w:unhideWhenUsed/>
    <w:rPr>
      <w:vertAlign w:val="superscript"/>
    </w:rPr>
  </w:style>
  <w:style w:type="paragraph" w:styleId="804">
    <w:name w:val="toc 3"/>
    <w:basedOn w:val="813"/>
    <w:next w:val="813"/>
    <w:uiPriority w:val="39"/>
    <w:unhideWhenUsed/>
    <w:pPr>
      <w:ind w:left="567" w:right="0" w:firstLine="0"/>
      <w:spacing w:after="57"/>
    </w:pPr>
  </w:style>
  <w:style w:type="paragraph" w:styleId="805">
    <w:name w:val="toc 4"/>
    <w:basedOn w:val="813"/>
    <w:next w:val="813"/>
    <w:uiPriority w:val="39"/>
    <w:unhideWhenUsed/>
    <w:pPr>
      <w:ind w:left="850" w:right="0" w:firstLine="0"/>
      <w:spacing w:after="57"/>
    </w:pPr>
  </w:style>
  <w:style w:type="paragraph" w:styleId="806">
    <w:name w:val="toc 5"/>
    <w:basedOn w:val="813"/>
    <w:next w:val="813"/>
    <w:uiPriority w:val="39"/>
    <w:unhideWhenUsed/>
    <w:pPr>
      <w:ind w:left="1134" w:right="0" w:firstLine="0"/>
      <w:spacing w:after="57"/>
    </w:pPr>
  </w:style>
  <w:style w:type="paragraph" w:styleId="807">
    <w:name w:val="toc 6"/>
    <w:basedOn w:val="813"/>
    <w:next w:val="813"/>
    <w:uiPriority w:val="39"/>
    <w:unhideWhenUsed/>
    <w:pPr>
      <w:ind w:left="1417" w:right="0" w:firstLine="0"/>
      <w:spacing w:after="57"/>
    </w:pPr>
  </w:style>
  <w:style w:type="paragraph" w:styleId="808">
    <w:name w:val="toc 7"/>
    <w:basedOn w:val="813"/>
    <w:next w:val="813"/>
    <w:uiPriority w:val="39"/>
    <w:unhideWhenUsed/>
    <w:pPr>
      <w:ind w:left="1701" w:right="0" w:firstLine="0"/>
      <w:spacing w:after="57"/>
    </w:pPr>
  </w:style>
  <w:style w:type="paragraph" w:styleId="809">
    <w:name w:val="toc 8"/>
    <w:basedOn w:val="813"/>
    <w:next w:val="813"/>
    <w:uiPriority w:val="39"/>
    <w:unhideWhenUsed/>
    <w:pPr>
      <w:ind w:left="1984" w:right="0" w:firstLine="0"/>
      <w:spacing w:after="57"/>
    </w:pPr>
  </w:style>
  <w:style w:type="paragraph" w:styleId="810">
    <w:name w:val="toc 9"/>
    <w:basedOn w:val="813"/>
    <w:next w:val="813"/>
    <w:uiPriority w:val="39"/>
    <w:unhideWhenUsed/>
    <w:pPr>
      <w:ind w:left="2268" w:right="0" w:firstLine="0"/>
      <w:spacing w:after="57"/>
    </w:pPr>
  </w:style>
  <w:style w:type="paragraph" w:styleId="811">
    <w:name w:val="TOC Heading"/>
    <w:uiPriority w:val="39"/>
    <w:unhideWhenUsed/>
  </w:style>
  <w:style w:type="paragraph" w:styleId="812">
    <w:name w:val="table of figures"/>
    <w:basedOn w:val="813"/>
    <w:next w:val="813"/>
    <w:uiPriority w:val="99"/>
    <w:unhideWhenUsed/>
    <w:pPr>
      <w:spacing w:after="0" w:afterAutospacing="0"/>
    </w:pPr>
  </w:style>
  <w:style w:type="paragraph" w:styleId="81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4">
    <w:name w:val="Heading 2"/>
    <w:basedOn w:val="813"/>
    <w:next w:val="81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annotation text"/>
    <w:basedOn w:val="813"/>
    <w:uiPriority w:val="0"/>
    <w:qFormat/>
    <w:pPr>
      <w:jc w:val="left"/>
    </w:pPr>
  </w:style>
  <w:style w:type="paragraph" w:styleId="818">
    <w:name w:val="Plain Text"/>
    <w:basedOn w:val="813"/>
    <w:next w:val="813"/>
    <w:uiPriority w:val="0"/>
    <w:qFormat/>
    <w:rPr>
      <w:rFonts w:ascii="宋体" w:hAnsi="Courier New" w:cs="Courier New"/>
    </w:rPr>
  </w:style>
  <w:style w:type="paragraph" w:styleId="819">
    <w:name w:val="Footer"/>
    <w:basedOn w:val="813"/>
    <w:link w:val="826"/>
    <w:uiPriority w:val="0"/>
    <w:qFormat/>
    <w:pPr>
      <w:jc w:val="left"/>
      <w:tabs>
        <w:tab w:val="center" w:pos="4153" w:leader="none"/>
        <w:tab w:val="right" w:pos="8306" w:leader="none"/>
      </w:tabs>
    </w:pPr>
    <w:rPr>
      <w:sz w:val="18"/>
      <w:szCs w:val="18"/>
    </w:rPr>
  </w:style>
  <w:style w:type="paragraph" w:styleId="820">
    <w:name w:val="Header"/>
    <w:basedOn w:val="813"/>
    <w:link w:val="825"/>
    <w:uiPriority w:val="0"/>
    <w:qFormat/>
    <w:pPr>
      <w:jc w:val="center"/>
      <w:tabs>
        <w:tab w:val="center" w:pos="4153" w:leader="none"/>
        <w:tab w:val="right" w:pos="8306" w:leader="none"/>
      </w:tabs>
      <w:pBdr>
        <w:bottom w:val="single" w:color="auto" w:sz="6" w:space="1"/>
      </w:pBdr>
    </w:pPr>
    <w:rPr>
      <w:sz w:val="18"/>
      <w:szCs w:val="18"/>
    </w:rPr>
  </w:style>
  <w:style w:type="paragraph" w:styleId="821">
    <w:name w:val="toc 1"/>
    <w:basedOn w:val="813"/>
    <w:next w:val="813"/>
    <w:uiPriority w:val="0"/>
    <w:qFormat/>
  </w:style>
  <w:style w:type="paragraph" w:styleId="822">
    <w:name w:val="toc 2"/>
    <w:basedOn w:val="813"/>
    <w:next w:val="813"/>
    <w:uiPriority w:val="0"/>
    <w:qFormat/>
    <w:pPr>
      <w:ind w:left="420"/>
    </w:pPr>
  </w:style>
  <w:style w:type="paragraph" w:styleId="823">
    <w:name w:val="Body Text 2"/>
    <w:basedOn w:val="813"/>
    <w:uiPriority w:val="0"/>
    <w:qFormat/>
    <w:pPr>
      <w:spacing w:line="480" w:lineRule="auto"/>
    </w:pPr>
  </w:style>
  <w:style w:type="paragraph" w:styleId="824">
    <w:name w:val="Normal (Web)"/>
    <w:basedOn w:val="813"/>
    <w:uiPriority w:val="0"/>
    <w:qFormat/>
    <w:pPr>
      <w:jc w:val="left"/>
      <w:spacing w:beforeAutospacing="1" w:afterAutospacing="1"/>
    </w:pPr>
    <w:rPr>
      <w:rFonts w:cs="Times New Roman"/>
      <w:sz w:val="24"/>
    </w:rPr>
  </w:style>
  <w:style w:type="character" w:styleId="825" w:customStyle="1">
    <w:name w:val="页眉 Char"/>
    <w:basedOn w:val="815"/>
    <w:link w:val="820"/>
    <w:uiPriority w:val="0"/>
    <w:qFormat/>
    <w:rPr>
      <w:rFonts w:asciiTheme="minorHAnsi" w:hAnsiTheme="minorHAnsi" w:eastAsiaTheme="minorEastAsia" w:cstheme="minorBidi"/>
      <w:sz w:val="18"/>
      <w:szCs w:val="18"/>
    </w:rPr>
  </w:style>
  <w:style w:type="character" w:styleId="826" w:customStyle="1">
    <w:name w:val="页脚 Char"/>
    <w:basedOn w:val="815"/>
    <w:link w:val="819"/>
    <w:uiPriority w:val="0"/>
    <w:qFormat/>
    <w:rPr>
      <w:rFonts w:asciiTheme="minorHAnsi" w:hAnsiTheme="minorHAnsi" w:eastAsiaTheme="minorEastAsia" w:cstheme="minorBidi"/>
      <w:sz w:val="18"/>
      <w:szCs w:val="18"/>
    </w:rPr>
  </w:style>
  <w:style w:type="paragraph" w:styleId="827" w:customStyle="1">
    <w:name w:val="WPSOffice手动目录 1"/>
    <w:uiPriority w:val="0"/>
    <w:qFormat/>
    <w:rPr>
      <w:rFonts w:ascii="Times New Roman" w:hAnsi="Times New Roman" w:eastAsia="宋体" w:cs="Times New Roman"/>
      <w:sz w:val="20"/>
      <w:szCs w:val="20"/>
    </w:rPr>
  </w:style>
  <w:style w:type="paragraph" w:styleId="828" w:customStyle="1">
    <w:name w:val="WPSOffice手动目录 2"/>
    <w:uiPriority w:val="0"/>
    <w:qFormat/>
    <w:rPr>
      <w:rFonts w:ascii="Times New Roman" w:hAnsi="Times New Roman" w:eastAsia="宋体" w:cs="Times New Roman"/>
      <w:sz w:val="20"/>
      <w:szCs w:val="20"/>
    </w:rPr>
  </w:style>
  <w:style w:type="numbering" w:styleId="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122</cp:revision>
  <dcterms:created xsi:type="dcterms:W3CDTF">2014-10-29T12:08:00Z</dcterms:created>
  <dcterms:modified xsi:type="dcterms:W3CDTF">2024-10-08T01:22:10Z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BB3F975CEB4047C78961FD166C8C3118_13</vt:lpwstr>
  </property>
</Properties>
</file>